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8550" w14:textId="5694CB0C" w:rsidR="00404D38" w:rsidRPr="0098262F" w:rsidRDefault="00993EFF" w:rsidP="00404D38">
      <w:pPr>
        <w:pStyle w:val="1-MainHeading"/>
      </w:pPr>
      <w:bookmarkStart w:id="0" w:name="_Toc184822902"/>
      <w:bookmarkStart w:id="1" w:name="_Toc188451865"/>
      <w:r>
        <w:t>7.06</w:t>
      </w:r>
      <w:r w:rsidR="00404D38" w:rsidRPr="0098262F">
        <w:tab/>
      </w:r>
      <w:r w:rsidR="00404D38">
        <w:t>ODEVIXIBAT</w:t>
      </w:r>
      <w:r w:rsidR="00404D38" w:rsidRPr="0098262F">
        <w:t>,</w:t>
      </w:r>
      <w:r w:rsidR="00404D38" w:rsidRPr="0098262F">
        <w:br/>
      </w:r>
      <w:bookmarkEnd w:id="0"/>
      <w:r w:rsidR="00404D38" w:rsidRPr="00D33C2C">
        <w:t>Capsule 200 micrograms,</w:t>
      </w:r>
      <w:r w:rsidR="00404D38" w:rsidRPr="00D33C2C">
        <w:br/>
        <w:t>Capsule 400 micrograms,</w:t>
      </w:r>
      <w:r w:rsidR="00404D38" w:rsidRPr="00D33C2C">
        <w:br/>
        <w:t>Capsule 600 micrograms,</w:t>
      </w:r>
      <w:r w:rsidR="00404D38" w:rsidRPr="00D33C2C">
        <w:br/>
        <w:t>Capsule 1200 micrograms,</w:t>
      </w:r>
      <w:r w:rsidR="00404D38" w:rsidRPr="00D33C2C">
        <w:br/>
        <w:t>Bylvay</w:t>
      </w:r>
      <w:r w:rsidR="00404D38" w:rsidRPr="00D33C2C">
        <w:rPr>
          <w:vertAlign w:val="superscript"/>
        </w:rPr>
        <w:t>®</w:t>
      </w:r>
      <w:r w:rsidR="00404D38" w:rsidRPr="00D33C2C">
        <w:t>,</w:t>
      </w:r>
      <w:r w:rsidR="00404D38" w:rsidRPr="00D33C2C">
        <w:br/>
        <w:t>Ipsen Pty Ltd.</w:t>
      </w:r>
      <w:bookmarkEnd w:id="1"/>
    </w:p>
    <w:p w14:paraId="4B76540C" w14:textId="77777777" w:rsidR="00404D38" w:rsidRPr="0098262F" w:rsidRDefault="00404D38" w:rsidP="00404D38">
      <w:pPr>
        <w:pStyle w:val="2-SectionHeading"/>
        <w:numPr>
          <w:ilvl w:val="0"/>
          <w:numId w:val="1"/>
        </w:numPr>
      </w:pPr>
      <w:bookmarkStart w:id="2" w:name="_Toc184822904"/>
      <w:bookmarkStart w:id="3" w:name="_Toc188451867"/>
      <w:r w:rsidRPr="0098262F">
        <w:t>Purpose of submission</w:t>
      </w:r>
      <w:bookmarkEnd w:id="2"/>
      <w:bookmarkEnd w:id="3"/>
    </w:p>
    <w:p w14:paraId="15831DFD" w14:textId="4CB9E6BC" w:rsidR="00404D38" w:rsidRPr="0021398C" w:rsidRDefault="00404D38" w:rsidP="00404D38">
      <w:pPr>
        <w:pStyle w:val="3-BodyText"/>
        <w:numPr>
          <w:ilvl w:val="1"/>
          <w:numId w:val="1"/>
        </w:numPr>
      </w:pPr>
      <w:r w:rsidRPr="0098262F">
        <w:t xml:space="preserve">The </w:t>
      </w:r>
      <w:r w:rsidRPr="0037074E">
        <w:t xml:space="preserve">Facilitated Resolution Pathway resubmission </w:t>
      </w:r>
      <w:r w:rsidRPr="0098262F">
        <w:t xml:space="preserve">requested </w:t>
      </w:r>
      <w:r>
        <w:t xml:space="preserve">a </w:t>
      </w:r>
      <w:r w:rsidRPr="0098262F">
        <w:t xml:space="preserve">Section </w:t>
      </w:r>
      <w:r w:rsidR="00DF1507" w:rsidRPr="00212374">
        <w:t>85</w:t>
      </w:r>
      <w:r w:rsidRPr="0098262F">
        <w:t>, Authority Required</w:t>
      </w:r>
      <w:r>
        <w:t xml:space="preserve"> </w:t>
      </w:r>
      <w:r w:rsidRPr="0098262F">
        <w:t xml:space="preserve">listing for </w:t>
      </w:r>
      <w:r>
        <w:t>odevixibat</w:t>
      </w:r>
      <w:r w:rsidRPr="0098262F">
        <w:t xml:space="preserve"> for the treatment of </w:t>
      </w:r>
      <w:r w:rsidRPr="0021398C">
        <w:t>progressive familial intrahepatic cholestasis (PFIC).</w:t>
      </w:r>
    </w:p>
    <w:p w14:paraId="542FE9BD" w14:textId="26225A14" w:rsidR="00404D38" w:rsidRPr="008A7F44" w:rsidRDefault="00404D38" w:rsidP="00562736">
      <w:pPr>
        <w:pStyle w:val="3-BodyText"/>
        <w:numPr>
          <w:ilvl w:val="1"/>
          <w:numId w:val="1"/>
        </w:numPr>
        <w:spacing w:before="0"/>
      </w:pPr>
      <w:r w:rsidRPr="008A7F44">
        <w:t>Listing was requested on the basis of a cost-utility analysis versus standard of care (S</w:t>
      </w:r>
      <w:r w:rsidR="00071284">
        <w:t>o</w:t>
      </w:r>
      <w:r w:rsidRPr="008A7F44">
        <w:t>C) including partial external biliary diversion (PEBD) and liver transplantation (LT).</w:t>
      </w:r>
    </w:p>
    <w:p w14:paraId="4D26D58B" w14:textId="3B1BE62A" w:rsidR="00404D38" w:rsidRPr="0098262F" w:rsidRDefault="00404D38" w:rsidP="001F757A">
      <w:pPr>
        <w:pStyle w:val="TableFigureHeading"/>
        <w:keepLines/>
        <w:rPr>
          <w:rStyle w:val="CommentReference"/>
          <w:b/>
          <w:szCs w:val="24"/>
        </w:rPr>
      </w:pPr>
      <w:r w:rsidRPr="0098262F">
        <w:t xml:space="preserve">Table </w:t>
      </w:r>
      <w:r w:rsidR="00382EF0">
        <w:fldChar w:fldCharType="begin" w:fldLock="1"/>
      </w:r>
      <w:r w:rsidR="00382EF0">
        <w:instrText xml:space="preserve"> SEQ Table \* ARABIC </w:instrText>
      </w:r>
      <w:r w:rsidR="00382EF0">
        <w:fldChar w:fldCharType="separate"/>
      </w:r>
      <w:r w:rsidR="00382EF0">
        <w:rPr>
          <w:noProof/>
        </w:rPr>
        <w:t>1</w:t>
      </w:r>
      <w:r w:rsidR="00382EF0">
        <w:rPr>
          <w:noProof/>
        </w:rPr>
        <w:fldChar w:fldCharType="end"/>
      </w:r>
      <w:r w:rsidRPr="0098262F">
        <w:t>:</w:t>
      </w:r>
      <w:r w:rsidRPr="0098262F">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435"/>
        <w:gridCol w:w="7721"/>
      </w:tblGrid>
      <w:tr w:rsidR="00404D38" w:rsidRPr="00A22E79" w14:paraId="0A343E0E" w14:textId="77777777" w:rsidTr="00D84987">
        <w:trPr>
          <w:tblHeader/>
        </w:trPr>
        <w:tc>
          <w:tcPr>
            <w:tcW w:w="1435" w:type="dxa"/>
            <w:tcBorders>
              <w:top w:val="single" w:sz="4" w:space="0" w:color="auto"/>
              <w:left w:val="single" w:sz="4" w:space="0" w:color="auto"/>
              <w:bottom w:val="single" w:sz="4" w:space="0" w:color="auto"/>
              <w:right w:val="single" w:sz="4" w:space="0" w:color="auto"/>
            </w:tcBorders>
            <w:vAlign w:val="center"/>
            <w:hideMark/>
          </w:tcPr>
          <w:p w14:paraId="65DB2630" w14:textId="77777777" w:rsidR="00404D38" w:rsidRPr="0037074E" w:rsidRDefault="00404D38" w:rsidP="001F757A">
            <w:pPr>
              <w:pStyle w:val="Tabletext"/>
              <w:keepNext/>
              <w:keepLines/>
              <w:rPr>
                <w:rFonts w:eastAsiaTheme="majorEastAsia"/>
                <w:b/>
                <w:bCs/>
              </w:rPr>
            </w:pPr>
            <w:bookmarkStart w:id="4" w:name="_Toc184822905"/>
            <w:r w:rsidRPr="0037074E">
              <w:rPr>
                <w:rFonts w:eastAsiaTheme="majorEastAsia"/>
                <w:b/>
                <w:bCs/>
              </w:rPr>
              <w:t>Component</w:t>
            </w:r>
          </w:p>
        </w:tc>
        <w:tc>
          <w:tcPr>
            <w:tcW w:w="7721" w:type="dxa"/>
            <w:tcBorders>
              <w:top w:val="single" w:sz="4" w:space="0" w:color="auto"/>
              <w:left w:val="single" w:sz="4" w:space="0" w:color="auto"/>
              <w:bottom w:val="single" w:sz="4" w:space="0" w:color="auto"/>
              <w:right w:val="single" w:sz="4" w:space="0" w:color="auto"/>
            </w:tcBorders>
            <w:vAlign w:val="center"/>
            <w:hideMark/>
          </w:tcPr>
          <w:p w14:paraId="2354E079" w14:textId="77777777" w:rsidR="00404D38" w:rsidRPr="0037074E" w:rsidRDefault="00404D38" w:rsidP="001F757A">
            <w:pPr>
              <w:pStyle w:val="Tabletext"/>
              <w:keepNext/>
              <w:keepLines/>
              <w:rPr>
                <w:rFonts w:eastAsiaTheme="majorEastAsia" w:cstheme="majorBidi"/>
                <w:b/>
                <w:bCs/>
              </w:rPr>
            </w:pPr>
            <w:r w:rsidRPr="0037074E">
              <w:rPr>
                <w:rFonts w:eastAsiaTheme="majorEastAsia" w:cstheme="majorBidi"/>
                <w:b/>
                <w:bCs/>
              </w:rPr>
              <w:t>Description</w:t>
            </w:r>
          </w:p>
        </w:tc>
      </w:tr>
      <w:tr w:rsidR="00404D38" w:rsidRPr="00A22E79" w14:paraId="0CB60617" w14:textId="77777777" w:rsidTr="003725C0">
        <w:tc>
          <w:tcPr>
            <w:tcW w:w="1435" w:type="dxa"/>
            <w:tcBorders>
              <w:top w:val="single" w:sz="4" w:space="0" w:color="auto"/>
              <w:left w:val="single" w:sz="4" w:space="0" w:color="auto"/>
              <w:bottom w:val="single" w:sz="4" w:space="0" w:color="auto"/>
              <w:right w:val="single" w:sz="4" w:space="0" w:color="auto"/>
            </w:tcBorders>
            <w:vAlign w:val="center"/>
            <w:hideMark/>
          </w:tcPr>
          <w:p w14:paraId="113D4620" w14:textId="77777777" w:rsidR="00404D38" w:rsidRPr="0037074E" w:rsidRDefault="00404D38" w:rsidP="001F757A">
            <w:pPr>
              <w:pStyle w:val="Tabletext"/>
              <w:keepNext/>
              <w:keepLines/>
              <w:rPr>
                <w:rFonts w:eastAsiaTheme="majorEastAsia" w:cstheme="majorBidi"/>
                <w:bCs/>
              </w:rPr>
            </w:pPr>
            <w:r w:rsidRPr="0037074E">
              <w:rPr>
                <w:rFonts w:eastAsiaTheme="majorEastAsia" w:cstheme="majorBidi"/>
                <w:bCs/>
              </w:rPr>
              <w:t>Population</w:t>
            </w:r>
          </w:p>
        </w:tc>
        <w:tc>
          <w:tcPr>
            <w:tcW w:w="7721" w:type="dxa"/>
            <w:tcBorders>
              <w:top w:val="single" w:sz="4" w:space="0" w:color="auto"/>
              <w:left w:val="single" w:sz="4" w:space="0" w:color="auto"/>
              <w:bottom w:val="single" w:sz="4" w:space="0" w:color="auto"/>
              <w:right w:val="single" w:sz="4" w:space="0" w:color="auto"/>
            </w:tcBorders>
            <w:hideMark/>
          </w:tcPr>
          <w:p w14:paraId="76B80573" w14:textId="77777777" w:rsidR="00404D38" w:rsidRPr="00A22E79" w:rsidRDefault="00404D38" w:rsidP="001F757A">
            <w:pPr>
              <w:pStyle w:val="Tabletext"/>
              <w:keepNext/>
              <w:keepLines/>
              <w:rPr>
                <w:rFonts w:eastAsiaTheme="majorEastAsia" w:cstheme="majorBidi"/>
              </w:rPr>
            </w:pPr>
            <w:r w:rsidRPr="00A22E79">
              <w:rPr>
                <w:rFonts w:eastAsiaTheme="majorEastAsia" w:cstheme="majorBidi"/>
              </w:rPr>
              <w:t>Patients with progressive familial intrahepatic cholestasis (PFIC)</w:t>
            </w:r>
          </w:p>
        </w:tc>
      </w:tr>
      <w:tr w:rsidR="00404D38" w:rsidRPr="00A22E79" w14:paraId="059A2BBE" w14:textId="77777777" w:rsidTr="003725C0">
        <w:tc>
          <w:tcPr>
            <w:tcW w:w="1435" w:type="dxa"/>
            <w:tcBorders>
              <w:top w:val="single" w:sz="4" w:space="0" w:color="auto"/>
              <w:left w:val="single" w:sz="4" w:space="0" w:color="auto"/>
              <w:bottom w:val="single" w:sz="4" w:space="0" w:color="auto"/>
              <w:right w:val="single" w:sz="4" w:space="0" w:color="auto"/>
            </w:tcBorders>
            <w:vAlign w:val="center"/>
            <w:hideMark/>
          </w:tcPr>
          <w:p w14:paraId="3E1456D4" w14:textId="77777777" w:rsidR="00404D38" w:rsidRPr="0037074E" w:rsidRDefault="00404D38" w:rsidP="001F757A">
            <w:pPr>
              <w:pStyle w:val="Tabletext"/>
              <w:keepNext/>
              <w:keepLines/>
              <w:rPr>
                <w:rFonts w:eastAsiaTheme="majorEastAsia" w:cstheme="majorBidi"/>
                <w:bCs/>
              </w:rPr>
            </w:pPr>
            <w:r w:rsidRPr="0037074E">
              <w:rPr>
                <w:rFonts w:eastAsiaTheme="majorEastAsia" w:cstheme="majorBidi"/>
                <w:bCs/>
              </w:rPr>
              <w:t>Intervention</w:t>
            </w:r>
          </w:p>
        </w:tc>
        <w:tc>
          <w:tcPr>
            <w:tcW w:w="7721" w:type="dxa"/>
            <w:tcBorders>
              <w:top w:val="single" w:sz="4" w:space="0" w:color="auto"/>
              <w:left w:val="single" w:sz="4" w:space="0" w:color="auto"/>
              <w:bottom w:val="single" w:sz="4" w:space="0" w:color="auto"/>
              <w:right w:val="single" w:sz="4" w:space="0" w:color="auto"/>
            </w:tcBorders>
            <w:hideMark/>
          </w:tcPr>
          <w:p w14:paraId="2D53DEE1" w14:textId="1B20C0ED" w:rsidR="00404D38" w:rsidRPr="002113D7" w:rsidRDefault="003725C0" w:rsidP="001F757A">
            <w:pPr>
              <w:pStyle w:val="Tabletext"/>
              <w:keepNext/>
              <w:keepLines/>
              <w:rPr>
                <w:rFonts w:eastAsiaTheme="majorEastAsia" w:cstheme="majorBidi"/>
              </w:rPr>
            </w:pPr>
            <w:r>
              <w:rPr>
                <w:rFonts w:eastAsiaTheme="majorEastAsia" w:cstheme="majorBidi"/>
              </w:rPr>
              <w:t>O</w:t>
            </w:r>
            <w:r w:rsidR="00404D38" w:rsidRPr="002113D7">
              <w:rPr>
                <w:rFonts w:eastAsiaTheme="majorEastAsia" w:cstheme="majorBidi"/>
              </w:rPr>
              <w:t>devixibat 40</w:t>
            </w:r>
            <w:r w:rsidR="0017081E">
              <w:rPr>
                <w:rFonts w:eastAsiaTheme="majorEastAsia" w:cstheme="majorBidi"/>
              </w:rPr>
              <w:t> mcg</w:t>
            </w:r>
            <w:r w:rsidR="00404D38" w:rsidRPr="002113D7">
              <w:rPr>
                <w:rFonts w:eastAsiaTheme="majorEastAsia" w:cstheme="majorBidi"/>
              </w:rPr>
              <w:t>/kg orally administered once daily with dose escalation to 120</w:t>
            </w:r>
            <w:r w:rsidR="0017081E">
              <w:rPr>
                <w:rFonts w:eastAsiaTheme="majorEastAsia" w:cstheme="majorBidi"/>
              </w:rPr>
              <w:t> mcg</w:t>
            </w:r>
            <w:r w:rsidR="00404D38" w:rsidRPr="002113D7">
              <w:rPr>
                <w:rFonts w:eastAsiaTheme="majorEastAsia" w:cstheme="majorBidi"/>
              </w:rPr>
              <w:t>/kg/day if adequate clinical response</w:t>
            </w:r>
            <w:r w:rsidR="00234F83">
              <w:rPr>
                <w:rFonts w:eastAsiaTheme="majorEastAsia" w:cstheme="majorBidi"/>
              </w:rPr>
              <w:t xml:space="preserve"> </w:t>
            </w:r>
            <w:r w:rsidR="00404D38" w:rsidRPr="002113D7">
              <w:rPr>
                <w:rFonts w:eastAsiaTheme="majorEastAsia" w:cstheme="majorBidi"/>
                <w:vertAlign w:val="superscript"/>
              </w:rPr>
              <w:t>a</w:t>
            </w:r>
            <w:r w:rsidR="00404D38" w:rsidRPr="002113D7">
              <w:rPr>
                <w:rFonts w:eastAsiaTheme="majorEastAsia" w:cstheme="majorBidi"/>
              </w:rPr>
              <w:t xml:space="preserve"> is not achieved in first month</w:t>
            </w:r>
          </w:p>
        </w:tc>
      </w:tr>
      <w:tr w:rsidR="00404D38" w:rsidRPr="00A22E79" w14:paraId="237E7175" w14:textId="77777777" w:rsidTr="003725C0">
        <w:tc>
          <w:tcPr>
            <w:tcW w:w="1435" w:type="dxa"/>
            <w:tcBorders>
              <w:top w:val="single" w:sz="4" w:space="0" w:color="auto"/>
              <w:left w:val="single" w:sz="4" w:space="0" w:color="auto"/>
              <w:bottom w:val="single" w:sz="4" w:space="0" w:color="auto"/>
              <w:right w:val="single" w:sz="4" w:space="0" w:color="auto"/>
            </w:tcBorders>
            <w:vAlign w:val="center"/>
            <w:hideMark/>
          </w:tcPr>
          <w:p w14:paraId="068CCEE0" w14:textId="77777777" w:rsidR="00404D38" w:rsidRPr="0037074E" w:rsidRDefault="00404D38" w:rsidP="001F757A">
            <w:pPr>
              <w:pStyle w:val="Tabletext"/>
              <w:keepNext/>
              <w:keepLines/>
              <w:rPr>
                <w:rFonts w:eastAsiaTheme="majorEastAsia" w:cstheme="majorBidi"/>
                <w:bCs/>
              </w:rPr>
            </w:pPr>
            <w:r w:rsidRPr="0037074E">
              <w:rPr>
                <w:rFonts w:eastAsiaTheme="majorEastAsia" w:cstheme="majorBidi"/>
                <w:bCs/>
              </w:rPr>
              <w:t>Comparator</w:t>
            </w:r>
          </w:p>
        </w:tc>
        <w:tc>
          <w:tcPr>
            <w:tcW w:w="7721" w:type="dxa"/>
            <w:tcBorders>
              <w:top w:val="single" w:sz="4" w:space="0" w:color="auto"/>
              <w:left w:val="single" w:sz="4" w:space="0" w:color="auto"/>
              <w:bottom w:val="single" w:sz="4" w:space="0" w:color="auto"/>
              <w:right w:val="single" w:sz="4" w:space="0" w:color="auto"/>
            </w:tcBorders>
            <w:hideMark/>
          </w:tcPr>
          <w:p w14:paraId="62E9195A" w14:textId="4E28F511" w:rsidR="00404D38" w:rsidRPr="00A22E79" w:rsidRDefault="00404D38" w:rsidP="001F757A">
            <w:pPr>
              <w:pStyle w:val="Tabletext"/>
              <w:keepNext/>
              <w:keepLines/>
              <w:rPr>
                <w:rFonts w:eastAsiaTheme="majorEastAsia" w:cstheme="majorBidi"/>
              </w:rPr>
            </w:pPr>
            <w:r w:rsidRPr="00A22E79">
              <w:rPr>
                <w:rFonts w:eastAsiaTheme="majorEastAsia" w:cstheme="majorBidi"/>
              </w:rPr>
              <w:t>Standard of care (S</w:t>
            </w:r>
            <w:r w:rsidR="00525470">
              <w:rPr>
                <w:rFonts w:eastAsiaTheme="majorEastAsia" w:cstheme="majorBidi"/>
              </w:rPr>
              <w:t>o</w:t>
            </w:r>
            <w:r w:rsidRPr="00A22E79">
              <w:rPr>
                <w:rFonts w:eastAsiaTheme="majorEastAsia" w:cstheme="majorBidi"/>
              </w:rPr>
              <w:t>C) partial external biliary diversion (PEBD) and liver transplant (LT).</w:t>
            </w:r>
          </w:p>
        </w:tc>
      </w:tr>
      <w:tr w:rsidR="00404D38" w:rsidRPr="00A22E79" w14:paraId="5E201D4B" w14:textId="77777777" w:rsidTr="003725C0">
        <w:tc>
          <w:tcPr>
            <w:tcW w:w="1435" w:type="dxa"/>
            <w:tcBorders>
              <w:top w:val="single" w:sz="4" w:space="0" w:color="auto"/>
              <w:left w:val="single" w:sz="4" w:space="0" w:color="auto"/>
              <w:bottom w:val="single" w:sz="4" w:space="0" w:color="auto"/>
              <w:right w:val="single" w:sz="4" w:space="0" w:color="auto"/>
            </w:tcBorders>
            <w:vAlign w:val="center"/>
            <w:hideMark/>
          </w:tcPr>
          <w:p w14:paraId="44D34E3A" w14:textId="77777777" w:rsidR="00404D38" w:rsidRPr="0037074E" w:rsidRDefault="00404D38" w:rsidP="001F757A">
            <w:pPr>
              <w:pStyle w:val="Tabletext"/>
              <w:keepNext/>
              <w:keepLines/>
              <w:rPr>
                <w:rFonts w:eastAsiaTheme="majorEastAsia" w:cstheme="majorBidi"/>
                <w:bCs/>
              </w:rPr>
            </w:pPr>
            <w:r w:rsidRPr="0037074E">
              <w:rPr>
                <w:rFonts w:eastAsiaTheme="majorEastAsia" w:cstheme="majorBidi"/>
                <w:bCs/>
              </w:rPr>
              <w:t>Outcomes</w:t>
            </w:r>
          </w:p>
        </w:tc>
        <w:tc>
          <w:tcPr>
            <w:tcW w:w="7721" w:type="dxa"/>
            <w:tcBorders>
              <w:top w:val="single" w:sz="4" w:space="0" w:color="auto"/>
              <w:left w:val="single" w:sz="4" w:space="0" w:color="auto"/>
              <w:bottom w:val="single" w:sz="4" w:space="0" w:color="auto"/>
              <w:right w:val="single" w:sz="4" w:space="0" w:color="auto"/>
            </w:tcBorders>
            <w:vAlign w:val="center"/>
            <w:hideMark/>
          </w:tcPr>
          <w:p w14:paraId="796CCDCD" w14:textId="2F0DBDAE" w:rsidR="00404D38" w:rsidRPr="00A22E79" w:rsidRDefault="00404D38" w:rsidP="001F757A">
            <w:pPr>
              <w:pStyle w:val="Tabletext"/>
              <w:keepNext/>
              <w:keepLines/>
              <w:rPr>
                <w:rFonts w:eastAsiaTheme="majorEastAsia" w:cstheme="majorBidi"/>
              </w:rPr>
            </w:pPr>
            <w:r w:rsidRPr="00A22E79">
              <w:rPr>
                <w:rFonts w:eastAsiaTheme="majorEastAsia" w:cstheme="majorBidi"/>
              </w:rPr>
              <w:t>Serum bile acid (sBA) response, prurit</w:t>
            </w:r>
            <w:r w:rsidR="002113D7">
              <w:rPr>
                <w:rFonts w:eastAsiaTheme="majorEastAsia" w:cstheme="majorBidi"/>
              </w:rPr>
              <w:t>u</w:t>
            </w:r>
            <w:r w:rsidRPr="00A22E79">
              <w:rPr>
                <w:rFonts w:eastAsiaTheme="majorEastAsia" w:cstheme="majorBidi"/>
              </w:rPr>
              <w:t>s response, sleep parameters, growth parameters, quality of life, safety.</w:t>
            </w:r>
          </w:p>
        </w:tc>
      </w:tr>
      <w:tr w:rsidR="00404D38" w:rsidRPr="00A22E79" w14:paraId="2920F3C6" w14:textId="77777777" w:rsidTr="003725C0">
        <w:tc>
          <w:tcPr>
            <w:tcW w:w="1435" w:type="dxa"/>
            <w:tcBorders>
              <w:top w:val="single" w:sz="4" w:space="0" w:color="auto"/>
              <w:left w:val="single" w:sz="4" w:space="0" w:color="auto"/>
              <w:bottom w:val="single" w:sz="4" w:space="0" w:color="auto"/>
              <w:right w:val="single" w:sz="4" w:space="0" w:color="auto"/>
            </w:tcBorders>
            <w:vAlign w:val="center"/>
            <w:hideMark/>
          </w:tcPr>
          <w:p w14:paraId="1110AEC6" w14:textId="77777777" w:rsidR="00404D38" w:rsidRPr="0037074E" w:rsidRDefault="00404D38" w:rsidP="001F757A">
            <w:pPr>
              <w:pStyle w:val="Tabletext"/>
              <w:keepNext/>
              <w:keepLines/>
              <w:rPr>
                <w:rFonts w:eastAsiaTheme="majorEastAsia" w:cstheme="majorBidi"/>
                <w:bCs/>
              </w:rPr>
            </w:pPr>
            <w:r w:rsidRPr="0037074E">
              <w:rPr>
                <w:rFonts w:eastAsiaTheme="majorEastAsia" w:cstheme="majorBidi"/>
                <w:bCs/>
              </w:rPr>
              <w:t>Clinical claim</w:t>
            </w:r>
          </w:p>
        </w:tc>
        <w:tc>
          <w:tcPr>
            <w:tcW w:w="7721" w:type="dxa"/>
            <w:tcBorders>
              <w:top w:val="single" w:sz="4" w:space="0" w:color="auto"/>
              <w:left w:val="single" w:sz="4" w:space="0" w:color="auto"/>
              <w:bottom w:val="single" w:sz="4" w:space="0" w:color="auto"/>
              <w:right w:val="single" w:sz="4" w:space="0" w:color="auto"/>
            </w:tcBorders>
            <w:vAlign w:val="center"/>
            <w:hideMark/>
          </w:tcPr>
          <w:p w14:paraId="480DA451" w14:textId="77777777" w:rsidR="00404D38" w:rsidRPr="00A22E79" w:rsidRDefault="00404D38" w:rsidP="001F757A">
            <w:pPr>
              <w:pStyle w:val="Tabletext"/>
              <w:keepNext/>
              <w:keepLines/>
              <w:rPr>
                <w:rFonts w:eastAsiaTheme="majorEastAsia" w:cstheme="majorBidi"/>
              </w:rPr>
            </w:pPr>
            <w:r w:rsidRPr="00A22E79">
              <w:rPr>
                <w:rFonts w:eastAsiaTheme="majorEastAsia" w:cstheme="majorBidi"/>
              </w:rPr>
              <w:t>Superiority in terms of sBA response and pruritus response at 24 weeks</w:t>
            </w:r>
          </w:p>
          <w:p w14:paraId="4E658EB7" w14:textId="77777777" w:rsidR="00404D38" w:rsidRPr="00A22E79" w:rsidRDefault="00404D38" w:rsidP="001F757A">
            <w:pPr>
              <w:pStyle w:val="Tabletext"/>
              <w:keepNext/>
              <w:keepLines/>
              <w:rPr>
                <w:rFonts w:eastAsiaTheme="majorEastAsia" w:cstheme="majorBidi"/>
              </w:rPr>
            </w:pPr>
            <w:r w:rsidRPr="00A22E79">
              <w:rPr>
                <w:rFonts w:eastAsiaTheme="majorEastAsia" w:cstheme="majorBidi"/>
              </w:rPr>
              <w:t>Non-Inferiority in terms of safety</w:t>
            </w:r>
          </w:p>
        </w:tc>
      </w:tr>
    </w:tbl>
    <w:p w14:paraId="7034BEFB" w14:textId="4EC113A6" w:rsidR="00404D38" w:rsidRDefault="00404D38" w:rsidP="001F757A">
      <w:pPr>
        <w:pStyle w:val="FooterTableFigure"/>
        <w:keepNext/>
        <w:keepLines/>
        <w:jc w:val="left"/>
        <w:rPr>
          <w:i/>
          <w:iCs/>
          <w:sz w:val="20"/>
        </w:rPr>
      </w:pPr>
      <w:r w:rsidRPr="0098262F">
        <w:t xml:space="preserve">Source: </w:t>
      </w:r>
      <w:r w:rsidRPr="008A7F44">
        <w:t xml:space="preserve">Table 1-2, p11 of the </w:t>
      </w:r>
      <w:r>
        <w:t>re</w:t>
      </w:r>
      <w:r w:rsidRPr="008A7F44">
        <w:t>submission</w:t>
      </w:r>
      <w:r>
        <w:br/>
      </w:r>
      <w:r w:rsidRPr="00617C70">
        <w:rPr>
          <w:szCs w:val="18"/>
          <w:vertAlign w:val="superscript"/>
        </w:rPr>
        <w:t>a</w:t>
      </w:r>
      <w:r w:rsidRPr="00617C70">
        <w:rPr>
          <w:szCs w:val="18"/>
        </w:rPr>
        <w:t xml:space="preserve"> Defined as an average ≥1 grade improvement in prurit</w:t>
      </w:r>
      <w:r w:rsidR="002113D7" w:rsidRPr="00617C70">
        <w:rPr>
          <w:szCs w:val="18"/>
        </w:rPr>
        <w:t>u</w:t>
      </w:r>
      <w:r w:rsidRPr="00617C70">
        <w:rPr>
          <w:szCs w:val="18"/>
        </w:rPr>
        <w:t>s score on the Prucision™ ObsRO Prurit</w:t>
      </w:r>
      <w:r w:rsidR="002113D7" w:rsidRPr="00617C70">
        <w:rPr>
          <w:szCs w:val="18"/>
        </w:rPr>
        <w:t>u</w:t>
      </w:r>
      <w:r w:rsidRPr="00617C70">
        <w:rPr>
          <w:szCs w:val="18"/>
        </w:rPr>
        <w:t>s Scale, assessed over a one</w:t>
      </w:r>
      <w:r w:rsidR="00234F83" w:rsidRPr="00617C70">
        <w:rPr>
          <w:szCs w:val="18"/>
        </w:rPr>
        <w:t>-</w:t>
      </w:r>
      <w:r w:rsidRPr="00617C70">
        <w:rPr>
          <w:szCs w:val="18"/>
        </w:rPr>
        <w:t>week period prior to dose modification.</w:t>
      </w:r>
    </w:p>
    <w:p w14:paraId="328F8B09" w14:textId="58A65F93" w:rsidR="00404D38" w:rsidRPr="0037074E" w:rsidRDefault="003F3205" w:rsidP="00404D38">
      <w:pPr>
        <w:pStyle w:val="3-BodyText"/>
        <w:numPr>
          <w:ilvl w:val="1"/>
          <w:numId w:val="1"/>
        </w:numPr>
      </w:pPr>
      <w:r>
        <w:t>T</w:t>
      </w:r>
      <w:r w:rsidR="00404D38" w:rsidRPr="0037074E">
        <w:t xml:space="preserve">he timing for dose escalation was </w:t>
      </w:r>
      <w:r w:rsidR="00F22659">
        <w:t>re</w:t>
      </w:r>
      <w:r w:rsidR="00B511D7">
        <w:t>duc</w:t>
      </w:r>
      <w:r>
        <w:t>ed</w:t>
      </w:r>
      <w:r w:rsidRPr="0037074E">
        <w:t xml:space="preserve"> </w:t>
      </w:r>
      <w:r w:rsidR="00404D38" w:rsidRPr="0037074E">
        <w:t xml:space="preserve">from </w:t>
      </w:r>
      <w:r w:rsidR="00E810A5">
        <w:t>three</w:t>
      </w:r>
      <w:r w:rsidR="00404D38" w:rsidRPr="0037074E">
        <w:t xml:space="preserve"> months without adequate clinical response in the July 2024 submission, </w:t>
      </w:r>
      <w:r w:rsidR="004374EC">
        <w:t xml:space="preserve">to </w:t>
      </w:r>
      <w:r w:rsidR="00375E93">
        <w:t xml:space="preserve">after one month </w:t>
      </w:r>
      <w:r w:rsidR="00404D38" w:rsidRPr="0037074E">
        <w:t>in the resubmission</w:t>
      </w:r>
      <w:r w:rsidR="00375E93">
        <w:t>,</w:t>
      </w:r>
      <w:r w:rsidR="007E6B6B">
        <w:t xml:space="preserve"> </w:t>
      </w:r>
      <w:r w:rsidR="007E6B6B" w:rsidRPr="009972B7">
        <w:t xml:space="preserve">which was </w:t>
      </w:r>
      <w:r w:rsidR="00C32B10" w:rsidRPr="009972B7">
        <w:t>consistent</w:t>
      </w:r>
      <w:r w:rsidR="007E6B6B" w:rsidRPr="009972B7">
        <w:t xml:space="preserve"> with the Facilitated Resolution Pathway Workshop</w:t>
      </w:r>
      <w:r w:rsidR="002D54E4">
        <w:t xml:space="preserve"> discussion</w:t>
      </w:r>
      <w:r w:rsidR="00404D38" w:rsidRPr="009972B7">
        <w:t>.</w:t>
      </w:r>
    </w:p>
    <w:p w14:paraId="47D5A8D1" w14:textId="77777777" w:rsidR="00404D38" w:rsidRPr="0098262F" w:rsidRDefault="00404D38" w:rsidP="00404D38">
      <w:pPr>
        <w:pStyle w:val="2-SectionHeading"/>
        <w:numPr>
          <w:ilvl w:val="0"/>
          <w:numId w:val="1"/>
        </w:numPr>
      </w:pPr>
      <w:bookmarkStart w:id="5" w:name="_Toc188451868"/>
      <w:r w:rsidRPr="0098262F">
        <w:t>Background</w:t>
      </w:r>
      <w:bookmarkEnd w:id="4"/>
      <w:bookmarkEnd w:id="5"/>
    </w:p>
    <w:p w14:paraId="6ABA3DE1" w14:textId="77777777" w:rsidR="00404D38" w:rsidRPr="0098262F" w:rsidRDefault="00404D38" w:rsidP="00404D38">
      <w:pPr>
        <w:pStyle w:val="4-SubsectionHeading"/>
      </w:pPr>
      <w:bookmarkStart w:id="6" w:name="_Toc22897638"/>
      <w:bookmarkStart w:id="7" w:name="_Toc184822906"/>
      <w:bookmarkStart w:id="8" w:name="_Toc188451869"/>
      <w:r w:rsidRPr="0098262F">
        <w:t>Registration status</w:t>
      </w:r>
      <w:bookmarkEnd w:id="6"/>
      <w:bookmarkEnd w:id="7"/>
      <w:bookmarkEnd w:id="8"/>
    </w:p>
    <w:p w14:paraId="05E4C66B" w14:textId="022F3325" w:rsidR="00404D38" w:rsidRPr="00471170" w:rsidRDefault="00404D38" w:rsidP="00EC58E6">
      <w:pPr>
        <w:pStyle w:val="3-BodyText"/>
        <w:numPr>
          <w:ilvl w:val="1"/>
          <w:numId w:val="1"/>
        </w:numPr>
        <w:spacing w:before="0"/>
      </w:pPr>
      <w:r w:rsidRPr="00471170">
        <w:t>The TGA Delegate’s Overview was available at the time of PBAC consideration.</w:t>
      </w:r>
      <w:r w:rsidR="00417BF2">
        <w:t xml:space="preserve"> </w:t>
      </w:r>
      <w:r w:rsidR="00E4116E">
        <w:t>It was noted that a st</w:t>
      </w:r>
      <w:r w:rsidR="00417BF2">
        <w:t xml:space="preserve">op clock </w:t>
      </w:r>
      <w:r w:rsidR="00F52218">
        <w:t xml:space="preserve">was </w:t>
      </w:r>
      <w:r w:rsidR="00E4116E">
        <w:t>implemented by the TGA</w:t>
      </w:r>
      <w:r w:rsidR="005F28CC">
        <w:t xml:space="preserve"> following </w:t>
      </w:r>
      <w:r w:rsidR="00DB5239">
        <w:t xml:space="preserve">the evaluation process </w:t>
      </w:r>
      <w:r w:rsidR="009E7FA6">
        <w:t xml:space="preserve">to enable a manufacturing site to undergo a </w:t>
      </w:r>
      <w:r w:rsidR="00A863AD">
        <w:t>good manufacturing practice (</w:t>
      </w:r>
      <w:r w:rsidR="009E7FA6">
        <w:t>GMP</w:t>
      </w:r>
      <w:r w:rsidR="00A863AD">
        <w:t>)</w:t>
      </w:r>
      <w:r w:rsidR="009E7FA6">
        <w:t xml:space="preserve"> inspection.</w:t>
      </w:r>
      <w:r w:rsidRPr="00471170">
        <w:t xml:space="preserve"> The proposed TGA indication for odevixibat </w:t>
      </w:r>
      <w:r w:rsidR="00417BF2">
        <w:t>was</w:t>
      </w:r>
      <w:r w:rsidR="00417BF2" w:rsidRPr="00471170">
        <w:t xml:space="preserve"> </w:t>
      </w:r>
      <w:r w:rsidRPr="00471170">
        <w:t>for treatment of PFIC in patients aged six months or older</w:t>
      </w:r>
      <w:r w:rsidR="00E4116E">
        <w:t>, with registration expected by the end of March</w:t>
      </w:r>
      <w:r w:rsidR="006C4322">
        <w:t> </w:t>
      </w:r>
      <w:r w:rsidR="00E4116E">
        <w:t>2025</w:t>
      </w:r>
      <w:r w:rsidRPr="00471170">
        <w:t xml:space="preserve">. </w:t>
      </w:r>
    </w:p>
    <w:p w14:paraId="349CBD01" w14:textId="77563C23" w:rsidR="00404D38" w:rsidRPr="0098262F" w:rsidRDefault="00404D38" w:rsidP="00404D38">
      <w:pPr>
        <w:pStyle w:val="4-SubsectionHeading"/>
      </w:pPr>
      <w:bookmarkStart w:id="9" w:name="_Toc22897639"/>
      <w:bookmarkStart w:id="10" w:name="_Toc184822907"/>
      <w:bookmarkStart w:id="11" w:name="_Toc188451870"/>
      <w:r w:rsidRPr="0098262F">
        <w:lastRenderedPageBreak/>
        <w:t>Previous PBAC consideration</w:t>
      </w:r>
      <w:bookmarkEnd w:id="9"/>
      <w:bookmarkEnd w:id="10"/>
      <w:bookmarkEnd w:id="11"/>
    </w:p>
    <w:p w14:paraId="7C0BA9CC" w14:textId="441C2A23" w:rsidR="00404D38" w:rsidRPr="00CC0BFF" w:rsidRDefault="00404D38" w:rsidP="00EC58E6">
      <w:pPr>
        <w:pStyle w:val="3-BodyText"/>
        <w:numPr>
          <w:ilvl w:val="1"/>
          <w:numId w:val="1"/>
        </w:numPr>
        <w:spacing w:before="0"/>
        <w:rPr>
          <w:color w:val="0066FF"/>
        </w:rPr>
      </w:pPr>
      <w:r>
        <w:rPr>
          <w:color w:val="000000" w:themeColor="text1"/>
        </w:rPr>
        <w:t>At the July 2024 PBAC meeting, the PBAC did not recommend odevixibat for the treatment of PFIC (paragraph 7.1, odevixibat Public Summary Document (PSD), July</w:t>
      </w:r>
      <w:r w:rsidR="006C4322">
        <w:rPr>
          <w:color w:val="000000" w:themeColor="text1"/>
        </w:rPr>
        <w:t> </w:t>
      </w:r>
      <w:r>
        <w:rPr>
          <w:color w:val="000000" w:themeColor="text1"/>
        </w:rPr>
        <w:t xml:space="preserve">2024 PBAC meeting). A Facilitated Resolution Pathway </w:t>
      </w:r>
      <w:r w:rsidR="00DB2937">
        <w:rPr>
          <w:color w:val="000000" w:themeColor="text1"/>
        </w:rPr>
        <w:t xml:space="preserve">Workshop </w:t>
      </w:r>
      <w:r>
        <w:rPr>
          <w:color w:val="000000" w:themeColor="text1"/>
        </w:rPr>
        <w:t>was held for odevixibat in September 2024 to explore feasible options to address the issues identified by the PBAC.</w:t>
      </w:r>
    </w:p>
    <w:p w14:paraId="667E0087" w14:textId="5083EA81" w:rsidR="00404D38" w:rsidRPr="0098262F" w:rsidRDefault="00404D38" w:rsidP="00EC58E6">
      <w:pPr>
        <w:pStyle w:val="3-BodyText"/>
        <w:numPr>
          <w:ilvl w:val="1"/>
          <w:numId w:val="1"/>
        </w:numPr>
        <w:spacing w:before="0"/>
        <w:rPr>
          <w:color w:val="0066FF"/>
        </w:rPr>
      </w:pPr>
      <w:r>
        <w:rPr>
          <w:color w:val="000000" w:themeColor="text1"/>
        </w:rPr>
        <w:fldChar w:fldCharType="begin" w:fldLock="1"/>
      </w:r>
      <w:r>
        <w:rPr>
          <w:color w:val="000000" w:themeColor="text1"/>
        </w:rPr>
        <w:instrText xml:space="preserve"> REF _Ref184824272 \h </w:instrText>
      </w:r>
      <w:r>
        <w:rPr>
          <w:color w:val="000000" w:themeColor="text1"/>
        </w:rPr>
      </w:r>
      <w:r>
        <w:rPr>
          <w:color w:val="000000" w:themeColor="text1"/>
        </w:rPr>
        <w:fldChar w:fldCharType="separate"/>
      </w:r>
      <w:r w:rsidR="00382EF0" w:rsidRPr="0098262F">
        <w:t xml:space="preserve">Table </w:t>
      </w:r>
      <w:r w:rsidR="00382EF0">
        <w:rPr>
          <w:noProof/>
        </w:rPr>
        <w:t>2</w:t>
      </w:r>
      <w:r>
        <w:rPr>
          <w:color w:val="000000" w:themeColor="text1"/>
        </w:rPr>
        <w:fldChar w:fldCharType="end"/>
      </w:r>
      <w:r>
        <w:rPr>
          <w:color w:val="000000" w:themeColor="text1"/>
        </w:rPr>
        <w:t xml:space="preserve"> summarises the key matters of concern from the July 2024 submission and how they were addressed in the resubmission.</w:t>
      </w:r>
    </w:p>
    <w:p w14:paraId="0AE719FB" w14:textId="085CE77F" w:rsidR="00404D38" w:rsidRPr="0098262F" w:rsidRDefault="00404D38" w:rsidP="007D00DA">
      <w:pPr>
        <w:pStyle w:val="TableFigureHeading"/>
        <w:keepLines/>
        <w:rPr>
          <w:rStyle w:val="CommentReference"/>
          <w:b/>
          <w:szCs w:val="24"/>
          <w:highlight w:val="cyan"/>
        </w:rPr>
      </w:pPr>
      <w:bookmarkStart w:id="12" w:name="_Toc107902078"/>
      <w:bookmarkStart w:id="13" w:name="_Ref184824272"/>
      <w:bookmarkStart w:id="14" w:name="_Toc184822908"/>
      <w:bookmarkEnd w:id="12"/>
      <w:r w:rsidRPr="0098262F">
        <w:t xml:space="preserve">Table </w:t>
      </w:r>
      <w:r w:rsidR="00382EF0">
        <w:fldChar w:fldCharType="begin" w:fldLock="1"/>
      </w:r>
      <w:r w:rsidR="00382EF0">
        <w:instrText xml:space="preserve"> SEQ Table \* ARABIC </w:instrText>
      </w:r>
      <w:r w:rsidR="00382EF0">
        <w:fldChar w:fldCharType="separate"/>
      </w:r>
      <w:r w:rsidR="00382EF0">
        <w:rPr>
          <w:noProof/>
        </w:rPr>
        <w:t>2</w:t>
      </w:r>
      <w:r w:rsidR="00382EF0">
        <w:rPr>
          <w:noProof/>
        </w:rPr>
        <w:fldChar w:fldCharType="end"/>
      </w:r>
      <w:bookmarkEnd w:id="13"/>
      <w:r w:rsidRPr="00741E82">
        <w:t>:</w:t>
      </w:r>
      <w:r w:rsidRPr="00741E82">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174"/>
        <w:gridCol w:w="3784"/>
        <w:gridCol w:w="4059"/>
      </w:tblGrid>
      <w:tr w:rsidR="00E45703" w:rsidRPr="00455320" w14:paraId="6E8563A4" w14:textId="77777777" w:rsidTr="00624D32">
        <w:trPr>
          <w:cantSplit/>
          <w:tblHeader/>
        </w:trPr>
        <w:tc>
          <w:tcPr>
            <w:tcW w:w="651" w:type="pct"/>
            <w:tcMar>
              <w:left w:w="20" w:type="dxa"/>
              <w:right w:w="20" w:type="dxa"/>
            </w:tcMar>
            <w:vAlign w:val="center"/>
          </w:tcPr>
          <w:p w14:paraId="1FDB31DF" w14:textId="499D3AEF" w:rsidR="00E45703" w:rsidRPr="00471170" w:rsidRDefault="00E45703" w:rsidP="007D00DA">
            <w:pPr>
              <w:pStyle w:val="TableText0"/>
              <w:rPr>
                <w:b/>
                <w:bCs w:val="0"/>
              </w:rPr>
            </w:pPr>
            <w:r w:rsidRPr="00471170">
              <w:rPr>
                <w:b/>
                <w:bCs w:val="0"/>
              </w:rPr>
              <w:t>Component</w:t>
            </w:r>
          </w:p>
        </w:tc>
        <w:tc>
          <w:tcPr>
            <w:tcW w:w="2098" w:type="pct"/>
            <w:tcMar>
              <w:left w:w="20" w:type="dxa"/>
              <w:right w:w="20" w:type="dxa"/>
            </w:tcMar>
            <w:vAlign w:val="center"/>
          </w:tcPr>
          <w:p w14:paraId="37150A95" w14:textId="2FEACD27" w:rsidR="00E45703" w:rsidRPr="00471170" w:rsidRDefault="00E45703" w:rsidP="007D00DA">
            <w:pPr>
              <w:pStyle w:val="TableText0"/>
              <w:jc w:val="center"/>
              <w:rPr>
                <w:rFonts w:eastAsia="Times New Roman" w:cs="Arial"/>
                <w:b/>
                <w:bCs w:val="0"/>
                <w:snapToGrid w:val="0"/>
                <w:color w:val="000000" w:themeColor="text1"/>
                <w:szCs w:val="20"/>
              </w:rPr>
            </w:pPr>
            <w:r w:rsidRPr="00471170">
              <w:rPr>
                <w:b/>
                <w:bCs w:val="0"/>
              </w:rPr>
              <w:t>Matter of concern</w:t>
            </w:r>
          </w:p>
        </w:tc>
        <w:tc>
          <w:tcPr>
            <w:tcW w:w="2251" w:type="pct"/>
            <w:tcMar>
              <w:left w:w="20" w:type="dxa"/>
              <w:right w:w="20" w:type="dxa"/>
            </w:tcMar>
            <w:vAlign w:val="center"/>
          </w:tcPr>
          <w:p w14:paraId="3D43D66A" w14:textId="5DCD11FB" w:rsidR="00E45703" w:rsidRPr="00471170" w:rsidRDefault="00E45703" w:rsidP="007D00DA">
            <w:pPr>
              <w:pStyle w:val="TableText0"/>
              <w:jc w:val="center"/>
              <w:rPr>
                <w:b/>
                <w:bCs w:val="0"/>
              </w:rPr>
            </w:pPr>
            <w:r w:rsidRPr="00471170">
              <w:rPr>
                <w:b/>
                <w:bCs w:val="0"/>
              </w:rPr>
              <w:t>How the resubmission addresses it</w:t>
            </w:r>
          </w:p>
        </w:tc>
      </w:tr>
      <w:tr w:rsidR="00B43F5F" w:rsidRPr="00455320" w14:paraId="4007DC41" w14:textId="77777777" w:rsidTr="00624D32">
        <w:trPr>
          <w:cantSplit/>
        </w:trPr>
        <w:tc>
          <w:tcPr>
            <w:tcW w:w="651" w:type="pct"/>
            <w:vMerge w:val="restart"/>
            <w:tcMar>
              <w:left w:w="20" w:type="dxa"/>
              <w:right w:w="20" w:type="dxa"/>
            </w:tcMar>
            <w:vAlign w:val="center"/>
          </w:tcPr>
          <w:p w14:paraId="776607DE" w14:textId="77777777" w:rsidR="00B43F5F" w:rsidRPr="00471170" w:rsidRDefault="00B43F5F" w:rsidP="007D00DA">
            <w:pPr>
              <w:pStyle w:val="TableText0"/>
            </w:pPr>
            <w:r w:rsidRPr="00471170">
              <w:t>Restriction</w:t>
            </w:r>
          </w:p>
        </w:tc>
        <w:tc>
          <w:tcPr>
            <w:tcW w:w="2098" w:type="pct"/>
            <w:tcMar>
              <w:left w:w="20" w:type="dxa"/>
              <w:right w:w="20" w:type="dxa"/>
            </w:tcMar>
            <w:vAlign w:val="center"/>
          </w:tcPr>
          <w:p w14:paraId="2048BCD3" w14:textId="27E1F53A" w:rsidR="00B43F5F" w:rsidRPr="00471170" w:rsidRDefault="00B43F5F" w:rsidP="007D00DA">
            <w:pPr>
              <w:pStyle w:val="TableText0"/>
              <w:rPr>
                <w:rFonts w:eastAsia="Times New Roman" w:cs="Arial"/>
                <w:bCs w:val="0"/>
                <w:snapToGrid w:val="0"/>
                <w:color w:val="0066FF"/>
                <w:szCs w:val="20"/>
              </w:rPr>
            </w:pPr>
            <w:r w:rsidRPr="00471170">
              <w:rPr>
                <w:rFonts w:eastAsia="Times New Roman" w:cs="Arial"/>
                <w:bCs w:val="0"/>
                <w:snapToGrid w:val="0"/>
                <w:color w:val="000000" w:themeColor="text1"/>
                <w:szCs w:val="20"/>
              </w:rPr>
              <w:t>The requested Authority Required (Streamlined) listing was not reasonable and an Authority Required (in writing only via post or HPOS upload) would be more appropriate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5E6767D9" w14:textId="2AA438B9" w:rsidR="00B43F5F" w:rsidRPr="00471170" w:rsidRDefault="003C21C3" w:rsidP="007D00DA">
            <w:pPr>
              <w:pStyle w:val="TableText0"/>
            </w:pPr>
            <w:r w:rsidRPr="00471170">
              <w:t>Partially addressed</w:t>
            </w:r>
            <w:r w:rsidR="00874A42" w:rsidRPr="00471170">
              <w:t xml:space="preserve"> in resubmission; addressed in </w:t>
            </w:r>
            <w:r w:rsidR="00CD2462">
              <w:t>Pre-Sub-Committee Response (</w:t>
            </w:r>
            <w:r w:rsidR="00874A42" w:rsidRPr="00471170">
              <w:t>PSCR</w:t>
            </w:r>
            <w:r w:rsidR="00CD2462">
              <w:t>)</w:t>
            </w:r>
            <w:r w:rsidR="00375E93">
              <w:t>.</w:t>
            </w:r>
            <w:r w:rsidR="00B43F5F" w:rsidRPr="00471170">
              <w:br/>
              <w:t>The proposed restriction types include</w:t>
            </w:r>
            <w:r w:rsidRPr="00471170">
              <w:t>d</w:t>
            </w:r>
            <w:r w:rsidR="00B43F5F" w:rsidRPr="00471170">
              <w:t xml:space="preserve"> Authority Required (in writing only via post or HPOS upload)</w:t>
            </w:r>
            <w:r w:rsidR="00C028DC" w:rsidRPr="00471170">
              <w:t xml:space="preserve"> for initiation</w:t>
            </w:r>
            <w:r w:rsidR="00B43F5F" w:rsidRPr="00471170">
              <w:t xml:space="preserve"> and </w:t>
            </w:r>
            <w:r w:rsidR="0041245A" w:rsidRPr="00471170">
              <w:t xml:space="preserve">continuing and </w:t>
            </w:r>
            <w:r w:rsidR="00FA2CD9" w:rsidRPr="00471170">
              <w:t xml:space="preserve">Authority Required </w:t>
            </w:r>
            <w:r w:rsidR="00B43F5F" w:rsidRPr="00471170">
              <w:t>(telephone/electronic)</w:t>
            </w:r>
            <w:r w:rsidR="00C028DC" w:rsidRPr="00471170">
              <w:t xml:space="preserve"> for dose modification</w:t>
            </w:r>
            <w:r w:rsidR="00B43F5F" w:rsidRPr="00471170">
              <w:t>.</w:t>
            </w:r>
            <w:r w:rsidRPr="00471170">
              <w:t xml:space="preserve"> </w:t>
            </w:r>
            <w:r w:rsidR="00C32B10" w:rsidRPr="00471170">
              <w:t xml:space="preserve">The use of telephone/electric approvals was inconsistent with the Facilitated Resolution Pathway Workshop </w:t>
            </w:r>
            <w:r w:rsidR="00C757F7" w:rsidRPr="00471170">
              <w:t>discussion</w:t>
            </w:r>
            <w:r w:rsidR="00C32B10" w:rsidRPr="00471170">
              <w:t>.</w:t>
            </w:r>
            <w:r w:rsidR="00BB0021" w:rsidRPr="00471170">
              <w:t xml:space="preserve"> The PSCR </w:t>
            </w:r>
            <w:r w:rsidR="00793D7C" w:rsidRPr="00471170">
              <w:t>confirmed</w:t>
            </w:r>
            <w:r w:rsidR="00F379C4" w:rsidRPr="00471170">
              <w:t xml:space="preserve"> that </w:t>
            </w:r>
            <w:r w:rsidR="00204466" w:rsidRPr="00471170">
              <w:t>initial, dose modification and continuing restrictions should be Authority Required (in writing</w:t>
            </w:r>
            <w:r w:rsidR="00793D7C" w:rsidRPr="00471170">
              <w:t xml:space="preserve"> only via post of HPOS upload).</w:t>
            </w:r>
          </w:p>
        </w:tc>
      </w:tr>
      <w:tr w:rsidR="00B43F5F" w:rsidRPr="00455320" w14:paraId="3EA4CA09" w14:textId="77777777" w:rsidTr="00624D32">
        <w:trPr>
          <w:cantSplit/>
        </w:trPr>
        <w:tc>
          <w:tcPr>
            <w:tcW w:w="651" w:type="pct"/>
            <w:vMerge/>
            <w:tcBorders>
              <w:bottom w:val="nil"/>
            </w:tcBorders>
            <w:tcMar>
              <w:left w:w="20" w:type="dxa"/>
              <w:right w:w="20" w:type="dxa"/>
            </w:tcMar>
            <w:vAlign w:val="center"/>
          </w:tcPr>
          <w:p w14:paraId="08997D16" w14:textId="77777777" w:rsidR="00B43F5F" w:rsidRPr="00471170" w:rsidRDefault="00B43F5F" w:rsidP="007D00DA">
            <w:pPr>
              <w:pStyle w:val="TableText0"/>
            </w:pPr>
          </w:p>
        </w:tc>
        <w:tc>
          <w:tcPr>
            <w:tcW w:w="2098" w:type="pct"/>
            <w:tcMar>
              <w:left w:w="20" w:type="dxa"/>
              <w:right w:w="20" w:type="dxa"/>
            </w:tcMar>
            <w:vAlign w:val="center"/>
          </w:tcPr>
          <w:p w14:paraId="036075CF" w14:textId="2F05CD51" w:rsidR="00B43F5F" w:rsidRPr="00471170" w:rsidRDefault="00B43F5F" w:rsidP="007D00DA">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restriction should require prescription by a specialist experienced in the management of PFIC.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26943E3F" w14:textId="12B94546" w:rsidR="00B43F5F" w:rsidRPr="00471170" w:rsidRDefault="00AB34B0" w:rsidP="007D00DA">
            <w:pPr>
              <w:pStyle w:val="TableText0"/>
            </w:pPr>
            <w:r w:rsidRPr="00471170">
              <w:t>Partially a</w:t>
            </w:r>
            <w:r w:rsidR="00B43F5F" w:rsidRPr="00471170">
              <w:t>ddressed</w:t>
            </w:r>
            <w:r w:rsidR="00375E93">
              <w:t>.</w:t>
            </w:r>
          </w:p>
          <w:p w14:paraId="2024CBA2" w14:textId="11958B74" w:rsidR="00B43F5F" w:rsidRPr="00471170" w:rsidRDefault="00B43F5F" w:rsidP="007D00DA">
            <w:pPr>
              <w:pStyle w:val="TableText0"/>
            </w:pPr>
            <w:r w:rsidRPr="00471170">
              <w:t>Amended for initial restriction, however proposed that continuing prescribing be expanded to a specialist ‘acting under the supervision’ of a specialist experienced in the management of PFIC</w:t>
            </w:r>
            <w:r w:rsidR="00C32B10" w:rsidRPr="00471170">
              <w:t xml:space="preserve">, which was aligned with the Facilitated Resolution Pathway Workshop </w:t>
            </w:r>
            <w:r w:rsidR="00AE7563" w:rsidRPr="00471170">
              <w:t>discussion</w:t>
            </w:r>
            <w:r w:rsidR="00C32B10" w:rsidRPr="00471170">
              <w:t>.</w:t>
            </w:r>
            <w:r w:rsidR="002125BA" w:rsidRPr="00471170">
              <w:t xml:space="preserve"> </w:t>
            </w:r>
          </w:p>
        </w:tc>
      </w:tr>
      <w:tr w:rsidR="00404D38" w:rsidRPr="00455320" w14:paraId="30217FE8" w14:textId="77777777" w:rsidTr="00624D32">
        <w:trPr>
          <w:cantSplit/>
        </w:trPr>
        <w:tc>
          <w:tcPr>
            <w:tcW w:w="651" w:type="pct"/>
            <w:tcBorders>
              <w:top w:val="nil"/>
              <w:bottom w:val="nil"/>
            </w:tcBorders>
            <w:tcMar>
              <w:left w:w="20" w:type="dxa"/>
              <w:right w:w="20" w:type="dxa"/>
            </w:tcMar>
            <w:vAlign w:val="center"/>
          </w:tcPr>
          <w:p w14:paraId="52E7A059" w14:textId="77777777" w:rsidR="00404D38" w:rsidRPr="00471170" w:rsidRDefault="00404D38" w:rsidP="00D5565C">
            <w:pPr>
              <w:pStyle w:val="TableText0"/>
              <w:keepNext w:val="0"/>
            </w:pPr>
          </w:p>
        </w:tc>
        <w:tc>
          <w:tcPr>
            <w:tcW w:w="2098" w:type="pct"/>
            <w:tcMar>
              <w:left w:w="20" w:type="dxa"/>
              <w:right w:w="20" w:type="dxa"/>
            </w:tcMar>
            <w:vAlign w:val="center"/>
          </w:tcPr>
          <w:p w14:paraId="1AFF5173" w14:textId="6E1F4BDE"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initial restriction did not include genetic testing for diagnosis despite some patients with PFIC (</w:t>
            </w:r>
            <w:r w:rsidR="00A14062" w:rsidRPr="00471170">
              <w:rPr>
                <w:rFonts w:eastAsia="Times New Roman" w:cs="Arial"/>
                <w:bCs w:val="0"/>
                <w:snapToGrid w:val="0"/>
                <w:color w:val="000000" w:themeColor="text1"/>
                <w:szCs w:val="20"/>
              </w:rPr>
              <w:t>e.g.</w:t>
            </w:r>
            <w:r w:rsidRPr="00471170">
              <w:rPr>
                <w:rFonts w:eastAsia="Times New Roman" w:cs="Arial"/>
                <w:bCs w:val="0"/>
                <w:snapToGrid w:val="0"/>
                <w:color w:val="000000" w:themeColor="text1"/>
                <w:szCs w:val="20"/>
              </w:rPr>
              <w:t xml:space="preserve"> PFIC2 </w:t>
            </w:r>
            <w:r w:rsidRPr="003E58B6">
              <w:rPr>
                <w:rFonts w:eastAsia="Times New Roman" w:cs="Arial"/>
                <w:bCs w:val="0"/>
                <w:i/>
                <w:iCs/>
                <w:snapToGrid w:val="0"/>
                <w:color w:val="000000" w:themeColor="text1"/>
                <w:szCs w:val="20"/>
              </w:rPr>
              <w:t>BSEP3</w:t>
            </w:r>
            <w:r w:rsidRPr="00471170">
              <w:rPr>
                <w:rFonts w:eastAsia="Times New Roman" w:cs="Arial"/>
                <w:bCs w:val="0"/>
                <w:snapToGrid w:val="0"/>
                <w:color w:val="000000" w:themeColor="text1"/>
                <w:szCs w:val="20"/>
              </w:rPr>
              <w:t xml:space="preserve"> genotype and PFIC5) being unlikely to respond to odevixibat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4FE45775" w14:textId="77777777" w:rsidR="00404D38" w:rsidRPr="00471170" w:rsidRDefault="00404D38" w:rsidP="00E7561F">
            <w:pPr>
              <w:pStyle w:val="TableText0"/>
              <w:keepNext w:val="0"/>
            </w:pPr>
            <w:r w:rsidRPr="00471170">
              <w:t>Partially addressed.</w:t>
            </w:r>
          </w:p>
          <w:p w14:paraId="05FC0391" w14:textId="31139644" w:rsidR="00404D38" w:rsidRPr="00471170" w:rsidRDefault="00404D38" w:rsidP="00E7561F">
            <w:pPr>
              <w:pStyle w:val="TableText0"/>
              <w:keepNext w:val="0"/>
            </w:pPr>
            <w:r w:rsidRPr="00471170">
              <w:t xml:space="preserve">The resubmission </w:t>
            </w:r>
            <w:r w:rsidR="004F2F6C" w:rsidRPr="00471170">
              <w:t>does not include genetic testing</w:t>
            </w:r>
            <w:r w:rsidR="00F41C0D">
              <w:t xml:space="preserve"> and</w:t>
            </w:r>
            <w:r w:rsidR="004F2F6C" w:rsidRPr="00471170">
              <w:t xml:space="preserve"> instead </w:t>
            </w:r>
            <w:r w:rsidRPr="00471170">
              <w:t xml:space="preserve">proposed to rebate the cost of treating these patients under a RSA, in the form of annual </w:t>
            </w:r>
            <w:r w:rsidR="00D17D21" w:rsidRPr="00471170">
              <w:t>expenditure</w:t>
            </w:r>
            <w:r w:rsidRPr="00471170">
              <w:t xml:space="preserve"> caps. </w:t>
            </w:r>
          </w:p>
        </w:tc>
      </w:tr>
      <w:tr w:rsidR="00404D38" w:rsidRPr="00455320" w14:paraId="25B892A9" w14:textId="77777777" w:rsidTr="00624D32">
        <w:trPr>
          <w:cantSplit/>
        </w:trPr>
        <w:tc>
          <w:tcPr>
            <w:tcW w:w="651" w:type="pct"/>
            <w:tcBorders>
              <w:top w:val="nil"/>
              <w:bottom w:val="nil"/>
            </w:tcBorders>
            <w:tcMar>
              <w:left w:w="20" w:type="dxa"/>
              <w:right w:w="20" w:type="dxa"/>
            </w:tcMar>
            <w:vAlign w:val="center"/>
          </w:tcPr>
          <w:p w14:paraId="1034C3E5" w14:textId="77777777" w:rsidR="00404D38" w:rsidRPr="00471170" w:rsidRDefault="00404D38" w:rsidP="00D5565C">
            <w:pPr>
              <w:pStyle w:val="TableText0"/>
              <w:keepNext w:val="0"/>
            </w:pPr>
          </w:p>
        </w:tc>
        <w:tc>
          <w:tcPr>
            <w:tcW w:w="2098" w:type="pct"/>
            <w:tcMar>
              <w:left w:w="20" w:type="dxa"/>
              <w:right w:w="20" w:type="dxa"/>
            </w:tcMar>
            <w:vAlign w:val="center"/>
          </w:tcPr>
          <w:p w14:paraId="534BEF26" w14:textId="38679BB4"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initial restriction did not specify diagnostic criteria, lacking both the severity of symptomatic prurit</w:t>
            </w:r>
            <w:r w:rsidR="00CD0E3F" w:rsidRPr="00471170">
              <w:rPr>
                <w:rFonts w:eastAsia="Times New Roman" w:cs="Arial"/>
                <w:bCs w:val="0"/>
                <w:snapToGrid w:val="0"/>
                <w:color w:val="000000" w:themeColor="text1"/>
                <w:szCs w:val="20"/>
              </w:rPr>
              <w:t>u</w:t>
            </w:r>
            <w:r w:rsidRPr="00471170">
              <w:rPr>
                <w:rFonts w:eastAsia="Times New Roman" w:cs="Arial"/>
                <w:bCs w:val="0"/>
                <w:snapToGrid w:val="0"/>
                <w:color w:val="000000" w:themeColor="text1"/>
                <w:szCs w:val="20"/>
              </w:rPr>
              <w:t>s and a minimum level of serum bile acid (sBA)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23225F2C" w14:textId="68AC9D5F" w:rsidR="00404D38" w:rsidRPr="00471170" w:rsidRDefault="005C27DE" w:rsidP="00E7561F">
            <w:pPr>
              <w:pStyle w:val="TableText0"/>
              <w:keepNext w:val="0"/>
            </w:pPr>
            <w:r w:rsidRPr="00471170">
              <w:t>A</w:t>
            </w:r>
            <w:r w:rsidR="00404D38" w:rsidRPr="00471170">
              <w:t>ddressed.</w:t>
            </w:r>
          </w:p>
          <w:p w14:paraId="78A9D0B4" w14:textId="40B5DD66" w:rsidR="00404D38" w:rsidRPr="00471170" w:rsidRDefault="00404D38" w:rsidP="00E7561F">
            <w:pPr>
              <w:pStyle w:val="TableText0"/>
              <w:keepNext w:val="0"/>
            </w:pPr>
            <w:r w:rsidRPr="00471170">
              <w:t>The revised restriction restricted access to PFIC patients who had both a finding of elevated serum bile acids only (</w:t>
            </w:r>
            <w:r w:rsidR="0038400A">
              <w:t>although not quantified</w:t>
            </w:r>
            <w:r w:rsidR="00C047A1">
              <w:t xml:space="preserve"> using</w:t>
            </w:r>
            <w:r w:rsidR="008C5FFF" w:rsidRPr="00471170">
              <w:t xml:space="preserve"> </w:t>
            </w:r>
            <w:r w:rsidRPr="00471170">
              <w:t xml:space="preserve">the ≥100 µmol/L </w:t>
            </w:r>
            <w:r w:rsidR="00C047A1">
              <w:t>criteria</w:t>
            </w:r>
            <w:r w:rsidR="00C047A1" w:rsidRPr="00471170">
              <w:t xml:space="preserve"> </w:t>
            </w:r>
            <w:r w:rsidRPr="00471170">
              <w:t xml:space="preserve">required in the registrational studies) </w:t>
            </w:r>
            <w:r w:rsidR="00AB3CFC" w:rsidRPr="00471170">
              <w:t>and</w:t>
            </w:r>
            <w:r w:rsidRPr="00471170">
              <w:t xml:space="preserve"> a prurit</w:t>
            </w:r>
            <w:r w:rsidR="00CD0E3F" w:rsidRPr="00471170">
              <w:t>u</w:t>
            </w:r>
            <w:r w:rsidRPr="00471170">
              <w:t>s score of ≥2 (using the Prurit</w:t>
            </w:r>
            <w:r w:rsidR="00CD0E3F" w:rsidRPr="00471170">
              <w:t>u</w:t>
            </w:r>
            <w:r w:rsidRPr="00471170">
              <w:t>s Item of the ObsRO instrument).</w:t>
            </w:r>
            <w:r w:rsidR="00C32B10" w:rsidRPr="00471170">
              <w:t xml:space="preserve"> This was consistent with the Facilitated Resolution Pathway Workshop </w:t>
            </w:r>
            <w:r w:rsidR="00AE7563" w:rsidRPr="00471170">
              <w:t>discussion</w:t>
            </w:r>
            <w:r w:rsidR="00C32B10" w:rsidRPr="00471170">
              <w:t>.</w:t>
            </w:r>
          </w:p>
        </w:tc>
      </w:tr>
      <w:tr w:rsidR="00404D38" w:rsidRPr="00455320" w14:paraId="23E77647" w14:textId="77777777" w:rsidTr="00624D32">
        <w:trPr>
          <w:cantSplit/>
        </w:trPr>
        <w:tc>
          <w:tcPr>
            <w:tcW w:w="651" w:type="pct"/>
            <w:tcBorders>
              <w:top w:val="nil"/>
              <w:bottom w:val="nil"/>
            </w:tcBorders>
            <w:tcMar>
              <w:left w:w="20" w:type="dxa"/>
              <w:right w:w="20" w:type="dxa"/>
            </w:tcMar>
            <w:vAlign w:val="center"/>
          </w:tcPr>
          <w:p w14:paraId="34DF2E3E" w14:textId="77777777" w:rsidR="00404D38" w:rsidRPr="00471170" w:rsidRDefault="00404D38" w:rsidP="00D5565C">
            <w:pPr>
              <w:pStyle w:val="TableText0"/>
              <w:keepNext w:val="0"/>
            </w:pPr>
          </w:p>
        </w:tc>
        <w:tc>
          <w:tcPr>
            <w:tcW w:w="2098" w:type="pct"/>
            <w:tcMar>
              <w:left w:w="20" w:type="dxa"/>
              <w:right w:w="20" w:type="dxa"/>
            </w:tcMar>
            <w:vAlign w:val="center"/>
          </w:tcPr>
          <w:p w14:paraId="70FDD9FC" w14:textId="053813E1"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No criteria for dose escalation </w:t>
            </w:r>
            <w:r w:rsidR="002106A2" w:rsidRPr="00471170">
              <w:rPr>
                <w:rFonts w:eastAsia="Times New Roman" w:cs="Arial"/>
                <w:bCs w:val="0"/>
                <w:snapToGrid w:val="0"/>
                <w:color w:val="000000" w:themeColor="text1"/>
                <w:szCs w:val="20"/>
              </w:rPr>
              <w:t>were</w:t>
            </w:r>
            <w:r w:rsidRPr="00471170">
              <w:rPr>
                <w:rFonts w:eastAsia="Times New Roman" w:cs="Arial"/>
                <w:bCs w:val="0"/>
                <w:snapToGrid w:val="0"/>
                <w:color w:val="000000" w:themeColor="text1"/>
                <w:szCs w:val="20"/>
              </w:rPr>
              <w:t xml:space="preserve"> provided.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55A0941A" w14:textId="77777777" w:rsidR="00404D38" w:rsidRPr="00471170" w:rsidRDefault="00404D38" w:rsidP="00E7561F">
            <w:pPr>
              <w:pStyle w:val="TableText0"/>
              <w:keepNext w:val="0"/>
            </w:pPr>
            <w:r w:rsidRPr="00471170">
              <w:t>Addressed.</w:t>
            </w:r>
          </w:p>
          <w:p w14:paraId="0C5E9785" w14:textId="7D48116A" w:rsidR="00404D38" w:rsidRPr="00471170" w:rsidRDefault="00404D38" w:rsidP="00E7561F">
            <w:pPr>
              <w:pStyle w:val="TableText0"/>
              <w:keepNext w:val="0"/>
            </w:pPr>
            <w:r w:rsidRPr="00471170">
              <w:t xml:space="preserve">The resubmission included </w:t>
            </w:r>
            <w:r w:rsidR="00B43F5F" w:rsidRPr="00471170">
              <w:t>a new treatment criterion for dose escalation.</w:t>
            </w:r>
            <w:r w:rsidR="00076461" w:rsidRPr="00471170">
              <w:t xml:space="preserve"> However, the ESC considered that </w:t>
            </w:r>
            <w:r w:rsidR="00C77F4B" w:rsidRPr="00471170">
              <w:t>the criterion required further clarification</w:t>
            </w:r>
            <w:r w:rsidR="00531F77" w:rsidRPr="00471170">
              <w:t xml:space="preserve"> </w:t>
            </w:r>
            <w:r w:rsidR="00375E93">
              <w:t>to</w:t>
            </w:r>
            <w:r w:rsidR="00375E93" w:rsidRPr="00471170">
              <w:t xml:space="preserve"> </w:t>
            </w:r>
            <w:r w:rsidR="006D3ED3" w:rsidRPr="00471170">
              <w:t>state that (i) d</w:t>
            </w:r>
            <w:r w:rsidR="00531F77" w:rsidRPr="00471170">
              <w:t xml:space="preserve">ose escalation </w:t>
            </w:r>
            <w:r w:rsidR="006D3ED3" w:rsidRPr="00471170">
              <w:t xml:space="preserve">was allowed </w:t>
            </w:r>
            <w:r w:rsidR="00531F77" w:rsidRPr="00471170">
              <w:t xml:space="preserve">to occur between 1-3 months </w:t>
            </w:r>
            <w:r w:rsidR="005F7A6E" w:rsidRPr="00471170">
              <w:t>after initiation</w:t>
            </w:r>
            <w:r w:rsidR="006D3ED3" w:rsidRPr="00471170">
              <w:t>;</w:t>
            </w:r>
            <w:r w:rsidR="005F7A6E" w:rsidRPr="00471170">
              <w:t xml:space="preserve"> and </w:t>
            </w:r>
            <w:r w:rsidR="006D3ED3" w:rsidRPr="00471170">
              <w:t>(ii)</w:t>
            </w:r>
            <w:r w:rsidR="005F7A6E" w:rsidRPr="00471170">
              <w:t xml:space="preserve"> the continuation criteria need</w:t>
            </w:r>
            <w:r w:rsidR="006D3ED3" w:rsidRPr="00471170">
              <w:t>ed</w:t>
            </w:r>
            <w:r w:rsidR="005F7A6E" w:rsidRPr="00471170">
              <w:t xml:space="preserve"> to be met at 6 months post</w:t>
            </w:r>
            <w:r w:rsidR="006D3ED3" w:rsidRPr="00471170">
              <w:t>-</w:t>
            </w:r>
            <w:r w:rsidR="005F7A6E" w:rsidRPr="00471170">
              <w:t>initiation</w:t>
            </w:r>
            <w:r w:rsidR="00C77F4B" w:rsidRPr="00471170">
              <w:t>.</w:t>
            </w:r>
          </w:p>
        </w:tc>
      </w:tr>
      <w:tr w:rsidR="00404D38" w:rsidRPr="00455320" w14:paraId="5FFAF066" w14:textId="77777777" w:rsidTr="00624D32">
        <w:trPr>
          <w:cantSplit/>
        </w:trPr>
        <w:tc>
          <w:tcPr>
            <w:tcW w:w="651" w:type="pct"/>
            <w:tcBorders>
              <w:top w:val="nil"/>
              <w:bottom w:val="nil"/>
            </w:tcBorders>
            <w:tcMar>
              <w:left w:w="20" w:type="dxa"/>
              <w:right w:w="20" w:type="dxa"/>
            </w:tcMar>
            <w:vAlign w:val="center"/>
          </w:tcPr>
          <w:p w14:paraId="01B134AC" w14:textId="77777777" w:rsidR="00404D38" w:rsidRPr="00471170" w:rsidRDefault="00404D38" w:rsidP="00D5565C">
            <w:pPr>
              <w:pStyle w:val="TableText0"/>
              <w:keepNext w:val="0"/>
            </w:pPr>
          </w:p>
        </w:tc>
        <w:tc>
          <w:tcPr>
            <w:tcW w:w="2098" w:type="pct"/>
            <w:tcMar>
              <w:left w:w="20" w:type="dxa"/>
              <w:right w:w="20" w:type="dxa"/>
            </w:tcMar>
            <w:vAlign w:val="center"/>
          </w:tcPr>
          <w:p w14:paraId="063E6AC7" w14:textId="5DE0586C"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continuing restriction did not include a response criteria or discontinuation rule if patients, for example, progress to SBD.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239301EE" w14:textId="77777777" w:rsidR="00404D38" w:rsidRPr="00471170" w:rsidRDefault="00404D38" w:rsidP="00E7561F">
            <w:pPr>
              <w:pStyle w:val="TableText0"/>
              <w:keepNext w:val="0"/>
            </w:pPr>
            <w:r w:rsidRPr="00471170">
              <w:t>Partially addressed.</w:t>
            </w:r>
          </w:p>
          <w:p w14:paraId="59BDC351" w14:textId="502333E9" w:rsidR="00404D38" w:rsidRPr="00471170" w:rsidRDefault="00404D38" w:rsidP="00E7561F">
            <w:pPr>
              <w:pStyle w:val="TableText0"/>
              <w:keepNext w:val="0"/>
            </w:pPr>
            <w:r w:rsidRPr="00471170">
              <w:t xml:space="preserve">The continuation restriction was amended to require a once-off response criterion. However, loss of response was not considered. </w:t>
            </w:r>
          </w:p>
        </w:tc>
      </w:tr>
      <w:tr w:rsidR="00404D38" w:rsidRPr="00455320" w14:paraId="2BFBF703" w14:textId="77777777" w:rsidTr="00624D32">
        <w:trPr>
          <w:cantSplit/>
        </w:trPr>
        <w:tc>
          <w:tcPr>
            <w:tcW w:w="651" w:type="pct"/>
            <w:tcBorders>
              <w:top w:val="nil"/>
              <w:bottom w:val="nil"/>
            </w:tcBorders>
            <w:tcMar>
              <w:left w:w="20" w:type="dxa"/>
              <w:right w:w="20" w:type="dxa"/>
            </w:tcMar>
            <w:vAlign w:val="center"/>
          </w:tcPr>
          <w:p w14:paraId="38E565DA" w14:textId="77777777" w:rsidR="00404D38" w:rsidRPr="00471170" w:rsidRDefault="00404D38" w:rsidP="00D5565C">
            <w:pPr>
              <w:pStyle w:val="TableText0"/>
              <w:keepNext w:val="0"/>
            </w:pPr>
          </w:p>
        </w:tc>
        <w:tc>
          <w:tcPr>
            <w:tcW w:w="2098" w:type="pct"/>
            <w:tcMar>
              <w:left w:w="20" w:type="dxa"/>
              <w:right w:w="20" w:type="dxa"/>
            </w:tcMar>
            <w:vAlign w:val="center"/>
          </w:tcPr>
          <w:p w14:paraId="53812C25" w14:textId="08E42290"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considered it appropriate for the restriction to require initiation at age &lt; 18 years.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1D875A04" w14:textId="77777777" w:rsidR="00404D38" w:rsidRPr="00471170" w:rsidRDefault="00404D38" w:rsidP="00E7561F">
            <w:pPr>
              <w:pStyle w:val="TableText0"/>
              <w:keepNext w:val="0"/>
            </w:pPr>
            <w:r w:rsidRPr="00471170">
              <w:t>Not addressed.</w:t>
            </w:r>
          </w:p>
          <w:p w14:paraId="6C95055F" w14:textId="2A40E767" w:rsidR="00404D38" w:rsidRPr="00471170" w:rsidRDefault="003C21C3" w:rsidP="00E7561F">
            <w:pPr>
              <w:pStyle w:val="TableText0"/>
              <w:keepNext w:val="0"/>
            </w:pPr>
            <w:r w:rsidRPr="00471170">
              <w:t>The resubmission maintained that the listing should not be age restricted.</w:t>
            </w:r>
            <w:r w:rsidR="00462FD5" w:rsidRPr="00471170">
              <w:t xml:space="preserve"> The Facilitated Resolution Workshop indicated that this may be feasible </w:t>
            </w:r>
            <w:r w:rsidR="00465E76" w:rsidRPr="00471170">
              <w:t>provided that the additional patients were managed in the RSA.</w:t>
            </w:r>
          </w:p>
        </w:tc>
      </w:tr>
      <w:tr w:rsidR="00404D38" w:rsidRPr="00455320" w14:paraId="0FB140BA" w14:textId="77777777" w:rsidTr="00624D32">
        <w:trPr>
          <w:cantSplit/>
        </w:trPr>
        <w:tc>
          <w:tcPr>
            <w:tcW w:w="651" w:type="pct"/>
            <w:tcBorders>
              <w:top w:val="nil"/>
              <w:bottom w:val="nil"/>
            </w:tcBorders>
            <w:tcMar>
              <w:left w:w="20" w:type="dxa"/>
              <w:right w:w="20" w:type="dxa"/>
            </w:tcMar>
            <w:vAlign w:val="center"/>
          </w:tcPr>
          <w:p w14:paraId="7C3FFE56" w14:textId="77777777" w:rsidR="00404D38" w:rsidRPr="00471170" w:rsidRDefault="00404D38" w:rsidP="00D5565C">
            <w:pPr>
              <w:pStyle w:val="TableText0"/>
              <w:keepNext w:val="0"/>
            </w:pPr>
          </w:p>
        </w:tc>
        <w:tc>
          <w:tcPr>
            <w:tcW w:w="2098" w:type="pct"/>
            <w:tcMar>
              <w:left w:w="20" w:type="dxa"/>
              <w:right w:w="20" w:type="dxa"/>
            </w:tcMar>
            <w:vAlign w:val="center"/>
          </w:tcPr>
          <w:p w14:paraId="3E0D17B0" w14:textId="77777777"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initial restriction did not exclude patients who had previously received surgical</w:t>
            </w:r>
          </w:p>
          <w:p w14:paraId="17528AE4" w14:textId="7D28A043"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biliary diversion (SBD) or liver transplant (LT).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54A6F909" w14:textId="77777777" w:rsidR="00404D38" w:rsidRPr="00471170" w:rsidRDefault="00404D38" w:rsidP="00E7561F">
            <w:pPr>
              <w:pStyle w:val="TableText0"/>
              <w:keepNext w:val="0"/>
            </w:pPr>
            <w:r w:rsidRPr="00471170">
              <w:t>Not addressed.</w:t>
            </w:r>
          </w:p>
          <w:p w14:paraId="24ACAE8E" w14:textId="5A13ADCA" w:rsidR="00404D38" w:rsidRPr="00471170" w:rsidRDefault="00404D38" w:rsidP="00E7561F">
            <w:pPr>
              <w:pStyle w:val="TableText0"/>
              <w:keepNext w:val="0"/>
            </w:pPr>
            <w:r w:rsidRPr="00471170">
              <w:t>The resubmission’s financial estimates excluded patients with prior PEBD or LT, which was inconsistent with the proposed restriction</w:t>
            </w:r>
            <w:r w:rsidR="005C27DE" w:rsidRPr="00471170">
              <w:t xml:space="preserve">, and inconsistent with the Facilitated Resolution Pathway Workshop </w:t>
            </w:r>
            <w:r w:rsidR="005C605E" w:rsidRPr="00471170">
              <w:t>discussion</w:t>
            </w:r>
            <w:r w:rsidR="005C27DE" w:rsidRPr="00471170">
              <w:t>.</w:t>
            </w:r>
          </w:p>
        </w:tc>
      </w:tr>
      <w:tr w:rsidR="00404D38" w:rsidRPr="00455320" w14:paraId="5387FCDA" w14:textId="77777777" w:rsidTr="00624D32">
        <w:trPr>
          <w:cantSplit/>
        </w:trPr>
        <w:tc>
          <w:tcPr>
            <w:tcW w:w="651" w:type="pct"/>
            <w:tcBorders>
              <w:top w:val="nil"/>
              <w:bottom w:val="single" w:sz="4" w:space="0" w:color="auto"/>
            </w:tcBorders>
            <w:tcMar>
              <w:left w:w="20" w:type="dxa"/>
              <w:right w:w="20" w:type="dxa"/>
            </w:tcMar>
            <w:vAlign w:val="center"/>
          </w:tcPr>
          <w:p w14:paraId="1E0CC975" w14:textId="77777777" w:rsidR="00404D38" w:rsidRPr="00471170" w:rsidRDefault="00404D38" w:rsidP="00D5565C">
            <w:pPr>
              <w:pStyle w:val="TableText0"/>
              <w:keepNext w:val="0"/>
            </w:pPr>
          </w:p>
        </w:tc>
        <w:tc>
          <w:tcPr>
            <w:tcW w:w="2098" w:type="pct"/>
            <w:tcBorders>
              <w:bottom w:val="single" w:sz="4" w:space="0" w:color="auto"/>
            </w:tcBorders>
            <w:tcMar>
              <w:left w:w="20" w:type="dxa"/>
              <w:right w:w="20" w:type="dxa"/>
            </w:tcMar>
            <w:vAlign w:val="center"/>
          </w:tcPr>
          <w:p w14:paraId="74752B4A" w14:textId="34DC901F"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restriction criteria did not allow for patients to stop and restart treatment</w:t>
            </w:r>
            <w:r w:rsidRPr="00471170">
              <w:t xml:space="preserve"> </w:t>
            </w:r>
            <w:r w:rsidRPr="00471170">
              <w:rPr>
                <w:rFonts w:eastAsia="Times New Roman" w:cs="Arial"/>
                <w:bCs w:val="0"/>
                <w:snapToGrid w:val="0"/>
                <w:color w:val="000000" w:themeColor="text1"/>
                <w:szCs w:val="20"/>
              </w:rPr>
              <w:t>(</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7.4, July 2024 PSD).</w:t>
            </w:r>
          </w:p>
        </w:tc>
        <w:tc>
          <w:tcPr>
            <w:tcW w:w="2251" w:type="pct"/>
            <w:tcMar>
              <w:left w:w="20" w:type="dxa"/>
              <w:right w:w="20" w:type="dxa"/>
            </w:tcMar>
            <w:vAlign w:val="center"/>
          </w:tcPr>
          <w:p w14:paraId="4E0AA0F4" w14:textId="77777777" w:rsidR="00404D38" w:rsidRPr="00471170" w:rsidRDefault="00404D38" w:rsidP="00E7561F">
            <w:pPr>
              <w:pStyle w:val="TableText0"/>
              <w:keepNext w:val="0"/>
            </w:pPr>
            <w:r w:rsidRPr="00471170">
              <w:t>Addressed.</w:t>
            </w:r>
          </w:p>
          <w:p w14:paraId="08CDA036" w14:textId="586D24CE" w:rsidR="00404D38" w:rsidRPr="00471170" w:rsidRDefault="00404D38" w:rsidP="00E7561F">
            <w:pPr>
              <w:pStyle w:val="TableText0"/>
              <w:keepNext w:val="0"/>
            </w:pPr>
            <w:r w:rsidRPr="00471170">
              <w:t xml:space="preserve">The resubmission proposed enabling re-starting odevixibat treatment based on clinicians’ discretion </w:t>
            </w:r>
            <w:r w:rsidR="00375E93">
              <w:t>and consistent with</w:t>
            </w:r>
            <w:r w:rsidR="00375E93" w:rsidRPr="00471170">
              <w:t xml:space="preserve"> </w:t>
            </w:r>
            <w:r w:rsidRPr="00471170">
              <w:t>the treatment initiation criteria.</w:t>
            </w:r>
          </w:p>
        </w:tc>
      </w:tr>
      <w:tr w:rsidR="00C809E5" w:rsidRPr="00455320" w14:paraId="10CAB165" w14:textId="77777777" w:rsidTr="00624D32">
        <w:trPr>
          <w:cantSplit/>
        </w:trPr>
        <w:tc>
          <w:tcPr>
            <w:tcW w:w="651" w:type="pct"/>
            <w:tcBorders>
              <w:top w:val="single" w:sz="4" w:space="0" w:color="auto"/>
              <w:bottom w:val="nil"/>
            </w:tcBorders>
            <w:tcMar>
              <w:left w:w="20" w:type="dxa"/>
              <w:right w:w="20" w:type="dxa"/>
            </w:tcMar>
            <w:vAlign w:val="center"/>
          </w:tcPr>
          <w:p w14:paraId="7783AA12" w14:textId="7EBAB5CD" w:rsidR="00C809E5" w:rsidRPr="00471170" w:rsidRDefault="00C809E5" w:rsidP="00D5565C">
            <w:pPr>
              <w:pStyle w:val="TableText0"/>
              <w:keepNext w:val="0"/>
            </w:pPr>
            <w:r w:rsidRPr="00471170">
              <w:t>Comparator</w:t>
            </w:r>
          </w:p>
        </w:tc>
        <w:tc>
          <w:tcPr>
            <w:tcW w:w="2098" w:type="pct"/>
            <w:tcBorders>
              <w:top w:val="single" w:sz="4" w:space="0" w:color="auto"/>
            </w:tcBorders>
            <w:tcMar>
              <w:left w:w="20" w:type="dxa"/>
              <w:right w:w="20" w:type="dxa"/>
            </w:tcMar>
            <w:vAlign w:val="center"/>
          </w:tcPr>
          <w:p w14:paraId="11205F17" w14:textId="1BB16D61" w:rsidR="00C809E5" w:rsidRPr="00471170" w:rsidRDefault="00C809E5"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The submission appeared to position odevixibat largely as an alternative to </w:t>
            </w:r>
            <w:r w:rsidR="00074678" w:rsidRPr="00471170">
              <w:rPr>
                <w:rFonts w:eastAsia="Times New Roman" w:cs="Arial"/>
                <w:bCs w:val="0"/>
                <w:snapToGrid w:val="0"/>
                <w:color w:val="000000" w:themeColor="text1"/>
                <w:szCs w:val="20"/>
              </w:rPr>
              <w:t>SBD</w:t>
            </w:r>
            <w:r w:rsidRPr="00471170">
              <w:rPr>
                <w:rFonts w:eastAsia="Times New Roman" w:cs="Arial"/>
                <w:bCs w:val="0"/>
                <w:snapToGrid w:val="0"/>
                <w:color w:val="000000" w:themeColor="text1"/>
                <w:szCs w:val="20"/>
              </w:rPr>
              <w:t xml:space="preserve"> in the proposed clinical management</w:t>
            </w:r>
            <w:r w:rsidR="00183EE9" w:rsidRPr="00471170">
              <w:rPr>
                <w:rFonts w:eastAsia="Times New Roman" w:cs="Arial"/>
                <w:bCs w:val="0"/>
                <w:snapToGrid w:val="0"/>
                <w:color w:val="000000" w:themeColor="text1"/>
                <w:szCs w:val="20"/>
              </w:rPr>
              <w:t xml:space="preserve"> </w:t>
            </w:r>
            <w:r w:rsidRPr="00471170">
              <w:rPr>
                <w:rFonts w:eastAsia="Times New Roman" w:cs="Arial"/>
                <w:bCs w:val="0"/>
                <w:snapToGrid w:val="0"/>
                <w:color w:val="000000" w:themeColor="text1"/>
                <w:szCs w:val="20"/>
              </w:rPr>
              <w:t>algorithm and economic model.</w:t>
            </w:r>
            <w:r w:rsidR="00074678" w:rsidRPr="00471170">
              <w:rPr>
                <w:rFonts w:eastAsia="Times New Roman" w:cs="Arial"/>
                <w:bCs w:val="0"/>
                <w:snapToGrid w:val="0"/>
                <w:color w:val="000000" w:themeColor="text1"/>
                <w:szCs w:val="20"/>
              </w:rPr>
              <w:t xml:space="preserve"> (</w:t>
            </w:r>
            <w:r w:rsidR="00301E64">
              <w:rPr>
                <w:rFonts w:eastAsia="Times New Roman" w:cs="Arial"/>
                <w:bCs w:val="0"/>
                <w:snapToGrid w:val="0"/>
                <w:color w:val="000000" w:themeColor="text1"/>
                <w:szCs w:val="20"/>
              </w:rPr>
              <w:t>paragraph</w:t>
            </w:r>
            <w:r w:rsidR="00074678" w:rsidRPr="00471170">
              <w:rPr>
                <w:rFonts w:eastAsia="Times New Roman" w:cs="Arial"/>
                <w:bCs w:val="0"/>
                <w:snapToGrid w:val="0"/>
                <w:color w:val="000000" w:themeColor="text1"/>
                <w:szCs w:val="20"/>
              </w:rPr>
              <w:t xml:space="preserve"> 7.5, July 2024 PSD).</w:t>
            </w:r>
          </w:p>
        </w:tc>
        <w:tc>
          <w:tcPr>
            <w:tcW w:w="2251" w:type="pct"/>
            <w:tcMar>
              <w:left w:w="20" w:type="dxa"/>
              <w:right w:w="20" w:type="dxa"/>
            </w:tcMar>
            <w:vAlign w:val="center"/>
          </w:tcPr>
          <w:p w14:paraId="22F9A51C" w14:textId="30C181A4" w:rsidR="00C809E5" w:rsidRPr="00471170" w:rsidRDefault="00074678" w:rsidP="00E7561F">
            <w:pPr>
              <w:pStyle w:val="TableText0"/>
              <w:keepNext w:val="0"/>
            </w:pPr>
            <w:r w:rsidRPr="00471170">
              <w:t>Partially addressed.</w:t>
            </w:r>
          </w:p>
          <w:p w14:paraId="21ECB439" w14:textId="174CEA37" w:rsidR="00074678" w:rsidRPr="00471170" w:rsidRDefault="00074678" w:rsidP="00E7561F">
            <w:pPr>
              <w:pStyle w:val="TableText0"/>
              <w:keepNext w:val="0"/>
            </w:pPr>
            <w:r w:rsidRPr="00471170">
              <w:t>The resubmission continued to present odevixibat largely as an alternative to SBD in the clinical algorithm</w:t>
            </w:r>
            <w:r w:rsidR="00183EE9" w:rsidRPr="00471170">
              <w:t>. The economic model was revised to allow odevixibat patients to receive SBD, however the financial model excluded patients with prior SBD.</w:t>
            </w:r>
          </w:p>
        </w:tc>
      </w:tr>
      <w:tr w:rsidR="00074678" w:rsidRPr="00455320" w14:paraId="1C59CFB2" w14:textId="77777777" w:rsidTr="00624D32">
        <w:trPr>
          <w:cantSplit/>
        </w:trPr>
        <w:tc>
          <w:tcPr>
            <w:tcW w:w="651" w:type="pct"/>
            <w:tcBorders>
              <w:top w:val="nil"/>
              <w:bottom w:val="single" w:sz="4" w:space="0" w:color="auto"/>
            </w:tcBorders>
            <w:tcMar>
              <w:left w:w="20" w:type="dxa"/>
              <w:right w:w="20" w:type="dxa"/>
            </w:tcMar>
            <w:vAlign w:val="center"/>
          </w:tcPr>
          <w:p w14:paraId="75B26691" w14:textId="77777777" w:rsidR="00074678" w:rsidRPr="00471170" w:rsidRDefault="00074678" w:rsidP="00D5565C">
            <w:pPr>
              <w:pStyle w:val="TableText0"/>
              <w:keepNext w:val="0"/>
            </w:pPr>
          </w:p>
        </w:tc>
        <w:tc>
          <w:tcPr>
            <w:tcW w:w="2098" w:type="pct"/>
            <w:tcBorders>
              <w:top w:val="single" w:sz="4" w:space="0" w:color="auto"/>
            </w:tcBorders>
            <w:tcMar>
              <w:left w:w="20" w:type="dxa"/>
              <w:right w:w="20" w:type="dxa"/>
            </w:tcMar>
            <w:vAlign w:val="center"/>
          </w:tcPr>
          <w:p w14:paraId="5815BE50" w14:textId="68D4B428" w:rsidR="00074678" w:rsidRPr="00471170" w:rsidRDefault="00074678"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noted that placebo</w:t>
            </w:r>
            <w:r w:rsidR="00BB15A4" w:rsidRPr="00471170">
              <w:rPr>
                <w:rFonts w:eastAsia="Times New Roman" w:cs="Arial"/>
                <w:bCs w:val="0"/>
                <w:snapToGrid w:val="0"/>
                <w:color w:val="000000" w:themeColor="text1"/>
                <w:szCs w:val="20"/>
              </w:rPr>
              <w:t>, which made up the control arm of PEDFIC 1 does</w:t>
            </w:r>
            <w:r w:rsidRPr="00471170">
              <w:rPr>
                <w:rFonts w:eastAsia="Times New Roman" w:cs="Arial"/>
                <w:bCs w:val="0"/>
                <w:snapToGrid w:val="0"/>
                <w:color w:val="000000" w:themeColor="text1"/>
                <w:szCs w:val="20"/>
              </w:rPr>
              <w:t xml:space="preserve"> not represent the nominated comparator of SOC</w:t>
            </w:r>
            <w:r w:rsidR="00BB15A4" w:rsidRPr="00471170">
              <w:rPr>
                <w:rFonts w:eastAsia="Times New Roman" w:cs="Arial"/>
                <w:bCs w:val="0"/>
                <w:snapToGrid w:val="0"/>
                <w:color w:val="000000" w:themeColor="text1"/>
                <w:szCs w:val="20"/>
              </w:rPr>
              <w:t xml:space="preserve"> </w:t>
            </w:r>
            <w:r w:rsidR="00BB15A4" w:rsidRPr="00471170">
              <w:rPr>
                <w:rFonts w:eastAsia="Times New Roman" w:cs="Arial"/>
                <w:bCs w:val="0"/>
                <w:snapToGrid w:val="0"/>
                <w:color w:val="000000" w:themeColor="text1"/>
                <w:szCs w:val="20"/>
                <w:vertAlign w:val="superscript"/>
              </w:rPr>
              <w:t xml:space="preserve">a </w:t>
            </w:r>
            <w:r w:rsidR="00BB15A4" w:rsidRPr="00471170">
              <w:rPr>
                <w:rFonts w:eastAsia="Times New Roman" w:cs="Arial"/>
                <w:bCs w:val="0"/>
                <w:snapToGrid w:val="0"/>
                <w:color w:val="000000" w:themeColor="text1"/>
                <w:szCs w:val="20"/>
              </w:rPr>
              <w:t>(</w:t>
            </w:r>
            <w:r w:rsidR="00301E64">
              <w:rPr>
                <w:rFonts w:eastAsia="Times New Roman" w:cs="Arial"/>
                <w:bCs w:val="0"/>
                <w:snapToGrid w:val="0"/>
                <w:color w:val="000000" w:themeColor="text1"/>
                <w:szCs w:val="20"/>
              </w:rPr>
              <w:t>paragraph</w:t>
            </w:r>
            <w:r w:rsidR="00BB15A4" w:rsidRPr="00471170">
              <w:rPr>
                <w:rFonts w:eastAsia="Times New Roman" w:cs="Arial"/>
                <w:bCs w:val="0"/>
                <w:snapToGrid w:val="0"/>
                <w:color w:val="000000" w:themeColor="text1"/>
                <w:szCs w:val="20"/>
              </w:rPr>
              <w:t xml:space="preserve"> 7.7, July 2024 PSD).</w:t>
            </w:r>
          </w:p>
        </w:tc>
        <w:tc>
          <w:tcPr>
            <w:tcW w:w="2251" w:type="pct"/>
            <w:tcMar>
              <w:left w:w="20" w:type="dxa"/>
              <w:right w:w="20" w:type="dxa"/>
            </w:tcMar>
            <w:vAlign w:val="center"/>
          </w:tcPr>
          <w:p w14:paraId="61E2B26D" w14:textId="5C0DA95D" w:rsidR="00074678" w:rsidRPr="00471170" w:rsidRDefault="003721BF" w:rsidP="00E7561F">
            <w:pPr>
              <w:pStyle w:val="TableText0"/>
              <w:keepNext w:val="0"/>
            </w:pPr>
            <w:r w:rsidRPr="00471170">
              <w:t>Not addressed.</w:t>
            </w:r>
          </w:p>
          <w:p w14:paraId="5532E3CB" w14:textId="4337531E" w:rsidR="003721BF" w:rsidRPr="00471170" w:rsidRDefault="003721BF" w:rsidP="00E7561F">
            <w:pPr>
              <w:pStyle w:val="TableText0"/>
              <w:keepNext w:val="0"/>
            </w:pPr>
            <w:r w:rsidRPr="00471170">
              <w:t xml:space="preserve">The resubmission did not present any </w:t>
            </w:r>
            <w:r w:rsidR="009B1D0C" w:rsidRPr="00471170">
              <w:t>further comparison of odevixibat versus SOC beyond OvEC part B in the July 2024 submission.</w:t>
            </w:r>
          </w:p>
        </w:tc>
      </w:tr>
      <w:tr w:rsidR="009B1D0C" w:rsidRPr="00455320" w14:paraId="13BD4450" w14:textId="77777777" w:rsidTr="00624D32">
        <w:trPr>
          <w:cantSplit/>
        </w:trPr>
        <w:tc>
          <w:tcPr>
            <w:tcW w:w="651" w:type="pct"/>
            <w:tcBorders>
              <w:top w:val="single" w:sz="4" w:space="0" w:color="auto"/>
              <w:bottom w:val="nil"/>
            </w:tcBorders>
            <w:tcMar>
              <w:left w:w="20" w:type="dxa"/>
              <w:right w:w="20" w:type="dxa"/>
            </w:tcMar>
            <w:vAlign w:val="center"/>
          </w:tcPr>
          <w:p w14:paraId="3BCC0E63" w14:textId="674E5330" w:rsidR="009B1D0C" w:rsidRPr="00471170" w:rsidRDefault="009B1D0C" w:rsidP="00D5565C">
            <w:pPr>
              <w:pStyle w:val="TableText0"/>
              <w:keepNext w:val="0"/>
            </w:pPr>
            <w:r w:rsidRPr="00471170">
              <w:t>Clinical evidence</w:t>
            </w:r>
          </w:p>
        </w:tc>
        <w:tc>
          <w:tcPr>
            <w:tcW w:w="2098" w:type="pct"/>
            <w:tcBorders>
              <w:top w:val="single" w:sz="4" w:space="0" w:color="auto"/>
            </w:tcBorders>
            <w:tcMar>
              <w:left w:w="20" w:type="dxa"/>
              <w:right w:w="20" w:type="dxa"/>
            </w:tcMar>
            <w:vAlign w:val="center"/>
          </w:tcPr>
          <w:p w14:paraId="1E50AF67" w14:textId="18E0D9B8" w:rsidR="009B1D0C" w:rsidRPr="00471170" w:rsidRDefault="00274170"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ObsRO instrument was uncertain given the unclear clinical significance of the definition of a positive pruritus assessment and it not being independently validated in a study distinct from PEDFIC 1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7.8, July 2024 PSD).</w:t>
            </w:r>
          </w:p>
        </w:tc>
        <w:tc>
          <w:tcPr>
            <w:tcW w:w="2251" w:type="pct"/>
            <w:tcMar>
              <w:left w:w="20" w:type="dxa"/>
              <w:right w:w="20" w:type="dxa"/>
            </w:tcMar>
            <w:vAlign w:val="center"/>
          </w:tcPr>
          <w:p w14:paraId="04FC537B" w14:textId="77777777" w:rsidR="009B1D0C" w:rsidRPr="00471170" w:rsidRDefault="00274170" w:rsidP="00E7561F">
            <w:pPr>
              <w:pStyle w:val="TableText0"/>
              <w:keepNext w:val="0"/>
            </w:pPr>
            <w:r w:rsidRPr="00471170">
              <w:t>Not addressed.</w:t>
            </w:r>
          </w:p>
          <w:p w14:paraId="1865C82E" w14:textId="0FA2AD16" w:rsidR="00274170" w:rsidRPr="00471170" w:rsidRDefault="00274170" w:rsidP="00E7561F">
            <w:pPr>
              <w:pStyle w:val="TableText0"/>
              <w:keepNext w:val="0"/>
            </w:pPr>
            <w:r w:rsidRPr="00471170">
              <w:t>No further details of the development and validation of the ObsRO instrument were provided in the resubmission.</w:t>
            </w:r>
          </w:p>
        </w:tc>
      </w:tr>
      <w:tr w:rsidR="00274170" w:rsidRPr="00455320" w14:paraId="128AEE3B" w14:textId="77777777" w:rsidTr="00624D32">
        <w:trPr>
          <w:cantSplit/>
        </w:trPr>
        <w:tc>
          <w:tcPr>
            <w:tcW w:w="651" w:type="pct"/>
            <w:tcBorders>
              <w:top w:val="nil"/>
              <w:bottom w:val="nil"/>
            </w:tcBorders>
            <w:tcMar>
              <w:left w:w="20" w:type="dxa"/>
              <w:right w:w="20" w:type="dxa"/>
            </w:tcMar>
            <w:vAlign w:val="center"/>
          </w:tcPr>
          <w:p w14:paraId="5F455DFA" w14:textId="77777777" w:rsidR="00274170" w:rsidRPr="00471170" w:rsidRDefault="00274170" w:rsidP="00D5565C">
            <w:pPr>
              <w:pStyle w:val="TableText0"/>
              <w:keepNext w:val="0"/>
            </w:pPr>
          </w:p>
        </w:tc>
        <w:tc>
          <w:tcPr>
            <w:tcW w:w="2098" w:type="pct"/>
            <w:tcBorders>
              <w:top w:val="single" w:sz="4" w:space="0" w:color="auto"/>
            </w:tcBorders>
            <w:tcMar>
              <w:left w:w="20" w:type="dxa"/>
              <w:right w:w="20" w:type="dxa"/>
            </w:tcMar>
            <w:vAlign w:val="center"/>
          </w:tcPr>
          <w:p w14:paraId="033322CE" w14:textId="48B9D399" w:rsidR="00274170" w:rsidRPr="00471170" w:rsidRDefault="00274170" w:rsidP="00B87B36">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submission provided no comparative evidence for patients with PFIC3 or PFIC6</w:t>
            </w:r>
            <w:r w:rsidR="004F7FCB">
              <w:rPr>
                <w:rFonts w:eastAsia="Times New Roman" w:cs="Arial"/>
                <w:bCs w:val="0"/>
                <w:snapToGrid w:val="0"/>
                <w:color w:val="000000" w:themeColor="text1"/>
                <w:szCs w:val="20"/>
              </w:rPr>
              <w:t xml:space="preserve"> </w:t>
            </w:r>
            <w:r w:rsidRPr="00471170">
              <w:rPr>
                <w:rFonts w:eastAsia="Times New Roman" w:cs="Arial"/>
                <w:bCs w:val="0"/>
                <w:snapToGrid w:val="0"/>
                <w:color w:val="000000" w:themeColor="text1"/>
                <w:szCs w:val="20"/>
              </w:rPr>
              <w:t>and no evidence for patients with PFIC4 and PFIC5 subtypes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7.6, July 2024 PSD).</w:t>
            </w:r>
          </w:p>
        </w:tc>
        <w:tc>
          <w:tcPr>
            <w:tcW w:w="2251" w:type="pct"/>
            <w:tcMar>
              <w:left w:w="20" w:type="dxa"/>
              <w:right w:w="20" w:type="dxa"/>
            </w:tcMar>
            <w:vAlign w:val="center"/>
          </w:tcPr>
          <w:p w14:paraId="7EE31BDC" w14:textId="77777777" w:rsidR="00274170" w:rsidRPr="00471170" w:rsidRDefault="00274170" w:rsidP="00B87B36">
            <w:pPr>
              <w:pStyle w:val="TableText0"/>
              <w:keepNext w:val="0"/>
            </w:pPr>
            <w:r w:rsidRPr="00471170">
              <w:t>Not addressed.</w:t>
            </w:r>
          </w:p>
          <w:p w14:paraId="5BCAEA4A" w14:textId="015FB9E8" w:rsidR="00274170" w:rsidRPr="00471170" w:rsidRDefault="00274170" w:rsidP="00B87B36">
            <w:pPr>
              <w:pStyle w:val="TableText0"/>
              <w:keepNext w:val="0"/>
            </w:pPr>
            <w:r w:rsidRPr="00471170">
              <w:t xml:space="preserve">No </w:t>
            </w:r>
            <w:r w:rsidR="007A28A3" w:rsidRPr="00471170">
              <w:t xml:space="preserve">comparative evidence was provided in the resubmission for these subtypes. In addition, an additional </w:t>
            </w:r>
            <w:r w:rsidR="003B3B75">
              <w:t>subgroup</w:t>
            </w:r>
            <w:r w:rsidR="003B3B75" w:rsidRPr="00471170">
              <w:t xml:space="preserve"> </w:t>
            </w:r>
            <w:r w:rsidR="007A28A3" w:rsidRPr="00471170">
              <w:t>described as ‘episodic PFIC’ was introduced in the resubmission.</w:t>
            </w:r>
            <w:r w:rsidR="00DC4C1E" w:rsidRPr="00471170">
              <w:t xml:space="preserve"> There was no clinical evidence provided for this </w:t>
            </w:r>
            <w:r w:rsidR="003B3B75">
              <w:t xml:space="preserve">incremental </w:t>
            </w:r>
            <w:r w:rsidR="00DC4C1E" w:rsidRPr="00471170">
              <w:t>population.</w:t>
            </w:r>
          </w:p>
        </w:tc>
      </w:tr>
      <w:tr w:rsidR="00052119" w:rsidRPr="00455320" w14:paraId="340C48A5" w14:textId="77777777" w:rsidTr="00624D32">
        <w:trPr>
          <w:cantSplit/>
        </w:trPr>
        <w:tc>
          <w:tcPr>
            <w:tcW w:w="651" w:type="pct"/>
            <w:tcBorders>
              <w:top w:val="nil"/>
              <w:bottom w:val="nil"/>
            </w:tcBorders>
            <w:tcMar>
              <w:left w:w="20" w:type="dxa"/>
              <w:right w:w="20" w:type="dxa"/>
            </w:tcMar>
            <w:vAlign w:val="center"/>
          </w:tcPr>
          <w:p w14:paraId="226FFC9A" w14:textId="77777777" w:rsidR="00052119" w:rsidRPr="00471170" w:rsidRDefault="00052119" w:rsidP="00D5565C">
            <w:pPr>
              <w:pStyle w:val="TableText0"/>
              <w:keepNext w:val="0"/>
            </w:pPr>
          </w:p>
        </w:tc>
        <w:tc>
          <w:tcPr>
            <w:tcW w:w="2098" w:type="pct"/>
            <w:tcBorders>
              <w:top w:val="single" w:sz="4" w:space="0" w:color="auto"/>
            </w:tcBorders>
            <w:tcMar>
              <w:left w:w="20" w:type="dxa"/>
              <w:right w:w="20" w:type="dxa"/>
            </w:tcMar>
            <w:vAlign w:val="center"/>
          </w:tcPr>
          <w:p w14:paraId="3D3A5BAA" w14:textId="7E035E64" w:rsidR="00052119" w:rsidRPr="00471170" w:rsidRDefault="00052119" w:rsidP="00B87B36">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noted there were substantial transitivity issues with OvEC Part A and</w:t>
            </w:r>
            <w:r w:rsidR="004F7FCB">
              <w:rPr>
                <w:rFonts w:eastAsia="Times New Roman" w:cs="Arial"/>
                <w:bCs w:val="0"/>
                <w:snapToGrid w:val="0"/>
                <w:color w:val="000000" w:themeColor="text1"/>
                <w:szCs w:val="20"/>
              </w:rPr>
              <w:t xml:space="preserve"> </w:t>
            </w:r>
            <w:r w:rsidRPr="00471170">
              <w:rPr>
                <w:rFonts w:eastAsia="Times New Roman" w:cs="Arial"/>
                <w:bCs w:val="0"/>
                <w:snapToGrid w:val="0"/>
                <w:color w:val="000000" w:themeColor="text1"/>
                <w:szCs w:val="20"/>
              </w:rPr>
              <w:t>limited details were provided for OvEC Part B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7.11, July 2024 PSD).</w:t>
            </w:r>
          </w:p>
        </w:tc>
        <w:tc>
          <w:tcPr>
            <w:tcW w:w="2251" w:type="pct"/>
            <w:tcMar>
              <w:left w:w="20" w:type="dxa"/>
              <w:right w:w="20" w:type="dxa"/>
            </w:tcMar>
            <w:vAlign w:val="center"/>
          </w:tcPr>
          <w:p w14:paraId="778F7BEB" w14:textId="77777777" w:rsidR="00052119" w:rsidRPr="00471170" w:rsidRDefault="00052119" w:rsidP="00B87B36">
            <w:pPr>
              <w:pStyle w:val="TableText0"/>
              <w:keepNext w:val="0"/>
            </w:pPr>
            <w:r w:rsidRPr="00471170">
              <w:t>Not addressed.</w:t>
            </w:r>
          </w:p>
          <w:p w14:paraId="02DB59AF" w14:textId="4DA6D4CA" w:rsidR="00052119" w:rsidRPr="00471170" w:rsidRDefault="00052119" w:rsidP="00B87B36">
            <w:pPr>
              <w:pStyle w:val="TableText0"/>
              <w:keepNext w:val="0"/>
            </w:pPr>
            <w:r w:rsidRPr="00471170">
              <w:t>No additional detail</w:t>
            </w:r>
            <w:r w:rsidR="000D0E37" w:rsidRPr="00471170">
              <w:t>s</w:t>
            </w:r>
            <w:r w:rsidRPr="00471170">
              <w:t xml:space="preserve"> </w:t>
            </w:r>
            <w:r w:rsidR="000D0E37" w:rsidRPr="00471170">
              <w:t>were</w:t>
            </w:r>
            <w:r w:rsidRPr="00471170">
              <w:t xml:space="preserve"> provide</w:t>
            </w:r>
            <w:r w:rsidR="000D0E37" w:rsidRPr="00471170">
              <w:t>d</w:t>
            </w:r>
            <w:r w:rsidRPr="00471170">
              <w:t xml:space="preserve"> in the resubmission</w:t>
            </w:r>
            <w:r w:rsidR="000D0E37" w:rsidRPr="00471170">
              <w:t>.</w:t>
            </w:r>
          </w:p>
        </w:tc>
      </w:tr>
      <w:tr w:rsidR="00C91C2E" w:rsidRPr="00455320" w14:paraId="1C51DA84" w14:textId="77777777" w:rsidTr="00624D32">
        <w:trPr>
          <w:cantSplit/>
        </w:trPr>
        <w:tc>
          <w:tcPr>
            <w:tcW w:w="651" w:type="pct"/>
            <w:tcBorders>
              <w:top w:val="nil"/>
              <w:bottom w:val="single" w:sz="4" w:space="0" w:color="auto"/>
            </w:tcBorders>
            <w:tcMar>
              <w:left w:w="20" w:type="dxa"/>
              <w:right w:w="20" w:type="dxa"/>
            </w:tcMar>
            <w:vAlign w:val="center"/>
          </w:tcPr>
          <w:p w14:paraId="5C8D1B8E" w14:textId="77777777" w:rsidR="00C91C2E" w:rsidRPr="00471170" w:rsidRDefault="00C91C2E" w:rsidP="00D5565C">
            <w:pPr>
              <w:pStyle w:val="TableText0"/>
              <w:keepNext w:val="0"/>
            </w:pPr>
          </w:p>
        </w:tc>
        <w:tc>
          <w:tcPr>
            <w:tcW w:w="2098" w:type="pct"/>
            <w:tcBorders>
              <w:top w:val="single" w:sz="4" w:space="0" w:color="auto"/>
            </w:tcBorders>
            <w:tcMar>
              <w:left w:w="20" w:type="dxa"/>
              <w:right w:w="20" w:type="dxa"/>
            </w:tcMar>
            <w:vAlign w:val="center"/>
          </w:tcPr>
          <w:p w14:paraId="2C6705A2" w14:textId="5DF717B2" w:rsidR="00C91C2E" w:rsidRPr="00471170" w:rsidRDefault="00C91C2E" w:rsidP="00B87B36">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noted that a higher price was proposed for the 120</w:t>
            </w:r>
            <w:r w:rsidR="0017081E">
              <w:rPr>
                <w:rFonts w:eastAsia="Times New Roman" w:cs="Arial"/>
                <w:bCs w:val="0"/>
                <w:snapToGrid w:val="0"/>
                <w:color w:val="000000" w:themeColor="text1"/>
                <w:szCs w:val="20"/>
              </w:rPr>
              <w:t> mcg</w:t>
            </w:r>
            <w:r w:rsidRPr="00471170">
              <w:rPr>
                <w:rFonts w:eastAsia="Times New Roman" w:cs="Arial"/>
                <w:bCs w:val="0"/>
                <w:snapToGrid w:val="0"/>
                <w:color w:val="000000" w:themeColor="text1"/>
                <w:szCs w:val="20"/>
              </w:rPr>
              <w:t>/kg/day dose, despite</w:t>
            </w:r>
            <w:r w:rsidR="004F7FCB">
              <w:rPr>
                <w:rFonts w:eastAsia="Times New Roman" w:cs="Arial"/>
                <w:bCs w:val="0"/>
                <w:snapToGrid w:val="0"/>
                <w:color w:val="000000" w:themeColor="text1"/>
                <w:szCs w:val="20"/>
              </w:rPr>
              <w:t xml:space="preserve"> </w:t>
            </w:r>
            <w:r w:rsidRPr="00471170">
              <w:rPr>
                <w:rFonts w:eastAsia="Times New Roman" w:cs="Arial"/>
                <w:bCs w:val="0"/>
                <w:snapToGrid w:val="0"/>
                <w:color w:val="000000" w:themeColor="text1"/>
                <w:szCs w:val="20"/>
              </w:rPr>
              <w:t>significant uncertainty regarding the benefit of dose escalation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7.20, July 2024 PSD).</w:t>
            </w:r>
          </w:p>
        </w:tc>
        <w:tc>
          <w:tcPr>
            <w:tcW w:w="2251" w:type="pct"/>
            <w:tcMar>
              <w:left w:w="20" w:type="dxa"/>
              <w:right w:w="20" w:type="dxa"/>
            </w:tcMar>
            <w:vAlign w:val="center"/>
          </w:tcPr>
          <w:p w14:paraId="1404D668" w14:textId="77777777" w:rsidR="00C91C2E" w:rsidRPr="00471170" w:rsidRDefault="00C91C2E" w:rsidP="00B87B36">
            <w:pPr>
              <w:pStyle w:val="TableText0"/>
              <w:keepNext w:val="0"/>
            </w:pPr>
            <w:r w:rsidRPr="00471170">
              <w:t>Partially addressed</w:t>
            </w:r>
          </w:p>
          <w:p w14:paraId="074FD2AD" w14:textId="21BCCAB7" w:rsidR="00C91C2E" w:rsidRPr="00471170" w:rsidRDefault="00B51856" w:rsidP="00B87B36">
            <w:pPr>
              <w:pStyle w:val="TableText0"/>
              <w:keepNext w:val="0"/>
            </w:pPr>
            <w:r w:rsidRPr="00471170">
              <w:t xml:space="preserve">No further evidence for dose escalation was presented in the resubmission. </w:t>
            </w:r>
            <w:r w:rsidR="00C91C2E" w:rsidRPr="00471170">
              <w:t xml:space="preserve">The resubmission proposed that annual expenditure caps would address the uncertainty of dose escalation. This was inconsistent with the Facilitated Resolution Pathway Workshop </w:t>
            </w:r>
            <w:r w:rsidR="005C605E" w:rsidRPr="00471170">
              <w:t>discussion</w:t>
            </w:r>
            <w:r w:rsidR="003B3B75">
              <w:t>,</w:t>
            </w:r>
            <w:r w:rsidR="005C605E" w:rsidRPr="00471170">
              <w:t xml:space="preserve"> </w:t>
            </w:r>
            <w:r w:rsidR="00C91C2E" w:rsidRPr="00471170">
              <w:t xml:space="preserve">which noted that </w:t>
            </w:r>
            <w:r w:rsidR="002A2E27" w:rsidRPr="00471170">
              <w:t xml:space="preserve">a </w:t>
            </w:r>
            <w:r w:rsidR="00C91C2E" w:rsidRPr="00471170">
              <w:t>fixed treatment cost</w:t>
            </w:r>
            <w:r w:rsidR="002A2E27" w:rsidRPr="00471170">
              <w:t>, via flat pricing between the 40</w:t>
            </w:r>
            <w:r w:rsidR="0017081E">
              <w:t> mcg</w:t>
            </w:r>
            <w:r w:rsidR="002A2E27" w:rsidRPr="00471170">
              <w:t>/kg and 120</w:t>
            </w:r>
            <w:r w:rsidR="0017081E">
              <w:t> mcg</w:t>
            </w:r>
            <w:r w:rsidR="002A2E27" w:rsidRPr="00471170">
              <w:t xml:space="preserve">/kg doses, </w:t>
            </w:r>
            <w:r w:rsidR="003B3B75">
              <w:t>together with</w:t>
            </w:r>
            <w:r w:rsidR="003B3B75" w:rsidRPr="00471170">
              <w:t xml:space="preserve"> </w:t>
            </w:r>
            <w:r w:rsidR="00C91C2E" w:rsidRPr="00471170">
              <w:t>discontinuation rules would be a</w:t>
            </w:r>
            <w:r w:rsidR="00BC52FF" w:rsidRPr="00471170">
              <w:t>ppropriate.</w:t>
            </w:r>
          </w:p>
        </w:tc>
      </w:tr>
      <w:tr w:rsidR="00404D38" w:rsidRPr="0098262F" w14:paraId="6BD22B0C" w14:textId="77777777" w:rsidTr="00624D32">
        <w:trPr>
          <w:cantSplit/>
        </w:trPr>
        <w:tc>
          <w:tcPr>
            <w:tcW w:w="651" w:type="pct"/>
            <w:tcBorders>
              <w:top w:val="single" w:sz="4" w:space="0" w:color="auto"/>
              <w:bottom w:val="nil"/>
            </w:tcBorders>
            <w:tcMar>
              <w:left w:w="20" w:type="dxa"/>
              <w:right w:w="20" w:type="dxa"/>
            </w:tcMar>
            <w:vAlign w:val="center"/>
          </w:tcPr>
          <w:p w14:paraId="22FC0ABE" w14:textId="77777777" w:rsidR="00404D38" w:rsidRPr="00471170" w:rsidRDefault="00404D38" w:rsidP="00D5565C">
            <w:pPr>
              <w:pStyle w:val="TableText0"/>
              <w:keepNext w:val="0"/>
            </w:pPr>
            <w:r w:rsidRPr="00471170">
              <w:lastRenderedPageBreak/>
              <w:t>Economic evaluation</w:t>
            </w:r>
          </w:p>
        </w:tc>
        <w:tc>
          <w:tcPr>
            <w:tcW w:w="2098" w:type="pct"/>
            <w:tcMar>
              <w:left w:w="20" w:type="dxa"/>
              <w:right w:w="20" w:type="dxa"/>
            </w:tcMar>
            <w:vAlign w:val="center"/>
          </w:tcPr>
          <w:p w14:paraId="3A34E2CE" w14:textId="0829A82B" w:rsidR="00404D38" w:rsidRPr="00471170" w:rsidRDefault="00404D38" w:rsidP="00E7561F">
            <w:pPr>
              <w:pStyle w:val="TableText0"/>
              <w:keepNext w:val="0"/>
              <w:rPr>
                <w:rFonts w:eastAsia="Times New Roman" w:cs="Arial"/>
                <w:bCs w:val="0"/>
                <w:snapToGrid w:val="0"/>
                <w:color w:val="0066FF"/>
                <w:szCs w:val="20"/>
              </w:rPr>
            </w:pPr>
            <w:r w:rsidRPr="00471170">
              <w:rPr>
                <w:rFonts w:eastAsia="Times New Roman" w:cs="Arial"/>
                <w:bCs w:val="0"/>
                <w:snapToGrid w:val="0"/>
                <w:color w:val="000000" w:themeColor="text1"/>
                <w:szCs w:val="20"/>
              </w:rPr>
              <w:t>Transition probabilities were primarily informed by data from OvEC which favoured odevixibat and could not be independently verified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7.17, July 2024 PSD).</w:t>
            </w:r>
          </w:p>
        </w:tc>
        <w:tc>
          <w:tcPr>
            <w:tcW w:w="2251" w:type="pct"/>
            <w:tcMar>
              <w:left w:w="20" w:type="dxa"/>
              <w:right w:w="20" w:type="dxa"/>
            </w:tcMar>
            <w:vAlign w:val="center"/>
          </w:tcPr>
          <w:p w14:paraId="19EDD321" w14:textId="7963C718" w:rsidR="00404D38" w:rsidRPr="00471170" w:rsidRDefault="00B43F5F" w:rsidP="00E7561F">
            <w:pPr>
              <w:pStyle w:val="TableText0"/>
              <w:keepNext w:val="0"/>
            </w:pPr>
            <w:r w:rsidRPr="00471170">
              <w:t>Partially addressed</w:t>
            </w:r>
            <w:r w:rsidR="00404D38" w:rsidRPr="00471170">
              <w:t>.</w:t>
            </w:r>
          </w:p>
          <w:p w14:paraId="53C947BE" w14:textId="720B1A49"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Data from OvEC </w:t>
            </w:r>
            <w:r w:rsidR="00B43F5F" w:rsidRPr="00471170">
              <w:rPr>
                <w:rFonts w:eastAsia="Times New Roman" w:cs="Arial"/>
                <w:bCs w:val="0"/>
                <w:snapToGrid w:val="0"/>
                <w:color w:val="000000" w:themeColor="text1"/>
                <w:szCs w:val="20"/>
              </w:rPr>
              <w:t>was maintained in the base case</w:t>
            </w:r>
            <w:r w:rsidRPr="00471170">
              <w:rPr>
                <w:rFonts w:eastAsia="Times New Roman" w:cs="Arial"/>
                <w:bCs w:val="0"/>
                <w:snapToGrid w:val="0"/>
                <w:color w:val="000000" w:themeColor="text1"/>
                <w:szCs w:val="20"/>
              </w:rPr>
              <w:t xml:space="preserve">. The resubmission presented a sensitivity analysis that excluded OvEC inputs. </w:t>
            </w:r>
          </w:p>
        </w:tc>
      </w:tr>
      <w:tr w:rsidR="00404D38" w:rsidRPr="0098262F" w14:paraId="2132F06F" w14:textId="77777777" w:rsidTr="00624D32">
        <w:trPr>
          <w:cantSplit/>
        </w:trPr>
        <w:tc>
          <w:tcPr>
            <w:tcW w:w="651" w:type="pct"/>
            <w:tcBorders>
              <w:top w:val="nil"/>
              <w:bottom w:val="nil"/>
            </w:tcBorders>
            <w:tcMar>
              <w:left w:w="20" w:type="dxa"/>
              <w:right w:w="20" w:type="dxa"/>
            </w:tcMar>
            <w:vAlign w:val="center"/>
          </w:tcPr>
          <w:p w14:paraId="78CA6231" w14:textId="77777777" w:rsidR="00404D38" w:rsidRPr="00471170" w:rsidRDefault="00404D38" w:rsidP="00D5565C">
            <w:pPr>
              <w:pStyle w:val="TableText0"/>
              <w:keepNext w:val="0"/>
            </w:pPr>
          </w:p>
        </w:tc>
        <w:tc>
          <w:tcPr>
            <w:tcW w:w="2098" w:type="pct"/>
            <w:tcMar>
              <w:left w:w="20" w:type="dxa"/>
              <w:right w:w="20" w:type="dxa"/>
            </w:tcMar>
            <w:vAlign w:val="center"/>
          </w:tcPr>
          <w:p w14:paraId="0725F54E" w14:textId="2CDE2225"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considered that odevixibat would not be cost-effective without a substantial price reduction, and that the higher price for the 120</w:t>
            </w:r>
            <w:r w:rsidR="0017081E">
              <w:rPr>
                <w:rFonts w:eastAsia="Times New Roman" w:cs="Arial"/>
                <w:bCs w:val="0"/>
                <w:snapToGrid w:val="0"/>
                <w:color w:val="000000" w:themeColor="text1"/>
                <w:szCs w:val="20"/>
              </w:rPr>
              <w:t> mcg</w:t>
            </w:r>
            <w:r w:rsidRPr="00471170">
              <w:rPr>
                <w:rFonts w:eastAsia="Times New Roman" w:cs="Arial"/>
                <w:bCs w:val="0"/>
                <w:snapToGrid w:val="0"/>
                <w:color w:val="000000" w:themeColor="text1"/>
                <w:szCs w:val="20"/>
              </w:rPr>
              <w:t>/kg/day dose vs. 40</w:t>
            </w:r>
            <w:r w:rsidR="0017081E">
              <w:rPr>
                <w:rFonts w:eastAsia="Times New Roman" w:cs="Arial"/>
                <w:bCs w:val="0"/>
                <w:snapToGrid w:val="0"/>
                <w:color w:val="000000" w:themeColor="text1"/>
                <w:szCs w:val="20"/>
              </w:rPr>
              <w:t> mcg</w:t>
            </w:r>
            <w:r w:rsidRPr="00471170">
              <w:rPr>
                <w:rFonts w:eastAsia="Times New Roman" w:cs="Arial"/>
                <w:bCs w:val="0"/>
                <w:snapToGrid w:val="0"/>
                <w:color w:val="000000" w:themeColor="text1"/>
                <w:szCs w:val="20"/>
              </w:rPr>
              <w:t>/kg/day was not supported by the clinical evidence (</w:t>
            </w:r>
            <w:r w:rsidR="00301E64">
              <w:rPr>
                <w:rFonts w:eastAsia="Times New Roman" w:cs="Arial"/>
                <w:bCs w:val="0"/>
                <w:snapToGrid w:val="0"/>
                <w:color w:val="000000" w:themeColor="text1"/>
                <w:szCs w:val="20"/>
              </w:rPr>
              <w:t>paragraph</w:t>
            </w:r>
            <w:r w:rsidR="007557E4">
              <w:rPr>
                <w:rFonts w:eastAsia="Times New Roman" w:cs="Arial"/>
                <w:bCs w:val="0"/>
                <w:snapToGrid w:val="0"/>
                <w:color w:val="000000" w:themeColor="text1"/>
                <w:szCs w:val="20"/>
              </w:rPr>
              <w:t>s</w:t>
            </w:r>
            <w:r w:rsidRPr="00471170">
              <w:rPr>
                <w:rFonts w:eastAsia="Times New Roman" w:cs="Arial"/>
                <w:bCs w:val="0"/>
                <w:snapToGrid w:val="0"/>
                <w:color w:val="000000" w:themeColor="text1"/>
                <w:szCs w:val="20"/>
              </w:rPr>
              <w:t xml:space="preserve"> 7.21 &amp; 7.25, July 2024 PSD).</w:t>
            </w:r>
          </w:p>
        </w:tc>
        <w:tc>
          <w:tcPr>
            <w:tcW w:w="2251" w:type="pct"/>
            <w:tcMar>
              <w:left w:w="20" w:type="dxa"/>
              <w:right w:w="20" w:type="dxa"/>
            </w:tcMar>
            <w:vAlign w:val="center"/>
          </w:tcPr>
          <w:p w14:paraId="56405C6B" w14:textId="77777777" w:rsidR="00404D38" w:rsidRPr="00471170" w:rsidRDefault="00404D38" w:rsidP="00E7561F">
            <w:pPr>
              <w:pStyle w:val="TableText0"/>
              <w:keepNext w:val="0"/>
            </w:pPr>
            <w:r w:rsidRPr="00471170">
              <w:t>Partially addressed.</w:t>
            </w:r>
          </w:p>
          <w:p w14:paraId="7E265FB7" w14:textId="7F7224FB" w:rsidR="00404D38" w:rsidRPr="00471170" w:rsidRDefault="003B3B75" w:rsidP="00E7561F">
            <w:pPr>
              <w:pStyle w:val="TableText0"/>
              <w:keepNext w:val="0"/>
            </w:pPr>
            <w:r>
              <w:t xml:space="preserve">A </w:t>
            </w:r>
            <w:r w:rsidR="001549E4" w:rsidRPr="001549E4">
              <w:rPr>
                <w:color w:val="000000"/>
                <w:spacing w:val="50"/>
                <w:w w:val="96"/>
                <w:shd w:val="solid" w:color="000000" w:fill="000000"/>
                <w:fitText w:val="323" w:id="-693991424"/>
                <w14:textFill>
                  <w14:solidFill>
                    <w14:srgbClr w14:val="000000">
                      <w14:alpha w14:val="100000"/>
                    </w14:srgbClr>
                  </w14:solidFill>
                </w14:textFill>
              </w:rPr>
              <w:t>|||</w:t>
            </w:r>
            <w:r w:rsidR="001549E4" w:rsidRPr="001549E4">
              <w:rPr>
                <w:color w:val="000000"/>
                <w:spacing w:val="13"/>
                <w:w w:val="96"/>
                <w:shd w:val="solid" w:color="000000" w:fill="000000"/>
                <w:fitText w:val="323" w:id="-693991424"/>
                <w14:textFill>
                  <w14:solidFill>
                    <w14:srgbClr w14:val="000000">
                      <w14:alpha w14:val="100000"/>
                    </w14:srgbClr>
                  </w14:solidFill>
                </w14:textFill>
              </w:rPr>
              <w:t>|</w:t>
            </w:r>
            <w:r w:rsidR="00743AE0">
              <w:t xml:space="preserve">% </w:t>
            </w:r>
            <w:r>
              <w:t>p</w:t>
            </w:r>
            <w:r w:rsidR="00743AE0">
              <w:t>r</w:t>
            </w:r>
            <w:r>
              <w:t>ice reduction was proposed in the resubmission, resulting in the</w:t>
            </w:r>
            <w:r w:rsidR="00404D38" w:rsidRPr="00471170">
              <w:t xml:space="preserve"> effective price per</w:t>
            </w:r>
            <w:r w:rsidR="0017081E">
              <w:t> mcg</w:t>
            </w:r>
            <w:r w:rsidR="00404D38" w:rsidRPr="00471170">
              <w:t xml:space="preserve"> </w:t>
            </w:r>
            <w:r>
              <w:t>being</w:t>
            </w:r>
            <w:r w:rsidRPr="00471170">
              <w:t xml:space="preserve"> </w:t>
            </w:r>
            <w:r w:rsidR="00404D38" w:rsidRPr="00471170">
              <w:t>revised from $</w:t>
            </w:r>
            <w:r w:rsidR="001549E4" w:rsidRPr="001549E4">
              <w:rPr>
                <w:color w:val="000000"/>
                <w:spacing w:val="50"/>
                <w:w w:val="96"/>
                <w:shd w:val="solid" w:color="000000" w:fill="000000"/>
                <w:fitText w:val="334" w:id="-693991423"/>
                <w14:textFill>
                  <w14:solidFill>
                    <w14:srgbClr w14:val="000000">
                      <w14:alpha w14:val="100000"/>
                    </w14:srgbClr>
                  </w14:solidFill>
                </w14:textFill>
              </w:rPr>
              <w:t>|||</w:t>
            </w:r>
            <w:r w:rsidR="001549E4" w:rsidRPr="001549E4">
              <w:rPr>
                <w:color w:val="000000"/>
                <w:spacing w:val="25"/>
                <w:w w:val="96"/>
                <w:shd w:val="solid" w:color="000000" w:fill="000000"/>
                <w:fitText w:val="334" w:id="-693991423"/>
                <w14:textFill>
                  <w14:solidFill>
                    <w14:srgbClr w14:val="000000">
                      <w14:alpha w14:val="100000"/>
                    </w14:srgbClr>
                  </w14:solidFill>
                </w14:textFill>
              </w:rPr>
              <w:t>|</w:t>
            </w:r>
            <w:r w:rsidR="00404D38" w:rsidRPr="00471170">
              <w:t>/mcg to $</w:t>
            </w:r>
            <w:r w:rsidR="001549E4" w:rsidRPr="001549E4">
              <w:rPr>
                <w:color w:val="000000"/>
                <w:spacing w:val="50"/>
                <w:w w:val="96"/>
                <w:shd w:val="solid" w:color="000000" w:fill="000000"/>
                <w:fitText w:val="334" w:id="-693991422"/>
                <w14:textFill>
                  <w14:solidFill>
                    <w14:srgbClr w14:val="000000">
                      <w14:alpha w14:val="100000"/>
                    </w14:srgbClr>
                  </w14:solidFill>
                </w14:textFill>
              </w:rPr>
              <w:t>|||</w:t>
            </w:r>
            <w:r w:rsidR="001549E4" w:rsidRPr="001549E4">
              <w:rPr>
                <w:color w:val="000000"/>
                <w:spacing w:val="25"/>
                <w:w w:val="96"/>
                <w:shd w:val="solid" w:color="000000" w:fill="000000"/>
                <w:fitText w:val="334" w:id="-693991422"/>
                <w14:textFill>
                  <w14:solidFill>
                    <w14:srgbClr w14:val="000000">
                      <w14:alpha w14:val="100000"/>
                    </w14:srgbClr>
                  </w14:solidFill>
                </w14:textFill>
              </w:rPr>
              <w:t>|</w:t>
            </w:r>
            <w:r w:rsidR="00404D38" w:rsidRPr="00471170">
              <w:t xml:space="preserve">/mcg. </w:t>
            </w:r>
            <w:r w:rsidR="00963B08" w:rsidRPr="00471170">
              <w:t xml:space="preserve">A further </w:t>
            </w:r>
            <w:r w:rsidR="001549E4" w:rsidRPr="001549E4">
              <w:rPr>
                <w:color w:val="000000"/>
                <w:spacing w:val="50"/>
                <w:w w:val="96"/>
                <w:shd w:val="solid" w:color="000000" w:fill="000000"/>
                <w:fitText w:val="334" w:id="-693991421"/>
                <w14:textFill>
                  <w14:solidFill>
                    <w14:srgbClr w14:val="000000">
                      <w14:alpha w14:val="100000"/>
                    </w14:srgbClr>
                  </w14:solidFill>
                </w14:textFill>
              </w:rPr>
              <w:t>|||</w:t>
            </w:r>
            <w:r w:rsidR="001549E4" w:rsidRPr="001549E4">
              <w:rPr>
                <w:color w:val="000000"/>
                <w:spacing w:val="25"/>
                <w:w w:val="96"/>
                <w:shd w:val="solid" w:color="000000" w:fill="000000"/>
                <w:fitText w:val="334" w:id="-693991421"/>
                <w14:textFill>
                  <w14:solidFill>
                    <w14:srgbClr w14:val="000000">
                      <w14:alpha w14:val="100000"/>
                    </w14:srgbClr>
                  </w14:solidFill>
                </w14:textFill>
              </w:rPr>
              <w:t>|</w:t>
            </w:r>
            <w:r w:rsidR="00963B08" w:rsidRPr="00471170">
              <w:t>% price reduction was offered in the PSCR,</w:t>
            </w:r>
            <w:r>
              <w:t xml:space="preserve"> to align the adult ICER with that for the under 18 population,</w:t>
            </w:r>
            <w:r w:rsidR="00963B08" w:rsidRPr="00471170">
              <w:t xml:space="preserve"> reducing the effective price per</w:t>
            </w:r>
            <w:r w:rsidR="0017081E">
              <w:t> mcg</w:t>
            </w:r>
            <w:r w:rsidR="00963B08" w:rsidRPr="00471170">
              <w:t xml:space="preserve"> </w:t>
            </w:r>
            <w:r>
              <w:t xml:space="preserve">for the overall population </w:t>
            </w:r>
            <w:r w:rsidR="00963B08" w:rsidRPr="00471170">
              <w:t>to $</w:t>
            </w:r>
            <w:r w:rsidR="001549E4" w:rsidRPr="001549E4">
              <w:rPr>
                <w:color w:val="000000"/>
                <w:spacing w:val="50"/>
                <w:w w:val="96"/>
                <w:shd w:val="solid" w:color="000000" w:fill="000000"/>
                <w:fitText w:val="322" w:id="-693991420"/>
                <w14:textFill>
                  <w14:solidFill>
                    <w14:srgbClr w14:val="000000">
                      <w14:alpha w14:val="100000"/>
                    </w14:srgbClr>
                  </w14:solidFill>
                </w14:textFill>
              </w:rPr>
              <w:t>|||</w:t>
            </w:r>
            <w:r w:rsidR="001549E4" w:rsidRPr="001549E4">
              <w:rPr>
                <w:color w:val="000000"/>
                <w:spacing w:val="13"/>
                <w:w w:val="96"/>
                <w:shd w:val="solid" w:color="000000" w:fill="000000"/>
                <w:fitText w:val="322" w:id="-693991420"/>
                <w14:textFill>
                  <w14:solidFill>
                    <w14:srgbClr w14:val="000000">
                      <w14:alpha w14:val="100000"/>
                    </w14:srgbClr>
                  </w14:solidFill>
                </w14:textFill>
              </w:rPr>
              <w:t>|</w:t>
            </w:r>
            <w:r w:rsidR="00963B08" w:rsidRPr="00471170">
              <w:t>.</w:t>
            </w:r>
            <w:r w:rsidR="00963B08" w:rsidRPr="00471170">
              <w:br/>
            </w:r>
            <w:r w:rsidR="00404D38" w:rsidRPr="00471170">
              <w:t xml:space="preserve">The resubmission proposed that the RSA annual </w:t>
            </w:r>
            <w:r w:rsidR="00D17D21" w:rsidRPr="00471170">
              <w:t>expenditure</w:t>
            </w:r>
            <w:r w:rsidR="00404D38" w:rsidRPr="00471170">
              <w:t xml:space="preserve"> caps, calculated using a </w:t>
            </w:r>
            <w:r w:rsidR="00DB2937" w:rsidRPr="00471170">
              <w:t>‘</w:t>
            </w:r>
            <w:r w:rsidR="001549E4" w:rsidRPr="001549E4">
              <w:rPr>
                <w:color w:val="000000"/>
                <w:spacing w:val="50"/>
                <w:w w:val="96"/>
                <w:shd w:val="solid" w:color="000000" w:fill="000000"/>
                <w:fitText w:val="322" w:id="-693991419"/>
                <w14:textFill>
                  <w14:solidFill>
                    <w14:srgbClr w14:val="000000">
                      <w14:alpha w14:val="100000"/>
                    </w14:srgbClr>
                  </w14:solidFill>
                </w14:textFill>
              </w:rPr>
              <w:t>|||</w:t>
            </w:r>
            <w:r w:rsidR="001549E4" w:rsidRPr="001549E4">
              <w:rPr>
                <w:color w:val="000000"/>
                <w:spacing w:val="13"/>
                <w:w w:val="96"/>
                <w:shd w:val="solid" w:color="000000" w:fill="000000"/>
                <w:fitText w:val="322" w:id="-693991419"/>
                <w14:textFill>
                  <w14:solidFill>
                    <w14:srgbClr w14:val="000000">
                      <w14:alpha w14:val="100000"/>
                    </w14:srgbClr>
                  </w14:solidFill>
                </w14:textFill>
              </w:rPr>
              <w:t>|</w:t>
            </w:r>
            <w:r w:rsidR="00BB1289" w:rsidRPr="00BB1289">
              <w:t xml:space="preserve"> </w:t>
            </w:r>
            <w:r w:rsidR="001549E4" w:rsidRPr="001549E4">
              <w:rPr>
                <w:color w:val="000000"/>
                <w:spacing w:val="50"/>
                <w:w w:val="96"/>
                <w:shd w:val="solid" w:color="000000" w:fill="000000"/>
                <w:fitText w:val="323" w:id="-693991418"/>
                <w14:textFill>
                  <w14:solidFill>
                    <w14:srgbClr w14:val="000000">
                      <w14:alpha w14:val="100000"/>
                    </w14:srgbClr>
                  </w14:solidFill>
                </w14:textFill>
              </w:rPr>
              <w:t>|||</w:t>
            </w:r>
            <w:r w:rsidR="001549E4" w:rsidRPr="001549E4">
              <w:rPr>
                <w:color w:val="000000"/>
                <w:spacing w:val="13"/>
                <w:w w:val="96"/>
                <w:shd w:val="solid" w:color="000000" w:fill="000000"/>
                <w:fitText w:val="323" w:id="-693991418"/>
                <w14:textFill>
                  <w14:solidFill>
                    <w14:srgbClr w14:val="000000">
                      <w14:alpha w14:val="100000"/>
                    </w14:srgbClr>
                  </w14:solidFill>
                </w14:textFill>
              </w:rPr>
              <w:t>|</w:t>
            </w:r>
            <w:r w:rsidR="00404D38" w:rsidRPr="00471170">
              <w:t xml:space="preserve"> cost</w:t>
            </w:r>
            <w:r w:rsidR="00DB2937" w:rsidRPr="00471170">
              <w:t>’</w:t>
            </w:r>
            <w:r w:rsidR="00404D38" w:rsidRPr="00471170">
              <w:t xml:space="preserve"> approach, reflected a substantial cost reduction. </w:t>
            </w:r>
            <w:r w:rsidR="00032D8B" w:rsidRPr="00471170">
              <w:t xml:space="preserve">The ESC noted that if the </w:t>
            </w:r>
            <w:r w:rsidR="001549E4" w:rsidRPr="001549E4">
              <w:rPr>
                <w:color w:val="000000"/>
                <w:spacing w:val="50"/>
                <w:w w:val="96"/>
                <w:shd w:val="solid" w:color="000000" w:fill="000000"/>
                <w:fitText w:val="322" w:id="-693991417"/>
                <w14:textFill>
                  <w14:solidFill>
                    <w14:srgbClr w14:val="000000">
                      <w14:alpha w14:val="100000"/>
                    </w14:srgbClr>
                  </w14:solidFill>
                </w14:textFill>
              </w:rPr>
              <w:t>|||</w:t>
            </w:r>
            <w:r w:rsidR="001549E4" w:rsidRPr="001549E4">
              <w:rPr>
                <w:color w:val="000000"/>
                <w:spacing w:val="13"/>
                <w:w w:val="96"/>
                <w:shd w:val="solid" w:color="000000" w:fill="000000"/>
                <w:fitText w:val="322" w:id="-693991417"/>
                <w14:textFill>
                  <w14:solidFill>
                    <w14:srgbClr w14:val="000000">
                      <w14:alpha w14:val="100000"/>
                    </w14:srgbClr>
                  </w14:solidFill>
                </w14:textFill>
              </w:rPr>
              <w:t>|</w:t>
            </w:r>
            <w:r w:rsidR="00BB1289" w:rsidRPr="00BB1289">
              <w:t xml:space="preserve"> </w:t>
            </w:r>
            <w:r w:rsidR="001549E4" w:rsidRPr="001549E4">
              <w:rPr>
                <w:color w:val="000000"/>
                <w:spacing w:val="50"/>
                <w:w w:val="96"/>
                <w:shd w:val="solid" w:color="000000" w:fill="000000"/>
                <w:fitText w:val="323" w:id="-693991416"/>
                <w14:textFill>
                  <w14:solidFill>
                    <w14:srgbClr w14:val="000000">
                      <w14:alpha w14:val="100000"/>
                    </w14:srgbClr>
                  </w14:solidFill>
                </w14:textFill>
              </w:rPr>
              <w:t>|||</w:t>
            </w:r>
            <w:r w:rsidR="001549E4" w:rsidRPr="001549E4">
              <w:rPr>
                <w:color w:val="000000"/>
                <w:spacing w:val="13"/>
                <w:w w:val="96"/>
                <w:shd w:val="solid" w:color="000000" w:fill="000000"/>
                <w:fitText w:val="323" w:id="-693991416"/>
                <w14:textFill>
                  <w14:solidFill>
                    <w14:srgbClr w14:val="000000">
                      <w14:alpha w14:val="100000"/>
                    </w14:srgbClr>
                  </w14:solidFill>
                </w14:textFill>
              </w:rPr>
              <w:t>|</w:t>
            </w:r>
            <w:r w:rsidR="00032D8B" w:rsidRPr="00471170">
              <w:t xml:space="preserve"> cost was not achieved via the </w:t>
            </w:r>
            <w:r w:rsidR="005A028D" w:rsidRPr="00471170">
              <w:t xml:space="preserve">RSA, then the ICER </w:t>
            </w:r>
            <w:r w:rsidR="00D313D4" w:rsidRPr="00471170">
              <w:t xml:space="preserve">increased </w:t>
            </w:r>
            <w:r w:rsidR="00AC4370" w:rsidRPr="00471170">
              <w:t>further</w:t>
            </w:r>
            <w:r w:rsidR="005A028D" w:rsidRPr="00471170">
              <w:t>.</w:t>
            </w:r>
          </w:p>
        </w:tc>
      </w:tr>
      <w:tr w:rsidR="00404D38" w:rsidRPr="0098262F" w14:paraId="3419D273" w14:textId="77777777" w:rsidTr="00624D32">
        <w:trPr>
          <w:cantSplit/>
        </w:trPr>
        <w:tc>
          <w:tcPr>
            <w:tcW w:w="651" w:type="pct"/>
            <w:tcBorders>
              <w:top w:val="nil"/>
              <w:bottom w:val="nil"/>
            </w:tcBorders>
            <w:tcMar>
              <w:left w:w="20" w:type="dxa"/>
              <w:right w:w="20" w:type="dxa"/>
            </w:tcMar>
            <w:vAlign w:val="center"/>
          </w:tcPr>
          <w:p w14:paraId="3A3E9D07" w14:textId="77777777" w:rsidR="00404D38" w:rsidRPr="00471170" w:rsidRDefault="00404D38" w:rsidP="00D5565C">
            <w:pPr>
              <w:pStyle w:val="TableText0"/>
              <w:keepNext w:val="0"/>
            </w:pPr>
          </w:p>
        </w:tc>
        <w:tc>
          <w:tcPr>
            <w:tcW w:w="2098" w:type="pct"/>
            <w:tcMar>
              <w:left w:w="20" w:type="dxa"/>
              <w:right w:w="20" w:type="dxa"/>
            </w:tcMar>
            <w:vAlign w:val="center"/>
          </w:tcPr>
          <w:p w14:paraId="0F1AF30F" w14:textId="18F6D5D4"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time horizon (100-years) was considered too long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7.15, July 2024 PSD).</w:t>
            </w:r>
          </w:p>
        </w:tc>
        <w:tc>
          <w:tcPr>
            <w:tcW w:w="2251" w:type="pct"/>
            <w:tcMar>
              <w:left w:w="20" w:type="dxa"/>
              <w:right w:w="20" w:type="dxa"/>
            </w:tcMar>
            <w:vAlign w:val="center"/>
          </w:tcPr>
          <w:p w14:paraId="17EB2DF0" w14:textId="4C7A2700" w:rsidR="00404D38" w:rsidRPr="00471170" w:rsidRDefault="00B43F5F" w:rsidP="00E7561F">
            <w:pPr>
              <w:pStyle w:val="TableText0"/>
              <w:keepNext w:val="0"/>
            </w:pPr>
            <w:r w:rsidRPr="00471170">
              <w:t>Partially a</w:t>
            </w:r>
            <w:r w:rsidR="00404D38" w:rsidRPr="00471170">
              <w:t>ddressed.</w:t>
            </w:r>
          </w:p>
          <w:p w14:paraId="344E1F76" w14:textId="5BB035C7" w:rsidR="00404D38" w:rsidRPr="00471170" w:rsidRDefault="00404D38" w:rsidP="00E7561F">
            <w:pPr>
              <w:pStyle w:val="TableText0"/>
              <w:keepNext w:val="0"/>
            </w:pPr>
            <w:r w:rsidRPr="00471170">
              <w:t>The time horizon was revised to 50 years.</w:t>
            </w:r>
            <w:r w:rsidR="00B43F5F" w:rsidRPr="00471170">
              <w:t xml:space="preserve"> </w:t>
            </w:r>
            <w:r w:rsidR="00627FD9" w:rsidRPr="00471170">
              <w:t xml:space="preserve">It was unclear if this was a reasonable time horizon given comparative evidence from PEDFIC 1 was only for 24 weeks. </w:t>
            </w:r>
          </w:p>
        </w:tc>
      </w:tr>
      <w:tr w:rsidR="00404D38" w:rsidRPr="0098262F" w14:paraId="68CFFD26" w14:textId="77777777" w:rsidTr="00624D32">
        <w:trPr>
          <w:cantSplit/>
        </w:trPr>
        <w:tc>
          <w:tcPr>
            <w:tcW w:w="651" w:type="pct"/>
            <w:tcBorders>
              <w:top w:val="nil"/>
              <w:bottom w:val="nil"/>
            </w:tcBorders>
            <w:tcMar>
              <w:left w:w="20" w:type="dxa"/>
              <w:right w:w="20" w:type="dxa"/>
            </w:tcMar>
            <w:vAlign w:val="center"/>
          </w:tcPr>
          <w:p w14:paraId="5DAB64C9" w14:textId="77777777" w:rsidR="00404D38" w:rsidRPr="00471170" w:rsidRDefault="00404D38" w:rsidP="00D5565C">
            <w:pPr>
              <w:pStyle w:val="TableText0"/>
              <w:keepNext w:val="0"/>
            </w:pPr>
          </w:p>
        </w:tc>
        <w:tc>
          <w:tcPr>
            <w:tcW w:w="2098" w:type="pct"/>
            <w:tcMar>
              <w:left w:w="20" w:type="dxa"/>
              <w:right w:w="20" w:type="dxa"/>
            </w:tcMar>
            <w:vAlign w:val="center"/>
          </w:tcPr>
          <w:p w14:paraId="13465926" w14:textId="73B8A50E"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considered the assumption that odevixibat treated patients would not undergo PEBD after losing response implausible.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7.18, July 2024 PSD).</w:t>
            </w:r>
          </w:p>
        </w:tc>
        <w:tc>
          <w:tcPr>
            <w:tcW w:w="2251" w:type="pct"/>
            <w:tcMar>
              <w:left w:w="20" w:type="dxa"/>
              <w:right w:w="20" w:type="dxa"/>
            </w:tcMar>
            <w:vAlign w:val="center"/>
          </w:tcPr>
          <w:p w14:paraId="0CD6D063" w14:textId="6F0BFF9B" w:rsidR="00404D38" w:rsidRPr="00471170" w:rsidRDefault="00481387" w:rsidP="00E7561F">
            <w:pPr>
              <w:pStyle w:val="TableText0"/>
              <w:keepNext w:val="0"/>
            </w:pPr>
            <w:r w:rsidRPr="00471170">
              <w:t>A</w:t>
            </w:r>
            <w:r w:rsidR="003C21C3" w:rsidRPr="00471170">
              <w:t>ddressed</w:t>
            </w:r>
            <w:r w:rsidR="00404D38" w:rsidRPr="00471170">
              <w:t>.</w:t>
            </w:r>
          </w:p>
          <w:p w14:paraId="280527AE" w14:textId="7F5CBCF8" w:rsidR="00404D38" w:rsidRPr="00471170" w:rsidRDefault="00404D38" w:rsidP="00E7561F">
            <w:pPr>
              <w:pStyle w:val="TableText0"/>
              <w:keepNext w:val="0"/>
            </w:pPr>
            <w:r w:rsidRPr="00471170">
              <w:t xml:space="preserve">Subsequent PEBD rates from the PEDFIC 2 trial (3/113 over 115 weeks) was incorporated into the model. </w:t>
            </w:r>
          </w:p>
        </w:tc>
      </w:tr>
      <w:tr w:rsidR="00404D38" w:rsidRPr="0098262F" w14:paraId="5619F1A0" w14:textId="77777777" w:rsidTr="00624D32">
        <w:trPr>
          <w:cantSplit/>
        </w:trPr>
        <w:tc>
          <w:tcPr>
            <w:tcW w:w="651" w:type="pct"/>
            <w:tcBorders>
              <w:top w:val="nil"/>
              <w:bottom w:val="single" w:sz="4" w:space="0" w:color="auto"/>
            </w:tcBorders>
            <w:tcMar>
              <w:left w:w="20" w:type="dxa"/>
              <w:right w:w="20" w:type="dxa"/>
            </w:tcMar>
            <w:vAlign w:val="center"/>
          </w:tcPr>
          <w:p w14:paraId="0E2F8AD3" w14:textId="77777777" w:rsidR="00404D38" w:rsidRPr="00471170" w:rsidRDefault="00404D38" w:rsidP="00D5565C">
            <w:pPr>
              <w:pStyle w:val="TableText0"/>
              <w:keepNext w:val="0"/>
            </w:pPr>
          </w:p>
        </w:tc>
        <w:tc>
          <w:tcPr>
            <w:tcW w:w="2098" w:type="pct"/>
            <w:tcMar>
              <w:left w:w="20" w:type="dxa"/>
              <w:right w:w="20" w:type="dxa"/>
            </w:tcMar>
            <w:vAlign w:val="center"/>
          </w:tcPr>
          <w:p w14:paraId="50ED8955" w14:textId="17007019" w:rsidR="00404D38" w:rsidRPr="00471170" w:rsidRDefault="00404D38"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‘no PEBD, no response’ health state had higher utility (0.83) than the ‘PEBD, response’ state (0.659). This implied that patients preferred pruritus symptoms above achieving a response after PEBD, which was not plausible.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7.19, July 2024 PSD).</w:t>
            </w:r>
          </w:p>
        </w:tc>
        <w:tc>
          <w:tcPr>
            <w:tcW w:w="2251" w:type="pct"/>
            <w:tcMar>
              <w:left w:w="20" w:type="dxa"/>
              <w:right w:w="20" w:type="dxa"/>
            </w:tcMar>
            <w:vAlign w:val="center"/>
          </w:tcPr>
          <w:p w14:paraId="43BA6310" w14:textId="77777777" w:rsidR="00404D38" w:rsidRPr="00471170" w:rsidRDefault="00404D38" w:rsidP="00E7561F">
            <w:pPr>
              <w:pStyle w:val="TableText0"/>
              <w:keepNext w:val="0"/>
            </w:pPr>
            <w:r w:rsidRPr="00471170">
              <w:t>Partially addressed.</w:t>
            </w:r>
          </w:p>
          <w:p w14:paraId="607726D7" w14:textId="308F7A17" w:rsidR="00404D38" w:rsidRPr="00471170" w:rsidRDefault="00404D38" w:rsidP="00E7561F">
            <w:pPr>
              <w:pStyle w:val="TableText0"/>
              <w:keepNext w:val="0"/>
            </w:pPr>
            <w:r w:rsidRPr="00471170">
              <w:t>The ‘PEBD, response’ health state utility was revised to 0.761</w:t>
            </w:r>
            <w:r w:rsidR="003B3B75">
              <w:t>,</w:t>
            </w:r>
            <w:r w:rsidRPr="00471170">
              <w:t xml:space="preserve"> </w:t>
            </w:r>
            <w:r w:rsidR="003C21C3" w:rsidRPr="00471170">
              <w:t>which remained lower than the ‘no PEBD, no response’ health state</w:t>
            </w:r>
            <w:r w:rsidR="006D5E09" w:rsidRPr="00471170">
              <w:t xml:space="preserve">, </w:t>
            </w:r>
            <w:r w:rsidR="003B3B75">
              <w:t>which</w:t>
            </w:r>
            <w:r w:rsidR="003B3B75" w:rsidRPr="00471170">
              <w:t xml:space="preserve"> </w:t>
            </w:r>
            <w:r w:rsidR="006D5E09" w:rsidRPr="00471170">
              <w:t xml:space="preserve">was inconsistent with the </w:t>
            </w:r>
            <w:r w:rsidR="003F4B9E" w:rsidRPr="00471170">
              <w:t>Facilitated Resolution Pathway Workshop</w:t>
            </w:r>
            <w:r w:rsidR="006D5E09" w:rsidRPr="00471170">
              <w:t xml:space="preserve"> </w:t>
            </w:r>
            <w:r w:rsidR="005C605E" w:rsidRPr="00471170">
              <w:t xml:space="preserve">discussion </w:t>
            </w:r>
            <w:r w:rsidR="006D5E09" w:rsidRPr="00471170">
              <w:t xml:space="preserve">which noted that the direction of utility values lacked face validity. </w:t>
            </w:r>
          </w:p>
        </w:tc>
      </w:tr>
      <w:tr w:rsidR="007537F2" w:rsidRPr="0098262F" w14:paraId="51EF61FA" w14:textId="77777777" w:rsidTr="00624D32">
        <w:trPr>
          <w:cantSplit/>
        </w:trPr>
        <w:tc>
          <w:tcPr>
            <w:tcW w:w="651" w:type="pct"/>
            <w:tcBorders>
              <w:bottom w:val="nil"/>
            </w:tcBorders>
            <w:tcMar>
              <w:left w:w="20" w:type="dxa"/>
              <w:right w:w="20" w:type="dxa"/>
            </w:tcMar>
            <w:vAlign w:val="center"/>
          </w:tcPr>
          <w:p w14:paraId="2B6F5E40" w14:textId="1B9FF7CD" w:rsidR="007537F2" w:rsidRPr="00471170" w:rsidRDefault="007537F2" w:rsidP="00D5565C">
            <w:pPr>
              <w:pStyle w:val="TableText0"/>
              <w:keepNext w:val="0"/>
            </w:pPr>
            <w:r w:rsidRPr="00471170">
              <w:t>Financial estimates</w:t>
            </w:r>
          </w:p>
        </w:tc>
        <w:tc>
          <w:tcPr>
            <w:tcW w:w="2098" w:type="pct"/>
            <w:tcBorders>
              <w:bottom w:val="single" w:sz="4" w:space="0" w:color="auto"/>
            </w:tcBorders>
            <w:tcMar>
              <w:left w:w="20" w:type="dxa"/>
              <w:right w:w="20" w:type="dxa"/>
            </w:tcMar>
            <w:vAlign w:val="center"/>
          </w:tcPr>
          <w:p w14:paraId="5A6E8417" w14:textId="04797015" w:rsidR="007537F2" w:rsidRPr="00471170" w:rsidRDefault="007537F2"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w:t>
            </w:r>
            <w:r w:rsidR="00E07271" w:rsidRPr="00471170">
              <w:rPr>
                <w:rFonts w:eastAsia="Times New Roman" w:cs="Arial"/>
                <w:bCs w:val="0"/>
                <w:snapToGrid w:val="0"/>
                <w:color w:val="000000" w:themeColor="text1"/>
                <w:szCs w:val="20"/>
              </w:rPr>
              <w:t xml:space="preserve"> </w:t>
            </w:r>
            <w:r w:rsidRPr="00471170">
              <w:rPr>
                <w:rFonts w:eastAsia="Times New Roman" w:cs="Arial"/>
                <w:bCs w:val="0"/>
                <w:snapToGrid w:val="0"/>
                <w:color w:val="000000" w:themeColor="text1"/>
                <w:szCs w:val="20"/>
              </w:rPr>
              <w:t>considered that a RSA would</w:t>
            </w:r>
          </w:p>
          <w:p w14:paraId="6A7F8F85" w14:textId="60993157" w:rsidR="007537F2" w:rsidRPr="00471170" w:rsidRDefault="007537F2"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be required, given the level of uncertainty in the estimates, including uncertainty in</w:t>
            </w:r>
            <w:r w:rsidR="00E07271" w:rsidRPr="00471170">
              <w:rPr>
                <w:rFonts w:eastAsia="Times New Roman" w:cs="Arial"/>
                <w:bCs w:val="0"/>
                <w:snapToGrid w:val="0"/>
                <w:color w:val="000000" w:themeColor="text1"/>
                <w:szCs w:val="20"/>
              </w:rPr>
              <w:t xml:space="preserve"> </w:t>
            </w:r>
            <w:r w:rsidRPr="00471170">
              <w:rPr>
                <w:rFonts w:eastAsia="Times New Roman" w:cs="Arial"/>
                <w:bCs w:val="0"/>
                <w:snapToGrid w:val="0"/>
                <w:color w:val="000000" w:themeColor="text1"/>
                <w:szCs w:val="20"/>
              </w:rPr>
              <w:t>the duration of use and uptake.</w:t>
            </w:r>
            <w:r w:rsidR="00E07271" w:rsidRPr="00471170">
              <w:rPr>
                <w:rFonts w:eastAsia="Times New Roman" w:cs="Arial"/>
                <w:bCs w:val="0"/>
                <w:snapToGrid w:val="0"/>
                <w:color w:val="000000" w:themeColor="text1"/>
                <w:szCs w:val="20"/>
              </w:rPr>
              <w:t xml:space="preserve"> (</w:t>
            </w:r>
            <w:r w:rsidR="00301E64">
              <w:rPr>
                <w:rFonts w:eastAsia="Times New Roman" w:cs="Arial"/>
                <w:bCs w:val="0"/>
                <w:snapToGrid w:val="0"/>
                <w:color w:val="000000" w:themeColor="text1"/>
                <w:szCs w:val="20"/>
              </w:rPr>
              <w:t>paragraph</w:t>
            </w:r>
            <w:r w:rsidR="00E07271" w:rsidRPr="00471170">
              <w:rPr>
                <w:rFonts w:eastAsia="Times New Roman" w:cs="Arial"/>
                <w:bCs w:val="0"/>
                <w:snapToGrid w:val="0"/>
                <w:color w:val="000000" w:themeColor="text1"/>
                <w:szCs w:val="20"/>
              </w:rPr>
              <w:t xml:space="preserve"> 7.23, July 2024 PSD).</w:t>
            </w:r>
          </w:p>
        </w:tc>
        <w:tc>
          <w:tcPr>
            <w:tcW w:w="2251" w:type="pct"/>
            <w:tcBorders>
              <w:bottom w:val="single" w:sz="4" w:space="0" w:color="auto"/>
            </w:tcBorders>
            <w:tcMar>
              <w:left w:w="20" w:type="dxa"/>
              <w:right w:w="20" w:type="dxa"/>
            </w:tcMar>
            <w:vAlign w:val="center"/>
          </w:tcPr>
          <w:p w14:paraId="052D464E" w14:textId="4FA78872" w:rsidR="007537F2" w:rsidRPr="00471170" w:rsidRDefault="00E07271"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Partially addressed</w:t>
            </w:r>
            <w:r w:rsidR="003B3B75">
              <w:rPr>
                <w:rFonts w:eastAsia="Times New Roman" w:cs="Arial"/>
                <w:bCs w:val="0"/>
                <w:snapToGrid w:val="0"/>
                <w:color w:val="000000" w:themeColor="text1"/>
                <w:szCs w:val="20"/>
              </w:rPr>
              <w:t>.</w:t>
            </w:r>
          </w:p>
          <w:p w14:paraId="3AB1CC17" w14:textId="1B027116" w:rsidR="00E07271" w:rsidRPr="00471170" w:rsidRDefault="00E07271"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The resubmission proposed a RSA in the form of annual </w:t>
            </w:r>
            <w:r w:rsidR="00D17D21" w:rsidRPr="00471170">
              <w:rPr>
                <w:rFonts w:eastAsia="Times New Roman" w:cs="Arial"/>
                <w:bCs w:val="0"/>
                <w:snapToGrid w:val="0"/>
                <w:color w:val="000000" w:themeColor="text1"/>
                <w:szCs w:val="20"/>
              </w:rPr>
              <w:t>expenditure</w:t>
            </w:r>
            <w:r w:rsidRPr="00471170">
              <w:rPr>
                <w:rFonts w:eastAsia="Times New Roman" w:cs="Arial"/>
                <w:bCs w:val="0"/>
                <w:snapToGrid w:val="0"/>
                <w:color w:val="000000" w:themeColor="text1"/>
                <w:szCs w:val="20"/>
              </w:rPr>
              <w:t xml:space="preserve"> caps, which were adjusted to incorporate a </w:t>
            </w:r>
            <w:r w:rsidR="00DB2937" w:rsidRPr="00471170">
              <w:rPr>
                <w:rFonts w:eastAsia="Times New Roman" w:cs="Arial"/>
                <w:bCs w:val="0"/>
                <w:snapToGrid w:val="0"/>
                <w:color w:val="000000" w:themeColor="text1"/>
                <w:szCs w:val="20"/>
              </w:rPr>
              <w:t>‘</w:t>
            </w:r>
            <w:r w:rsidR="001549E4" w:rsidRPr="001549E4">
              <w:rPr>
                <w:rFonts w:eastAsia="Times New Roman" w:cs="Arial"/>
                <w:bCs w:val="0"/>
                <w:snapToGrid w:val="0"/>
                <w:color w:val="000000" w:themeColor="text1"/>
                <w:spacing w:val="50"/>
                <w:w w:val="96"/>
                <w:szCs w:val="20"/>
                <w:shd w:val="solid" w:color="000000" w:fill="000000"/>
                <w:fitText w:val="323" w:id="-693991415"/>
                <w14:textFill>
                  <w14:solidFill>
                    <w14:schemeClr w14:val="tx1">
                      <w14:alpha w14:val="100000"/>
                    </w14:schemeClr>
                  </w14:solidFill>
                </w14:textFill>
              </w:rPr>
              <w:t>|||</w:t>
            </w:r>
            <w:r w:rsidR="001549E4" w:rsidRPr="001549E4">
              <w:rPr>
                <w:rFonts w:eastAsia="Times New Roman" w:cs="Arial"/>
                <w:bCs w:val="0"/>
                <w:snapToGrid w:val="0"/>
                <w:color w:val="000000" w:themeColor="text1"/>
                <w:spacing w:val="13"/>
                <w:w w:val="96"/>
                <w:szCs w:val="20"/>
                <w:shd w:val="solid" w:color="000000" w:fill="000000"/>
                <w:fitText w:val="323" w:id="-693991415"/>
                <w14:textFill>
                  <w14:solidFill>
                    <w14:schemeClr w14:val="tx1">
                      <w14:alpha w14:val="100000"/>
                    </w14:schemeClr>
                  </w14:solidFill>
                </w14:textFill>
              </w:rPr>
              <w:t>|</w:t>
            </w:r>
            <w:r w:rsidR="00BB1289" w:rsidRPr="00BB1289">
              <w:rPr>
                <w:rFonts w:eastAsia="Times New Roman" w:cs="Arial"/>
                <w:bCs w:val="0"/>
                <w:snapToGrid w:val="0"/>
                <w:color w:val="000000" w:themeColor="text1"/>
                <w:szCs w:val="20"/>
              </w:rPr>
              <w:t xml:space="preserve"> </w:t>
            </w:r>
            <w:r w:rsidR="001549E4" w:rsidRPr="006F5FAE">
              <w:rPr>
                <w:rFonts w:eastAsia="Times New Roman" w:cs="Arial"/>
                <w:bCs w:val="0"/>
                <w:snapToGrid w:val="0"/>
                <w:color w:val="000000" w:themeColor="text1"/>
                <w:spacing w:val="52"/>
                <w:w w:val="96"/>
                <w:szCs w:val="20"/>
                <w:shd w:val="solid" w:color="000000" w:fill="000000"/>
                <w:fitText w:val="322" w:id="-693991414"/>
                <w14:textFill>
                  <w14:solidFill>
                    <w14:schemeClr w14:val="tx1">
                      <w14:alpha w14:val="100000"/>
                    </w14:schemeClr>
                  </w14:solidFill>
                </w14:textFill>
              </w:rPr>
              <w:t>|||</w:t>
            </w:r>
            <w:r w:rsidR="001549E4" w:rsidRPr="006F5FAE">
              <w:rPr>
                <w:rFonts w:eastAsia="Times New Roman" w:cs="Arial"/>
                <w:bCs w:val="0"/>
                <w:snapToGrid w:val="0"/>
                <w:color w:val="000000" w:themeColor="text1"/>
                <w:spacing w:val="3"/>
                <w:w w:val="96"/>
                <w:szCs w:val="20"/>
                <w:shd w:val="solid" w:color="000000" w:fill="000000"/>
                <w:fitText w:val="322" w:id="-693991414"/>
                <w14:textFill>
                  <w14:solidFill>
                    <w14:schemeClr w14:val="tx1">
                      <w14:alpha w14:val="100000"/>
                    </w14:schemeClr>
                  </w14:solidFill>
                </w14:textFill>
              </w:rPr>
              <w:t>|</w:t>
            </w:r>
            <w:r w:rsidRPr="00471170">
              <w:rPr>
                <w:rFonts w:eastAsia="Times New Roman" w:cs="Arial"/>
                <w:bCs w:val="0"/>
                <w:snapToGrid w:val="0"/>
                <w:color w:val="000000" w:themeColor="text1"/>
                <w:szCs w:val="20"/>
              </w:rPr>
              <w:t xml:space="preserve"> cost</w:t>
            </w:r>
            <w:r w:rsidR="00DB2937" w:rsidRPr="00471170">
              <w:rPr>
                <w:rFonts w:eastAsia="Times New Roman" w:cs="Arial"/>
                <w:bCs w:val="0"/>
                <w:snapToGrid w:val="0"/>
                <w:color w:val="000000" w:themeColor="text1"/>
                <w:szCs w:val="20"/>
              </w:rPr>
              <w:t>’</w:t>
            </w:r>
            <w:r w:rsidRPr="00471170">
              <w:rPr>
                <w:rFonts w:eastAsia="Times New Roman" w:cs="Arial"/>
                <w:bCs w:val="0"/>
                <w:snapToGrid w:val="0"/>
                <w:color w:val="000000" w:themeColor="text1"/>
                <w:szCs w:val="20"/>
              </w:rPr>
              <w:t xml:space="preserve"> and exclusion of genetic non-responders. </w:t>
            </w:r>
            <w:r w:rsidR="006172EE" w:rsidRPr="00471170">
              <w:rPr>
                <w:rFonts w:eastAsia="Times New Roman" w:cs="Arial"/>
                <w:bCs w:val="0"/>
                <w:snapToGrid w:val="0"/>
                <w:color w:val="000000" w:themeColor="text1"/>
                <w:szCs w:val="20"/>
              </w:rPr>
              <w:t>The ESC noted that</w:t>
            </w:r>
            <w:r w:rsidR="00415CB3" w:rsidRPr="00471170">
              <w:rPr>
                <w:rFonts w:eastAsia="Times New Roman" w:cs="Arial"/>
                <w:bCs w:val="0"/>
                <w:snapToGrid w:val="0"/>
                <w:color w:val="000000" w:themeColor="text1"/>
                <w:szCs w:val="20"/>
              </w:rPr>
              <w:t xml:space="preserve"> patients were assumed to remain on treatment for the entirety of the estimates</w:t>
            </w:r>
            <w:r w:rsidR="00721FCE" w:rsidRPr="00471170">
              <w:rPr>
                <w:rFonts w:eastAsia="Times New Roman" w:cs="Arial"/>
                <w:bCs w:val="0"/>
                <w:snapToGrid w:val="0"/>
                <w:color w:val="000000" w:themeColor="text1"/>
                <w:szCs w:val="20"/>
              </w:rPr>
              <w:t>. The ESC considered that this overestimated duration of treatment.</w:t>
            </w:r>
          </w:p>
        </w:tc>
      </w:tr>
      <w:tr w:rsidR="00404D38" w:rsidRPr="0098262F" w14:paraId="18150C5B" w14:textId="77777777" w:rsidTr="00624D32">
        <w:trPr>
          <w:cantSplit/>
        </w:trPr>
        <w:tc>
          <w:tcPr>
            <w:tcW w:w="651" w:type="pct"/>
            <w:tcBorders>
              <w:top w:val="nil"/>
              <w:bottom w:val="nil"/>
            </w:tcBorders>
            <w:tcMar>
              <w:left w:w="20" w:type="dxa"/>
              <w:right w:w="20" w:type="dxa"/>
            </w:tcMar>
            <w:vAlign w:val="center"/>
          </w:tcPr>
          <w:p w14:paraId="3C577A11" w14:textId="3584A616" w:rsidR="00404D38" w:rsidRPr="00471170" w:rsidRDefault="00404D38" w:rsidP="00D5565C">
            <w:pPr>
              <w:pStyle w:val="TableText0"/>
              <w:keepNext w:val="0"/>
            </w:pPr>
          </w:p>
        </w:tc>
        <w:tc>
          <w:tcPr>
            <w:tcW w:w="2098" w:type="pct"/>
            <w:tcBorders>
              <w:bottom w:val="single" w:sz="4" w:space="0" w:color="auto"/>
            </w:tcBorders>
            <w:tcMar>
              <w:left w:w="20" w:type="dxa"/>
              <w:right w:w="20" w:type="dxa"/>
            </w:tcMar>
            <w:vAlign w:val="center"/>
          </w:tcPr>
          <w:p w14:paraId="02F2AA15" w14:textId="78763911" w:rsidR="00404D38" w:rsidRPr="00471170" w:rsidRDefault="00D075E4" w:rsidP="00E7561F">
            <w:pPr>
              <w:pStyle w:val="TableText0"/>
              <w:keepNext w:val="0"/>
              <w:rPr>
                <w:rFonts w:eastAsia="Times New Roman" w:cs="Arial"/>
                <w:bCs w:val="0"/>
                <w:snapToGrid w:val="0"/>
                <w:color w:val="0066FF"/>
                <w:szCs w:val="20"/>
              </w:rPr>
            </w:pPr>
            <w:r w:rsidRPr="00471170">
              <w:rPr>
                <w:rFonts w:eastAsia="Times New Roman" w:cs="Arial"/>
                <w:bCs w:val="0"/>
                <w:snapToGrid w:val="0"/>
                <w:color w:val="000000" w:themeColor="text1"/>
                <w:szCs w:val="20"/>
              </w:rPr>
              <w:t xml:space="preserve">DUSC commented that applying the estimated prevalence rate of 0.05 to 0.07 per 10,000 people to the entire population may not have been reasonable (Table 21, </w:t>
            </w:r>
            <w:r w:rsidR="007537F2" w:rsidRPr="00471170">
              <w:rPr>
                <w:rFonts w:eastAsia="Times New Roman" w:cs="Arial"/>
                <w:bCs w:val="0"/>
                <w:snapToGrid w:val="0"/>
                <w:color w:val="000000" w:themeColor="text1"/>
                <w:szCs w:val="20"/>
              </w:rPr>
              <w:t>July 2024 PSD).</w:t>
            </w:r>
          </w:p>
        </w:tc>
        <w:tc>
          <w:tcPr>
            <w:tcW w:w="2251" w:type="pct"/>
            <w:tcBorders>
              <w:bottom w:val="single" w:sz="4" w:space="0" w:color="auto"/>
            </w:tcBorders>
            <w:tcMar>
              <w:left w:w="20" w:type="dxa"/>
              <w:right w:w="20" w:type="dxa"/>
            </w:tcMar>
            <w:vAlign w:val="center"/>
          </w:tcPr>
          <w:p w14:paraId="6F407442" w14:textId="1BEF8476" w:rsidR="00404D38" w:rsidRPr="00471170" w:rsidRDefault="00D075E4"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Not addressed</w:t>
            </w:r>
            <w:r w:rsidR="003B3B75">
              <w:rPr>
                <w:rFonts w:eastAsia="Times New Roman" w:cs="Arial"/>
                <w:bCs w:val="0"/>
                <w:snapToGrid w:val="0"/>
                <w:color w:val="000000" w:themeColor="text1"/>
                <w:szCs w:val="20"/>
              </w:rPr>
              <w:t>.</w:t>
            </w:r>
          </w:p>
          <w:p w14:paraId="32739B2E" w14:textId="153C4B88" w:rsidR="00D075E4" w:rsidRPr="00471170" w:rsidRDefault="00D075E4"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There was no change to the prevalence rate</w:t>
            </w:r>
            <w:r w:rsidR="00877D1A" w:rsidRPr="00471170">
              <w:rPr>
                <w:rFonts w:eastAsia="Times New Roman" w:cs="Arial"/>
                <w:bCs w:val="0"/>
                <w:snapToGrid w:val="0"/>
                <w:color w:val="000000" w:themeColor="text1"/>
                <w:szCs w:val="20"/>
              </w:rPr>
              <w:t xml:space="preserve"> and therefore the number of prevalent patients may be overestimated.</w:t>
            </w:r>
          </w:p>
        </w:tc>
      </w:tr>
      <w:tr w:rsidR="00D075E4" w:rsidRPr="0098262F" w14:paraId="7E8B77DE" w14:textId="77777777" w:rsidTr="00624D32">
        <w:trPr>
          <w:cantSplit/>
        </w:trPr>
        <w:tc>
          <w:tcPr>
            <w:tcW w:w="651" w:type="pct"/>
            <w:tcBorders>
              <w:top w:val="nil"/>
              <w:bottom w:val="nil"/>
            </w:tcBorders>
            <w:tcMar>
              <w:left w:w="20" w:type="dxa"/>
              <w:right w:w="20" w:type="dxa"/>
            </w:tcMar>
            <w:vAlign w:val="center"/>
          </w:tcPr>
          <w:p w14:paraId="0FBE1377" w14:textId="77777777" w:rsidR="00D075E4" w:rsidRPr="00471170" w:rsidRDefault="00D075E4" w:rsidP="00D5565C">
            <w:pPr>
              <w:pStyle w:val="TableText0"/>
              <w:keepNext w:val="0"/>
            </w:pPr>
          </w:p>
        </w:tc>
        <w:tc>
          <w:tcPr>
            <w:tcW w:w="2098" w:type="pct"/>
            <w:tcBorders>
              <w:bottom w:val="single" w:sz="4" w:space="0" w:color="auto"/>
            </w:tcBorders>
            <w:tcMar>
              <w:left w:w="20" w:type="dxa"/>
              <w:right w:w="20" w:type="dxa"/>
            </w:tcMar>
            <w:vAlign w:val="center"/>
          </w:tcPr>
          <w:p w14:paraId="09FD824B" w14:textId="0CA17155" w:rsidR="00D075E4" w:rsidRPr="00471170" w:rsidRDefault="00D075E4"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DUSC considered that the incidence rate [of 6 patients per year] may be overestimated. (Table 21, </w:t>
            </w:r>
            <w:r w:rsidR="007537F2" w:rsidRPr="00471170">
              <w:rPr>
                <w:rFonts w:eastAsia="Times New Roman" w:cs="Arial"/>
                <w:bCs w:val="0"/>
                <w:snapToGrid w:val="0"/>
                <w:color w:val="000000" w:themeColor="text1"/>
                <w:szCs w:val="20"/>
              </w:rPr>
              <w:t>July 2024 PSD).</w:t>
            </w:r>
          </w:p>
        </w:tc>
        <w:tc>
          <w:tcPr>
            <w:tcW w:w="2251" w:type="pct"/>
            <w:tcBorders>
              <w:bottom w:val="single" w:sz="4" w:space="0" w:color="auto"/>
            </w:tcBorders>
            <w:tcMar>
              <w:left w:w="20" w:type="dxa"/>
              <w:right w:w="20" w:type="dxa"/>
            </w:tcMar>
            <w:vAlign w:val="center"/>
          </w:tcPr>
          <w:p w14:paraId="64E714DA" w14:textId="08D39399" w:rsidR="00D075E4" w:rsidRPr="00471170" w:rsidRDefault="00D075E4"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Addressed</w:t>
            </w:r>
            <w:r w:rsidR="003B3B75">
              <w:rPr>
                <w:rFonts w:eastAsia="Times New Roman" w:cs="Arial"/>
                <w:bCs w:val="0"/>
                <w:snapToGrid w:val="0"/>
                <w:color w:val="000000" w:themeColor="text1"/>
                <w:szCs w:val="20"/>
              </w:rPr>
              <w:t>.</w:t>
            </w:r>
          </w:p>
          <w:p w14:paraId="5D7C245A" w14:textId="5C9126EB" w:rsidR="00D075E4" w:rsidRPr="00471170" w:rsidRDefault="00D075E4"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incident rate was reduced to 4 patients per year</w:t>
            </w:r>
            <w:r w:rsidR="00550A7A" w:rsidRPr="00471170">
              <w:rPr>
                <w:rFonts w:eastAsia="Times New Roman" w:cs="Arial"/>
                <w:bCs w:val="0"/>
                <w:snapToGrid w:val="0"/>
                <w:color w:val="000000" w:themeColor="text1"/>
                <w:szCs w:val="20"/>
              </w:rPr>
              <w:t xml:space="preserve">, which aligned with the Facilitated Resolution Pathway Workshop </w:t>
            </w:r>
            <w:r w:rsidR="0073284D" w:rsidRPr="00471170">
              <w:rPr>
                <w:rFonts w:eastAsia="Times New Roman" w:cs="Arial"/>
                <w:bCs w:val="0"/>
                <w:snapToGrid w:val="0"/>
                <w:color w:val="000000" w:themeColor="text1"/>
                <w:szCs w:val="20"/>
              </w:rPr>
              <w:t>discussion</w:t>
            </w:r>
            <w:r w:rsidRPr="00471170">
              <w:rPr>
                <w:rFonts w:eastAsia="Times New Roman" w:cs="Arial"/>
                <w:bCs w:val="0"/>
                <w:snapToGrid w:val="0"/>
                <w:color w:val="000000" w:themeColor="text1"/>
                <w:szCs w:val="20"/>
              </w:rPr>
              <w:t>.</w:t>
            </w:r>
          </w:p>
        </w:tc>
      </w:tr>
      <w:tr w:rsidR="00D075E4" w:rsidRPr="0098262F" w14:paraId="02BEBA13" w14:textId="77777777" w:rsidTr="00624D32">
        <w:trPr>
          <w:cantSplit/>
        </w:trPr>
        <w:tc>
          <w:tcPr>
            <w:tcW w:w="651" w:type="pct"/>
            <w:tcBorders>
              <w:top w:val="nil"/>
              <w:bottom w:val="nil"/>
            </w:tcBorders>
            <w:tcMar>
              <w:left w:w="20" w:type="dxa"/>
              <w:right w:w="20" w:type="dxa"/>
            </w:tcMar>
            <w:vAlign w:val="center"/>
          </w:tcPr>
          <w:p w14:paraId="5E1FB8AE" w14:textId="77777777" w:rsidR="00D075E4" w:rsidRPr="00471170" w:rsidRDefault="00D075E4" w:rsidP="00D5565C">
            <w:pPr>
              <w:pStyle w:val="TableText0"/>
              <w:keepNext w:val="0"/>
            </w:pPr>
          </w:p>
        </w:tc>
        <w:tc>
          <w:tcPr>
            <w:tcW w:w="2098" w:type="pct"/>
            <w:tcBorders>
              <w:bottom w:val="single" w:sz="4" w:space="0" w:color="auto"/>
            </w:tcBorders>
            <w:tcMar>
              <w:left w:w="20" w:type="dxa"/>
              <w:right w:w="20" w:type="dxa"/>
            </w:tcMar>
            <w:vAlign w:val="center"/>
          </w:tcPr>
          <w:p w14:paraId="7E5A7E79" w14:textId="77777777" w:rsidR="007537F2" w:rsidRPr="00471170" w:rsidRDefault="007537F2"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PBAC considered the utilisation of odevixibat would depend on the average age</w:t>
            </w:r>
          </w:p>
          <w:p w14:paraId="01FCE546" w14:textId="309A3AA3" w:rsidR="00D075E4" w:rsidRPr="00471170" w:rsidRDefault="007537F2"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at initiation of treatment and the response rate, both of which may have been overestimated in the submission. (</w:t>
            </w:r>
            <w:r w:rsidR="00301E64">
              <w:rPr>
                <w:rFonts w:eastAsia="Times New Roman" w:cs="Arial"/>
                <w:bCs w:val="0"/>
                <w:snapToGrid w:val="0"/>
                <w:color w:val="000000" w:themeColor="text1"/>
                <w:szCs w:val="20"/>
              </w:rPr>
              <w:t>paragraph</w:t>
            </w:r>
            <w:r w:rsidRPr="00471170">
              <w:rPr>
                <w:rFonts w:eastAsia="Times New Roman" w:cs="Arial"/>
                <w:bCs w:val="0"/>
                <w:snapToGrid w:val="0"/>
                <w:color w:val="000000" w:themeColor="text1"/>
                <w:szCs w:val="20"/>
              </w:rPr>
              <w:t xml:space="preserve"> 7.23, July 2024 PSD).</w:t>
            </w:r>
            <w:r w:rsidR="00DD2CDD" w:rsidRPr="00471170">
              <w:rPr>
                <w:rFonts w:eastAsia="Times New Roman" w:cs="Arial"/>
                <w:bCs w:val="0"/>
                <w:snapToGrid w:val="0"/>
                <w:color w:val="000000" w:themeColor="text1"/>
                <w:szCs w:val="20"/>
              </w:rPr>
              <w:t xml:space="preserve"> DUSC considered that the submission had overestimated the average age of prevalent</w:t>
            </w:r>
            <w:r w:rsidR="00255AF5">
              <w:rPr>
                <w:rFonts w:eastAsia="Times New Roman" w:cs="Arial"/>
                <w:bCs w:val="0"/>
                <w:snapToGrid w:val="0"/>
                <w:color w:val="000000" w:themeColor="text1"/>
                <w:szCs w:val="20"/>
              </w:rPr>
              <w:t xml:space="preserve"> </w:t>
            </w:r>
            <w:r w:rsidR="00DD2CDD" w:rsidRPr="00471170">
              <w:rPr>
                <w:rFonts w:eastAsia="Times New Roman" w:cs="Arial"/>
                <w:bCs w:val="0"/>
                <w:snapToGrid w:val="0"/>
                <w:color w:val="000000" w:themeColor="text1"/>
                <w:szCs w:val="20"/>
              </w:rPr>
              <w:t>patients at initiation of treatment (</w:t>
            </w:r>
            <w:r w:rsidR="00301E64">
              <w:rPr>
                <w:rFonts w:eastAsia="Times New Roman" w:cs="Arial"/>
                <w:bCs w:val="0"/>
                <w:snapToGrid w:val="0"/>
                <w:color w:val="000000" w:themeColor="text1"/>
                <w:szCs w:val="20"/>
              </w:rPr>
              <w:t>paragraph</w:t>
            </w:r>
            <w:r w:rsidR="007557E4">
              <w:rPr>
                <w:rFonts w:eastAsia="Times New Roman" w:cs="Arial"/>
                <w:bCs w:val="0"/>
                <w:snapToGrid w:val="0"/>
                <w:color w:val="000000" w:themeColor="text1"/>
                <w:szCs w:val="20"/>
              </w:rPr>
              <w:t xml:space="preserve"> </w:t>
            </w:r>
            <w:r w:rsidR="00DD2CDD" w:rsidRPr="00471170">
              <w:rPr>
                <w:rFonts w:eastAsia="Times New Roman" w:cs="Arial"/>
                <w:bCs w:val="0"/>
                <w:snapToGrid w:val="0"/>
                <w:color w:val="000000" w:themeColor="text1"/>
                <w:szCs w:val="20"/>
              </w:rPr>
              <w:t>6.80, July 2024 PSD).</w:t>
            </w:r>
          </w:p>
        </w:tc>
        <w:tc>
          <w:tcPr>
            <w:tcW w:w="2251" w:type="pct"/>
            <w:tcBorders>
              <w:bottom w:val="single" w:sz="4" w:space="0" w:color="auto"/>
            </w:tcBorders>
            <w:tcMar>
              <w:left w:w="20" w:type="dxa"/>
              <w:right w:w="20" w:type="dxa"/>
            </w:tcMar>
            <w:vAlign w:val="center"/>
          </w:tcPr>
          <w:p w14:paraId="029392A9" w14:textId="637D5FFD" w:rsidR="00D075E4" w:rsidRPr="00471170" w:rsidRDefault="00E07271"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Partially</w:t>
            </w:r>
            <w:r w:rsidR="007537F2" w:rsidRPr="00471170">
              <w:rPr>
                <w:rFonts w:eastAsia="Times New Roman" w:cs="Arial"/>
                <w:bCs w:val="0"/>
                <w:snapToGrid w:val="0"/>
                <w:color w:val="000000" w:themeColor="text1"/>
                <w:szCs w:val="20"/>
              </w:rPr>
              <w:t xml:space="preserve"> addressed</w:t>
            </w:r>
            <w:r w:rsidR="003B3B75">
              <w:rPr>
                <w:rFonts w:eastAsia="Times New Roman" w:cs="Arial"/>
                <w:bCs w:val="0"/>
                <w:snapToGrid w:val="0"/>
                <w:color w:val="000000" w:themeColor="text1"/>
                <w:szCs w:val="20"/>
              </w:rPr>
              <w:t>.</w:t>
            </w:r>
          </w:p>
          <w:p w14:paraId="5DF45DC8" w14:textId="2987500A" w:rsidR="007537F2" w:rsidRPr="00471170" w:rsidRDefault="007537F2"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The mean age of prevalent patients was increased from 12 to 13.8 in the resubmission</w:t>
            </w:r>
            <w:r w:rsidR="00E07271" w:rsidRPr="00471170">
              <w:rPr>
                <w:rFonts w:eastAsia="Times New Roman" w:cs="Arial"/>
                <w:bCs w:val="0"/>
                <w:snapToGrid w:val="0"/>
                <w:color w:val="000000" w:themeColor="text1"/>
                <w:szCs w:val="20"/>
              </w:rPr>
              <w:t xml:space="preserve"> based on EAP data (n=12)</w:t>
            </w:r>
            <w:r w:rsidR="00D51614" w:rsidRPr="00471170">
              <w:rPr>
                <w:rFonts w:eastAsia="Times New Roman" w:cs="Arial"/>
                <w:bCs w:val="0"/>
                <w:snapToGrid w:val="0"/>
                <w:color w:val="000000" w:themeColor="text1"/>
                <w:szCs w:val="20"/>
              </w:rPr>
              <w:t>. This was consistent</w:t>
            </w:r>
            <w:r w:rsidR="00011A60" w:rsidRPr="00471170">
              <w:rPr>
                <w:rFonts w:eastAsia="Times New Roman" w:cs="Arial"/>
                <w:bCs w:val="0"/>
                <w:snapToGrid w:val="0"/>
                <w:color w:val="000000" w:themeColor="text1"/>
                <w:szCs w:val="20"/>
              </w:rPr>
              <w:t xml:space="preserve"> with Facilitated Resolution Pathway Workshop </w:t>
            </w:r>
            <w:r w:rsidR="005C605E" w:rsidRPr="00471170">
              <w:rPr>
                <w:rFonts w:eastAsia="Times New Roman" w:cs="Arial"/>
                <w:bCs w:val="0"/>
                <w:snapToGrid w:val="0"/>
                <w:color w:val="000000" w:themeColor="text1"/>
                <w:szCs w:val="20"/>
              </w:rPr>
              <w:t xml:space="preserve">discussion, </w:t>
            </w:r>
            <w:r w:rsidR="00A077F2" w:rsidRPr="00471170">
              <w:rPr>
                <w:rFonts w:eastAsia="Times New Roman" w:cs="Arial"/>
                <w:bCs w:val="0"/>
                <w:snapToGrid w:val="0"/>
                <w:color w:val="000000" w:themeColor="text1"/>
                <w:szCs w:val="20"/>
              </w:rPr>
              <w:t>al</w:t>
            </w:r>
            <w:r w:rsidR="00E07271" w:rsidRPr="00471170">
              <w:rPr>
                <w:rFonts w:eastAsia="Times New Roman" w:cs="Arial"/>
                <w:bCs w:val="0"/>
                <w:snapToGrid w:val="0"/>
                <w:color w:val="000000" w:themeColor="text1"/>
                <w:szCs w:val="20"/>
              </w:rPr>
              <w:t>though remains highly uncertain.</w:t>
            </w:r>
          </w:p>
        </w:tc>
      </w:tr>
      <w:tr w:rsidR="00D075E4" w:rsidRPr="0098262F" w14:paraId="085FF582" w14:textId="77777777" w:rsidTr="00624D32">
        <w:trPr>
          <w:cantSplit/>
        </w:trPr>
        <w:tc>
          <w:tcPr>
            <w:tcW w:w="651" w:type="pct"/>
            <w:tcBorders>
              <w:top w:val="nil"/>
              <w:bottom w:val="nil"/>
            </w:tcBorders>
            <w:tcMar>
              <w:left w:w="20" w:type="dxa"/>
              <w:right w:w="20" w:type="dxa"/>
            </w:tcMar>
            <w:vAlign w:val="center"/>
          </w:tcPr>
          <w:p w14:paraId="59C894FC" w14:textId="77777777" w:rsidR="00D075E4" w:rsidRPr="00471170" w:rsidRDefault="00D075E4" w:rsidP="00D5565C">
            <w:pPr>
              <w:pStyle w:val="TableText0"/>
              <w:keepNext w:val="0"/>
            </w:pPr>
          </w:p>
        </w:tc>
        <w:tc>
          <w:tcPr>
            <w:tcW w:w="2098" w:type="pct"/>
            <w:tcBorders>
              <w:bottom w:val="single" w:sz="4" w:space="0" w:color="auto"/>
            </w:tcBorders>
            <w:tcMar>
              <w:left w:w="20" w:type="dxa"/>
              <w:right w:w="20" w:type="dxa"/>
            </w:tcMar>
            <w:vAlign w:val="center"/>
          </w:tcPr>
          <w:p w14:paraId="4276BD1E" w14:textId="77777777" w:rsidR="00877D1A" w:rsidRPr="00471170" w:rsidRDefault="00877D1A"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DUSC agreed that it was reasonable to exclude</w:t>
            </w:r>
          </w:p>
          <w:p w14:paraId="60420675" w14:textId="005577E0" w:rsidR="00877D1A" w:rsidRPr="00471170" w:rsidRDefault="00877D1A"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LT patients, but considered the submission</w:t>
            </w:r>
            <w:r w:rsidR="004E626C">
              <w:rPr>
                <w:rFonts w:eastAsia="Times New Roman" w:cs="Arial"/>
                <w:bCs w:val="0"/>
                <w:snapToGrid w:val="0"/>
                <w:color w:val="000000" w:themeColor="text1"/>
                <w:szCs w:val="20"/>
              </w:rPr>
              <w:t>’</w:t>
            </w:r>
            <w:r w:rsidRPr="00471170">
              <w:rPr>
                <w:rFonts w:eastAsia="Times New Roman" w:cs="Arial"/>
                <w:bCs w:val="0"/>
                <w:snapToGrid w:val="0"/>
                <w:color w:val="000000" w:themeColor="text1"/>
                <w:szCs w:val="20"/>
              </w:rPr>
              <w:t>s</w:t>
            </w:r>
          </w:p>
          <w:p w14:paraId="5FFE992F" w14:textId="77777777" w:rsidR="00877D1A" w:rsidRPr="00471170" w:rsidRDefault="00877D1A"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estimate that 80% had undergone prior LT was</w:t>
            </w:r>
          </w:p>
          <w:p w14:paraId="7F0864FB" w14:textId="44BA7E1F" w:rsidR="00D075E4" w:rsidRPr="00471170" w:rsidRDefault="00877D1A"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likely an overestimate (Table 21, July 2024 PSD).</w:t>
            </w:r>
          </w:p>
        </w:tc>
        <w:tc>
          <w:tcPr>
            <w:tcW w:w="2251" w:type="pct"/>
            <w:tcBorders>
              <w:bottom w:val="single" w:sz="4" w:space="0" w:color="auto"/>
            </w:tcBorders>
            <w:tcMar>
              <w:left w:w="20" w:type="dxa"/>
              <w:right w:w="20" w:type="dxa"/>
            </w:tcMar>
            <w:vAlign w:val="center"/>
          </w:tcPr>
          <w:p w14:paraId="7D024FF1" w14:textId="2AA12CED" w:rsidR="00D075E4" w:rsidRPr="00471170" w:rsidRDefault="00877D1A"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Partially addressed</w:t>
            </w:r>
            <w:r w:rsidR="003B3B75">
              <w:rPr>
                <w:rFonts w:eastAsia="Times New Roman" w:cs="Arial"/>
                <w:bCs w:val="0"/>
                <w:snapToGrid w:val="0"/>
                <w:color w:val="000000" w:themeColor="text1"/>
                <w:szCs w:val="20"/>
              </w:rPr>
              <w:t>.</w:t>
            </w:r>
          </w:p>
          <w:p w14:paraId="0016DE6F" w14:textId="70FB783D" w:rsidR="00877D1A" w:rsidRPr="00471170" w:rsidRDefault="00877D1A"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The resubmission reduced the proportion with prior LT from 80% to 54.1%. </w:t>
            </w:r>
            <w:r w:rsidR="007A059F" w:rsidRPr="00471170">
              <w:rPr>
                <w:rFonts w:eastAsia="Times New Roman" w:cs="Arial"/>
                <w:bCs w:val="0"/>
                <w:snapToGrid w:val="0"/>
                <w:color w:val="000000" w:themeColor="text1"/>
                <w:szCs w:val="20"/>
              </w:rPr>
              <w:t xml:space="preserve">The revised eligibility calculations were consistent with Facilitated Resolution Pathway Workshop </w:t>
            </w:r>
            <w:r w:rsidR="005C605E" w:rsidRPr="00471170">
              <w:rPr>
                <w:rFonts w:eastAsia="Times New Roman" w:cs="Arial"/>
                <w:bCs w:val="0"/>
                <w:snapToGrid w:val="0"/>
                <w:color w:val="000000" w:themeColor="text1"/>
                <w:szCs w:val="20"/>
              </w:rPr>
              <w:t>discussion</w:t>
            </w:r>
            <w:r w:rsidR="007A059F" w:rsidRPr="00471170">
              <w:rPr>
                <w:rFonts w:eastAsia="Times New Roman" w:cs="Arial"/>
                <w:bCs w:val="0"/>
                <w:snapToGrid w:val="0"/>
                <w:color w:val="000000" w:themeColor="text1"/>
                <w:szCs w:val="20"/>
              </w:rPr>
              <w:t>, though i</w:t>
            </w:r>
            <w:r w:rsidRPr="00471170">
              <w:rPr>
                <w:rFonts w:eastAsia="Times New Roman" w:cs="Arial"/>
                <w:bCs w:val="0"/>
                <w:snapToGrid w:val="0"/>
                <w:color w:val="000000" w:themeColor="text1"/>
                <w:szCs w:val="20"/>
              </w:rPr>
              <w:t xml:space="preserve">t was unclear if this was reasonable due to </w:t>
            </w:r>
            <w:r w:rsidR="003B3B75">
              <w:rPr>
                <w:rFonts w:eastAsia="Times New Roman" w:cs="Arial"/>
                <w:bCs w:val="0"/>
                <w:snapToGrid w:val="0"/>
                <w:color w:val="000000" w:themeColor="text1"/>
                <w:szCs w:val="20"/>
              </w:rPr>
              <w:t xml:space="preserve">the </w:t>
            </w:r>
            <w:r w:rsidRPr="00471170">
              <w:rPr>
                <w:rFonts w:eastAsia="Times New Roman" w:cs="Arial"/>
                <w:bCs w:val="0"/>
                <w:snapToGrid w:val="0"/>
                <w:color w:val="000000" w:themeColor="text1"/>
                <w:szCs w:val="20"/>
              </w:rPr>
              <w:t>prevalence rate not being amended.</w:t>
            </w:r>
          </w:p>
        </w:tc>
      </w:tr>
      <w:tr w:rsidR="00877D1A" w:rsidRPr="0098262F" w14:paraId="383017A1" w14:textId="77777777" w:rsidTr="00624D32">
        <w:trPr>
          <w:cantSplit/>
        </w:trPr>
        <w:tc>
          <w:tcPr>
            <w:tcW w:w="651" w:type="pct"/>
            <w:tcBorders>
              <w:top w:val="nil"/>
              <w:bottom w:val="nil"/>
            </w:tcBorders>
            <w:tcMar>
              <w:left w:w="20" w:type="dxa"/>
              <w:right w:w="20" w:type="dxa"/>
            </w:tcMar>
            <w:vAlign w:val="center"/>
          </w:tcPr>
          <w:p w14:paraId="15D1EE90" w14:textId="77777777" w:rsidR="00877D1A" w:rsidRPr="00471170" w:rsidRDefault="00877D1A" w:rsidP="00D5565C">
            <w:pPr>
              <w:pStyle w:val="TableText0"/>
              <w:keepNext w:val="0"/>
            </w:pPr>
          </w:p>
        </w:tc>
        <w:tc>
          <w:tcPr>
            <w:tcW w:w="2098" w:type="pct"/>
            <w:tcBorders>
              <w:bottom w:val="single" w:sz="4" w:space="0" w:color="auto"/>
            </w:tcBorders>
            <w:tcMar>
              <w:left w:w="20" w:type="dxa"/>
              <w:right w:w="20" w:type="dxa"/>
            </w:tcMar>
            <w:vAlign w:val="center"/>
          </w:tcPr>
          <w:p w14:paraId="31B9D70A" w14:textId="4A512D3C" w:rsidR="00877D1A" w:rsidRPr="00471170" w:rsidRDefault="00877D1A"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DUSC noted that patients who have already undergone PEBD were not excluded from the PEDFIC1 trial and considered it may not be reasonable to exclude these patients from the estimates (Table 21, July 2024 PSD).</w:t>
            </w:r>
          </w:p>
        </w:tc>
        <w:tc>
          <w:tcPr>
            <w:tcW w:w="2251" w:type="pct"/>
            <w:tcBorders>
              <w:bottom w:val="single" w:sz="4" w:space="0" w:color="auto"/>
            </w:tcBorders>
            <w:tcMar>
              <w:left w:w="20" w:type="dxa"/>
              <w:right w:w="20" w:type="dxa"/>
            </w:tcMar>
            <w:vAlign w:val="center"/>
          </w:tcPr>
          <w:p w14:paraId="1D2FBFB9" w14:textId="251168FC" w:rsidR="00877D1A" w:rsidRPr="00471170" w:rsidRDefault="00877D1A"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Not addressed</w:t>
            </w:r>
            <w:r w:rsidR="003B3B75">
              <w:rPr>
                <w:rFonts w:eastAsia="Times New Roman" w:cs="Arial"/>
                <w:bCs w:val="0"/>
                <w:snapToGrid w:val="0"/>
                <w:color w:val="000000" w:themeColor="text1"/>
                <w:szCs w:val="20"/>
              </w:rPr>
              <w:t>.</w:t>
            </w:r>
          </w:p>
          <w:p w14:paraId="417B7479" w14:textId="5194C07B" w:rsidR="00DD2CDD" w:rsidRPr="00471170" w:rsidRDefault="00DD2CDD"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All p</w:t>
            </w:r>
            <w:r w:rsidR="00877D1A" w:rsidRPr="00471170">
              <w:rPr>
                <w:rFonts w:eastAsia="Times New Roman" w:cs="Arial"/>
                <w:bCs w:val="0"/>
                <w:snapToGrid w:val="0"/>
                <w:color w:val="000000" w:themeColor="text1"/>
                <w:szCs w:val="20"/>
              </w:rPr>
              <w:t>atients with prior PEBD remained excluded in the resubmission’s financial estimates</w:t>
            </w:r>
            <w:r w:rsidRPr="00471170">
              <w:rPr>
                <w:rFonts w:eastAsia="Times New Roman" w:cs="Arial"/>
                <w:bCs w:val="0"/>
                <w:snapToGrid w:val="0"/>
                <w:color w:val="000000" w:themeColor="text1"/>
                <w:szCs w:val="20"/>
              </w:rPr>
              <w:t>, which was inconsistent with Facilitated Resolution Pathway Workshop outcomes</w:t>
            </w:r>
            <w:r w:rsidR="00877D1A" w:rsidRPr="00471170">
              <w:rPr>
                <w:rFonts w:eastAsia="Times New Roman" w:cs="Arial"/>
                <w:bCs w:val="0"/>
                <w:snapToGrid w:val="0"/>
                <w:color w:val="000000" w:themeColor="text1"/>
                <w:szCs w:val="20"/>
              </w:rPr>
              <w:t>.</w:t>
            </w:r>
            <w:r w:rsidR="008A78E3" w:rsidRPr="00471170">
              <w:rPr>
                <w:rFonts w:eastAsia="Times New Roman" w:cs="Arial"/>
                <w:bCs w:val="0"/>
                <w:snapToGrid w:val="0"/>
                <w:color w:val="000000" w:themeColor="text1"/>
                <w:szCs w:val="20"/>
              </w:rPr>
              <w:t xml:space="preserve"> </w:t>
            </w:r>
          </w:p>
        </w:tc>
      </w:tr>
      <w:tr w:rsidR="00F06D7F" w:rsidRPr="0098262F" w14:paraId="24D79D3A" w14:textId="77777777" w:rsidTr="00624D32">
        <w:trPr>
          <w:cantSplit/>
        </w:trPr>
        <w:tc>
          <w:tcPr>
            <w:tcW w:w="651" w:type="pct"/>
            <w:tcBorders>
              <w:top w:val="nil"/>
              <w:bottom w:val="single" w:sz="4" w:space="0" w:color="auto"/>
            </w:tcBorders>
            <w:tcMar>
              <w:left w:w="20" w:type="dxa"/>
              <w:right w:w="20" w:type="dxa"/>
            </w:tcMar>
            <w:vAlign w:val="center"/>
          </w:tcPr>
          <w:p w14:paraId="5BBCAB37" w14:textId="77777777" w:rsidR="00F06D7F" w:rsidRPr="00471170" w:rsidRDefault="00F06D7F" w:rsidP="00D5565C">
            <w:pPr>
              <w:pStyle w:val="TableText0"/>
              <w:keepNext w:val="0"/>
            </w:pPr>
          </w:p>
        </w:tc>
        <w:tc>
          <w:tcPr>
            <w:tcW w:w="2098" w:type="pct"/>
            <w:tcBorders>
              <w:bottom w:val="single" w:sz="4" w:space="0" w:color="auto"/>
            </w:tcBorders>
            <w:tcMar>
              <w:left w:w="20" w:type="dxa"/>
              <w:right w:w="20" w:type="dxa"/>
            </w:tcMar>
            <w:vAlign w:val="center"/>
          </w:tcPr>
          <w:p w14:paraId="70013F82" w14:textId="2F07201A" w:rsidR="00F06D7F" w:rsidRPr="00471170" w:rsidRDefault="00F06D7F" w:rsidP="00E7561F">
            <w:pPr>
              <w:pStyle w:val="TableText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DUSC noted that patients initiated on 120</w:t>
            </w:r>
            <w:r w:rsidR="0017081E">
              <w:rPr>
                <w:rFonts w:eastAsia="Times New Roman" w:cs="Arial"/>
                <w:bCs w:val="0"/>
                <w:snapToGrid w:val="0"/>
                <w:color w:val="000000" w:themeColor="text1"/>
                <w:szCs w:val="20"/>
              </w:rPr>
              <w:t> mcg</w:t>
            </w:r>
            <w:r w:rsidRPr="00471170">
              <w:rPr>
                <w:rFonts w:eastAsia="Times New Roman" w:cs="Arial"/>
                <w:bCs w:val="0"/>
                <w:snapToGrid w:val="0"/>
                <w:color w:val="000000" w:themeColor="text1"/>
                <w:szCs w:val="20"/>
              </w:rPr>
              <w:t>/kg did not respond as well at 22 weeks (21.1%), and the response of patients who up-titrated could not be verified, which increases uncertainty (Table 21, July 2024 PSD).</w:t>
            </w:r>
          </w:p>
        </w:tc>
        <w:tc>
          <w:tcPr>
            <w:tcW w:w="2251" w:type="pct"/>
            <w:tcBorders>
              <w:bottom w:val="single" w:sz="4" w:space="0" w:color="auto"/>
            </w:tcBorders>
            <w:tcMar>
              <w:left w:w="20" w:type="dxa"/>
              <w:right w:w="20" w:type="dxa"/>
            </w:tcMar>
            <w:vAlign w:val="center"/>
          </w:tcPr>
          <w:p w14:paraId="0E53FE0F" w14:textId="0EAF427F" w:rsidR="00F06D7F" w:rsidRPr="00471170" w:rsidRDefault="00F06D7F"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Not addressed</w:t>
            </w:r>
            <w:r w:rsidR="003B3B75">
              <w:rPr>
                <w:rFonts w:eastAsia="Times New Roman" w:cs="Arial"/>
                <w:bCs w:val="0"/>
                <w:snapToGrid w:val="0"/>
                <w:color w:val="000000" w:themeColor="text1"/>
                <w:szCs w:val="20"/>
              </w:rPr>
              <w:t>.</w:t>
            </w:r>
          </w:p>
          <w:p w14:paraId="7AEE58F5" w14:textId="7B382B44" w:rsidR="00F06D7F" w:rsidRPr="00471170" w:rsidDel="00DD2CDD" w:rsidRDefault="00F06D7F" w:rsidP="00E7561F">
            <w:pPr>
              <w:pStyle w:val="TableText0"/>
              <w:keepNext w:val="0"/>
              <w:rPr>
                <w:rFonts w:eastAsia="Times New Roman" w:cs="Arial"/>
                <w:bCs w:val="0"/>
                <w:snapToGrid w:val="0"/>
                <w:color w:val="000000" w:themeColor="text1"/>
                <w:szCs w:val="20"/>
              </w:rPr>
            </w:pPr>
            <w:r w:rsidRPr="00471170">
              <w:rPr>
                <w:rFonts w:eastAsia="Times New Roman" w:cs="Arial"/>
                <w:bCs w:val="0"/>
                <w:snapToGrid w:val="0"/>
                <w:color w:val="000000" w:themeColor="text1"/>
                <w:szCs w:val="20"/>
              </w:rPr>
              <w:t xml:space="preserve">The Facilitated Resolution Pathway Workshop </w:t>
            </w:r>
            <w:r w:rsidR="005C605E" w:rsidRPr="00471170">
              <w:rPr>
                <w:rFonts w:eastAsia="Times New Roman" w:cs="Arial"/>
                <w:bCs w:val="0"/>
                <w:snapToGrid w:val="0"/>
                <w:color w:val="000000" w:themeColor="text1"/>
                <w:szCs w:val="20"/>
              </w:rPr>
              <w:t xml:space="preserve">discussion document </w:t>
            </w:r>
            <w:r w:rsidRPr="00471170">
              <w:rPr>
                <w:rFonts w:eastAsia="Times New Roman" w:cs="Arial"/>
                <w:bCs w:val="0"/>
                <w:snapToGrid w:val="0"/>
                <w:color w:val="000000" w:themeColor="text1"/>
                <w:szCs w:val="20"/>
              </w:rPr>
              <w:t xml:space="preserve">stated that response rates </w:t>
            </w:r>
            <w:r w:rsidR="00511BA1" w:rsidRPr="00471170">
              <w:rPr>
                <w:rFonts w:eastAsia="Times New Roman" w:cs="Arial"/>
                <w:bCs w:val="0"/>
                <w:snapToGrid w:val="0"/>
                <w:color w:val="000000" w:themeColor="text1"/>
                <w:szCs w:val="20"/>
              </w:rPr>
              <w:t>would</w:t>
            </w:r>
            <w:r w:rsidRPr="00471170">
              <w:rPr>
                <w:rFonts w:eastAsia="Times New Roman" w:cs="Arial"/>
                <w:bCs w:val="0"/>
                <w:snapToGrid w:val="0"/>
                <w:color w:val="000000" w:themeColor="text1"/>
                <w:szCs w:val="20"/>
              </w:rPr>
              <w:t xml:space="preserve"> align with economic model assumptions. </w:t>
            </w:r>
            <w:r w:rsidR="00511BA1" w:rsidRPr="00471170">
              <w:rPr>
                <w:rFonts w:eastAsia="Times New Roman" w:cs="Arial"/>
                <w:bCs w:val="0"/>
                <w:snapToGrid w:val="0"/>
                <w:color w:val="000000" w:themeColor="text1"/>
                <w:szCs w:val="20"/>
              </w:rPr>
              <w:t>However, t</w:t>
            </w:r>
            <w:r w:rsidRPr="00471170">
              <w:rPr>
                <w:rFonts w:eastAsia="Times New Roman" w:cs="Arial"/>
                <w:bCs w:val="0"/>
                <w:snapToGrid w:val="0"/>
                <w:color w:val="000000" w:themeColor="text1"/>
                <w:szCs w:val="20"/>
              </w:rPr>
              <w:t xml:space="preserve">he </w:t>
            </w:r>
            <w:r w:rsidR="00511BA1" w:rsidRPr="00471170">
              <w:rPr>
                <w:rFonts w:eastAsia="Times New Roman" w:cs="Arial"/>
                <w:bCs w:val="0"/>
                <w:snapToGrid w:val="0"/>
                <w:color w:val="000000" w:themeColor="text1"/>
                <w:szCs w:val="20"/>
              </w:rPr>
              <w:t xml:space="preserve">resubmission’s </w:t>
            </w:r>
            <w:r w:rsidRPr="00471170">
              <w:rPr>
                <w:rFonts w:eastAsia="Times New Roman" w:cs="Arial"/>
                <w:bCs w:val="0"/>
                <w:snapToGrid w:val="0"/>
                <w:color w:val="000000" w:themeColor="text1"/>
                <w:szCs w:val="20"/>
              </w:rPr>
              <w:t>economic model used a response rate of 43.5% (PEDFIC1 40</w:t>
            </w:r>
            <w:r w:rsidR="0017081E">
              <w:rPr>
                <w:rFonts w:eastAsia="Times New Roman" w:cs="Arial"/>
                <w:bCs w:val="0"/>
                <w:snapToGrid w:val="0"/>
                <w:color w:val="000000" w:themeColor="text1"/>
                <w:szCs w:val="20"/>
              </w:rPr>
              <w:t> mcg</w:t>
            </w:r>
            <w:r w:rsidRPr="00471170">
              <w:rPr>
                <w:rFonts w:eastAsia="Times New Roman" w:cs="Arial"/>
                <w:bCs w:val="0"/>
                <w:snapToGrid w:val="0"/>
                <w:color w:val="000000" w:themeColor="text1"/>
                <w:szCs w:val="20"/>
              </w:rPr>
              <w:t>/kg 24-week response)</w:t>
            </w:r>
            <w:r w:rsidR="00511BA1" w:rsidRPr="00471170">
              <w:rPr>
                <w:rFonts w:eastAsia="Times New Roman" w:cs="Arial"/>
                <w:bCs w:val="0"/>
                <w:snapToGrid w:val="0"/>
                <w:color w:val="000000" w:themeColor="text1"/>
                <w:szCs w:val="20"/>
              </w:rPr>
              <w:t xml:space="preserve"> versus 58% in the </w:t>
            </w:r>
            <w:r w:rsidR="005D2571" w:rsidRPr="00471170">
              <w:rPr>
                <w:rFonts w:eastAsia="Times New Roman" w:cs="Arial"/>
                <w:bCs w:val="0"/>
                <w:snapToGrid w:val="0"/>
                <w:color w:val="000000" w:themeColor="text1"/>
                <w:szCs w:val="20"/>
              </w:rPr>
              <w:t>financial estimates</w:t>
            </w:r>
            <w:r w:rsidR="00511BA1" w:rsidRPr="00471170">
              <w:rPr>
                <w:rFonts w:eastAsia="Times New Roman" w:cs="Arial"/>
                <w:bCs w:val="0"/>
                <w:snapToGrid w:val="0"/>
                <w:color w:val="000000" w:themeColor="text1"/>
                <w:szCs w:val="20"/>
              </w:rPr>
              <w:t>.</w:t>
            </w:r>
          </w:p>
        </w:tc>
      </w:tr>
      <w:tr w:rsidR="00404D38" w:rsidRPr="0098262F" w14:paraId="120FA08C" w14:textId="77777777" w:rsidTr="00624D32">
        <w:trPr>
          <w:cantSplit/>
        </w:trPr>
        <w:tc>
          <w:tcPr>
            <w:tcW w:w="5000" w:type="pct"/>
            <w:gridSpan w:val="3"/>
            <w:tcBorders>
              <w:left w:val="nil"/>
              <w:bottom w:val="nil"/>
              <w:right w:val="nil"/>
            </w:tcBorders>
            <w:tcMar>
              <w:left w:w="20" w:type="dxa"/>
              <w:right w:w="20" w:type="dxa"/>
            </w:tcMar>
            <w:vAlign w:val="center"/>
          </w:tcPr>
          <w:p w14:paraId="7A87C4F7" w14:textId="4544A59D" w:rsidR="00404D38" w:rsidRPr="00471170" w:rsidRDefault="00404D38" w:rsidP="00E7561F">
            <w:pPr>
              <w:pStyle w:val="Tabletext"/>
              <w:rPr>
                <w:sz w:val="18"/>
                <w:szCs w:val="22"/>
              </w:rPr>
            </w:pPr>
            <w:r w:rsidRPr="00471170">
              <w:rPr>
                <w:sz w:val="18"/>
                <w:szCs w:val="22"/>
              </w:rPr>
              <w:t>Source: Tables 1-1, 3-1 and 4-1 of the resubmission</w:t>
            </w:r>
            <w:r w:rsidR="00D3338D" w:rsidRPr="00471170">
              <w:rPr>
                <w:sz w:val="18"/>
                <w:szCs w:val="22"/>
              </w:rPr>
              <w:br/>
              <w:t>Note: Italicised text reflects comments added during evaluation</w:t>
            </w:r>
          </w:p>
          <w:p w14:paraId="079843C5" w14:textId="088DF756" w:rsidR="0005446B" w:rsidRDefault="00404D38" w:rsidP="003F58BF">
            <w:pPr>
              <w:pStyle w:val="Tabletext"/>
              <w:spacing w:after="120"/>
              <w:rPr>
                <w:sz w:val="18"/>
                <w:szCs w:val="22"/>
              </w:rPr>
            </w:pPr>
            <w:r w:rsidRPr="00471170">
              <w:rPr>
                <w:sz w:val="18"/>
                <w:szCs w:val="22"/>
              </w:rPr>
              <w:t xml:space="preserve">Abbreviations: </w:t>
            </w:r>
            <w:r w:rsidR="00E07271" w:rsidRPr="00471170">
              <w:rPr>
                <w:sz w:val="18"/>
                <w:szCs w:val="22"/>
              </w:rPr>
              <w:t>EAP = early access program;</w:t>
            </w:r>
            <w:r w:rsidR="00D3338D" w:rsidRPr="00471170">
              <w:rPr>
                <w:sz w:val="18"/>
                <w:szCs w:val="22"/>
              </w:rPr>
              <w:t xml:space="preserve"> LT = liver transplant; </w:t>
            </w:r>
            <w:r w:rsidR="00A0031C" w:rsidRPr="00471170">
              <w:rPr>
                <w:sz w:val="18"/>
                <w:szCs w:val="22"/>
              </w:rPr>
              <w:t xml:space="preserve">para = paragraph; </w:t>
            </w:r>
            <w:r w:rsidR="00D3338D" w:rsidRPr="00471170">
              <w:rPr>
                <w:sz w:val="18"/>
                <w:szCs w:val="22"/>
              </w:rPr>
              <w:t>PEBD = partial external biliary diversion surgery;</w:t>
            </w:r>
            <w:r w:rsidR="00E07271" w:rsidRPr="00471170">
              <w:rPr>
                <w:sz w:val="18"/>
                <w:szCs w:val="22"/>
              </w:rPr>
              <w:t xml:space="preserve"> </w:t>
            </w:r>
            <w:r w:rsidRPr="00471170">
              <w:rPr>
                <w:sz w:val="18"/>
                <w:szCs w:val="22"/>
              </w:rPr>
              <w:t>RSA = risk share arrangement</w:t>
            </w:r>
            <w:r w:rsidR="00BB15A4" w:rsidRPr="00471170">
              <w:rPr>
                <w:sz w:val="18"/>
                <w:szCs w:val="22"/>
              </w:rPr>
              <w:t>; SOC = standard of care</w:t>
            </w:r>
            <w:r w:rsidR="00BB15A4" w:rsidRPr="00471170">
              <w:rPr>
                <w:sz w:val="18"/>
                <w:szCs w:val="22"/>
              </w:rPr>
              <w:br/>
            </w:r>
            <w:r w:rsidR="00BB15A4" w:rsidRPr="00471170">
              <w:rPr>
                <w:sz w:val="18"/>
                <w:szCs w:val="22"/>
                <w:vertAlign w:val="superscript"/>
              </w:rPr>
              <w:t xml:space="preserve">a </w:t>
            </w:r>
            <w:r w:rsidR="00BB15A4" w:rsidRPr="00471170">
              <w:rPr>
                <w:sz w:val="18"/>
                <w:szCs w:val="22"/>
              </w:rPr>
              <w:t>The nominated comparator of SOC included off-label use of medicines such as ursodeoxycholic acid and rifampicin, as well as PEBD, as a proxy for all SBDs, and LT.</w:t>
            </w:r>
          </w:p>
          <w:p w14:paraId="459C23A1" w14:textId="4C71EA77" w:rsidR="0005446B" w:rsidRPr="00A90134" w:rsidRDefault="00A90134" w:rsidP="00A90134">
            <w:pPr>
              <w:pStyle w:val="3-BodyText"/>
              <w:numPr>
                <w:ilvl w:val="0"/>
                <w:numId w:val="0"/>
              </w:numPr>
              <w:ind w:left="720"/>
              <w:rPr>
                <w:i/>
                <w:iCs/>
              </w:rPr>
            </w:pPr>
            <w:r w:rsidRPr="00A90134">
              <w:rPr>
                <w:i/>
                <w:iCs/>
              </w:rPr>
              <w:t>For more detail on PBAC’s view, see section 7 PBAC outcome.</w:t>
            </w:r>
          </w:p>
        </w:tc>
      </w:tr>
    </w:tbl>
    <w:p w14:paraId="0E212452" w14:textId="49028102" w:rsidR="00404D38" w:rsidRPr="0098262F" w:rsidRDefault="00404D38" w:rsidP="00404D38">
      <w:pPr>
        <w:pStyle w:val="2-SectionHeading"/>
        <w:numPr>
          <w:ilvl w:val="0"/>
          <w:numId w:val="1"/>
        </w:numPr>
      </w:pPr>
      <w:bookmarkStart w:id="15" w:name="_Toc188451871"/>
      <w:r w:rsidRPr="0098262F">
        <w:t>Requested listing</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Requested listing"/>
      </w:tblPr>
      <w:tblGrid>
        <w:gridCol w:w="2035"/>
        <w:gridCol w:w="937"/>
        <w:gridCol w:w="2126"/>
        <w:gridCol w:w="993"/>
        <w:gridCol w:w="992"/>
        <w:gridCol w:w="992"/>
        <w:gridCol w:w="942"/>
      </w:tblGrid>
      <w:tr w:rsidR="00404D38" w:rsidRPr="0098262F" w14:paraId="65B92F38" w14:textId="77777777" w:rsidTr="00D84987">
        <w:trPr>
          <w:cantSplit/>
          <w:trHeight w:val="20"/>
          <w:tblHeader/>
        </w:trPr>
        <w:tc>
          <w:tcPr>
            <w:tcW w:w="2972" w:type="dxa"/>
            <w:gridSpan w:val="2"/>
            <w:tcMar>
              <w:left w:w="40" w:type="dxa"/>
              <w:right w:w="40" w:type="dxa"/>
            </w:tcMar>
            <w:vAlign w:val="center"/>
          </w:tcPr>
          <w:p w14:paraId="287B24E6" w14:textId="77777777" w:rsidR="00404D38" w:rsidRPr="0098262F" w:rsidRDefault="00404D38" w:rsidP="00105722">
            <w:pPr>
              <w:keepLines/>
              <w:rPr>
                <w:rFonts w:ascii="Arial Narrow" w:hAnsi="Arial Narrow"/>
                <w:b/>
                <w:bCs/>
                <w:sz w:val="20"/>
                <w:szCs w:val="20"/>
              </w:rPr>
            </w:pPr>
            <w:bookmarkStart w:id="16" w:name="_Hlk104809055"/>
            <w:r w:rsidRPr="0098262F">
              <w:rPr>
                <w:rFonts w:ascii="Arial Narrow" w:hAnsi="Arial Narrow"/>
                <w:b/>
                <w:bCs/>
                <w:sz w:val="20"/>
                <w:szCs w:val="20"/>
              </w:rPr>
              <w:t>MEDICINAL PRODUCT</w:t>
            </w:r>
          </w:p>
          <w:p w14:paraId="17434D7F" w14:textId="77777777" w:rsidR="00404D38" w:rsidRPr="0098262F" w:rsidRDefault="00404D38" w:rsidP="00105722">
            <w:pPr>
              <w:keepLines/>
              <w:rPr>
                <w:rFonts w:ascii="Arial Narrow" w:hAnsi="Arial Narrow"/>
                <w:b/>
                <w:sz w:val="20"/>
                <w:szCs w:val="20"/>
              </w:rPr>
            </w:pPr>
            <w:r w:rsidRPr="0098262F">
              <w:rPr>
                <w:rFonts w:ascii="Arial Narrow" w:hAnsi="Arial Narrow"/>
                <w:b/>
                <w:bCs/>
                <w:sz w:val="20"/>
                <w:szCs w:val="20"/>
              </w:rPr>
              <w:t>medicinal product pack</w:t>
            </w:r>
          </w:p>
        </w:tc>
        <w:tc>
          <w:tcPr>
            <w:tcW w:w="2126" w:type="dxa"/>
            <w:tcMar>
              <w:left w:w="40" w:type="dxa"/>
              <w:right w:w="40" w:type="dxa"/>
            </w:tcMar>
            <w:vAlign w:val="center"/>
          </w:tcPr>
          <w:p w14:paraId="0C00AE9F" w14:textId="77777777" w:rsidR="00404D38" w:rsidRPr="0098262F" w:rsidRDefault="00404D38" w:rsidP="00105722">
            <w:pPr>
              <w:pStyle w:val="TableText0"/>
              <w:keepNext w:val="0"/>
              <w:rPr>
                <w:b/>
                <w:bCs w:val="0"/>
                <w:szCs w:val="20"/>
              </w:rPr>
            </w:pPr>
            <w:r w:rsidRPr="0098262F">
              <w:rPr>
                <w:b/>
                <w:bCs w:val="0"/>
                <w:snapToGrid w:val="0"/>
              </w:rPr>
              <w:t xml:space="preserve">Dispensed Price for Max. Qty </w:t>
            </w:r>
          </w:p>
        </w:tc>
        <w:tc>
          <w:tcPr>
            <w:tcW w:w="993" w:type="dxa"/>
            <w:tcMar>
              <w:left w:w="40" w:type="dxa"/>
              <w:right w:w="40" w:type="dxa"/>
            </w:tcMar>
            <w:vAlign w:val="center"/>
          </w:tcPr>
          <w:p w14:paraId="1137C70E" w14:textId="77777777" w:rsidR="00404D38" w:rsidRPr="0098262F" w:rsidRDefault="00404D38" w:rsidP="00105722">
            <w:pPr>
              <w:keepLines/>
              <w:jc w:val="center"/>
              <w:rPr>
                <w:rFonts w:ascii="Arial Narrow" w:hAnsi="Arial Narrow"/>
                <w:b/>
                <w:sz w:val="20"/>
                <w:szCs w:val="20"/>
              </w:rPr>
            </w:pPr>
            <w:r w:rsidRPr="0098262F">
              <w:rPr>
                <w:rFonts w:ascii="Arial Narrow" w:hAnsi="Arial Narrow"/>
                <w:b/>
                <w:sz w:val="20"/>
                <w:szCs w:val="20"/>
              </w:rPr>
              <w:t>Max. qty packs</w:t>
            </w:r>
          </w:p>
        </w:tc>
        <w:tc>
          <w:tcPr>
            <w:tcW w:w="992" w:type="dxa"/>
            <w:tcMar>
              <w:left w:w="40" w:type="dxa"/>
              <w:right w:w="40" w:type="dxa"/>
            </w:tcMar>
            <w:vAlign w:val="center"/>
          </w:tcPr>
          <w:p w14:paraId="23DC2DE4" w14:textId="77777777" w:rsidR="00404D38" w:rsidRPr="0098262F" w:rsidRDefault="00404D38" w:rsidP="00105722">
            <w:pPr>
              <w:keepLines/>
              <w:jc w:val="center"/>
              <w:rPr>
                <w:rFonts w:ascii="Arial Narrow" w:hAnsi="Arial Narrow"/>
                <w:b/>
                <w:sz w:val="20"/>
                <w:szCs w:val="20"/>
              </w:rPr>
            </w:pPr>
            <w:r w:rsidRPr="0098262F">
              <w:rPr>
                <w:rFonts w:ascii="Arial Narrow" w:hAnsi="Arial Narrow"/>
                <w:b/>
                <w:sz w:val="20"/>
                <w:szCs w:val="20"/>
              </w:rPr>
              <w:t>Max. qty units</w:t>
            </w:r>
          </w:p>
        </w:tc>
        <w:tc>
          <w:tcPr>
            <w:tcW w:w="992" w:type="dxa"/>
            <w:tcMar>
              <w:left w:w="40" w:type="dxa"/>
              <w:right w:w="40" w:type="dxa"/>
            </w:tcMar>
            <w:vAlign w:val="center"/>
          </w:tcPr>
          <w:p w14:paraId="50D95A72" w14:textId="443FB4AF" w:rsidR="00404D38" w:rsidRPr="0098262F" w:rsidRDefault="00404D38" w:rsidP="00105722">
            <w:pPr>
              <w:keepLines/>
              <w:jc w:val="center"/>
              <w:rPr>
                <w:rFonts w:ascii="Arial Narrow" w:hAnsi="Arial Narrow"/>
                <w:b/>
                <w:sz w:val="20"/>
                <w:szCs w:val="20"/>
              </w:rPr>
            </w:pPr>
            <w:r w:rsidRPr="0098262F">
              <w:rPr>
                <w:rFonts w:ascii="Arial Narrow" w:hAnsi="Arial Narrow"/>
                <w:b/>
                <w:sz w:val="20"/>
                <w:szCs w:val="20"/>
              </w:rPr>
              <w:t>№.</w:t>
            </w:r>
            <w:r w:rsidR="00A46719">
              <w:rPr>
                <w:rFonts w:ascii="Arial Narrow" w:hAnsi="Arial Narrow"/>
                <w:b/>
                <w:sz w:val="20"/>
                <w:szCs w:val="20"/>
              </w:rPr>
              <w:t xml:space="preserve"> </w:t>
            </w:r>
            <w:r w:rsidRPr="0098262F">
              <w:rPr>
                <w:rFonts w:ascii="Arial Narrow" w:hAnsi="Arial Narrow"/>
                <w:b/>
                <w:sz w:val="20"/>
                <w:szCs w:val="20"/>
              </w:rPr>
              <w:t>of</w:t>
            </w:r>
          </w:p>
          <w:p w14:paraId="3D6FA05B" w14:textId="77777777" w:rsidR="00404D38" w:rsidRPr="0098262F" w:rsidRDefault="00404D38" w:rsidP="00105722">
            <w:pPr>
              <w:keepLines/>
              <w:jc w:val="center"/>
              <w:rPr>
                <w:rFonts w:ascii="Arial Narrow" w:hAnsi="Arial Narrow"/>
                <w:b/>
                <w:sz w:val="20"/>
                <w:szCs w:val="20"/>
              </w:rPr>
            </w:pPr>
            <w:proofErr w:type="spellStart"/>
            <w:r w:rsidRPr="0098262F">
              <w:rPr>
                <w:rFonts w:ascii="Arial Narrow" w:hAnsi="Arial Narrow"/>
                <w:b/>
                <w:sz w:val="20"/>
                <w:szCs w:val="20"/>
              </w:rPr>
              <w:t>Rpts</w:t>
            </w:r>
            <w:proofErr w:type="spellEnd"/>
          </w:p>
        </w:tc>
        <w:tc>
          <w:tcPr>
            <w:tcW w:w="942" w:type="dxa"/>
            <w:tcMar>
              <w:left w:w="40" w:type="dxa"/>
              <w:right w:w="40" w:type="dxa"/>
            </w:tcMar>
            <w:vAlign w:val="center"/>
          </w:tcPr>
          <w:p w14:paraId="7E678DD5" w14:textId="77777777" w:rsidR="00404D38" w:rsidRPr="0098262F" w:rsidRDefault="00404D38" w:rsidP="00105722">
            <w:pPr>
              <w:keepLines/>
              <w:rPr>
                <w:rFonts w:ascii="Arial Narrow" w:hAnsi="Arial Narrow"/>
                <w:b/>
                <w:sz w:val="20"/>
                <w:szCs w:val="20"/>
              </w:rPr>
            </w:pPr>
            <w:r w:rsidRPr="0098262F">
              <w:rPr>
                <w:rFonts w:ascii="Arial Narrow" w:hAnsi="Arial Narrow"/>
                <w:b/>
                <w:sz w:val="20"/>
                <w:szCs w:val="20"/>
              </w:rPr>
              <w:t>Available brands</w:t>
            </w:r>
          </w:p>
        </w:tc>
      </w:tr>
      <w:tr w:rsidR="00404D38" w:rsidRPr="0098262F" w14:paraId="4370E335" w14:textId="77777777" w:rsidTr="00D84987">
        <w:trPr>
          <w:cantSplit/>
          <w:trHeight w:val="20"/>
        </w:trPr>
        <w:tc>
          <w:tcPr>
            <w:tcW w:w="9017" w:type="dxa"/>
            <w:gridSpan w:val="7"/>
            <w:tcMar>
              <w:left w:w="40" w:type="dxa"/>
              <w:right w:w="40" w:type="dxa"/>
            </w:tcMar>
            <w:vAlign w:val="center"/>
          </w:tcPr>
          <w:p w14:paraId="0C556784" w14:textId="77777777" w:rsidR="00404D38" w:rsidRPr="0098262F" w:rsidRDefault="00404D38" w:rsidP="00105722">
            <w:pPr>
              <w:pStyle w:val="TableText0"/>
              <w:keepNext w:val="0"/>
              <w:rPr>
                <w:rFonts w:cs="Arial"/>
                <w:szCs w:val="20"/>
              </w:rPr>
            </w:pPr>
            <w:r>
              <w:t>ODEVIXIBAT</w:t>
            </w:r>
          </w:p>
        </w:tc>
      </w:tr>
      <w:tr w:rsidR="00404D38" w:rsidRPr="0098262F" w14:paraId="711BE64B" w14:textId="77777777" w:rsidTr="00D84987">
        <w:trPr>
          <w:cantSplit/>
          <w:trHeight w:val="20"/>
        </w:trPr>
        <w:tc>
          <w:tcPr>
            <w:tcW w:w="2972" w:type="dxa"/>
            <w:gridSpan w:val="2"/>
            <w:tcMar>
              <w:left w:w="40" w:type="dxa"/>
              <w:right w:w="40" w:type="dxa"/>
            </w:tcMar>
            <w:vAlign w:val="center"/>
          </w:tcPr>
          <w:p w14:paraId="4F7B9D30" w14:textId="77777777" w:rsidR="002D0A7B" w:rsidRDefault="00404D38" w:rsidP="00105722">
            <w:pPr>
              <w:keepLines/>
              <w:rPr>
                <w:rFonts w:ascii="Arial Narrow" w:eastAsiaTheme="majorEastAsia" w:hAnsi="Arial Narrow" w:cstheme="majorBidi"/>
                <w:bCs/>
                <w:sz w:val="20"/>
              </w:rPr>
            </w:pPr>
            <w:r w:rsidRPr="00E3643F">
              <w:rPr>
                <w:rFonts w:ascii="Arial Narrow" w:eastAsiaTheme="majorEastAsia" w:hAnsi="Arial Narrow" w:cstheme="majorBidi"/>
                <w:bCs/>
                <w:sz w:val="20"/>
              </w:rPr>
              <w:t>Odevixibat</w:t>
            </w:r>
            <w:r w:rsidR="002D0A7B">
              <w:rPr>
                <w:rFonts w:ascii="Arial Narrow" w:eastAsiaTheme="majorEastAsia" w:hAnsi="Arial Narrow" w:cstheme="majorBidi"/>
                <w:bCs/>
                <w:sz w:val="20"/>
              </w:rPr>
              <w:t xml:space="preserve"> </w:t>
            </w:r>
          </w:p>
          <w:p w14:paraId="5CC94131" w14:textId="09AD1141" w:rsidR="00404D38" w:rsidRPr="0098262F" w:rsidRDefault="00404D38" w:rsidP="00105722">
            <w:pPr>
              <w:keepLines/>
              <w:rPr>
                <w:rFonts w:ascii="Arial Narrow" w:hAnsi="Arial Narrow"/>
                <w:color w:val="0066FF"/>
                <w:sz w:val="20"/>
                <w:szCs w:val="20"/>
              </w:rPr>
            </w:pPr>
            <w:r w:rsidRPr="00E3643F">
              <w:rPr>
                <w:rFonts w:ascii="Arial Narrow" w:eastAsiaTheme="majorEastAsia" w:hAnsi="Arial Narrow" w:cstheme="majorBidi"/>
                <w:bCs/>
                <w:sz w:val="20"/>
              </w:rPr>
              <w:t>200</w:t>
            </w:r>
            <w:r>
              <w:rPr>
                <w:rFonts w:ascii="Arial Narrow" w:eastAsiaTheme="majorEastAsia" w:hAnsi="Arial Narrow" w:cstheme="majorBidi"/>
                <w:bCs/>
                <w:sz w:val="20"/>
              </w:rPr>
              <w:t xml:space="preserve"> </w:t>
            </w:r>
            <w:r w:rsidRPr="00E3643F">
              <w:rPr>
                <w:rFonts w:ascii="Arial Narrow" w:eastAsiaTheme="majorEastAsia" w:hAnsi="Arial Narrow" w:cstheme="majorBidi"/>
                <w:bCs/>
                <w:sz w:val="20"/>
              </w:rPr>
              <w:t>microgram</w:t>
            </w:r>
            <w:r>
              <w:rPr>
                <w:rFonts w:ascii="Arial Narrow" w:eastAsiaTheme="majorEastAsia" w:hAnsi="Arial Narrow" w:cstheme="majorBidi"/>
                <w:bCs/>
                <w:sz w:val="20"/>
              </w:rPr>
              <w:t xml:space="preserve"> </w:t>
            </w:r>
            <w:r w:rsidRPr="00E3643F">
              <w:rPr>
                <w:rFonts w:ascii="Arial Narrow" w:eastAsiaTheme="majorEastAsia" w:hAnsi="Arial Narrow" w:cstheme="majorBidi"/>
                <w:bCs/>
                <w:sz w:val="20"/>
              </w:rPr>
              <w:t xml:space="preserve">capsules, </w:t>
            </w:r>
          </w:p>
        </w:tc>
        <w:tc>
          <w:tcPr>
            <w:tcW w:w="2126" w:type="dxa"/>
            <w:tcMar>
              <w:left w:w="40" w:type="dxa"/>
              <w:right w:w="40" w:type="dxa"/>
            </w:tcMar>
            <w:vAlign w:val="center"/>
          </w:tcPr>
          <w:p w14:paraId="2FD6E5F2" w14:textId="74534B67" w:rsidR="00404D38" w:rsidRPr="006957F2" w:rsidRDefault="00404D38" w:rsidP="00105722">
            <w:pPr>
              <w:pStyle w:val="Tabletext"/>
              <w:jc w:val="cente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(published)</w:t>
            </w:r>
          </w:p>
          <w:p w14:paraId="62403307" w14:textId="45D05FBE" w:rsidR="00404D38" w:rsidRPr="006957F2" w:rsidRDefault="00404D38" w:rsidP="00105722">
            <w:pPr>
              <w:pStyle w:val="TableText0"/>
              <w:keepNext w:val="0"/>
              <w:jc w:val="center"/>
              <w:rPr>
                <w:szCs w:val="20"/>
              </w:rP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(effective)</w:t>
            </w:r>
          </w:p>
        </w:tc>
        <w:tc>
          <w:tcPr>
            <w:tcW w:w="993" w:type="dxa"/>
            <w:tcMar>
              <w:left w:w="40" w:type="dxa"/>
              <w:right w:w="40" w:type="dxa"/>
            </w:tcMar>
            <w:vAlign w:val="center"/>
          </w:tcPr>
          <w:p w14:paraId="53F283A3" w14:textId="77777777" w:rsidR="00404D38" w:rsidRPr="0098262F" w:rsidRDefault="00404D38" w:rsidP="00105722">
            <w:pPr>
              <w:keepLines/>
              <w:jc w:val="center"/>
              <w:rPr>
                <w:rFonts w:ascii="Arial Narrow" w:hAnsi="Arial Narrow"/>
                <w:sz w:val="20"/>
                <w:szCs w:val="20"/>
              </w:rPr>
            </w:pPr>
            <w:r>
              <w:rPr>
                <w:rFonts w:ascii="Arial Narrow" w:hAnsi="Arial Narrow"/>
                <w:sz w:val="20"/>
              </w:rPr>
              <w:t>12</w:t>
            </w:r>
          </w:p>
        </w:tc>
        <w:tc>
          <w:tcPr>
            <w:tcW w:w="992" w:type="dxa"/>
            <w:tcMar>
              <w:left w:w="40" w:type="dxa"/>
              <w:right w:w="40" w:type="dxa"/>
            </w:tcMar>
            <w:vAlign w:val="center"/>
          </w:tcPr>
          <w:p w14:paraId="19B0D3DE" w14:textId="77777777" w:rsidR="00404D38" w:rsidRPr="0098262F" w:rsidRDefault="00404D38" w:rsidP="00105722">
            <w:pPr>
              <w:keepLines/>
              <w:jc w:val="center"/>
              <w:rPr>
                <w:rFonts w:ascii="Arial Narrow" w:hAnsi="Arial Narrow"/>
                <w:sz w:val="20"/>
                <w:szCs w:val="20"/>
              </w:rPr>
            </w:pPr>
            <w:r>
              <w:rPr>
                <w:rFonts w:ascii="Arial Narrow" w:hAnsi="Arial Narrow"/>
                <w:sz w:val="20"/>
              </w:rPr>
              <w:t>30</w:t>
            </w:r>
          </w:p>
        </w:tc>
        <w:tc>
          <w:tcPr>
            <w:tcW w:w="992" w:type="dxa"/>
            <w:tcMar>
              <w:left w:w="40" w:type="dxa"/>
              <w:right w:w="40" w:type="dxa"/>
            </w:tcMar>
            <w:vAlign w:val="center"/>
          </w:tcPr>
          <w:p w14:paraId="2FBCA259" w14:textId="77777777" w:rsidR="00404D38" w:rsidRPr="0098262F" w:rsidRDefault="00404D38" w:rsidP="00105722">
            <w:pPr>
              <w:keepLines/>
              <w:jc w:val="center"/>
              <w:rPr>
                <w:rFonts w:ascii="Arial Narrow" w:hAnsi="Arial Narrow"/>
                <w:sz w:val="20"/>
                <w:szCs w:val="20"/>
              </w:rPr>
            </w:pPr>
            <w:r w:rsidRPr="00E32B5C">
              <w:rPr>
                <w:rFonts w:ascii="Arial Narrow" w:hAnsi="Arial Narrow"/>
                <w:sz w:val="20"/>
              </w:rPr>
              <w:t>2,4 or 5</w:t>
            </w:r>
          </w:p>
        </w:tc>
        <w:tc>
          <w:tcPr>
            <w:tcW w:w="942" w:type="dxa"/>
            <w:tcMar>
              <w:left w:w="40" w:type="dxa"/>
              <w:right w:w="40" w:type="dxa"/>
            </w:tcMar>
            <w:vAlign w:val="center"/>
          </w:tcPr>
          <w:p w14:paraId="72ACFABC" w14:textId="77777777" w:rsidR="00404D38" w:rsidRPr="0098262F" w:rsidRDefault="00404D38" w:rsidP="00105722">
            <w:pPr>
              <w:keepLines/>
              <w:jc w:val="center"/>
              <w:rPr>
                <w:rFonts w:ascii="Arial Narrow" w:hAnsi="Arial Narrow"/>
                <w:color w:val="0066FF"/>
                <w:sz w:val="20"/>
                <w:szCs w:val="20"/>
              </w:rPr>
            </w:pPr>
            <w:r w:rsidRPr="00E3643F">
              <w:rPr>
                <w:rFonts w:ascii="Arial Narrow" w:hAnsi="Arial Narrow"/>
                <w:sz w:val="20"/>
                <w:szCs w:val="20"/>
              </w:rPr>
              <w:t>Bylvay</w:t>
            </w:r>
          </w:p>
        </w:tc>
      </w:tr>
      <w:tr w:rsidR="00404D38" w:rsidRPr="0098262F" w14:paraId="67C0A261" w14:textId="77777777" w:rsidTr="00D84987">
        <w:trPr>
          <w:cantSplit/>
          <w:trHeight w:val="20"/>
        </w:trPr>
        <w:tc>
          <w:tcPr>
            <w:tcW w:w="2972" w:type="dxa"/>
            <w:gridSpan w:val="2"/>
            <w:tcMar>
              <w:left w:w="40" w:type="dxa"/>
              <w:right w:w="40" w:type="dxa"/>
            </w:tcMar>
            <w:vAlign w:val="center"/>
          </w:tcPr>
          <w:p w14:paraId="105226A4" w14:textId="77777777" w:rsidR="002D0A7B" w:rsidRDefault="00404D38" w:rsidP="00105722">
            <w:pPr>
              <w:keepLines/>
              <w:rPr>
                <w:rFonts w:ascii="Arial Narrow" w:hAnsi="Arial Narrow"/>
                <w:sz w:val="20"/>
                <w:szCs w:val="20"/>
              </w:rPr>
            </w:pPr>
            <w:r w:rsidRPr="00E3643F">
              <w:rPr>
                <w:rFonts w:ascii="Arial Narrow" w:hAnsi="Arial Narrow"/>
                <w:sz w:val="20"/>
                <w:szCs w:val="20"/>
              </w:rPr>
              <w:t xml:space="preserve">Odevixibat. </w:t>
            </w:r>
          </w:p>
          <w:p w14:paraId="565ECFF1" w14:textId="20BD116C" w:rsidR="00404D38" w:rsidRPr="0098262F" w:rsidRDefault="00404D38" w:rsidP="00105722">
            <w:pPr>
              <w:keepLines/>
              <w:rPr>
                <w:rFonts w:ascii="Arial Narrow" w:hAnsi="Arial Narrow"/>
                <w:color w:val="0066FF"/>
                <w:sz w:val="20"/>
                <w:szCs w:val="20"/>
              </w:rPr>
            </w:pPr>
            <w:r w:rsidRPr="00E3643F">
              <w:rPr>
                <w:rFonts w:ascii="Arial Narrow" w:hAnsi="Arial Narrow"/>
                <w:sz w:val="20"/>
                <w:szCs w:val="20"/>
              </w:rPr>
              <w:t xml:space="preserve">400 microgram capsules, </w:t>
            </w:r>
          </w:p>
        </w:tc>
        <w:tc>
          <w:tcPr>
            <w:tcW w:w="2126" w:type="dxa"/>
            <w:tcMar>
              <w:left w:w="40" w:type="dxa"/>
              <w:right w:w="40" w:type="dxa"/>
            </w:tcMar>
            <w:vAlign w:val="center"/>
          </w:tcPr>
          <w:p w14:paraId="0E5C44C5" w14:textId="1CF5E710" w:rsidR="00404D38" w:rsidRPr="006957F2" w:rsidRDefault="00404D38" w:rsidP="00105722">
            <w:pPr>
              <w:pStyle w:val="Tabletext"/>
              <w:jc w:val="cente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(published)</w:t>
            </w:r>
          </w:p>
          <w:p w14:paraId="04C6E27B" w14:textId="5F7639A7" w:rsidR="00404D38" w:rsidRPr="006957F2" w:rsidRDefault="00404D38" w:rsidP="00105722">
            <w:pPr>
              <w:pStyle w:val="TableText0"/>
              <w:keepNext w:val="0"/>
              <w:jc w:val="center"/>
              <w:rPr>
                <w:szCs w:val="20"/>
              </w:rP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(effective)</w:t>
            </w:r>
          </w:p>
        </w:tc>
        <w:tc>
          <w:tcPr>
            <w:tcW w:w="993" w:type="dxa"/>
            <w:tcMar>
              <w:left w:w="40" w:type="dxa"/>
              <w:right w:w="40" w:type="dxa"/>
            </w:tcMar>
            <w:vAlign w:val="center"/>
          </w:tcPr>
          <w:p w14:paraId="5CEB42E7" w14:textId="77777777" w:rsidR="00404D38" w:rsidRPr="0098262F" w:rsidRDefault="00404D38" w:rsidP="00105722">
            <w:pPr>
              <w:keepLines/>
              <w:jc w:val="center"/>
              <w:rPr>
                <w:rFonts w:ascii="Arial Narrow" w:hAnsi="Arial Narrow"/>
                <w:sz w:val="20"/>
                <w:szCs w:val="20"/>
              </w:rPr>
            </w:pPr>
            <w:r>
              <w:rPr>
                <w:rFonts w:ascii="Arial Narrow" w:hAnsi="Arial Narrow"/>
                <w:sz w:val="20"/>
              </w:rPr>
              <w:t>6</w:t>
            </w:r>
          </w:p>
        </w:tc>
        <w:tc>
          <w:tcPr>
            <w:tcW w:w="992" w:type="dxa"/>
            <w:tcMar>
              <w:left w:w="40" w:type="dxa"/>
              <w:right w:w="40" w:type="dxa"/>
            </w:tcMar>
            <w:vAlign w:val="center"/>
          </w:tcPr>
          <w:p w14:paraId="487276ED" w14:textId="77777777" w:rsidR="00404D38" w:rsidRPr="0098262F" w:rsidRDefault="00404D38" w:rsidP="00105722">
            <w:pPr>
              <w:keepLines/>
              <w:jc w:val="center"/>
              <w:rPr>
                <w:rFonts w:ascii="Arial Narrow" w:hAnsi="Arial Narrow"/>
                <w:sz w:val="20"/>
                <w:szCs w:val="20"/>
              </w:rPr>
            </w:pPr>
            <w:r>
              <w:rPr>
                <w:rFonts w:ascii="Arial Narrow" w:hAnsi="Arial Narrow"/>
                <w:sz w:val="20"/>
              </w:rPr>
              <w:t>30</w:t>
            </w:r>
          </w:p>
        </w:tc>
        <w:tc>
          <w:tcPr>
            <w:tcW w:w="992" w:type="dxa"/>
            <w:tcMar>
              <w:left w:w="40" w:type="dxa"/>
              <w:right w:w="40" w:type="dxa"/>
            </w:tcMar>
            <w:vAlign w:val="center"/>
          </w:tcPr>
          <w:p w14:paraId="6A494839" w14:textId="77777777" w:rsidR="00404D38" w:rsidRPr="0098262F" w:rsidRDefault="00404D38" w:rsidP="00105722">
            <w:pPr>
              <w:keepLines/>
              <w:jc w:val="center"/>
              <w:rPr>
                <w:rFonts w:ascii="Arial Narrow" w:hAnsi="Arial Narrow"/>
                <w:sz w:val="20"/>
                <w:szCs w:val="20"/>
              </w:rPr>
            </w:pPr>
            <w:r w:rsidRPr="00E32B5C">
              <w:rPr>
                <w:rFonts w:ascii="Arial Narrow" w:hAnsi="Arial Narrow"/>
                <w:sz w:val="20"/>
              </w:rPr>
              <w:t>2,4 or 5</w:t>
            </w:r>
          </w:p>
        </w:tc>
        <w:tc>
          <w:tcPr>
            <w:tcW w:w="942" w:type="dxa"/>
            <w:tcMar>
              <w:left w:w="40" w:type="dxa"/>
              <w:right w:w="40" w:type="dxa"/>
            </w:tcMar>
            <w:vAlign w:val="center"/>
          </w:tcPr>
          <w:p w14:paraId="1864A2A7" w14:textId="77777777" w:rsidR="00404D38" w:rsidRPr="0098262F" w:rsidRDefault="00404D38" w:rsidP="00105722">
            <w:pPr>
              <w:keepLines/>
              <w:jc w:val="center"/>
              <w:rPr>
                <w:rFonts w:ascii="Arial Narrow" w:hAnsi="Arial Narrow"/>
                <w:color w:val="0066FF"/>
                <w:sz w:val="20"/>
                <w:szCs w:val="20"/>
              </w:rPr>
            </w:pPr>
            <w:r w:rsidRPr="00E3643F">
              <w:rPr>
                <w:rFonts w:ascii="Arial Narrow" w:hAnsi="Arial Narrow"/>
                <w:sz w:val="20"/>
                <w:szCs w:val="20"/>
              </w:rPr>
              <w:t>Bylvay</w:t>
            </w:r>
          </w:p>
        </w:tc>
      </w:tr>
      <w:tr w:rsidR="00404D38" w:rsidRPr="0098262F" w14:paraId="3BF6B548" w14:textId="77777777" w:rsidTr="00D84987">
        <w:trPr>
          <w:cantSplit/>
          <w:trHeight w:val="20"/>
        </w:trPr>
        <w:tc>
          <w:tcPr>
            <w:tcW w:w="2972" w:type="dxa"/>
            <w:gridSpan w:val="2"/>
            <w:tcMar>
              <w:left w:w="40" w:type="dxa"/>
              <w:right w:w="40" w:type="dxa"/>
            </w:tcMar>
            <w:vAlign w:val="center"/>
          </w:tcPr>
          <w:p w14:paraId="40F62048" w14:textId="77777777" w:rsidR="002D0A7B" w:rsidRDefault="00404D38" w:rsidP="00105722">
            <w:pPr>
              <w:tabs>
                <w:tab w:val="left" w:pos="1077"/>
              </w:tabs>
              <w:rPr>
                <w:rFonts w:ascii="Arial Narrow" w:hAnsi="Arial Narrow"/>
                <w:sz w:val="20"/>
                <w:szCs w:val="20"/>
              </w:rPr>
            </w:pPr>
            <w:r w:rsidRPr="00E3643F">
              <w:rPr>
                <w:rFonts w:ascii="Arial Narrow" w:hAnsi="Arial Narrow"/>
                <w:sz w:val="20"/>
                <w:szCs w:val="20"/>
              </w:rPr>
              <w:t xml:space="preserve">Odevixibat. </w:t>
            </w:r>
          </w:p>
          <w:p w14:paraId="6422488A" w14:textId="2ACE21DF" w:rsidR="00404D38" w:rsidRPr="0098262F" w:rsidRDefault="00404D38" w:rsidP="00105722">
            <w:pPr>
              <w:tabs>
                <w:tab w:val="left" w:pos="1077"/>
              </w:tabs>
              <w:rPr>
                <w:rFonts w:ascii="Arial Narrow" w:hAnsi="Arial Narrow"/>
                <w:color w:val="0066FF"/>
                <w:sz w:val="20"/>
                <w:szCs w:val="20"/>
              </w:rPr>
            </w:pPr>
            <w:r w:rsidRPr="00E3643F">
              <w:rPr>
                <w:rFonts w:ascii="Arial Narrow" w:hAnsi="Arial Narrow"/>
                <w:sz w:val="20"/>
                <w:szCs w:val="20"/>
              </w:rPr>
              <w:t xml:space="preserve">600 microgram capsules, </w:t>
            </w:r>
          </w:p>
        </w:tc>
        <w:tc>
          <w:tcPr>
            <w:tcW w:w="2126" w:type="dxa"/>
            <w:tcMar>
              <w:left w:w="40" w:type="dxa"/>
              <w:right w:w="40" w:type="dxa"/>
            </w:tcMar>
            <w:vAlign w:val="center"/>
          </w:tcPr>
          <w:p w14:paraId="1245C627" w14:textId="057B1AD9" w:rsidR="00404D38" w:rsidRPr="006957F2" w:rsidRDefault="00404D38" w:rsidP="001D4C21">
            <w:pPr>
              <w:pStyle w:val="Tabletext"/>
              <w:jc w:val="cente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(published)</w:t>
            </w:r>
          </w:p>
          <w:p w14:paraId="19CF8EDA" w14:textId="685CC6C9" w:rsidR="00404D38" w:rsidRPr="006957F2" w:rsidRDefault="00404D38" w:rsidP="001D4C21">
            <w:pPr>
              <w:pStyle w:val="Tabletext"/>
              <w:jc w:val="center"/>
              <w:rPr>
                <w:szCs w:val="20"/>
              </w:rP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(effective)</w:t>
            </w:r>
          </w:p>
        </w:tc>
        <w:tc>
          <w:tcPr>
            <w:tcW w:w="993" w:type="dxa"/>
            <w:tcMar>
              <w:left w:w="40" w:type="dxa"/>
              <w:right w:w="40" w:type="dxa"/>
            </w:tcMar>
            <w:vAlign w:val="center"/>
          </w:tcPr>
          <w:p w14:paraId="4AA7FC04" w14:textId="77777777" w:rsidR="00404D38" w:rsidRPr="0098262F" w:rsidRDefault="00404D38" w:rsidP="00105722">
            <w:pPr>
              <w:jc w:val="center"/>
              <w:rPr>
                <w:rFonts w:ascii="Arial Narrow" w:hAnsi="Arial Narrow"/>
                <w:sz w:val="20"/>
                <w:szCs w:val="20"/>
              </w:rPr>
            </w:pPr>
            <w:r>
              <w:rPr>
                <w:rFonts w:ascii="Arial Narrow" w:hAnsi="Arial Narrow"/>
                <w:sz w:val="20"/>
                <w:szCs w:val="20"/>
              </w:rPr>
              <w:t>12</w:t>
            </w:r>
          </w:p>
        </w:tc>
        <w:tc>
          <w:tcPr>
            <w:tcW w:w="992" w:type="dxa"/>
            <w:tcMar>
              <w:left w:w="40" w:type="dxa"/>
              <w:right w:w="40" w:type="dxa"/>
            </w:tcMar>
            <w:vAlign w:val="center"/>
          </w:tcPr>
          <w:p w14:paraId="297BEF7C" w14:textId="77777777" w:rsidR="00404D38" w:rsidRPr="0098262F" w:rsidRDefault="00404D38" w:rsidP="00105722">
            <w:pPr>
              <w:jc w:val="center"/>
              <w:rPr>
                <w:rFonts w:ascii="Arial Narrow" w:hAnsi="Arial Narrow"/>
                <w:sz w:val="20"/>
                <w:szCs w:val="20"/>
              </w:rPr>
            </w:pPr>
            <w:r>
              <w:rPr>
                <w:rFonts w:ascii="Arial Narrow" w:hAnsi="Arial Narrow"/>
                <w:sz w:val="20"/>
                <w:szCs w:val="20"/>
              </w:rPr>
              <w:t>30</w:t>
            </w:r>
          </w:p>
        </w:tc>
        <w:tc>
          <w:tcPr>
            <w:tcW w:w="992" w:type="dxa"/>
            <w:tcMar>
              <w:left w:w="40" w:type="dxa"/>
              <w:right w:w="40" w:type="dxa"/>
            </w:tcMar>
            <w:vAlign w:val="center"/>
          </w:tcPr>
          <w:p w14:paraId="129F2D35" w14:textId="77777777" w:rsidR="00404D38" w:rsidRPr="0098262F" w:rsidRDefault="00404D38" w:rsidP="00105722">
            <w:pPr>
              <w:jc w:val="center"/>
              <w:rPr>
                <w:rFonts w:ascii="Arial Narrow" w:hAnsi="Arial Narrow"/>
                <w:sz w:val="20"/>
                <w:szCs w:val="20"/>
              </w:rPr>
            </w:pPr>
            <w:r w:rsidRPr="00E32B5C">
              <w:rPr>
                <w:rFonts w:ascii="Arial Narrow" w:hAnsi="Arial Narrow"/>
                <w:sz w:val="20"/>
                <w:szCs w:val="20"/>
              </w:rPr>
              <w:t>2,4 or 5</w:t>
            </w:r>
          </w:p>
        </w:tc>
        <w:tc>
          <w:tcPr>
            <w:tcW w:w="942" w:type="dxa"/>
            <w:tcMar>
              <w:left w:w="40" w:type="dxa"/>
              <w:right w:w="40" w:type="dxa"/>
            </w:tcMar>
            <w:vAlign w:val="center"/>
          </w:tcPr>
          <w:p w14:paraId="7F9616D4" w14:textId="77777777" w:rsidR="00404D38" w:rsidRPr="0098262F" w:rsidRDefault="00404D38" w:rsidP="00105722">
            <w:pPr>
              <w:jc w:val="center"/>
              <w:rPr>
                <w:rFonts w:ascii="Arial Narrow" w:hAnsi="Arial Narrow"/>
                <w:sz w:val="20"/>
                <w:szCs w:val="20"/>
              </w:rPr>
            </w:pPr>
            <w:r w:rsidRPr="00E3643F">
              <w:rPr>
                <w:rFonts w:ascii="Arial Narrow" w:hAnsi="Arial Narrow"/>
                <w:sz w:val="20"/>
                <w:szCs w:val="20"/>
              </w:rPr>
              <w:t>Bylvay</w:t>
            </w:r>
          </w:p>
        </w:tc>
      </w:tr>
      <w:tr w:rsidR="002D0A7B" w:rsidRPr="0098262F" w14:paraId="09F957C7" w14:textId="77777777" w:rsidTr="00D84987">
        <w:trPr>
          <w:cantSplit/>
          <w:trHeight w:val="20"/>
        </w:trPr>
        <w:tc>
          <w:tcPr>
            <w:tcW w:w="2972" w:type="dxa"/>
            <w:gridSpan w:val="2"/>
            <w:tcMar>
              <w:left w:w="40" w:type="dxa"/>
              <w:right w:w="40" w:type="dxa"/>
            </w:tcMar>
            <w:vAlign w:val="center"/>
          </w:tcPr>
          <w:p w14:paraId="23525157" w14:textId="77777777" w:rsidR="002D0A7B" w:rsidRDefault="002D0A7B" w:rsidP="00105722">
            <w:pPr>
              <w:pStyle w:val="TableText0"/>
              <w:keepNext w:val="0"/>
              <w:rPr>
                <w:szCs w:val="20"/>
              </w:rPr>
            </w:pPr>
            <w:r w:rsidRPr="002D0A7B">
              <w:rPr>
                <w:szCs w:val="20"/>
              </w:rPr>
              <w:t xml:space="preserve">Odevixibat </w:t>
            </w:r>
          </w:p>
          <w:p w14:paraId="4199C726" w14:textId="42E9EDBD" w:rsidR="002D0A7B" w:rsidRPr="00E3643F" w:rsidRDefault="002D0A7B" w:rsidP="00105722">
            <w:pPr>
              <w:pStyle w:val="TableText0"/>
              <w:keepNext w:val="0"/>
              <w:rPr>
                <w:szCs w:val="20"/>
              </w:rPr>
            </w:pPr>
            <w:r>
              <w:rPr>
                <w:szCs w:val="20"/>
              </w:rPr>
              <w:t>1</w:t>
            </w:r>
            <w:r w:rsidRPr="002D0A7B">
              <w:rPr>
                <w:szCs w:val="20"/>
              </w:rPr>
              <w:t>200 micrograms capsules</w:t>
            </w:r>
          </w:p>
        </w:tc>
        <w:tc>
          <w:tcPr>
            <w:tcW w:w="2126" w:type="dxa"/>
            <w:tcMar>
              <w:left w:w="40" w:type="dxa"/>
              <w:right w:w="40" w:type="dxa"/>
            </w:tcMar>
            <w:vAlign w:val="center"/>
          </w:tcPr>
          <w:p w14:paraId="22CBC899" w14:textId="21F2217F" w:rsidR="002D0A7B" w:rsidRPr="006957F2" w:rsidRDefault="001D4C21" w:rsidP="001D4C21">
            <w:pPr>
              <w:pStyle w:val="TableText0"/>
              <w:keepNext w:val="0"/>
              <w:jc w:val="cente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(published)</w:t>
            </w:r>
          </w:p>
          <w:p w14:paraId="4379D286" w14:textId="06401203" w:rsidR="001D4C21" w:rsidRPr="006957F2" w:rsidRDefault="001D4C21" w:rsidP="001D4C21">
            <w:pPr>
              <w:pStyle w:val="TableText0"/>
              <w:keepNext w:val="0"/>
              <w:jc w:val="center"/>
            </w:pPr>
            <w:r w:rsidRPr="006957F2">
              <w:t>$</w:t>
            </w:r>
            <w:r w:rsidR="001549E4" w:rsidRPr="001549E4">
              <w:rPr>
                <w:color w:val="000000"/>
                <w:shd w:val="solid" w:color="000000" w:fill="000000"/>
                <w14:textFill>
                  <w14:solidFill>
                    <w14:srgbClr w14:val="000000">
                      <w14:alpha w14:val="100000"/>
                    </w14:srgbClr>
                  </w14:solidFill>
                </w14:textFill>
              </w:rPr>
              <w:t>|</w:t>
            </w:r>
            <w:r w:rsidRPr="006957F2">
              <w:t xml:space="preserve"> (effective)</w:t>
            </w:r>
          </w:p>
        </w:tc>
        <w:tc>
          <w:tcPr>
            <w:tcW w:w="993" w:type="dxa"/>
            <w:tcMar>
              <w:left w:w="40" w:type="dxa"/>
              <w:right w:w="40" w:type="dxa"/>
            </w:tcMar>
            <w:vAlign w:val="center"/>
          </w:tcPr>
          <w:p w14:paraId="338E30BA" w14:textId="67AD97B8" w:rsidR="002D0A7B" w:rsidRDefault="002D0A7B" w:rsidP="00105722">
            <w:pPr>
              <w:pStyle w:val="TableText0"/>
              <w:keepNext w:val="0"/>
              <w:jc w:val="center"/>
              <w:rPr>
                <w:szCs w:val="20"/>
              </w:rPr>
            </w:pPr>
            <w:r>
              <w:rPr>
                <w:szCs w:val="20"/>
              </w:rPr>
              <w:t>6</w:t>
            </w:r>
          </w:p>
        </w:tc>
        <w:tc>
          <w:tcPr>
            <w:tcW w:w="992" w:type="dxa"/>
            <w:tcMar>
              <w:left w:w="40" w:type="dxa"/>
              <w:right w:w="40" w:type="dxa"/>
            </w:tcMar>
            <w:vAlign w:val="center"/>
          </w:tcPr>
          <w:p w14:paraId="70F0256F" w14:textId="7AA3A7E3" w:rsidR="002D0A7B" w:rsidRDefault="002D0A7B" w:rsidP="00105722">
            <w:pPr>
              <w:pStyle w:val="TableText0"/>
              <w:keepNext w:val="0"/>
              <w:jc w:val="center"/>
              <w:rPr>
                <w:szCs w:val="20"/>
              </w:rPr>
            </w:pPr>
            <w:r>
              <w:rPr>
                <w:szCs w:val="20"/>
              </w:rPr>
              <w:t>30</w:t>
            </w:r>
          </w:p>
        </w:tc>
        <w:tc>
          <w:tcPr>
            <w:tcW w:w="992" w:type="dxa"/>
            <w:shd w:val="clear" w:color="auto" w:fill="auto"/>
            <w:tcMar>
              <w:left w:w="40" w:type="dxa"/>
              <w:right w:w="40" w:type="dxa"/>
            </w:tcMar>
            <w:vAlign w:val="center"/>
          </w:tcPr>
          <w:p w14:paraId="47D919AC" w14:textId="77FDD7A7" w:rsidR="002D0A7B" w:rsidRPr="00E32B5C" w:rsidRDefault="002D0A7B" w:rsidP="00105722">
            <w:pPr>
              <w:pStyle w:val="TableText0"/>
              <w:keepNext w:val="0"/>
              <w:jc w:val="center"/>
              <w:rPr>
                <w:szCs w:val="20"/>
              </w:rPr>
            </w:pPr>
            <w:r>
              <w:rPr>
                <w:szCs w:val="20"/>
              </w:rPr>
              <w:t>2,4 or 5</w:t>
            </w:r>
          </w:p>
        </w:tc>
        <w:tc>
          <w:tcPr>
            <w:tcW w:w="942" w:type="dxa"/>
            <w:tcMar>
              <w:left w:w="40" w:type="dxa"/>
              <w:right w:w="40" w:type="dxa"/>
            </w:tcMar>
            <w:vAlign w:val="center"/>
          </w:tcPr>
          <w:p w14:paraId="6EBAA92F" w14:textId="69B210CE" w:rsidR="002D0A7B" w:rsidRPr="00E3643F" w:rsidRDefault="002D0A7B" w:rsidP="00105722">
            <w:pPr>
              <w:pStyle w:val="TableText0"/>
              <w:keepNext w:val="0"/>
              <w:jc w:val="center"/>
              <w:rPr>
                <w:szCs w:val="20"/>
              </w:rPr>
            </w:pPr>
            <w:r w:rsidRPr="00E3643F">
              <w:rPr>
                <w:szCs w:val="20"/>
              </w:rPr>
              <w:t>Bylvay</w:t>
            </w:r>
          </w:p>
        </w:tc>
      </w:tr>
      <w:bookmarkEnd w:id="16"/>
      <w:tr w:rsidR="002D0A7B" w:rsidRPr="00D33C2C" w14:paraId="417ABB98"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8789419" w14:textId="77777777" w:rsidR="002D0A7B" w:rsidRPr="00D33C2C" w:rsidRDefault="002D0A7B" w:rsidP="00105722">
            <w:pPr>
              <w:pStyle w:val="TableText0"/>
              <w:keepNext w:val="0"/>
              <w:rPr>
                <w:b/>
              </w:rPr>
            </w:pPr>
            <w:r w:rsidRPr="00D33C2C">
              <w:rPr>
                <w:b/>
              </w:rPr>
              <w:t>Category / Program:</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4D66F5A" w14:textId="77777777" w:rsidR="002D0A7B" w:rsidRPr="00D33C2C" w:rsidRDefault="002D0A7B" w:rsidP="00105722">
            <w:pPr>
              <w:pStyle w:val="TableText0"/>
              <w:keepNext w:val="0"/>
            </w:pPr>
            <w:r>
              <w:t>Section 85- General schedule</w:t>
            </w:r>
          </w:p>
        </w:tc>
      </w:tr>
      <w:tr w:rsidR="002D0A7B" w:rsidRPr="00D33C2C" w14:paraId="34C81425"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1C7B7F47" w14:textId="77777777" w:rsidR="002D0A7B" w:rsidRPr="00D33C2C" w:rsidRDefault="002D0A7B" w:rsidP="00105722">
            <w:pPr>
              <w:pStyle w:val="TableText0"/>
              <w:keepNext w:val="0"/>
              <w:rPr>
                <w:b/>
              </w:rPr>
            </w:pPr>
            <w:r w:rsidRPr="00D33C2C">
              <w:rPr>
                <w:b/>
              </w:rPr>
              <w:t>Prescriber type: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8CE7E17" w14:textId="4763CBD3" w:rsidR="002D0A7B" w:rsidRPr="00D33C2C" w:rsidRDefault="002D0A7B" w:rsidP="00105722">
            <w:pPr>
              <w:pStyle w:val="TableText0"/>
              <w:keepNext w:val="0"/>
            </w:pPr>
            <w:r w:rsidRPr="00D33C2C">
              <w:fldChar w:fldCharType="begin" w:fldLock="1">
                <w:ffData>
                  <w:name w:val="Check1"/>
                  <w:enabled/>
                  <w:calcOnExit w:val="0"/>
                  <w:checkBox>
                    <w:sizeAuto/>
                    <w:default w:val="1"/>
                  </w:checkBox>
                </w:ffData>
              </w:fldChar>
            </w:r>
            <w:r w:rsidRPr="00D33C2C">
              <w:instrText xml:space="preserve"> FORMCHECKBOX </w:instrText>
            </w:r>
            <w:r w:rsidRPr="00D33C2C">
              <w:fldChar w:fldCharType="separate"/>
            </w:r>
            <w:r w:rsidRPr="00D33C2C">
              <w:fldChar w:fldCharType="end"/>
            </w:r>
            <w:r w:rsidR="00233441">
              <w:t xml:space="preserve"> </w:t>
            </w:r>
            <w:r w:rsidRPr="00D33C2C">
              <w:t xml:space="preserve">Medical Practitioners </w:t>
            </w:r>
          </w:p>
        </w:tc>
      </w:tr>
      <w:tr w:rsidR="002D0A7B" w:rsidRPr="00D33C2C" w14:paraId="5942CBEC"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7AB99678" w14:textId="77777777" w:rsidR="002D0A7B" w:rsidRPr="00D33C2C" w:rsidRDefault="002D0A7B" w:rsidP="00105722">
            <w:pPr>
              <w:pStyle w:val="TableText0"/>
              <w:keepNext w:val="0"/>
              <w:rPr>
                <w:b/>
              </w:rPr>
            </w:pPr>
            <w:r w:rsidRPr="00D33C2C">
              <w:rPr>
                <w:b/>
              </w:rPr>
              <w:t>Restriction</w:t>
            </w:r>
            <w:r>
              <w:rPr>
                <w:b/>
              </w:rPr>
              <w:t xml:space="preserve"> type</w:t>
            </w:r>
            <w:r w:rsidRPr="00D33C2C">
              <w:rPr>
                <w:b/>
              </w:rPr>
              <w:t>:</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3CCE814A" w14:textId="77777777" w:rsidR="002D0A7B" w:rsidRPr="00D33C2C" w:rsidRDefault="002D0A7B" w:rsidP="00105722">
            <w:pPr>
              <w:pStyle w:val="TableText0"/>
              <w:keepNext w:val="0"/>
            </w:pPr>
            <w:r w:rsidRPr="001772B3">
              <w:rPr>
                <w:rFonts w:eastAsia="Calibri"/>
                <w:szCs w:val="20"/>
              </w:rPr>
              <w:fldChar w:fldCharType="begin" w:fldLock="1">
                <w:ffData>
                  <w:name w:val=""/>
                  <w:enabled/>
                  <w:calcOnExit w:val="0"/>
                  <w:checkBox>
                    <w:sizeAuto/>
                    <w:default w:val="1"/>
                  </w:checkBox>
                </w:ffData>
              </w:fldChar>
            </w:r>
            <w:r w:rsidRPr="001772B3">
              <w:rPr>
                <w:rFonts w:eastAsia="Calibri"/>
                <w:szCs w:val="20"/>
              </w:rPr>
              <w:instrText xml:space="preserve"> FORMCHECKBOX </w:instrText>
            </w:r>
            <w:r w:rsidRPr="001772B3">
              <w:rPr>
                <w:rFonts w:eastAsia="Calibri"/>
                <w:szCs w:val="20"/>
              </w:rPr>
            </w:r>
            <w:r w:rsidRPr="001772B3">
              <w:rPr>
                <w:rFonts w:eastAsia="Calibri"/>
                <w:szCs w:val="20"/>
              </w:rPr>
              <w:fldChar w:fldCharType="separate"/>
            </w:r>
            <w:r w:rsidRPr="001772B3">
              <w:rPr>
                <w:rFonts w:eastAsia="Calibri"/>
                <w:szCs w:val="20"/>
              </w:rPr>
              <w:fldChar w:fldCharType="end"/>
            </w:r>
            <w:r w:rsidRPr="001772B3" w:rsidDel="007361C5">
              <w:rPr>
                <w:rFonts w:eastAsia="Calibri"/>
                <w:szCs w:val="20"/>
              </w:rPr>
              <w:t xml:space="preserve"> </w:t>
            </w:r>
            <w:r w:rsidRPr="001772B3">
              <w:rPr>
                <w:rFonts w:eastAsia="Calibri"/>
                <w:szCs w:val="20"/>
              </w:rPr>
              <w:t xml:space="preserve">Authority </w:t>
            </w:r>
            <w:r w:rsidRPr="00991489">
              <w:rPr>
                <w:rFonts w:eastAsia="Calibri"/>
                <w:szCs w:val="20"/>
              </w:rPr>
              <w:t>Required (in writing only via post/HPOS upload)</w:t>
            </w:r>
          </w:p>
        </w:tc>
      </w:tr>
      <w:tr w:rsidR="002D0A7B" w:rsidRPr="00D33C2C" w14:paraId="3187436C"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729606FB" w14:textId="77777777" w:rsidR="002D0A7B" w:rsidRPr="00D33C2C" w:rsidRDefault="002D0A7B" w:rsidP="00105722">
            <w:pPr>
              <w:pStyle w:val="TableText0"/>
              <w:keepNext w:val="0"/>
              <w:rPr>
                <w:b/>
              </w:rPr>
            </w:pPr>
            <w:r w:rsidRPr="00D33C2C">
              <w:rPr>
                <w:b/>
              </w:rPr>
              <w:lastRenderedPageBreak/>
              <w:t>Condition:</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096BAC2" w14:textId="77777777" w:rsidR="002D0A7B" w:rsidRPr="00D33C2C" w:rsidRDefault="002D0A7B" w:rsidP="00105722">
            <w:pPr>
              <w:pStyle w:val="TableText0"/>
              <w:keepNext w:val="0"/>
            </w:pPr>
            <w:r w:rsidRPr="00D33C2C">
              <w:t>Progressive familial intrahepatic cholestasis</w:t>
            </w:r>
            <w:r>
              <w:t xml:space="preserve"> (PFIC)</w:t>
            </w:r>
          </w:p>
        </w:tc>
      </w:tr>
      <w:tr w:rsidR="002D0A7B" w:rsidRPr="00D33C2C" w14:paraId="72AFF7F4"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2D3260C0" w14:textId="77777777" w:rsidR="002D0A7B" w:rsidRPr="00D33C2C" w:rsidRDefault="002D0A7B" w:rsidP="00105722">
            <w:pPr>
              <w:pStyle w:val="TableText0"/>
              <w:keepNext w:val="0"/>
              <w:rPr>
                <w:b/>
              </w:rPr>
            </w:pPr>
            <w:r w:rsidRPr="00D33C2C">
              <w:rPr>
                <w:b/>
              </w:rPr>
              <w:t>PBS Indication:</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0B674EA" w14:textId="77777777" w:rsidR="002D0A7B" w:rsidRPr="00D33C2C" w:rsidRDefault="002D0A7B" w:rsidP="00105722">
            <w:pPr>
              <w:pStyle w:val="TableText0"/>
              <w:keepNext w:val="0"/>
            </w:pPr>
            <w:r w:rsidRPr="00D33C2C">
              <w:t>Progressive familial intrahepatic cholestasis</w:t>
            </w:r>
            <w:r>
              <w:t xml:space="preserve"> (PFIC)</w:t>
            </w:r>
          </w:p>
        </w:tc>
      </w:tr>
      <w:tr w:rsidR="002D0A7B" w:rsidRPr="00D33C2C" w14:paraId="5A39940A"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63C84403" w14:textId="77777777" w:rsidR="002D0A7B" w:rsidRPr="00D33C2C" w:rsidRDefault="002D0A7B" w:rsidP="00105722">
            <w:pPr>
              <w:pStyle w:val="TableText0"/>
              <w:keepNext w:val="0"/>
              <w:rPr>
                <w:b/>
              </w:rPr>
            </w:pPr>
            <w:r>
              <w:rPr>
                <w:b/>
              </w:rPr>
              <w:t>Administrative advice: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4E61829" w14:textId="77777777" w:rsidR="002D0A7B" w:rsidRPr="00D33C2C" w:rsidRDefault="002D0A7B" w:rsidP="00105722">
            <w:pPr>
              <w:pStyle w:val="TableText0"/>
              <w:keepNext w:val="0"/>
            </w:pPr>
            <w:r w:rsidRPr="002F53DF">
              <w:rPr>
                <w:szCs w:val="20"/>
              </w:rPr>
              <w:t>No increase in the maximum quantity or number of units may be authorised</w:t>
            </w:r>
          </w:p>
        </w:tc>
      </w:tr>
      <w:tr w:rsidR="002D0A7B" w:rsidRPr="00D33C2C" w14:paraId="25FF9F8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6DF137D8" w14:textId="77777777" w:rsidR="002D0A7B" w:rsidRDefault="002D0A7B" w:rsidP="00105722">
            <w:pPr>
              <w:pStyle w:val="TableText0"/>
              <w:keepNext w:val="0"/>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9F84F1B" w14:textId="77777777" w:rsidR="002D0A7B" w:rsidRPr="00D33C2C" w:rsidRDefault="002D0A7B" w:rsidP="00105722">
            <w:pPr>
              <w:pStyle w:val="TableText0"/>
              <w:keepNext w:val="0"/>
            </w:pPr>
            <w:r w:rsidRPr="002F53DF">
              <w:rPr>
                <w:szCs w:val="20"/>
              </w:rPr>
              <w:t>No increase in the maximum number of repeats may be authorised</w:t>
            </w:r>
          </w:p>
        </w:tc>
      </w:tr>
      <w:tr w:rsidR="002D0A7B" w:rsidRPr="00D33C2C" w14:paraId="0BABB980"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5A985E14" w14:textId="77777777" w:rsidR="002D0A7B" w:rsidRDefault="002D0A7B" w:rsidP="00105722">
            <w:pPr>
              <w:pStyle w:val="TableText0"/>
              <w:keepNext w:val="0"/>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225E0327" w14:textId="77777777" w:rsidR="002D0A7B" w:rsidRPr="002F53DF" w:rsidRDefault="002D0A7B" w:rsidP="00105722">
            <w:pPr>
              <w:pStyle w:val="TableText0"/>
              <w:keepNext w:val="0"/>
              <w:rPr>
                <w:szCs w:val="20"/>
              </w:rPr>
            </w:pPr>
            <w:r w:rsidRPr="002F53DF">
              <w:rPr>
                <w:szCs w:val="20"/>
              </w:rPr>
              <w:t>Special Pricing Arrangements Apply</w:t>
            </w:r>
          </w:p>
        </w:tc>
      </w:tr>
      <w:tr w:rsidR="002D0A7B" w:rsidRPr="00D33C2C" w14:paraId="5F82DEAA"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55F81E2B" w14:textId="77777777" w:rsidR="002D0A7B" w:rsidRDefault="002D0A7B" w:rsidP="00105722">
            <w:pPr>
              <w:pStyle w:val="TableText0"/>
              <w:keepNext w:val="0"/>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2AAA3A14" w14:textId="77777777" w:rsidR="002D0A7B" w:rsidRPr="002F53DF" w:rsidRDefault="002D0A7B" w:rsidP="00105722">
            <w:pPr>
              <w:pStyle w:val="TableText0"/>
              <w:keepNext w:val="0"/>
              <w:rPr>
                <w:szCs w:val="20"/>
              </w:rPr>
            </w:pPr>
            <w:r w:rsidRPr="66DF8A45">
              <w:rPr>
                <w:szCs w:val="20"/>
              </w:rPr>
              <w:t>For continuing PBS-subsidised treatment, a 'Grandfathered' patient must qualify under the 'Continuing treatment' criteria.</w:t>
            </w:r>
          </w:p>
        </w:tc>
      </w:tr>
      <w:tr w:rsidR="002D0A7B" w:rsidRPr="00D33C2C" w14:paraId="19E9ECF6"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FEB2D93" w14:textId="0C34234D" w:rsidR="002D0A7B" w:rsidRPr="00DA5820" w:rsidRDefault="002D0A7B"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C404D80" w14:textId="77777777" w:rsidR="002D0A7B" w:rsidRPr="00070812" w:rsidRDefault="002D0A7B" w:rsidP="00105722">
            <w:pPr>
              <w:textAlignment w:val="baseline"/>
              <w:rPr>
                <w:rFonts w:ascii="Arial Narrow" w:hAnsi="Arial Narrow" w:cs="Open Sans"/>
                <w:sz w:val="20"/>
                <w:szCs w:val="20"/>
              </w:rPr>
            </w:pPr>
            <w:r w:rsidRPr="00A83464">
              <w:rPr>
                <w:rFonts w:ascii="Arial Narrow" w:hAnsi="Arial Narrow" w:cs="Open Sans"/>
                <w:sz w:val="20"/>
                <w:szCs w:val="20"/>
              </w:rPr>
              <w:t xml:space="preserve">The </w:t>
            </w:r>
            <w:r>
              <w:rPr>
                <w:rFonts w:ascii="Arial Narrow" w:hAnsi="Arial Narrow" w:cs="Open Sans"/>
                <w:sz w:val="20"/>
                <w:szCs w:val="20"/>
              </w:rPr>
              <w:t xml:space="preserve">Prucision™ </w:t>
            </w:r>
            <w:r w:rsidRPr="00A83464">
              <w:rPr>
                <w:rFonts w:ascii="Arial Narrow" w:hAnsi="Arial Narrow" w:cs="Open Sans"/>
                <w:sz w:val="20"/>
                <w:szCs w:val="20"/>
              </w:rPr>
              <w:t>ObsRO</w:t>
            </w:r>
            <w:r>
              <w:rPr>
                <w:rFonts w:ascii="Arial Narrow" w:hAnsi="Arial Narrow" w:cs="Open Sans"/>
                <w:sz w:val="20"/>
                <w:szCs w:val="20"/>
              </w:rPr>
              <w:t xml:space="preserve"> </w:t>
            </w:r>
            <w:r w:rsidRPr="00A83464">
              <w:rPr>
                <w:rFonts w:ascii="Arial Narrow" w:hAnsi="Arial Narrow" w:cs="Open Sans"/>
                <w:sz w:val="20"/>
                <w:szCs w:val="20"/>
              </w:rPr>
              <w:t>prurit</w:t>
            </w:r>
            <w:r>
              <w:rPr>
                <w:rFonts w:ascii="Arial Narrow" w:hAnsi="Arial Narrow" w:cs="Open Sans"/>
                <w:sz w:val="20"/>
                <w:szCs w:val="20"/>
              </w:rPr>
              <w:t>u</w:t>
            </w:r>
            <w:r w:rsidRPr="00A83464">
              <w:rPr>
                <w:rFonts w:ascii="Arial Narrow" w:hAnsi="Arial Narrow" w:cs="Open Sans"/>
                <w:sz w:val="20"/>
                <w:szCs w:val="20"/>
              </w:rPr>
              <w:t>s scale is available as a downloadable document at: [INSERT LINK]</w:t>
            </w:r>
          </w:p>
        </w:tc>
      </w:tr>
      <w:tr w:rsidR="002D0A7B" w:rsidRPr="00D33C2C" w14:paraId="566B0325"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E345B74" w14:textId="77777777" w:rsidR="002D0A7B" w:rsidRPr="00D33C2C" w:rsidRDefault="002D0A7B" w:rsidP="00AB3A10">
            <w:pPr>
              <w:pStyle w:val="TableText0"/>
              <w:keepNext w:val="0"/>
              <w:rPr>
                <w:b/>
              </w:rPr>
            </w:pPr>
            <w:r w:rsidRPr="00D33C2C">
              <w:rPr>
                <w:b/>
              </w:rPr>
              <w:t>Treatment phase: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79A552EB" w14:textId="77777777" w:rsidR="002D0A7B" w:rsidRPr="00DC6AD3" w:rsidRDefault="002D0A7B" w:rsidP="00105722">
            <w:pPr>
              <w:pStyle w:val="TableText0"/>
              <w:keepNext w:val="0"/>
              <w:rPr>
                <w:b/>
                <w:bCs w:val="0"/>
              </w:rPr>
            </w:pPr>
            <w:r w:rsidRPr="00DC6AD3">
              <w:rPr>
                <w:b/>
                <w:bCs w:val="0"/>
              </w:rPr>
              <w:t>Initial treatment</w:t>
            </w:r>
          </w:p>
        </w:tc>
      </w:tr>
      <w:tr w:rsidR="002D0A7B" w:rsidRPr="00D33C2C" w14:paraId="14EAAFB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264935B" w14:textId="77777777" w:rsidR="002D0A7B" w:rsidRPr="00DA5820" w:rsidRDefault="002D0A7B" w:rsidP="00AB3A10">
            <w:pPr>
              <w:pStyle w:val="TableText0"/>
              <w:keepNext w:val="0"/>
              <w:rPr>
                <w:b/>
              </w:rPr>
            </w:pPr>
            <w:r w:rsidRPr="00D33C2C">
              <w:rPr>
                <w:b/>
              </w:rPr>
              <w:t>Treatment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775FFFF" w14:textId="77777777" w:rsidR="002D0A7B" w:rsidRPr="00D33C2C" w:rsidRDefault="002D0A7B" w:rsidP="00105722">
            <w:pPr>
              <w:pStyle w:val="TableText0"/>
              <w:keepNext w:val="0"/>
              <w:rPr>
                <w:rFonts w:cs="Arial"/>
              </w:rPr>
            </w:pPr>
          </w:p>
        </w:tc>
      </w:tr>
      <w:tr w:rsidR="002D0A7B" w:rsidRPr="00D33C2C" w14:paraId="1BA062D9"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A646776" w14:textId="0814887F" w:rsidR="002D0A7B" w:rsidRPr="00D33C2C" w:rsidRDefault="002D0A7B" w:rsidP="00AB3A10">
            <w:pPr>
              <w:pStyle w:val="TableText0"/>
              <w:keepNext w:val="0"/>
              <w:jc w:val="center"/>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8E1DB21" w14:textId="77777777" w:rsidR="002D0A7B" w:rsidRPr="00DA5820" w:rsidRDefault="002D0A7B" w:rsidP="00105722">
            <w:pPr>
              <w:pStyle w:val="TableText0"/>
              <w:keepNext w:val="0"/>
              <w:rPr>
                <w:rFonts w:cs="Arial"/>
              </w:rPr>
            </w:pPr>
            <w:r w:rsidRPr="00DA5820">
              <w:rPr>
                <w:rFonts w:cs="Arial"/>
              </w:rPr>
              <w:t>Must be treated by a specialist or under the supervision of a specialist experienced in the management of PFIC, who is either a: (i) gastroenterologist, (ii) hepatologist</w:t>
            </w:r>
          </w:p>
        </w:tc>
      </w:tr>
      <w:tr w:rsidR="002D0A7B" w:rsidRPr="00D33C2C" w14:paraId="54E62770"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72FCDAD9" w14:textId="77777777" w:rsidR="002D0A7B" w:rsidRPr="00DA5820" w:rsidRDefault="002D0A7B" w:rsidP="00105722">
            <w:pPr>
              <w:pStyle w:val="TableText0"/>
              <w:keepNext w:val="0"/>
              <w:rPr>
                <w:b/>
              </w:rPr>
            </w:pPr>
            <w:r w:rsidRPr="00D33C2C">
              <w:rPr>
                <w:b/>
              </w:rPr>
              <w:t>Clinical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6964A3A0" w14:textId="77777777" w:rsidR="002D0A7B" w:rsidRPr="00DA5820" w:rsidRDefault="002D0A7B" w:rsidP="00105722">
            <w:pPr>
              <w:pStyle w:val="TableText0"/>
              <w:keepNext w:val="0"/>
              <w:rPr>
                <w:rFonts w:cs="Arial"/>
                <w:i/>
                <w:iCs/>
              </w:rPr>
            </w:pPr>
          </w:p>
        </w:tc>
      </w:tr>
      <w:tr w:rsidR="002D0A7B" w:rsidRPr="00D33C2C" w14:paraId="3A18777A"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C83C643" w14:textId="6A7730D9" w:rsidR="002D0A7B" w:rsidRPr="00D33C2C" w:rsidRDefault="002D0A7B" w:rsidP="00AB3A10">
            <w:pPr>
              <w:pStyle w:val="TableText0"/>
              <w:keepNext w:val="0"/>
              <w:jc w:val="center"/>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659B243" w14:textId="77777777" w:rsidR="002D0A7B" w:rsidRPr="00DA5820" w:rsidRDefault="002D0A7B" w:rsidP="00105722">
            <w:pPr>
              <w:pStyle w:val="TableText0"/>
              <w:keepNext w:val="0"/>
              <w:rPr>
                <w:rFonts w:cs="Arial"/>
              </w:rPr>
            </w:pPr>
            <w:r w:rsidRPr="00DA5820">
              <w:rPr>
                <w:rFonts w:cs="Arial"/>
              </w:rPr>
              <w:t xml:space="preserve">Patient must have/have had elevated serum bile acids at treatment initiation with this drug; </w:t>
            </w:r>
            <w:r w:rsidRPr="00DA5820">
              <w:rPr>
                <w:rFonts w:cs="Arial"/>
                <w:b/>
                <w:bCs w:val="0"/>
              </w:rPr>
              <w:t>AND</w:t>
            </w:r>
          </w:p>
        </w:tc>
      </w:tr>
      <w:tr w:rsidR="002D0A7B" w:rsidRPr="00D33C2C" w14:paraId="18530510"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7AC5391" w14:textId="2046BCCA" w:rsidR="002D0A7B" w:rsidRPr="00D33C2C" w:rsidRDefault="002D0A7B" w:rsidP="00AB3A10">
            <w:pPr>
              <w:pStyle w:val="TableText0"/>
              <w:keepNext w:val="0"/>
              <w:jc w:val="center"/>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90ED020" w14:textId="57B47C5E" w:rsidR="002D0A7B" w:rsidRPr="00DA5820" w:rsidRDefault="002D0A7B" w:rsidP="00105722">
            <w:pPr>
              <w:pStyle w:val="TableText0"/>
              <w:keepNext w:val="0"/>
              <w:rPr>
                <w:rFonts w:cs="Arial"/>
              </w:rPr>
            </w:pPr>
            <w:r w:rsidRPr="00DA5820">
              <w:rPr>
                <w:rFonts w:cs="Arial"/>
              </w:rPr>
              <w:t>Patient must have/have had an average pruritus score of ≥</w:t>
            </w:r>
            <w:r w:rsidR="0071354B" w:rsidRPr="00DA5820">
              <w:rPr>
                <w:rFonts w:cs="Arial"/>
              </w:rPr>
              <w:t>2, on</w:t>
            </w:r>
            <w:r w:rsidRPr="00DA5820">
              <w:rPr>
                <w:rFonts w:cs="Arial"/>
              </w:rPr>
              <w:t xml:space="preserve"> the Prucision™ ObsRO Prurit</w:t>
            </w:r>
            <w:r>
              <w:rPr>
                <w:rFonts w:cs="Arial"/>
              </w:rPr>
              <w:t>u</w:t>
            </w:r>
            <w:r w:rsidRPr="00DA5820">
              <w:rPr>
                <w:rFonts w:cs="Arial"/>
              </w:rPr>
              <w:t>s Scale assessed over a one week period prior to treatment initiation with this drug.</w:t>
            </w:r>
          </w:p>
        </w:tc>
      </w:tr>
      <w:tr w:rsidR="002D0A7B" w:rsidRPr="00D33C2C" w14:paraId="2414DBF0"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3F5FB72" w14:textId="77777777" w:rsidR="002D0A7B" w:rsidRPr="00D33C2C" w:rsidRDefault="002D0A7B" w:rsidP="00105722">
            <w:pPr>
              <w:pStyle w:val="TableText0"/>
              <w:keepNext w:val="0"/>
              <w:rPr>
                <w:b/>
              </w:rPr>
            </w:pPr>
            <w:r w:rsidRPr="00D33C2C">
              <w:rPr>
                <w:b/>
              </w:rPr>
              <w:t>Population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EBC2CF0" w14:textId="77777777" w:rsidR="002D0A7B" w:rsidRPr="00DA5820" w:rsidRDefault="002D0A7B" w:rsidP="00105722">
            <w:pPr>
              <w:pStyle w:val="TableText0"/>
              <w:keepNext w:val="0"/>
            </w:pPr>
          </w:p>
        </w:tc>
      </w:tr>
      <w:tr w:rsidR="002D0A7B" w:rsidRPr="00D33C2C" w14:paraId="2BDA0D17"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F465D7A" w14:textId="73D4D27E" w:rsidR="002D0A7B" w:rsidRPr="00D33C2C" w:rsidRDefault="002D0A7B" w:rsidP="00105722">
            <w:pPr>
              <w:pStyle w:val="TableText0"/>
              <w:keepNext w:val="0"/>
              <w:jc w:val="center"/>
              <w:rPr>
                <w:b/>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97D029C" w14:textId="77777777" w:rsidR="002D0A7B" w:rsidRPr="00DA5820" w:rsidRDefault="002D0A7B" w:rsidP="00105722">
            <w:pPr>
              <w:pStyle w:val="TableText0"/>
              <w:keepNext w:val="0"/>
            </w:pPr>
            <w:r w:rsidRPr="00DA5820">
              <w:rPr>
                <w:szCs w:val="20"/>
              </w:rPr>
              <w:t>Patient must be aged 6 months or older</w:t>
            </w:r>
          </w:p>
        </w:tc>
      </w:tr>
      <w:tr w:rsidR="002D0A7B" w:rsidRPr="00D33C2C" w14:paraId="5E351CAA"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6734ECD7" w14:textId="77777777" w:rsidR="002D0A7B" w:rsidRPr="00F7295B" w:rsidRDefault="002D0A7B" w:rsidP="00105722">
            <w:pPr>
              <w:pStyle w:val="TableText0"/>
              <w:keepNext w:val="0"/>
              <w:rPr>
                <w:b/>
                <w:bCs w:val="0"/>
                <w:szCs w:val="20"/>
              </w:rPr>
            </w:pPr>
            <w:r w:rsidRPr="00F7295B">
              <w:rPr>
                <w:b/>
                <w:bCs w:val="0"/>
                <w:szCs w:val="20"/>
              </w:rPr>
              <w:t xml:space="preserve">Prescribing Instructions: </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746EEADD" w14:textId="77777777" w:rsidR="002D0A7B" w:rsidRPr="00DA5820" w:rsidRDefault="002D0A7B" w:rsidP="00105722">
            <w:pPr>
              <w:pStyle w:val="TableText0"/>
              <w:keepNext w:val="0"/>
              <w:rPr>
                <w:szCs w:val="20"/>
              </w:rPr>
            </w:pPr>
          </w:p>
        </w:tc>
      </w:tr>
      <w:tr w:rsidR="002D0A7B" w:rsidRPr="00D33C2C" w14:paraId="01377C94"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69993AE" w14:textId="3DDF8A61" w:rsidR="002D0A7B" w:rsidRPr="00DA5820" w:rsidRDefault="002D0A7B"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3CC33F98" w14:textId="77777777" w:rsidR="002D0A7B" w:rsidRPr="00E932C2" w:rsidRDefault="002D0A7B" w:rsidP="00105722">
            <w:pPr>
              <w:pStyle w:val="TableText0"/>
              <w:keepNext w:val="0"/>
              <w:rPr>
                <w:szCs w:val="20"/>
              </w:rPr>
            </w:pPr>
            <w:r w:rsidRPr="00E932C2">
              <w:rPr>
                <w:szCs w:val="20"/>
              </w:rPr>
              <w:t>The authority application must be made in writing via HPOS upload or mail and must include:</w:t>
            </w:r>
          </w:p>
          <w:p w14:paraId="296B8BB4" w14:textId="77777777" w:rsidR="002D0A7B" w:rsidRPr="00E932C2" w:rsidRDefault="002D0A7B" w:rsidP="00105722">
            <w:pPr>
              <w:pStyle w:val="TableText0"/>
              <w:keepNext w:val="0"/>
              <w:rPr>
                <w:szCs w:val="20"/>
              </w:rPr>
            </w:pPr>
            <w:r w:rsidRPr="00E932C2">
              <w:rPr>
                <w:szCs w:val="20"/>
              </w:rPr>
              <w:t>(1)</w:t>
            </w:r>
            <w:r w:rsidRPr="00E932C2">
              <w:rPr>
                <w:szCs w:val="20"/>
              </w:rPr>
              <w:tab/>
              <w:t>details of the proposed prescription;</w:t>
            </w:r>
          </w:p>
          <w:p w14:paraId="1DDB37EF" w14:textId="77777777" w:rsidR="002D0A7B" w:rsidRPr="00E932C2" w:rsidRDefault="002D0A7B" w:rsidP="00105722">
            <w:pPr>
              <w:pStyle w:val="TableText0"/>
              <w:keepNext w:val="0"/>
              <w:rPr>
                <w:szCs w:val="20"/>
              </w:rPr>
            </w:pPr>
            <w:r w:rsidRPr="00E932C2">
              <w:rPr>
                <w:szCs w:val="20"/>
              </w:rPr>
              <w:t>(2)</w:t>
            </w:r>
            <w:r w:rsidRPr="00E932C2">
              <w:rPr>
                <w:szCs w:val="20"/>
              </w:rPr>
              <w:tab/>
              <w:t>details of the prurit</w:t>
            </w:r>
            <w:r>
              <w:rPr>
                <w:szCs w:val="20"/>
              </w:rPr>
              <w:t>u</w:t>
            </w:r>
            <w:r w:rsidRPr="00E932C2">
              <w:rPr>
                <w:szCs w:val="20"/>
              </w:rPr>
              <w:t>s score using the completed Prucision™ ObsRO prurit</w:t>
            </w:r>
            <w:r>
              <w:rPr>
                <w:szCs w:val="20"/>
              </w:rPr>
              <w:t>u</w:t>
            </w:r>
            <w:r w:rsidRPr="00E932C2">
              <w:rPr>
                <w:szCs w:val="20"/>
              </w:rPr>
              <w:t>s scale</w:t>
            </w:r>
          </w:p>
          <w:p w14:paraId="7DFD807F" w14:textId="00D009F1" w:rsidR="002D0A7B" w:rsidRPr="00DA5820" w:rsidRDefault="002D0A7B" w:rsidP="00105722">
            <w:pPr>
              <w:pStyle w:val="TableText0"/>
              <w:keepNext w:val="0"/>
              <w:rPr>
                <w:szCs w:val="20"/>
              </w:rPr>
            </w:pPr>
            <w:r w:rsidRPr="00E932C2">
              <w:rPr>
                <w:szCs w:val="20"/>
              </w:rPr>
              <w:t>(3)</w:t>
            </w:r>
            <w:r w:rsidRPr="00E932C2">
              <w:rPr>
                <w:szCs w:val="20"/>
              </w:rPr>
              <w:tab/>
              <w:t xml:space="preserve">details of serum bile acids (date and </w:t>
            </w:r>
            <w:proofErr w:type="spellStart"/>
            <w:r w:rsidRPr="00E932C2">
              <w:rPr>
                <w:szCs w:val="20"/>
              </w:rPr>
              <w:t>micromol</w:t>
            </w:r>
            <w:proofErr w:type="spellEnd"/>
            <w:r w:rsidRPr="00E932C2">
              <w:rPr>
                <w:szCs w:val="20"/>
              </w:rPr>
              <w:t>/L</w:t>
            </w:r>
            <w:r w:rsidR="0071354B">
              <w:rPr>
                <w:szCs w:val="20"/>
              </w:rPr>
              <w:t xml:space="preserve"> </w:t>
            </w:r>
            <w:r w:rsidRPr="00E932C2">
              <w:rPr>
                <w:szCs w:val="20"/>
              </w:rPr>
              <w:t>including reference range)</w:t>
            </w:r>
          </w:p>
        </w:tc>
      </w:tr>
      <w:tr w:rsidR="002D0A7B" w:rsidRPr="00D33C2C" w14:paraId="093B8CB7"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8B2F7BB" w14:textId="3B8ED5F7" w:rsidR="002D0A7B" w:rsidRDefault="002D0A7B"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4D6A318" w14:textId="77777777" w:rsidR="002D0A7B" w:rsidRPr="00E932C2" w:rsidRDefault="002D0A7B" w:rsidP="00105722">
            <w:pPr>
              <w:pStyle w:val="TableText0"/>
              <w:keepNext w:val="0"/>
              <w:rPr>
                <w:szCs w:val="20"/>
              </w:rPr>
            </w:pPr>
            <w:r w:rsidRPr="00E932C2">
              <w:rPr>
                <w:szCs w:val="20"/>
              </w:rPr>
              <w:t>Relapsing patient previously treated with this item may recommence treatment using initiation criteria if restrictions are satisfied.</w:t>
            </w:r>
          </w:p>
        </w:tc>
      </w:tr>
      <w:tr w:rsidR="00105722" w:rsidRPr="00D33C2C" w14:paraId="1FE5C38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3BF4E093" w14:textId="77777777" w:rsidR="00105722" w:rsidRPr="00105722" w:rsidRDefault="00105722" w:rsidP="00105722">
            <w:pPr>
              <w:pStyle w:val="TableText0"/>
              <w:keepNext w:val="0"/>
              <w:rPr>
                <w:b/>
              </w:rPr>
            </w:pPr>
            <w:r w:rsidRPr="00105722">
              <w:rPr>
                <w:b/>
              </w:rPr>
              <w:t>Treatment phase: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3C583B3F" w14:textId="024691CE" w:rsidR="00105722" w:rsidRPr="00E635DD" w:rsidRDefault="00105722" w:rsidP="00105722">
            <w:pPr>
              <w:pStyle w:val="TableText0"/>
              <w:keepNext w:val="0"/>
              <w:rPr>
                <w:b/>
                <w:bCs w:val="0"/>
                <w:szCs w:val="20"/>
              </w:rPr>
            </w:pPr>
            <w:r w:rsidRPr="00E635DD">
              <w:rPr>
                <w:b/>
                <w:bCs w:val="0"/>
                <w:szCs w:val="20"/>
              </w:rPr>
              <w:t xml:space="preserve">Dose Modification </w:t>
            </w:r>
          </w:p>
        </w:tc>
      </w:tr>
      <w:tr w:rsidR="00105722" w:rsidRPr="00D33C2C" w14:paraId="6B1E36C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C8B754D" w14:textId="77777777" w:rsidR="00105722" w:rsidRPr="00105722" w:rsidRDefault="00105722" w:rsidP="00105722">
            <w:pPr>
              <w:pStyle w:val="TableText0"/>
              <w:keepNext w:val="0"/>
              <w:rPr>
                <w:b/>
              </w:rPr>
            </w:pPr>
            <w:r w:rsidRPr="00105722">
              <w:rPr>
                <w:b/>
              </w:rPr>
              <w:t>Restriction type: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D1FE198" w14:textId="2DD322AE" w:rsidR="00105722" w:rsidRPr="00105722" w:rsidRDefault="00105722" w:rsidP="00105722">
            <w:pPr>
              <w:pStyle w:val="TableText0"/>
              <w:keepNext w:val="0"/>
              <w:rPr>
                <w:szCs w:val="20"/>
              </w:rPr>
            </w:pPr>
            <w:r w:rsidRPr="00105722">
              <w:rPr>
                <w:szCs w:val="20"/>
              </w:rPr>
              <w:fldChar w:fldCharType="begin" w:fldLock="1">
                <w:ffData>
                  <w:name w:val=""/>
                  <w:enabled/>
                  <w:calcOnExit w:val="0"/>
                  <w:checkBox>
                    <w:sizeAuto/>
                    <w:default w:val="1"/>
                  </w:checkBox>
                </w:ffData>
              </w:fldChar>
            </w:r>
            <w:r w:rsidRPr="00105722">
              <w:rPr>
                <w:szCs w:val="20"/>
              </w:rPr>
              <w:instrText xml:space="preserve"> FORMCHECKBOX </w:instrText>
            </w:r>
            <w:r w:rsidRPr="00105722">
              <w:rPr>
                <w:szCs w:val="20"/>
              </w:rPr>
            </w:r>
            <w:r w:rsidRPr="00105722">
              <w:rPr>
                <w:szCs w:val="20"/>
              </w:rPr>
              <w:fldChar w:fldCharType="separate"/>
            </w:r>
            <w:r w:rsidRPr="00105722">
              <w:rPr>
                <w:szCs w:val="20"/>
              </w:rPr>
              <w:fldChar w:fldCharType="end"/>
            </w:r>
            <w:r w:rsidRPr="00105722" w:rsidDel="007361C5">
              <w:rPr>
                <w:szCs w:val="20"/>
              </w:rPr>
              <w:t xml:space="preserve"> </w:t>
            </w:r>
            <w:r w:rsidRPr="00105722">
              <w:rPr>
                <w:szCs w:val="20"/>
              </w:rPr>
              <w:t xml:space="preserve">Authority Required </w:t>
            </w:r>
            <w:r w:rsidRPr="0041245A">
              <w:rPr>
                <w:strike/>
                <w:szCs w:val="20"/>
              </w:rPr>
              <w:t>(telephone/electronic)</w:t>
            </w:r>
            <w:r w:rsidR="0041245A">
              <w:rPr>
                <w:szCs w:val="20"/>
              </w:rPr>
              <w:t xml:space="preserve"> </w:t>
            </w:r>
            <w:r w:rsidR="009B4BFB" w:rsidRPr="0041245A">
              <w:rPr>
                <w:i/>
                <w:iCs/>
                <w:szCs w:val="20"/>
              </w:rPr>
              <w:t>(in writing only via post</w:t>
            </w:r>
            <w:r w:rsidR="00B44DB3" w:rsidRPr="0041245A">
              <w:rPr>
                <w:i/>
                <w:iCs/>
                <w:szCs w:val="20"/>
              </w:rPr>
              <w:t>/</w:t>
            </w:r>
            <w:r w:rsidR="009B4BFB" w:rsidRPr="0041245A">
              <w:rPr>
                <w:i/>
                <w:iCs/>
                <w:szCs w:val="20"/>
              </w:rPr>
              <w:t>HPOS upload</w:t>
            </w:r>
            <w:r w:rsidR="00B44DB3" w:rsidRPr="0041245A">
              <w:rPr>
                <w:i/>
                <w:iCs/>
                <w:szCs w:val="20"/>
              </w:rPr>
              <w:t>)</w:t>
            </w:r>
          </w:p>
        </w:tc>
      </w:tr>
      <w:tr w:rsidR="00105722" w:rsidRPr="00D33C2C" w14:paraId="216F5F63"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128FAE4" w14:textId="77777777" w:rsidR="00105722" w:rsidRPr="00105722" w:rsidRDefault="00105722" w:rsidP="00E635DD">
            <w:pPr>
              <w:pStyle w:val="TableText0"/>
              <w:keepNext w:val="0"/>
              <w:rPr>
                <w:b/>
              </w:rPr>
            </w:pPr>
            <w:r w:rsidRPr="00105722">
              <w:rPr>
                <w:b/>
              </w:rPr>
              <w:t>Administrative advice: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C2DBB19" w14:textId="6060B0E5" w:rsidR="00105722" w:rsidRPr="66DF8A45" w:rsidRDefault="00105722" w:rsidP="00105722">
            <w:pPr>
              <w:pStyle w:val="TableText0"/>
              <w:keepNext w:val="0"/>
              <w:rPr>
                <w:szCs w:val="20"/>
              </w:rPr>
            </w:pPr>
          </w:p>
        </w:tc>
      </w:tr>
      <w:tr w:rsidR="00105722" w:rsidRPr="00D33C2C" w14:paraId="4A08A44D"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8AB2BDF" w14:textId="2237E1C2" w:rsidR="00105722" w:rsidRPr="00DA5820"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69BEF678" w14:textId="77777777" w:rsidR="00105722" w:rsidRPr="00105722" w:rsidRDefault="00105722" w:rsidP="00105722">
            <w:pPr>
              <w:pStyle w:val="TableText0"/>
              <w:keepNext w:val="0"/>
              <w:rPr>
                <w:szCs w:val="20"/>
              </w:rPr>
            </w:pPr>
            <w:r w:rsidRPr="00105722">
              <w:rPr>
                <w:szCs w:val="20"/>
              </w:rPr>
              <w:t xml:space="preserve">The recommended dose of odevixibat for initial treatment is 40 micrograms/kg/day administered orally once daily. Improvement in pruritus and reduction of serum bile acid levels may occur gradually in some patients after initiating odevixibat therapy. </w:t>
            </w:r>
          </w:p>
          <w:p w14:paraId="5E0243B1" w14:textId="77777777" w:rsidR="00105722" w:rsidRPr="00105722" w:rsidRDefault="00105722" w:rsidP="00105722">
            <w:pPr>
              <w:pStyle w:val="TableText0"/>
              <w:keepNext w:val="0"/>
              <w:rPr>
                <w:szCs w:val="20"/>
              </w:rPr>
            </w:pPr>
          </w:p>
          <w:p w14:paraId="17EBBEEF" w14:textId="2FCB66A6" w:rsidR="00105722" w:rsidRPr="00105722" w:rsidRDefault="00105722" w:rsidP="00105722">
            <w:pPr>
              <w:pStyle w:val="TableText0"/>
              <w:keepNext w:val="0"/>
              <w:rPr>
                <w:szCs w:val="20"/>
              </w:rPr>
            </w:pPr>
            <w:r w:rsidRPr="00105722">
              <w:rPr>
                <w:szCs w:val="20"/>
              </w:rPr>
              <w:t>If an adequate clinical response has not been achieved after at least 1 month of initial treatment, the dose may be increased to 120 micrograms/kg/day (maximum of 7,200</w:t>
            </w:r>
            <w:r w:rsidR="0017081E">
              <w:rPr>
                <w:szCs w:val="20"/>
              </w:rPr>
              <w:t> mcg</w:t>
            </w:r>
            <w:r w:rsidRPr="00105722">
              <w:rPr>
                <w:szCs w:val="20"/>
              </w:rPr>
              <w:t xml:space="preserve"> per day) for a total period of 6 months of treatment with odevixibat</w:t>
            </w:r>
          </w:p>
        </w:tc>
      </w:tr>
      <w:tr w:rsidR="00105722" w:rsidRPr="00D33C2C" w14:paraId="064BCD78"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893F0C5" w14:textId="77777777" w:rsidR="00105722" w:rsidRPr="00105722" w:rsidRDefault="00105722" w:rsidP="00105722">
            <w:pPr>
              <w:pStyle w:val="TableText0"/>
              <w:keepNext w:val="0"/>
              <w:rPr>
                <w:b/>
              </w:rPr>
            </w:pPr>
            <w:r w:rsidRPr="00105722">
              <w:rPr>
                <w:b/>
              </w:rPr>
              <w:t>Treatment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6E888463" w14:textId="77777777" w:rsidR="00105722" w:rsidRPr="00105722" w:rsidRDefault="00105722" w:rsidP="00105722">
            <w:pPr>
              <w:pStyle w:val="TableText0"/>
              <w:keepNext w:val="0"/>
              <w:rPr>
                <w:szCs w:val="20"/>
              </w:rPr>
            </w:pPr>
          </w:p>
        </w:tc>
      </w:tr>
      <w:tr w:rsidR="00105722" w:rsidRPr="00D33C2C" w14:paraId="506EF940"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5161FAE" w14:textId="7BC32F1C"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CCA1AB2" w14:textId="77777777" w:rsidR="00105722" w:rsidRPr="00105722" w:rsidRDefault="00105722" w:rsidP="00105722">
            <w:pPr>
              <w:pStyle w:val="TableText0"/>
              <w:keepNext w:val="0"/>
              <w:rPr>
                <w:szCs w:val="20"/>
              </w:rPr>
            </w:pPr>
            <w:r w:rsidRPr="00105722">
              <w:rPr>
                <w:szCs w:val="20"/>
              </w:rPr>
              <w:t>Must be treated by a specialist or under the supervision of a specialist experienced in the management of PFIC, who is either a: (i) gastroenterologist, (ii) hepatologist</w:t>
            </w:r>
          </w:p>
        </w:tc>
      </w:tr>
      <w:tr w:rsidR="00105722" w:rsidRPr="001E0706" w14:paraId="19CB0026"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C5CFD3E" w14:textId="3ED3D9BF" w:rsidR="00105722" w:rsidRPr="001E0706" w:rsidRDefault="00105722" w:rsidP="00AB3A10">
            <w:pPr>
              <w:pStyle w:val="TableText0"/>
              <w:keepNext w:val="0"/>
              <w:jc w:val="center"/>
              <w:rPr>
                <w:bCs w:val="0"/>
                <w:i/>
                <w:iCs/>
                <w:strike/>
              </w:rPr>
            </w:pPr>
          </w:p>
        </w:tc>
        <w:tc>
          <w:tcPr>
            <w:tcW w:w="6982" w:type="dxa"/>
            <w:gridSpan w:val="6"/>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tcPr>
          <w:p w14:paraId="266C0A11" w14:textId="77777777" w:rsidR="00105722" w:rsidRPr="001E0706" w:rsidRDefault="00105722" w:rsidP="00105722">
            <w:pPr>
              <w:pStyle w:val="TableText0"/>
              <w:keepNext w:val="0"/>
              <w:rPr>
                <w:strike/>
                <w:szCs w:val="20"/>
              </w:rPr>
            </w:pPr>
            <w:r w:rsidRPr="001E0706">
              <w:rPr>
                <w:strike/>
                <w:szCs w:val="20"/>
              </w:rPr>
              <w:t>Patient must be undergoing dose modification with this drug at 120 micrograms/kg/day dose for 3 - 5 consecutive months</w:t>
            </w:r>
          </w:p>
        </w:tc>
      </w:tr>
      <w:tr w:rsidR="00105722" w:rsidRPr="00D33C2C" w14:paraId="66669E63"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1BD180B5" w14:textId="77777777" w:rsidR="00105722" w:rsidRPr="00105722" w:rsidRDefault="00105722" w:rsidP="00105722">
            <w:pPr>
              <w:pStyle w:val="TableText0"/>
              <w:keepNext w:val="0"/>
              <w:rPr>
                <w:b/>
              </w:rPr>
            </w:pPr>
            <w:r w:rsidRPr="00105722">
              <w:rPr>
                <w:b/>
              </w:rPr>
              <w:t>Clinical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F435D7F" w14:textId="77777777" w:rsidR="00105722" w:rsidRPr="00105722" w:rsidRDefault="00105722" w:rsidP="00105722">
            <w:pPr>
              <w:pStyle w:val="TableText0"/>
              <w:keepNext w:val="0"/>
              <w:rPr>
                <w:szCs w:val="20"/>
              </w:rPr>
            </w:pPr>
          </w:p>
        </w:tc>
      </w:tr>
      <w:tr w:rsidR="00105722" w:rsidRPr="00D33C2C" w14:paraId="05BB406C"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9D72039" w14:textId="22C586DA"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CFBDF89" w14:textId="586D52C4" w:rsidR="00105722" w:rsidRPr="00105722" w:rsidRDefault="00105722" w:rsidP="00AB3A10">
            <w:pPr>
              <w:pStyle w:val="TableText0"/>
              <w:keepNext w:val="0"/>
              <w:rPr>
                <w:szCs w:val="20"/>
              </w:rPr>
            </w:pPr>
            <w:r w:rsidRPr="00105722">
              <w:rPr>
                <w:szCs w:val="20"/>
              </w:rPr>
              <w:t>Patient must not have demonstrated an adequate clinical response to initial treatment at 40</w:t>
            </w:r>
            <w:r w:rsidR="0017081E">
              <w:rPr>
                <w:szCs w:val="20"/>
              </w:rPr>
              <w:t> mcg</w:t>
            </w:r>
            <w:r w:rsidRPr="00105722">
              <w:rPr>
                <w:szCs w:val="20"/>
              </w:rPr>
              <w:t>/kg/day after 1 month.</w:t>
            </w:r>
          </w:p>
        </w:tc>
      </w:tr>
      <w:tr w:rsidR="00105722" w:rsidRPr="00D33C2C" w14:paraId="5D08C0DC"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7BA324CE" w14:textId="77777777" w:rsidR="00105722" w:rsidRPr="00105722" w:rsidRDefault="00105722" w:rsidP="00105722">
            <w:pPr>
              <w:pStyle w:val="TableText0"/>
              <w:keepNext w:val="0"/>
              <w:rPr>
                <w:b/>
              </w:rPr>
            </w:pPr>
            <w:r w:rsidRPr="00105722">
              <w:rPr>
                <w:b/>
              </w:rPr>
              <w:t>Prescribing instructions:</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CC7EE2B" w14:textId="77777777" w:rsidR="00105722" w:rsidRPr="00105722" w:rsidRDefault="00105722" w:rsidP="00AB3A10">
            <w:pPr>
              <w:pStyle w:val="TableText0"/>
              <w:keepNext w:val="0"/>
              <w:rPr>
                <w:szCs w:val="20"/>
              </w:rPr>
            </w:pPr>
          </w:p>
        </w:tc>
      </w:tr>
      <w:tr w:rsidR="00105722" w:rsidRPr="00D33C2C" w14:paraId="605CB148"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3DB9E93" w14:textId="75F48A35"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B5F4167" w14:textId="0AF2F42A" w:rsidR="00105722" w:rsidRPr="00105722" w:rsidRDefault="00105722" w:rsidP="00105722">
            <w:pPr>
              <w:pStyle w:val="TableText0"/>
              <w:keepNext w:val="0"/>
              <w:rPr>
                <w:szCs w:val="20"/>
              </w:rPr>
            </w:pPr>
            <w:r w:rsidRPr="00ED4B8B">
              <w:rPr>
                <w:szCs w:val="20"/>
              </w:rPr>
              <w:t xml:space="preserve">An adequate clinical response to treatment is defined as an </w:t>
            </w:r>
            <w:r w:rsidR="00D2591B" w:rsidRPr="00ED4B8B">
              <w:rPr>
                <w:szCs w:val="20"/>
              </w:rPr>
              <w:t>average ≥</w:t>
            </w:r>
            <w:r w:rsidRPr="00ED4B8B">
              <w:rPr>
                <w:szCs w:val="20"/>
              </w:rPr>
              <w:t>1 grade improvement in prurit</w:t>
            </w:r>
            <w:r>
              <w:rPr>
                <w:szCs w:val="20"/>
              </w:rPr>
              <w:t>u</w:t>
            </w:r>
            <w:r w:rsidRPr="00ED4B8B">
              <w:rPr>
                <w:szCs w:val="20"/>
              </w:rPr>
              <w:t>s score on the Prucision™ ObsRO Prurit</w:t>
            </w:r>
            <w:r>
              <w:rPr>
                <w:szCs w:val="20"/>
              </w:rPr>
              <w:t>u</w:t>
            </w:r>
            <w:r w:rsidRPr="00ED4B8B">
              <w:rPr>
                <w:szCs w:val="20"/>
              </w:rPr>
              <w:t>s Scale, assessed over a one week period prior to dose modification.</w:t>
            </w:r>
          </w:p>
        </w:tc>
      </w:tr>
      <w:tr w:rsidR="00105722" w:rsidRPr="00D33C2C" w14:paraId="1085CB89"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F09FF15" w14:textId="6DEC6929" w:rsidR="00105722" w:rsidRPr="00DA5820"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D8B9FFF" w14:textId="77777777" w:rsidR="00105722" w:rsidRPr="00DA5820" w:rsidRDefault="00105722" w:rsidP="00105722">
            <w:pPr>
              <w:pStyle w:val="TableText0"/>
              <w:keepNext w:val="0"/>
              <w:rPr>
                <w:szCs w:val="20"/>
              </w:rPr>
            </w:pPr>
            <w:r w:rsidRPr="00ED4B8B">
              <w:rPr>
                <w:szCs w:val="20"/>
              </w:rPr>
              <w:t>Any further authority applications occurring immediately after access through this dose modification listing are not to occur through the Initial Treatment listing.</w:t>
            </w:r>
          </w:p>
        </w:tc>
      </w:tr>
      <w:tr w:rsidR="00105722" w:rsidRPr="00D33C2C" w14:paraId="5355BE0E"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7DE0EB3" w14:textId="75CE6B06"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CE6D141" w14:textId="77777777" w:rsidR="00105722" w:rsidRPr="00105722" w:rsidRDefault="00105722" w:rsidP="00105722">
            <w:pPr>
              <w:pStyle w:val="TableText0"/>
              <w:keepNext w:val="0"/>
              <w:rPr>
                <w:szCs w:val="20"/>
              </w:rPr>
            </w:pPr>
            <w:r w:rsidRPr="00105722">
              <w:rPr>
                <w:szCs w:val="20"/>
              </w:rPr>
              <w:t>Dose modification</w:t>
            </w:r>
          </w:p>
          <w:p w14:paraId="5DF67790" w14:textId="77777777" w:rsidR="00105722" w:rsidRPr="00E932C2" w:rsidRDefault="00105722" w:rsidP="00105722">
            <w:pPr>
              <w:pStyle w:val="TableText0"/>
              <w:keepNext w:val="0"/>
              <w:rPr>
                <w:szCs w:val="20"/>
              </w:rPr>
            </w:pPr>
            <w:r w:rsidRPr="00ED4B8B">
              <w:rPr>
                <w:szCs w:val="20"/>
              </w:rPr>
              <w:t>Where the drug's Product Information indicates variable dosing regimens based on the individual's response/tolerance, apply under this listing to continue treatment with the new strength. Mark any remaining repeat prescriptions for the discontinued strength with the word 'cancelled'. This treatment phase listing recognises that a patient's optimal dose may not always be immediately apparent at the time of treatment initiation and</w:t>
            </w:r>
            <w:r>
              <w:rPr>
                <w:szCs w:val="20"/>
              </w:rPr>
              <w:t xml:space="preserve"> </w:t>
            </w:r>
            <w:r w:rsidRPr="00ED4B8B">
              <w:rPr>
                <w:szCs w:val="20"/>
              </w:rPr>
              <w:t>therefore does not require confirmation of an objective, adequate response to the preceding supply of drug.</w:t>
            </w:r>
          </w:p>
        </w:tc>
      </w:tr>
      <w:tr w:rsidR="00105722" w:rsidRPr="00D33C2C" w14:paraId="7149971F"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0444F62" w14:textId="507B3696" w:rsidR="00105722" w:rsidRDefault="00105722" w:rsidP="00AB3A10">
            <w:pPr>
              <w:pStyle w:val="TableText0"/>
              <w:keepNext w:val="0"/>
              <w:rPr>
                <w:bCs w:val="0"/>
                <w:i/>
                <w:iCs/>
              </w:rPr>
            </w:pPr>
            <w:r w:rsidRPr="00D33C2C">
              <w:rPr>
                <w:b/>
              </w:rPr>
              <w:t>Treatment phase: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67A648F4" w14:textId="0210BD1F" w:rsidR="00105722" w:rsidRPr="00105722" w:rsidRDefault="00105722" w:rsidP="00105722">
            <w:pPr>
              <w:pStyle w:val="TableText0"/>
              <w:keepNext w:val="0"/>
              <w:rPr>
                <w:szCs w:val="20"/>
              </w:rPr>
            </w:pPr>
            <w:r w:rsidRPr="00DC6AD3">
              <w:rPr>
                <w:b/>
                <w:bCs w:val="0"/>
              </w:rPr>
              <w:t xml:space="preserve">Continuing Treatment </w:t>
            </w:r>
          </w:p>
        </w:tc>
      </w:tr>
      <w:tr w:rsidR="00105722" w:rsidRPr="00D33C2C" w14:paraId="7894EE18"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E11A821" w14:textId="28A345CD" w:rsidR="00105722" w:rsidRDefault="00105722" w:rsidP="00AB3A10">
            <w:pPr>
              <w:pStyle w:val="TableText0"/>
              <w:keepNext w:val="0"/>
              <w:rPr>
                <w:bCs w:val="0"/>
                <w:i/>
                <w:iCs/>
              </w:rPr>
            </w:pPr>
            <w:r w:rsidRPr="00D33C2C">
              <w:rPr>
                <w:b/>
              </w:rPr>
              <w:t>Restriction</w:t>
            </w:r>
            <w:r>
              <w:rPr>
                <w:b/>
              </w:rPr>
              <w:t xml:space="preserve"> type</w:t>
            </w:r>
            <w:r w:rsidRPr="00D33C2C">
              <w:rPr>
                <w:b/>
              </w:rPr>
              <w:t>:</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66C01FD" w14:textId="1AB98CC3" w:rsidR="00105722" w:rsidRPr="00105722" w:rsidRDefault="00105722" w:rsidP="00105722">
            <w:pPr>
              <w:pStyle w:val="TableText0"/>
              <w:keepNext w:val="0"/>
              <w:rPr>
                <w:szCs w:val="20"/>
              </w:rPr>
            </w:pPr>
            <w:r w:rsidRPr="001772B3">
              <w:rPr>
                <w:rFonts w:eastAsia="Calibri"/>
                <w:szCs w:val="20"/>
              </w:rPr>
              <w:fldChar w:fldCharType="begin" w:fldLock="1">
                <w:ffData>
                  <w:name w:val=""/>
                  <w:enabled/>
                  <w:calcOnExit w:val="0"/>
                  <w:checkBox>
                    <w:sizeAuto/>
                    <w:default w:val="1"/>
                  </w:checkBox>
                </w:ffData>
              </w:fldChar>
            </w:r>
            <w:r w:rsidRPr="001772B3">
              <w:rPr>
                <w:rFonts w:eastAsia="Calibri"/>
                <w:szCs w:val="20"/>
              </w:rPr>
              <w:instrText xml:space="preserve"> FORMCHECKBOX </w:instrText>
            </w:r>
            <w:r w:rsidRPr="001772B3">
              <w:rPr>
                <w:rFonts w:eastAsia="Calibri"/>
                <w:szCs w:val="20"/>
              </w:rPr>
            </w:r>
            <w:r w:rsidRPr="001772B3">
              <w:rPr>
                <w:rFonts w:eastAsia="Calibri"/>
                <w:szCs w:val="20"/>
              </w:rPr>
              <w:fldChar w:fldCharType="separate"/>
            </w:r>
            <w:r w:rsidRPr="001772B3">
              <w:rPr>
                <w:rFonts w:eastAsia="Calibri"/>
                <w:szCs w:val="20"/>
              </w:rPr>
              <w:fldChar w:fldCharType="end"/>
            </w:r>
            <w:r w:rsidRPr="001772B3" w:rsidDel="007361C5">
              <w:rPr>
                <w:rFonts w:eastAsia="Calibri"/>
                <w:szCs w:val="20"/>
              </w:rPr>
              <w:t xml:space="preserve"> </w:t>
            </w:r>
            <w:r w:rsidRPr="001772B3">
              <w:rPr>
                <w:rFonts w:eastAsia="Calibri"/>
                <w:szCs w:val="20"/>
              </w:rPr>
              <w:t xml:space="preserve">Authority </w:t>
            </w:r>
            <w:r w:rsidRPr="00991489">
              <w:rPr>
                <w:rFonts w:eastAsia="Calibri"/>
                <w:szCs w:val="20"/>
              </w:rPr>
              <w:t xml:space="preserve">Required </w:t>
            </w:r>
            <w:r w:rsidRPr="001772B3">
              <w:rPr>
                <w:rFonts w:eastAsia="Calibri"/>
                <w:szCs w:val="20"/>
              </w:rPr>
              <w:t>(in writing only via post/HPOS upload)</w:t>
            </w:r>
          </w:p>
        </w:tc>
      </w:tr>
      <w:tr w:rsidR="00105722" w:rsidRPr="00D33C2C" w14:paraId="014EA342"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5B02FC0" w14:textId="5D999F21" w:rsidR="00105722" w:rsidRDefault="00105722" w:rsidP="00AB3A10">
            <w:pPr>
              <w:pStyle w:val="TableText0"/>
              <w:keepNext w:val="0"/>
              <w:rPr>
                <w:bCs w:val="0"/>
                <w:i/>
                <w:iCs/>
              </w:rPr>
            </w:pPr>
            <w:r w:rsidRPr="00D33C2C">
              <w:rPr>
                <w:b/>
              </w:rPr>
              <w:t>Treatment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1324AEB2" w14:textId="77777777" w:rsidR="00105722" w:rsidRPr="00105722" w:rsidRDefault="00105722" w:rsidP="00105722">
            <w:pPr>
              <w:pStyle w:val="TableText0"/>
              <w:keepNext w:val="0"/>
              <w:rPr>
                <w:szCs w:val="20"/>
              </w:rPr>
            </w:pPr>
          </w:p>
        </w:tc>
      </w:tr>
      <w:tr w:rsidR="00105722" w:rsidRPr="00D33C2C" w14:paraId="267A5A53"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FD5F140" w14:textId="1BCDF8E2"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D94F4A7" w14:textId="1F4A3B3B" w:rsidR="00105722" w:rsidRPr="00105722" w:rsidRDefault="00105722" w:rsidP="00105722">
            <w:pPr>
              <w:pStyle w:val="TableText0"/>
              <w:keepNext w:val="0"/>
              <w:rPr>
                <w:szCs w:val="20"/>
              </w:rPr>
            </w:pPr>
            <w:r w:rsidRPr="003C1E60">
              <w:t xml:space="preserve">Must be treated by a specialist experienced in the management of PFIC, who is either: (i) gastroenterologist, (ii) hepatologist; </w:t>
            </w:r>
            <w:r w:rsidRPr="00ED4B8B">
              <w:rPr>
                <w:b/>
                <w:bCs w:val="0"/>
              </w:rPr>
              <w:t>OR</w:t>
            </w:r>
          </w:p>
        </w:tc>
      </w:tr>
      <w:tr w:rsidR="00105722" w:rsidRPr="00D33C2C" w14:paraId="5F51887F"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067DE5D" w14:textId="67676C0A"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tcPr>
          <w:p w14:paraId="3BCA6A01" w14:textId="0B21F11E" w:rsidR="00105722" w:rsidRPr="00105722" w:rsidRDefault="00105722" w:rsidP="00105722">
            <w:pPr>
              <w:pStyle w:val="TableText0"/>
              <w:keepNext w:val="0"/>
              <w:rPr>
                <w:szCs w:val="20"/>
              </w:rPr>
            </w:pPr>
            <w:r w:rsidRPr="003C1E60">
              <w:t xml:space="preserve">Must be treated by a medical practitioner under the supervision of a specialist experienced in the management of PFIC </w:t>
            </w:r>
          </w:p>
        </w:tc>
      </w:tr>
      <w:tr w:rsidR="00105722" w:rsidRPr="00D33C2C" w14:paraId="23DB49E5"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1F2A549" w14:textId="302BC8AB" w:rsidR="00105722" w:rsidRDefault="00105722" w:rsidP="00AB3A10">
            <w:pPr>
              <w:pStyle w:val="TableText0"/>
              <w:keepNext w:val="0"/>
              <w:rPr>
                <w:bCs w:val="0"/>
                <w:i/>
                <w:iCs/>
              </w:rPr>
            </w:pPr>
            <w:r w:rsidRPr="00D33C2C">
              <w:rPr>
                <w:b/>
              </w:rPr>
              <w:t>Clinical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4BBCE04" w14:textId="77777777" w:rsidR="00105722" w:rsidRPr="00105722" w:rsidRDefault="00105722" w:rsidP="00AB3A10">
            <w:pPr>
              <w:pStyle w:val="TableText0"/>
              <w:keepNext w:val="0"/>
              <w:rPr>
                <w:szCs w:val="20"/>
              </w:rPr>
            </w:pPr>
          </w:p>
        </w:tc>
      </w:tr>
      <w:tr w:rsidR="00105722" w:rsidRPr="00D33C2C" w14:paraId="540D0A2D"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788BCF1" w14:textId="3027023A"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3C552F9" w14:textId="0732F9B2" w:rsidR="00105722" w:rsidRPr="00105722" w:rsidRDefault="00105722" w:rsidP="00105722">
            <w:pPr>
              <w:pStyle w:val="TableText0"/>
              <w:keepNext w:val="0"/>
              <w:rPr>
                <w:szCs w:val="20"/>
              </w:rPr>
            </w:pPr>
            <w:r w:rsidRPr="00CC6247">
              <w:t xml:space="preserve">Patient must have demonstrated an adequate clinical response to initial treatment at 40mcg/kg/day over 3 consecutive months; </w:t>
            </w:r>
            <w:r w:rsidRPr="00ED4B8B">
              <w:rPr>
                <w:b/>
                <w:bCs w:val="0"/>
              </w:rPr>
              <w:t>OR</w:t>
            </w:r>
            <w:r w:rsidRPr="00CC6247">
              <w:t xml:space="preserve"> </w:t>
            </w:r>
          </w:p>
        </w:tc>
      </w:tr>
      <w:tr w:rsidR="00105722" w:rsidRPr="00D33C2C" w14:paraId="7477F89A"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E44E930" w14:textId="65D25905"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24B2A530" w14:textId="5FF37DD4" w:rsidR="00105722" w:rsidRPr="00105722" w:rsidRDefault="00105722" w:rsidP="00105722">
            <w:pPr>
              <w:pStyle w:val="TableText0"/>
              <w:keepNext w:val="0"/>
              <w:rPr>
                <w:szCs w:val="20"/>
              </w:rPr>
            </w:pPr>
            <w:r w:rsidRPr="00CC6247">
              <w:t xml:space="preserve">Patient must have demonstrated an adequate clinical response to dose modification at 120mcg/kg/day at 6 months from commencing odevixibat treatment. </w:t>
            </w:r>
          </w:p>
        </w:tc>
      </w:tr>
      <w:tr w:rsidR="00105722" w:rsidRPr="00D33C2C" w14:paraId="0BFCC670"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9D13BBE" w14:textId="1B2F0948" w:rsidR="00105722" w:rsidRDefault="00105722" w:rsidP="00105722">
            <w:pPr>
              <w:pStyle w:val="TableText0"/>
              <w:keepNext w:val="0"/>
              <w:rPr>
                <w:bCs w:val="0"/>
                <w:i/>
                <w:iCs/>
              </w:rPr>
            </w:pPr>
            <w:r>
              <w:rPr>
                <w:b/>
              </w:rPr>
              <w:t>Prescribing instructions:</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7AEDB319" w14:textId="77777777" w:rsidR="00105722" w:rsidRPr="00105722" w:rsidRDefault="00105722" w:rsidP="00105722">
            <w:pPr>
              <w:pStyle w:val="TableText0"/>
              <w:keepNext w:val="0"/>
              <w:rPr>
                <w:szCs w:val="20"/>
              </w:rPr>
            </w:pPr>
          </w:p>
        </w:tc>
      </w:tr>
      <w:tr w:rsidR="00105722" w:rsidRPr="00D33C2C" w14:paraId="6CD0B729"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D93F257" w14:textId="60E122CB"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392D42BF" w14:textId="0EB374C0" w:rsidR="00105722" w:rsidRPr="00ED4B8B" w:rsidRDefault="00105722" w:rsidP="00105722">
            <w:pPr>
              <w:pStyle w:val="TableText0"/>
              <w:keepNext w:val="0"/>
              <w:rPr>
                <w:szCs w:val="20"/>
              </w:rPr>
            </w:pPr>
            <w:r w:rsidRPr="00ED4B8B">
              <w:rPr>
                <w:szCs w:val="20"/>
              </w:rPr>
              <w:t>If an adequate clinical response has been achieved after 3 consecutive months of initial treatment, odevixibat should be renewed at 40</w:t>
            </w:r>
            <w:r w:rsidR="0017081E">
              <w:rPr>
                <w:szCs w:val="20"/>
              </w:rPr>
              <w:t> mcg</w:t>
            </w:r>
            <w:r w:rsidRPr="00ED4B8B">
              <w:rPr>
                <w:szCs w:val="20"/>
              </w:rPr>
              <w:t xml:space="preserve">/kg/day through the continuing treatment phase. </w:t>
            </w:r>
          </w:p>
          <w:p w14:paraId="18666EBC" w14:textId="77777777" w:rsidR="00105722" w:rsidRPr="00ED4B8B" w:rsidRDefault="00105722" w:rsidP="00105722">
            <w:pPr>
              <w:pStyle w:val="TableText0"/>
              <w:keepNext w:val="0"/>
              <w:rPr>
                <w:szCs w:val="20"/>
              </w:rPr>
            </w:pPr>
          </w:p>
          <w:p w14:paraId="2CB2D181" w14:textId="34E00928" w:rsidR="00105722" w:rsidRPr="00ED4B8B" w:rsidRDefault="00105722" w:rsidP="00105722">
            <w:pPr>
              <w:pStyle w:val="TableText0"/>
              <w:keepNext w:val="0"/>
              <w:rPr>
                <w:szCs w:val="20"/>
              </w:rPr>
            </w:pPr>
            <w:r w:rsidRPr="00ED4B8B">
              <w:rPr>
                <w:szCs w:val="20"/>
              </w:rPr>
              <w:t xml:space="preserve">If an adequate clinical response has been achieved </w:t>
            </w:r>
            <w:r w:rsidR="00D2591B" w:rsidRPr="00ED4B8B">
              <w:rPr>
                <w:szCs w:val="20"/>
              </w:rPr>
              <w:t>after dose</w:t>
            </w:r>
            <w:r w:rsidRPr="00ED4B8B">
              <w:rPr>
                <w:szCs w:val="20"/>
              </w:rPr>
              <w:t xml:space="preserve"> modification at 6 months from commencing odevixibat treatment, should be renewed at 120</w:t>
            </w:r>
            <w:r w:rsidR="0017081E">
              <w:rPr>
                <w:szCs w:val="20"/>
              </w:rPr>
              <w:t> mcg</w:t>
            </w:r>
            <w:r w:rsidRPr="00ED4B8B">
              <w:rPr>
                <w:szCs w:val="20"/>
              </w:rPr>
              <w:t xml:space="preserve">/kg/day through the continuing treatment phase. </w:t>
            </w:r>
          </w:p>
          <w:p w14:paraId="631C05F9" w14:textId="77777777" w:rsidR="00105722" w:rsidRPr="00ED4B8B" w:rsidRDefault="00105722" w:rsidP="00105722">
            <w:pPr>
              <w:pStyle w:val="TableText0"/>
              <w:keepNext w:val="0"/>
              <w:rPr>
                <w:szCs w:val="20"/>
              </w:rPr>
            </w:pPr>
          </w:p>
          <w:p w14:paraId="6FC4D29D" w14:textId="451DFF91" w:rsidR="00105722" w:rsidRPr="00105722" w:rsidRDefault="00105722" w:rsidP="00105722">
            <w:pPr>
              <w:pStyle w:val="TableText0"/>
              <w:keepNext w:val="0"/>
              <w:rPr>
                <w:szCs w:val="20"/>
              </w:rPr>
            </w:pPr>
            <w:r w:rsidRPr="00ED4B8B">
              <w:rPr>
                <w:szCs w:val="20"/>
              </w:rPr>
              <w:t>Patients must meet the criteria outlined in the Prucision™ ObsRO Prurit</w:t>
            </w:r>
            <w:r>
              <w:rPr>
                <w:szCs w:val="20"/>
              </w:rPr>
              <w:t>u</w:t>
            </w:r>
            <w:r w:rsidRPr="00ED4B8B">
              <w:rPr>
                <w:szCs w:val="20"/>
              </w:rPr>
              <w:t>s Scale for ongoing treatment at the lowest effective dose which achieves a response.</w:t>
            </w:r>
          </w:p>
        </w:tc>
      </w:tr>
      <w:tr w:rsidR="00105722" w:rsidRPr="00D33C2C" w14:paraId="715254BD"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54F1C3B" w14:textId="0A8847C3" w:rsid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6FADF38" w14:textId="0CC09AD0" w:rsidR="00105722" w:rsidRPr="00105722" w:rsidRDefault="00105722" w:rsidP="00105722">
            <w:pPr>
              <w:pStyle w:val="TableText0"/>
              <w:keepNext w:val="0"/>
              <w:rPr>
                <w:szCs w:val="20"/>
              </w:rPr>
            </w:pPr>
            <w:r w:rsidRPr="00ED4B8B">
              <w:rPr>
                <w:szCs w:val="20"/>
              </w:rPr>
              <w:t xml:space="preserve">An adequate clinical response to treatment is defined as an </w:t>
            </w:r>
            <w:r w:rsidR="00D2591B" w:rsidRPr="00ED4B8B">
              <w:rPr>
                <w:szCs w:val="20"/>
              </w:rPr>
              <w:t>average ≥</w:t>
            </w:r>
            <w:r w:rsidRPr="00ED4B8B">
              <w:rPr>
                <w:szCs w:val="20"/>
              </w:rPr>
              <w:t>1 grade improvement in prurit</w:t>
            </w:r>
            <w:r>
              <w:rPr>
                <w:szCs w:val="20"/>
              </w:rPr>
              <w:t>u</w:t>
            </w:r>
            <w:r w:rsidRPr="00ED4B8B">
              <w:rPr>
                <w:szCs w:val="20"/>
              </w:rPr>
              <w:t>s score on the Prucision™ ObsRO Prurit</w:t>
            </w:r>
            <w:r>
              <w:rPr>
                <w:szCs w:val="20"/>
              </w:rPr>
              <w:t>u</w:t>
            </w:r>
            <w:r w:rsidRPr="00ED4B8B">
              <w:rPr>
                <w:szCs w:val="20"/>
              </w:rPr>
              <w:t>s Scale, assessed over a one week period prior to dose modification.</w:t>
            </w:r>
          </w:p>
        </w:tc>
      </w:tr>
      <w:tr w:rsidR="00105722" w:rsidRPr="00685436" w14:paraId="74C783B1"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79A6A0A4" w14:textId="77777777" w:rsidR="00105722" w:rsidRPr="00105722" w:rsidRDefault="00105722" w:rsidP="00105722">
            <w:pPr>
              <w:pStyle w:val="TableText0"/>
              <w:keepNext w:val="0"/>
              <w:rPr>
                <w:b/>
              </w:rPr>
            </w:pPr>
            <w:r w:rsidRPr="00105722">
              <w:rPr>
                <w:b/>
              </w:rPr>
              <w:t>Treatment phase: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86DBBBA" w14:textId="77777777" w:rsidR="00105722" w:rsidRPr="00E635DD" w:rsidRDefault="00105722" w:rsidP="00105722">
            <w:pPr>
              <w:pStyle w:val="TableText0"/>
              <w:keepNext w:val="0"/>
              <w:rPr>
                <w:b/>
                <w:bCs w:val="0"/>
                <w:szCs w:val="20"/>
              </w:rPr>
            </w:pPr>
            <w:r w:rsidRPr="00E635DD">
              <w:rPr>
                <w:b/>
                <w:bCs w:val="0"/>
                <w:szCs w:val="20"/>
              </w:rPr>
              <w:t>Transitioning from non-PBS to PBS subsidised supply - Grandfather arrangements</w:t>
            </w:r>
          </w:p>
        </w:tc>
      </w:tr>
      <w:tr w:rsidR="00105722" w:rsidRPr="00685436" w14:paraId="041F0A4D"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25141530" w14:textId="77777777" w:rsidR="00105722" w:rsidRPr="00105722" w:rsidRDefault="00105722" w:rsidP="00105722">
            <w:pPr>
              <w:pStyle w:val="TableText0"/>
              <w:keepNext w:val="0"/>
              <w:rPr>
                <w:b/>
              </w:rPr>
            </w:pPr>
            <w:r w:rsidRPr="00105722">
              <w:rPr>
                <w:b/>
              </w:rPr>
              <w:t>Restriction type:</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E7D9DE5" w14:textId="77777777" w:rsidR="00105722" w:rsidRPr="00105722" w:rsidRDefault="00105722" w:rsidP="00105722">
            <w:pPr>
              <w:pStyle w:val="TableText0"/>
              <w:keepNext w:val="0"/>
              <w:rPr>
                <w:szCs w:val="20"/>
              </w:rPr>
            </w:pPr>
            <w:r w:rsidRPr="00105722">
              <w:rPr>
                <w:szCs w:val="20"/>
              </w:rPr>
              <w:fldChar w:fldCharType="begin" w:fldLock="1">
                <w:ffData>
                  <w:name w:val=""/>
                  <w:enabled/>
                  <w:calcOnExit w:val="0"/>
                  <w:checkBox>
                    <w:sizeAuto/>
                    <w:default w:val="1"/>
                  </w:checkBox>
                </w:ffData>
              </w:fldChar>
            </w:r>
            <w:r w:rsidRPr="00105722">
              <w:rPr>
                <w:szCs w:val="20"/>
              </w:rPr>
              <w:instrText xml:space="preserve"> FORMCHECKBOX </w:instrText>
            </w:r>
            <w:r w:rsidRPr="00105722">
              <w:rPr>
                <w:szCs w:val="20"/>
              </w:rPr>
            </w:r>
            <w:r w:rsidRPr="00105722">
              <w:rPr>
                <w:szCs w:val="20"/>
              </w:rPr>
              <w:fldChar w:fldCharType="separate"/>
            </w:r>
            <w:r w:rsidRPr="00105722">
              <w:rPr>
                <w:szCs w:val="20"/>
              </w:rPr>
              <w:fldChar w:fldCharType="end"/>
            </w:r>
            <w:r w:rsidRPr="00105722" w:rsidDel="007361C5">
              <w:rPr>
                <w:szCs w:val="20"/>
              </w:rPr>
              <w:t xml:space="preserve"> </w:t>
            </w:r>
            <w:r w:rsidRPr="00105722">
              <w:rPr>
                <w:szCs w:val="20"/>
              </w:rPr>
              <w:t>Authority Required (in writing only via post/HPOS upload)</w:t>
            </w:r>
          </w:p>
        </w:tc>
      </w:tr>
      <w:tr w:rsidR="00105722" w:rsidRPr="00D33C2C" w14:paraId="092786FF"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64C868B2" w14:textId="77777777" w:rsidR="00105722" w:rsidRPr="00105722" w:rsidRDefault="00105722" w:rsidP="00105722">
            <w:pPr>
              <w:pStyle w:val="TableText0"/>
              <w:keepNext w:val="0"/>
              <w:rPr>
                <w:b/>
              </w:rPr>
            </w:pPr>
            <w:r w:rsidRPr="00105722">
              <w:rPr>
                <w:b/>
              </w:rPr>
              <w:t>Treatment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77656D85" w14:textId="77777777" w:rsidR="00105722" w:rsidRPr="00105722" w:rsidRDefault="00105722" w:rsidP="00105722">
            <w:pPr>
              <w:pStyle w:val="TableText0"/>
              <w:keepNext w:val="0"/>
              <w:rPr>
                <w:szCs w:val="20"/>
              </w:rPr>
            </w:pPr>
          </w:p>
        </w:tc>
      </w:tr>
      <w:tr w:rsidR="00105722" w:rsidRPr="00DB2589" w14:paraId="3D5B97C7"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C72ABE5" w14:textId="7D577430"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66394010" w14:textId="77777777" w:rsidR="00105722" w:rsidRPr="00105722" w:rsidRDefault="00105722" w:rsidP="00105722">
            <w:pPr>
              <w:pStyle w:val="TableText0"/>
              <w:keepNext w:val="0"/>
              <w:rPr>
                <w:szCs w:val="20"/>
              </w:rPr>
            </w:pPr>
            <w:r w:rsidRPr="00105722">
              <w:rPr>
                <w:szCs w:val="20"/>
              </w:rPr>
              <w:t>Must be treated by a specialist experienced in the management of PFIC, who is either: (i) gastroenterologist, (ii) hepatologist; OR</w:t>
            </w:r>
          </w:p>
        </w:tc>
      </w:tr>
      <w:tr w:rsidR="00105722" w:rsidRPr="00DB2589" w14:paraId="3553133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7DDA91B2" w14:textId="2BD83C9D" w:rsidR="00105722" w:rsidRPr="00DA5820"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51442CA" w14:textId="77777777" w:rsidR="00105722" w:rsidRPr="00105722" w:rsidRDefault="00105722" w:rsidP="00105722">
            <w:pPr>
              <w:pStyle w:val="TableText0"/>
              <w:keepNext w:val="0"/>
              <w:rPr>
                <w:szCs w:val="20"/>
              </w:rPr>
            </w:pPr>
            <w:r w:rsidRPr="00105722">
              <w:rPr>
                <w:szCs w:val="20"/>
              </w:rPr>
              <w:t xml:space="preserve">Must be treated by a medical practitioner under the supervision of a specialist experienced in the management of PFIC </w:t>
            </w:r>
          </w:p>
        </w:tc>
      </w:tr>
      <w:tr w:rsidR="00105722" w:rsidRPr="00DA5820" w14:paraId="3AA3317E"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F157BB9" w14:textId="77777777" w:rsidR="00105722" w:rsidRPr="00105722" w:rsidRDefault="00105722" w:rsidP="00105722">
            <w:pPr>
              <w:pStyle w:val="TableText0"/>
              <w:keepNext w:val="0"/>
              <w:rPr>
                <w:b/>
              </w:rPr>
            </w:pPr>
            <w:r w:rsidRPr="00105722">
              <w:rPr>
                <w:b/>
              </w:rPr>
              <w:t>Clinical criteria:</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6385861" w14:textId="77777777" w:rsidR="00105722" w:rsidRPr="00105722" w:rsidRDefault="00105722" w:rsidP="00105722">
            <w:pPr>
              <w:pStyle w:val="TableText0"/>
              <w:keepNext w:val="0"/>
              <w:rPr>
                <w:szCs w:val="20"/>
              </w:rPr>
            </w:pPr>
          </w:p>
        </w:tc>
      </w:tr>
      <w:tr w:rsidR="00105722" w:rsidRPr="00DB2589" w14:paraId="758FC274"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1AE87B7" w14:textId="7D7B365F" w:rsidR="00105722" w:rsidRPr="00DB2589"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3F994242" w14:textId="77777777" w:rsidR="00105722" w:rsidRPr="00105722" w:rsidRDefault="00105722" w:rsidP="00105722">
            <w:pPr>
              <w:pStyle w:val="TableText0"/>
              <w:keepNext w:val="0"/>
              <w:rPr>
                <w:szCs w:val="20"/>
              </w:rPr>
            </w:pPr>
            <w:r w:rsidRPr="00DB2589">
              <w:rPr>
                <w:szCs w:val="20"/>
              </w:rPr>
              <w:t>Patient must have received treatment with this drug for this PBS indication prior to [insert date]</w:t>
            </w:r>
            <w:r>
              <w:rPr>
                <w:szCs w:val="20"/>
              </w:rPr>
              <w:t xml:space="preserve">; </w:t>
            </w:r>
            <w:r w:rsidRPr="00105722">
              <w:rPr>
                <w:szCs w:val="20"/>
              </w:rPr>
              <w:t>AND</w:t>
            </w:r>
          </w:p>
        </w:tc>
      </w:tr>
      <w:tr w:rsidR="00105722" w:rsidRPr="00DA5820" w14:paraId="0B2E977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2723CC3C" w14:textId="33FC8548"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235EE973" w14:textId="77777777" w:rsidR="00105722" w:rsidRPr="00105722" w:rsidRDefault="00105722" w:rsidP="00105722">
            <w:pPr>
              <w:pStyle w:val="TableText0"/>
              <w:keepNext w:val="0"/>
              <w:rPr>
                <w:szCs w:val="20"/>
              </w:rPr>
            </w:pPr>
            <w:r w:rsidRPr="00105722">
              <w:rPr>
                <w:szCs w:val="20"/>
              </w:rPr>
              <w:t>Patient must have had, prior to initiating treatment with this drug, elevated serum bile acids at treatment initiation with this drug; AND</w:t>
            </w:r>
          </w:p>
        </w:tc>
      </w:tr>
      <w:tr w:rsidR="00105722" w:rsidRPr="00DA5820" w14:paraId="3D4D6197"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575EDBA" w14:textId="35B05005"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682DBA35" w14:textId="594E8057" w:rsidR="00105722" w:rsidRPr="00105722" w:rsidRDefault="00105722" w:rsidP="00105722">
            <w:pPr>
              <w:pStyle w:val="TableText0"/>
              <w:keepNext w:val="0"/>
              <w:rPr>
                <w:szCs w:val="20"/>
              </w:rPr>
            </w:pPr>
            <w:r w:rsidRPr="00105722">
              <w:rPr>
                <w:szCs w:val="20"/>
              </w:rPr>
              <w:t>Patient must have had, prior to initiating treatment with this drug, an average pruritus score of ≥</w:t>
            </w:r>
            <w:r w:rsidR="00D2591B" w:rsidRPr="00105722">
              <w:rPr>
                <w:szCs w:val="20"/>
              </w:rPr>
              <w:t>2, on</w:t>
            </w:r>
            <w:r w:rsidRPr="00105722">
              <w:rPr>
                <w:szCs w:val="20"/>
              </w:rPr>
              <w:t xml:space="preserve"> the Prucision™ ObsRO Prurit</w:t>
            </w:r>
            <w:r w:rsidR="00D2591B">
              <w:rPr>
                <w:szCs w:val="20"/>
              </w:rPr>
              <w:t>u</w:t>
            </w:r>
            <w:r w:rsidRPr="00105722">
              <w:rPr>
                <w:szCs w:val="20"/>
              </w:rPr>
              <w:t>s Scale assessed over a one week period prior to treatment initiation with this drug; AND</w:t>
            </w:r>
          </w:p>
        </w:tc>
      </w:tr>
      <w:tr w:rsidR="00105722" w:rsidRPr="00DB2589" w14:paraId="1A15993D"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5CA5ABA1" w14:textId="77777777" w:rsidR="00105722" w:rsidRPr="00DA5820" w:rsidRDefault="00105722" w:rsidP="00105722">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AB62E28" w14:textId="77777777" w:rsidR="00105722" w:rsidRPr="00105722" w:rsidRDefault="00105722" w:rsidP="00105722">
            <w:pPr>
              <w:pStyle w:val="TableText0"/>
              <w:keepNext w:val="0"/>
              <w:rPr>
                <w:szCs w:val="20"/>
              </w:rPr>
            </w:pPr>
            <w:r w:rsidRPr="00DB2589">
              <w:rPr>
                <w:szCs w:val="20"/>
              </w:rPr>
              <w:t xml:space="preserve">Patient must be in initial 3 months of treatment and continuing at treatment dose of 40mcg/kg/day; </w:t>
            </w:r>
            <w:r w:rsidRPr="00105722">
              <w:rPr>
                <w:szCs w:val="20"/>
              </w:rPr>
              <w:t>OR</w:t>
            </w:r>
          </w:p>
        </w:tc>
      </w:tr>
      <w:tr w:rsidR="00105722" w:rsidRPr="00DB2589" w14:paraId="5A59A8DB"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49A4716E" w14:textId="77777777" w:rsidR="00105722" w:rsidRPr="00DA5820" w:rsidRDefault="00105722" w:rsidP="00105722">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44A0729C" w14:textId="77777777" w:rsidR="00105722" w:rsidRPr="00105722" w:rsidRDefault="00105722" w:rsidP="00105722">
            <w:pPr>
              <w:pStyle w:val="TableText0"/>
              <w:keepNext w:val="0"/>
              <w:rPr>
                <w:szCs w:val="20"/>
              </w:rPr>
            </w:pPr>
            <w:r w:rsidRPr="00DB2589">
              <w:rPr>
                <w:szCs w:val="20"/>
              </w:rPr>
              <w:t>Patient must have demonstrated an adequate clinical response to dose modification at 120mcg/kg/day at 6 months from commencing odevixibat treatment</w:t>
            </w:r>
          </w:p>
        </w:tc>
      </w:tr>
      <w:tr w:rsidR="00105722" w:rsidRPr="00DA5820" w14:paraId="1DB6F5EC"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tcPr>
          <w:p w14:paraId="3CAFBFC3" w14:textId="77777777" w:rsidR="00105722" w:rsidRPr="00105722" w:rsidRDefault="00105722" w:rsidP="00105722">
            <w:pPr>
              <w:pStyle w:val="TableText0"/>
              <w:keepNext w:val="0"/>
              <w:rPr>
                <w:b/>
              </w:rPr>
            </w:pPr>
            <w:r w:rsidRPr="00105722">
              <w:rPr>
                <w:b/>
              </w:rPr>
              <w:lastRenderedPageBreak/>
              <w:t xml:space="preserve">Prescribing Instructions: </w:t>
            </w: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3D5C6C63" w14:textId="77777777" w:rsidR="00105722" w:rsidRPr="00105722" w:rsidRDefault="00105722" w:rsidP="00105722">
            <w:pPr>
              <w:pStyle w:val="TableText0"/>
              <w:keepNext w:val="0"/>
              <w:rPr>
                <w:szCs w:val="20"/>
              </w:rPr>
            </w:pPr>
          </w:p>
        </w:tc>
      </w:tr>
      <w:tr w:rsidR="00105722" w:rsidRPr="00DA5820" w14:paraId="36FA47ED"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F051E0D" w14:textId="20F4352A" w:rsidR="00105722" w:rsidRPr="00105722"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525E9EDB" w14:textId="5DA3E1C9" w:rsidR="00105722" w:rsidRPr="00105722" w:rsidRDefault="00105722" w:rsidP="00105722">
            <w:pPr>
              <w:pStyle w:val="TableText0"/>
              <w:keepNext w:val="0"/>
              <w:rPr>
                <w:szCs w:val="20"/>
              </w:rPr>
            </w:pPr>
            <w:r w:rsidRPr="00105722">
              <w:rPr>
                <w:szCs w:val="20"/>
              </w:rPr>
              <w:t>If an adequate clinical response has been achieved after 3 consecutive months of initial treatment, odevixibat should be renewed at 40</w:t>
            </w:r>
            <w:r w:rsidR="0017081E">
              <w:rPr>
                <w:szCs w:val="20"/>
              </w:rPr>
              <w:t> mcg</w:t>
            </w:r>
            <w:r w:rsidRPr="00105722">
              <w:rPr>
                <w:szCs w:val="20"/>
              </w:rPr>
              <w:t xml:space="preserve">/kg/day through the continuing treatment phase. </w:t>
            </w:r>
          </w:p>
          <w:p w14:paraId="13011200" w14:textId="77777777" w:rsidR="00105722" w:rsidRPr="00105722" w:rsidRDefault="00105722" w:rsidP="00105722">
            <w:pPr>
              <w:pStyle w:val="TableText0"/>
              <w:keepNext w:val="0"/>
              <w:rPr>
                <w:szCs w:val="20"/>
              </w:rPr>
            </w:pPr>
          </w:p>
          <w:p w14:paraId="2B1C46B2" w14:textId="40F755D4" w:rsidR="00105722" w:rsidRPr="00105722" w:rsidRDefault="00105722" w:rsidP="00105722">
            <w:pPr>
              <w:pStyle w:val="TableText0"/>
              <w:keepNext w:val="0"/>
              <w:rPr>
                <w:szCs w:val="20"/>
              </w:rPr>
            </w:pPr>
            <w:r w:rsidRPr="00105722">
              <w:rPr>
                <w:szCs w:val="20"/>
              </w:rPr>
              <w:t>If an adequate clinical response has been achieved after dose modification at 6 months from commencing odevixibat treatment, should be renewed at 120</w:t>
            </w:r>
            <w:r w:rsidR="0017081E">
              <w:rPr>
                <w:szCs w:val="20"/>
              </w:rPr>
              <w:t> mcg</w:t>
            </w:r>
            <w:r w:rsidRPr="00105722">
              <w:rPr>
                <w:szCs w:val="20"/>
              </w:rPr>
              <w:t xml:space="preserve">/kg/day through the continuing treatment phase. </w:t>
            </w:r>
          </w:p>
          <w:p w14:paraId="76D0D315" w14:textId="77777777" w:rsidR="00105722" w:rsidRPr="00105722" w:rsidRDefault="00105722" w:rsidP="00105722">
            <w:pPr>
              <w:pStyle w:val="TableText0"/>
              <w:keepNext w:val="0"/>
              <w:rPr>
                <w:szCs w:val="20"/>
              </w:rPr>
            </w:pPr>
          </w:p>
          <w:p w14:paraId="443EC437" w14:textId="77777777" w:rsidR="00105722" w:rsidRPr="00105722" w:rsidRDefault="00105722" w:rsidP="00105722">
            <w:pPr>
              <w:pStyle w:val="TableText0"/>
              <w:keepNext w:val="0"/>
              <w:rPr>
                <w:szCs w:val="20"/>
              </w:rPr>
            </w:pPr>
            <w:r w:rsidRPr="00105722">
              <w:rPr>
                <w:szCs w:val="20"/>
              </w:rPr>
              <w:t>Patients must meet the criteria outlined in the Prucision™ ObsRO Pruritus Scale for ongoing treatment at the lowest effective dose which achieves a response.</w:t>
            </w:r>
          </w:p>
        </w:tc>
      </w:tr>
      <w:tr w:rsidR="00105722" w:rsidRPr="00DB2589" w14:paraId="1EE27C29" w14:textId="77777777" w:rsidTr="00D84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5" w:type="dxa"/>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3AA60FB0" w14:textId="7C680603" w:rsidR="00105722" w:rsidRPr="00DA5820" w:rsidRDefault="00105722" w:rsidP="00AB3A10">
            <w:pPr>
              <w:pStyle w:val="TableText0"/>
              <w:keepNext w:val="0"/>
              <w:jc w:val="center"/>
              <w:rPr>
                <w:bCs w:val="0"/>
                <w:i/>
                <w:iCs/>
              </w:rPr>
            </w:pPr>
          </w:p>
        </w:tc>
        <w:tc>
          <w:tcPr>
            <w:tcW w:w="6982" w:type="dxa"/>
            <w:gridSpan w:val="6"/>
            <w:tcBorders>
              <w:top w:val="single" w:sz="4" w:space="0" w:color="auto"/>
              <w:left w:val="single" w:sz="4" w:space="0" w:color="auto"/>
              <w:bottom w:val="single" w:sz="4" w:space="0" w:color="auto"/>
              <w:right w:val="single" w:sz="4" w:space="0" w:color="auto"/>
            </w:tcBorders>
            <w:tcMar>
              <w:left w:w="40" w:type="dxa"/>
              <w:right w:w="40" w:type="dxa"/>
            </w:tcMar>
          </w:tcPr>
          <w:p w14:paraId="0FB49C72" w14:textId="5AF69FBC" w:rsidR="00105722" w:rsidRPr="00DB2589" w:rsidRDefault="00105722" w:rsidP="00105722">
            <w:pPr>
              <w:pStyle w:val="TableText0"/>
              <w:keepNext w:val="0"/>
              <w:rPr>
                <w:szCs w:val="20"/>
              </w:rPr>
            </w:pPr>
            <w:r w:rsidRPr="00DB2589">
              <w:rPr>
                <w:szCs w:val="20"/>
              </w:rPr>
              <w:t>An adequate clinical response to treatment is defined as an average ≥1 grade improvement in prurit</w:t>
            </w:r>
            <w:r>
              <w:rPr>
                <w:szCs w:val="20"/>
              </w:rPr>
              <w:t>u</w:t>
            </w:r>
            <w:r w:rsidRPr="00DB2589">
              <w:rPr>
                <w:szCs w:val="20"/>
              </w:rPr>
              <w:t>s score on the Prucision™ ObsRO Prurit</w:t>
            </w:r>
            <w:r>
              <w:rPr>
                <w:szCs w:val="20"/>
              </w:rPr>
              <w:t>u</w:t>
            </w:r>
            <w:r w:rsidRPr="00DB2589">
              <w:rPr>
                <w:szCs w:val="20"/>
              </w:rPr>
              <w:t>s Scale, assessed over a one</w:t>
            </w:r>
            <w:r w:rsidR="00C4529E">
              <w:rPr>
                <w:szCs w:val="20"/>
              </w:rPr>
              <w:t>-</w:t>
            </w:r>
            <w:r w:rsidRPr="00DB2589">
              <w:rPr>
                <w:szCs w:val="20"/>
              </w:rPr>
              <w:t>week period prior to dose modification.</w:t>
            </w:r>
          </w:p>
        </w:tc>
      </w:tr>
    </w:tbl>
    <w:p w14:paraId="33817C22" w14:textId="74F73DD2" w:rsidR="00404D38" w:rsidRPr="007E4219" w:rsidRDefault="00404D38" w:rsidP="00AB3A10">
      <w:pPr>
        <w:pStyle w:val="Tabletext"/>
        <w:spacing w:after="120"/>
        <w:rPr>
          <w:sz w:val="18"/>
          <w:szCs w:val="22"/>
        </w:rPr>
      </w:pPr>
      <w:r w:rsidRPr="0007005D">
        <w:rPr>
          <w:sz w:val="18"/>
          <w:szCs w:val="22"/>
        </w:rPr>
        <w:t>Source: Tables 1-7 to 1-10, of the resubmission</w:t>
      </w:r>
    </w:p>
    <w:p w14:paraId="0984005E" w14:textId="44A1FB62" w:rsidR="00404D38" w:rsidRPr="001E2061" w:rsidRDefault="00404D38" w:rsidP="00EC58E6">
      <w:pPr>
        <w:pStyle w:val="ExecSumBodyText"/>
        <w:numPr>
          <w:ilvl w:val="1"/>
          <w:numId w:val="1"/>
        </w:numPr>
        <w:rPr>
          <w:i/>
          <w:iCs/>
        </w:rPr>
      </w:pPr>
      <w:r>
        <w:t>The resubmission requested an attached document to the restriction, with the description “</w:t>
      </w:r>
      <w:r w:rsidRPr="001E2061">
        <w:t>This document provides health professionals with the observer reported outcomes (ObsRO) pruritus scale for assessing patient scratching associated with PFIC. The scale runs in whole numbers from 0 to 4 with grade 0 representing no scratching to grade 4 representing worst possible scratching</w:t>
      </w:r>
      <w:r>
        <w:t xml:space="preserve">”. The ObsRO </w:t>
      </w:r>
      <w:r w:rsidR="00754D6E">
        <w:t xml:space="preserve">Pruritus Scale </w:t>
      </w:r>
      <w:r>
        <w:t xml:space="preserve">is shown in </w:t>
      </w:r>
      <w:r>
        <w:fldChar w:fldCharType="begin" w:fldLock="1"/>
      </w:r>
      <w:r>
        <w:instrText xml:space="preserve"> REF _Ref184826138 \h </w:instrText>
      </w:r>
      <w:r>
        <w:fldChar w:fldCharType="separate"/>
      </w:r>
      <w:r w:rsidR="00382EF0">
        <w:t xml:space="preserve">Figure </w:t>
      </w:r>
      <w:r w:rsidR="00382EF0">
        <w:rPr>
          <w:noProof/>
        </w:rPr>
        <w:t>1</w:t>
      </w:r>
      <w:r>
        <w:fldChar w:fldCharType="end"/>
      </w:r>
      <w:r>
        <w:t>.</w:t>
      </w:r>
      <w:r w:rsidR="0038109A">
        <w:t xml:space="preserve"> </w:t>
      </w:r>
    </w:p>
    <w:p w14:paraId="280ED73A" w14:textId="63134D0D" w:rsidR="00404D38" w:rsidRDefault="00404D38" w:rsidP="00DE0FB2">
      <w:pPr>
        <w:pStyle w:val="Caption"/>
      </w:pPr>
      <w:bookmarkStart w:id="17" w:name="_Ref184826138"/>
      <w:r>
        <w:t xml:space="preserve">Figure </w:t>
      </w:r>
      <w:r w:rsidR="00382EF0">
        <w:fldChar w:fldCharType="begin" w:fldLock="1"/>
      </w:r>
      <w:r w:rsidR="00382EF0">
        <w:instrText xml:space="preserve"> SEQ Figure \* ARABIC </w:instrText>
      </w:r>
      <w:r w:rsidR="00382EF0">
        <w:fldChar w:fldCharType="separate"/>
      </w:r>
      <w:r w:rsidR="00382EF0">
        <w:rPr>
          <w:noProof/>
        </w:rPr>
        <w:t>1</w:t>
      </w:r>
      <w:r w:rsidR="00382EF0">
        <w:rPr>
          <w:noProof/>
        </w:rPr>
        <w:fldChar w:fldCharType="end"/>
      </w:r>
      <w:bookmarkEnd w:id="17"/>
      <w:r>
        <w:t xml:space="preserve">: </w:t>
      </w:r>
      <w:r w:rsidRPr="001E2061">
        <w:t>Proposed Prucision™ ObsRO Pruritus Scale pruritus severity assessment scale</w:t>
      </w:r>
    </w:p>
    <w:p w14:paraId="5C638953" w14:textId="77777777" w:rsidR="00404D38" w:rsidRDefault="00404D38" w:rsidP="00DE0FB2">
      <w:r>
        <w:rPr>
          <w:noProof/>
        </w:rPr>
        <w:drawing>
          <wp:inline distT="0" distB="0" distL="0" distR="0" wp14:anchorId="11759258" wp14:editId="437414D0">
            <wp:extent cx="5732145" cy="1988820"/>
            <wp:effectExtent l="0" t="0" r="1905" b="0"/>
            <wp:docPr id="1738692578" name="Picture 1738692578" descr="Proposed Prucision ObsRO Pruritus Scale pruritus severity assessment scale. Scale is from 0-5 from No Scratching to Worst Possible Scrat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92578" name="Picture 1738692578" descr="Proposed Prucision ObsRO Pruritus Scale pruritus severity assessment scale. Scale is from 0-5 from No Scratching to Worst Possible Scratching. "/>
                    <pic:cNvPicPr/>
                  </pic:nvPicPr>
                  <pic:blipFill>
                    <a:blip r:embed="rId11"/>
                    <a:stretch>
                      <a:fillRect/>
                    </a:stretch>
                  </pic:blipFill>
                  <pic:spPr>
                    <a:xfrm>
                      <a:off x="0" y="0"/>
                      <a:ext cx="5732145" cy="1988820"/>
                    </a:xfrm>
                    <a:prstGeom prst="rect">
                      <a:avLst/>
                    </a:prstGeom>
                  </pic:spPr>
                </pic:pic>
              </a:graphicData>
            </a:graphic>
          </wp:inline>
        </w:drawing>
      </w:r>
    </w:p>
    <w:p w14:paraId="71980EA7" w14:textId="77777777" w:rsidR="00404D38" w:rsidRPr="007E4219" w:rsidRDefault="00404D38" w:rsidP="00EC58E6">
      <w:pPr>
        <w:pStyle w:val="Tabletext"/>
        <w:spacing w:after="120"/>
        <w:rPr>
          <w:sz w:val="18"/>
          <w:szCs w:val="22"/>
        </w:rPr>
      </w:pPr>
      <w:r w:rsidRPr="007E4219">
        <w:rPr>
          <w:sz w:val="18"/>
          <w:szCs w:val="22"/>
        </w:rPr>
        <w:t>Source: Figure 1-6, p32 of the resubmission</w:t>
      </w:r>
    </w:p>
    <w:p w14:paraId="7E906BBA" w14:textId="3DA223E7" w:rsidR="00404D38" w:rsidRPr="00471170" w:rsidRDefault="00404D38" w:rsidP="00EC58E6">
      <w:pPr>
        <w:pStyle w:val="3-BodyText"/>
        <w:numPr>
          <w:ilvl w:val="1"/>
          <w:numId w:val="1"/>
        </w:numPr>
        <w:spacing w:before="0"/>
      </w:pPr>
      <w:bookmarkStart w:id="18" w:name="_Ref185018108"/>
      <w:r w:rsidRPr="00471170">
        <w:t xml:space="preserve">The requested effective ex-manufacturer price </w:t>
      </w:r>
      <w:r w:rsidR="001C0072" w:rsidRPr="00471170">
        <w:t xml:space="preserve">(EMP) </w:t>
      </w:r>
      <w:r w:rsidRPr="00471170">
        <w:t>of $</w:t>
      </w:r>
      <w:r w:rsidR="001549E4" w:rsidRPr="004A6DE4">
        <w:rPr>
          <w:color w:val="000000"/>
          <w:spacing w:val="6"/>
          <w:w w:val="61"/>
          <w:shd w:val="solid" w:color="000000" w:fill="000000"/>
          <w:fitText w:val="475" w:id="-693991413"/>
          <w14:textFill>
            <w14:solidFill>
              <w14:srgbClr w14:val="000000">
                <w14:alpha w14:val="100000"/>
              </w14:srgbClr>
            </w14:solidFill>
          </w14:textFill>
        </w:rPr>
        <w:t>|||</w:t>
      </w:r>
      <w:r w:rsidR="004A6DE4" w:rsidRPr="004A6DE4">
        <w:rPr>
          <w:color w:val="000000"/>
          <w:spacing w:val="6"/>
          <w:w w:val="61"/>
          <w:shd w:val="solid" w:color="000000" w:fill="000000"/>
          <w:fitText w:val="475" w:id="-693991413"/>
          <w14:textFill>
            <w14:solidFill>
              <w14:srgbClr w14:val="000000">
                <w14:alpha w14:val="100000"/>
              </w14:srgbClr>
            </w14:solidFill>
          </w14:textFill>
        </w:rPr>
        <w:t xml:space="preserve"> </w:t>
      </w:r>
      <w:r w:rsidR="001549E4" w:rsidRPr="004A6DE4">
        <w:rPr>
          <w:color w:val="000000"/>
          <w:spacing w:val="6"/>
          <w:w w:val="61"/>
          <w:shd w:val="solid" w:color="000000" w:fill="000000"/>
          <w:fitText w:val="475" w:id="-693991413"/>
          <w14:textFill>
            <w14:solidFill>
              <w14:srgbClr w14:val="000000">
                <w14:alpha w14:val="100000"/>
              </w14:srgbClr>
            </w14:solidFill>
          </w14:textFill>
        </w:rPr>
        <w:t>||</w:t>
      </w:r>
      <w:r w:rsidR="001549E4" w:rsidRPr="004A6DE4">
        <w:rPr>
          <w:color w:val="000000"/>
          <w:spacing w:val="3"/>
          <w:w w:val="61"/>
          <w:shd w:val="solid" w:color="000000" w:fill="000000"/>
          <w:fitText w:val="475" w:id="-693991413"/>
          <w14:textFill>
            <w14:solidFill>
              <w14:srgbClr w14:val="000000">
                <w14:alpha w14:val="100000"/>
              </w14:srgbClr>
            </w14:solidFill>
          </w14:textFill>
        </w:rPr>
        <w:t>|</w:t>
      </w:r>
      <w:r w:rsidRPr="00471170">
        <w:t xml:space="preserve">/mcg was </w:t>
      </w:r>
      <w:r w:rsidR="001549E4" w:rsidRPr="004A6DE4">
        <w:rPr>
          <w:color w:val="000000"/>
          <w:spacing w:val="6"/>
          <w:w w:val="61"/>
          <w:shd w:val="solid" w:color="000000" w:fill="000000"/>
          <w:fitText w:val="475" w:id="-693991412"/>
          <w14:textFill>
            <w14:solidFill>
              <w14:srgbClr w14:val="000000">
                <w14:alpha w14:val="100000"/>
              </w14:srgbClr>
            </w14:solidFill>
          </w14:textFill>
        </w:rPr>
        <w:t>|||</w:t>
      </w:r>
      <w:r w:rsidR="004A6DE4" w:rsidRPr="004A6DE4">
        <w:rPr>
          <w:color w:val="000000"/>
          <w:spacing w:val="6"/>
          <w:w w:val="61"/>
          <w:shd w:val="solid" w:color="000000" w:fill="000000"/>
          <w:fitText w:val="475" w:id="-693991412"/>
          <w14:textFill>
            <w14:solidFill>
              <w14:srgbClr w14:val="000000">
                <w14:alpha w14:val="100000"/>
              </w14:srgbClr>
            </w14:solidFill>
          </w14:textFill>
        </w:rPr>
        <w:t xml:space="preserve"> </w:t>
      </w:r>
      <w:r w:rsidR="001549E4" w:rsidRPr="004A6DE4">
        <w:rPr>
          <w:color w:val="000000"/>
          <w:spacing w:val="6"/>
          <w:w w:val="61"/>
          <w:shd w:val="solid" w:color="000000" w:fill="000000"/>
          <w:fitText w:val="475" w:id="-693991412"/>
          <w14:textFill>
            <w14:solidFill>
              <w14:srgbClr w14:val="000000">
                <w14:alpha w14:val="100000"/>
              </w14:srgbClr>
            </w14:solidFill>
          </w14:textFill>
        </w:rPr>
        <w:t>||</w:t>
      </w:r>
      <w:r w:rsidR="001549E4" w:rsidRPr="004A6DE4">
        <w:rPr>
          <w:color w:val="000000"/>
          <w:spacing w:val="3"/>
          <w:w w:val="61"/>
          <w:shd w:val="solid" w:color="000000" w:fill="000000"/>
          <w:fitText w:val="475" w:id="-693991412"/>
          <w14:textFill>
            <w14:solidFill>
              <w14:srgbClr w14:val="000000">
                <w14:alpha w14:val="100000"/>
              </w14:srgbClr>
            </w14:solidFill>
          </w14:textFill>
        </w:rPr>
        <w:t>|</w:t>
      </w:r>
      <w:r w:rsidRPr="00471170">
        <w:t>% lower than in the previous submission</w:t>
      </w:r>
      <w:r w:rsidR="002C177E" w:rsidRPr="00471170">
        <w:t xml:space="preserve"> ($</w:t>
      </w:r>
      <w:r w:rsidR="001549E4" w:rsidRPr="00DA2049">
        <w:rPr>
          <w:color w:val="000000"/>
          <w:w w:val="15"/>
          <w:shd w:val="solid" w:color="000000" w:fill="000000"/>
          <w:fitText w:val="-20" w:id="-693991411"/>
          <w14:textFill>
            <w14:solidFill>
              <w14:srgbClr w14:val="000000">
                <w14:alpha w14:val="100000"/>
              </w14:srgbClr>
            </w14:solidFill>
          </w14:textFill>
        </w:rPr>
        <w:t>|</w:t>
      </w:r>
      <w:r w:rsidR="004A6DE4" w:rsidRPr="00DA2049">
        <w:rPr>
          <w:color w:val="000000"/>
          <w:w w:val="15"/>
          <w:shd w:val="solid" w:color="000000" w:fill="000000"/>
          <w:fitText w:val="-20" w:id="-693991411"/>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1"/>
          <w14:textFill>
            <w14:solidFill>
              <w14:srgbClr w14:val="000000">
                <w14:alpha w14:val="100000"/>
              </w14:srgbClr>
            </w14:solidFill>
          </w14:textFill>
        </w:rPr>
        <w:t>|</w:t>
      </w:r>
      <w:r w:rsidR="002C177E" w:rsidRPr="00471170">
        <w:t>/mcg)</w:t>
      </w:r>
      <w:r w:rsidRPr="00471170">
        <w:t>, equating to an effective EMP of $</w:t>
      </w:r>
      <w:r w:rsidR="001549E4" w:rsidRPr="00DA2049">
        <w:rPr>
          <w:color w:val="000000"/>
          <w:w w:val="15"/>
          <w:shd w:val="solid" w:color="000000" w:fill="000000"/>
          <w:fitText w:val="-20" w:id="-693991410"/>
          <w14:textFill>
            <w14:solidFill>
              <w14:srgbClr w14:val="000000">
                <w14:alpha w14:val="100000"/>
              </w14:srgbClr>
            </w14:solidFill>
          </w14:textFill>
        </w:rPr>
        <w:t>|</w:t>
      </w:r>
      <w:r w:rsidR="004A6DE4" w:rsidRPr="00DA2049">
        <w:rPr>
          <w:color w:val="000000"/>
          <w:w w:val="15"/>
          <w:shd w:val="solid" w:color="000000" w:fill="000000"/>
          <w:fitText w:val="-20" w:id="-693991410"/>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0"/>
          <w14:textFill>
            <w14:solidFill>
              <w14:srgbClr w14:val="000000">
                <w14:alpha w14:val="100000"/>
              </w14:srgbClr>
            </w14:solidFill>
          </w14:textFill>
        </w:rPr>
        <w:t>|</w:t>
      </w:r>
      <w:r w:rsidRPr="00471170">
        <w:t xml:space="preserve"> for the 200</w:t>
      </w:r>
      <w:r w:rsidR="0017081E">
        <w:t> mcg</w:t>
      </w:r>
      <w:r w:rsidRPr="00471170">
        <w:t xml:space="preserve"> pack, $</w:t>
      </w:r>
      <w:r w:rsidR="001549E4" w:rsidRPr="00DA2049">
        <w:rPr>
          <w:color w:val="000000"/>
          <w:w w:val="15"/>
          <w:shd w:val="solid" w:color="000000" w:fill="000000"/>
          <w:fitText w:val="-20" w:id="-693991409"/>
          <w14:textFill>
            <w14:solidFill>
              <w14:srgbClr w14:val="000000">
                <w14:alpha w14:val="100000"/>
              </w14:srgbClr>
            </w14:solidFill>
          </w14:textFill>
        </w:rPr>
        <w:t>|</w:t>
      </w:r>
      <w:r w:rsidR="004A6DE4" w:rsidRPr="00DA2049">
        <w:rPr>
          <w:color w:val="000000"/>
          <w:w w:val="15"/>
          <w:shd w:val="solid" w:color="000000" w:fill="000000"/>
          <w:fitText w:val="-20" w:id="-693991409"/>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09"/>
          <w14:textFill>
            <w14:solidFill>
              <w14:srgbClr w14:val="000000">
                <w14:alpha w14:val="100000"/>
              </w14:srgbClr>
            </w14:solidFill>
          </w14:textFill>
        </w:rPr>
        <w:t>|</w:t>
      </w:r>
      <w:r w:rsidRPr="00471170">
        <w:t xml:space="preserve"> for the 400</w:t>
      </w:r>
      <w:r w:rsidR="0017081E">
        <w:t> mcg</w:t>
      </w:r>
      <w:r w:rsidRPr="00471170">
        <w:t xml:space="preserve"> pack, $</w:t>
      </w:r>
      <w:r w:rsidR="001549E4" w:rsidRPr="00DA2049">
        <w:rPr>
          <w:color w:val="000000"/>
          <w:w w:val="15"/>
          <w:shd w:val="solid" w:color="000000" w:fill="000000"/>
          <w:fitText w:val="-20" w:id="-693991408"/>
          <w14:textFill>
            <w14:solidFill>
              <w14:srgbClr w14:val="000000">
                <w14:alpha w14:val="100000"/>
              </w14:srgbClr>
            </w14:solidFill>
          </w14:textFill>
        </w:rPr>
        <w:t>|</w:t>
      </w:r>
      <w:r w:rsidR="004A6DE4" w:rsidRPr="00DA2049">
        <w:rPr>
          <w:color w:val="000000"/>
          <w:w w:val="15"/>
          <w:shd w:val="solid" w:color="000000" w:fill="000000"/>
          <w:fitText w:val="-20" w:id="-693991408"/>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08"/>
          <w14:textFill>
            <w14:solidFill>
              <w14:srgbClr w14:val="000000">
                <w14:alpha w14:val="100000"/>
              </w14:srgbClr>
            </w14:solidFill>
          </w14:textFill>
        </w:rPr>
        <w:t>|</w:t>
      </w:r>
      <w:r w:rsidRPr="00471170">
        <w:t xml:space="preserve"> for the 600</w:t>
      </w:r>
      <w:r w:rsidR="0017081E">
        <w:t> mcg</w:t>
      </w:r>
      <w:r w:rsidRPr="00471170">
        <w:t xml:space="preserve"> pack, and $</w:t>
      </w:r>
      <w:r w:rsidR="001549E4" w:rsidRPr="00DA2049">
        <w:rPr>
          <w:color w:val="000000"/>
          <w:w w:val="15"/>
          <w:shd w:val="solid" w:color="000000" w:fill="000000"/>
          <w:fitText w:val="-20" w:id="-693991424"/>
          <w14:textFill>
            <w14:solidFill>
              <w14:srgbClr w14:val="000000">
                <w14:alpha w14:val="100000"/>
              </w14:srgbClr>
            </w14:solidFill>
          </w14:textFill>
        </w:rPr>
        <w:t>|</w:t>
      </w:r>
      <w:r w:rsidR="004A6DE4" w:rsidRPr="00DA2049">
        <w:rPr>
          <w:color w:val="000000"/>
          <w:w w:val="15"/>
          <w:shd w:val="solid" w:color="000000" w:fill="000000"/>
          <w:fitText w:val="-20" w:id="-693991424"/>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24"/>
          <w14:textFill>
            <w14:solidFill>
              <w14:srgbClr w14:val="000000">
                <w14:alpha w14:val="100000"/>
              </w14:srgbClr>
            </w14:solidFill>
          </w14:textFill>
        </w:rPr>
        <w:t>|</w:t>
      </w:r>
      <w:r w:rsidRPr="00471170">
        <w:t xml:space="preserve"> for the 1200</w:t>
      </w:r>
      <w:r w:rsidR="0017081E">
        <w:t> mcg</w:t>
      </w:r>
      <w:r w:rsidRPr="00471170">
        <w:t xml:space="preserve"> pack.</w:t>
      </w:r>
      <w:bookmarkEnd w:id="18"/>
      <w:r w:rsidR="00A56284" w:rsidRPr="00471170">
        <w:t xml:space="preserve"> The</w:t>
      </w:r>
      <w:r w:rsidR="008914CC" w:rsidRPr="008914CC">
        <w:rPr>
          <w:rFonts w:ascii="Times New Roman" w:hAnsi="Times New Roman"/>
          <w:lang w:eastAsia="en-US"/>
        </w:rPr>
        <w:t xml:space="preserve"> </w:t>
      </w:r>
      <w:r w:rsidR="008914CC" w:rsidRPr="008914CC">
        <w:t>Pre-Sub-Committee Response</w:t>
      </w:r>
      <w:r w:rsidR="00A56284" w:rsidRPr="00471170">
        <w:t xml:space="preserve"> </w:t>
      </w:r>
      <w:r w:rsidR="007202E8">
        <w:t>(</w:t>
      </w:r>
      <w:r w:rsidR="00A56284" w:rsidRPr="00471170">
        <w:t>PSCR</w:t>
      </w:r>
      <w:r w:rsidR="007202E8">
        <w:t>)</w:t>
      </w:r>
      <w:r w:rsidR="00A56284" w:rsidRPr="00471170">
        <w:t xml:space="preserve"> </w:t>
      </w:r>
      <w:r w:rsidR="005A78C0" w:rsidRPr="00471170">
        <w:t xml:space="preserve">proposed a further </w:t>
      </w:r>
      <w:r w:rsidR="001549E4" w:rsidRPr="00DA2049">
        <w:rPr>
          <w:color w:val="000000"/>
          <w:w w:val="15"/>
          <w:shd w:val="solid" w:color="000000" w:fill="000000"/>
          <w:fitText w:val="-20" w:id="-693991423"/>
          <w14:textFill>
            <w14:solidFill>
              <w14:srgbClr w14:val="000000">
                <w14:alpha w14:val="100000"/>
              </w14:srgbClr>
            </w14:solidFill>
          </w14:textFill>
        </w:rPr>
        <w:t>|</w:t>
      </w:r>
      <w:r w:rsidR="004A6DE4" w:rsidRPr="00DA2049">
        <w:rPr>
          <w:color w:val="000000"/>
          <w:w w:val="15"/>
          <w:shd w:val="solid" w:color="000000" w:fill="000000"/>
          <w:fitText w:val="-20" w:id="-693991423"/>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23"/>
          <w14:textFill>
            <w14:solidFill>
              <w14:srgbClr w14:val="000000">
                <w14:alpha w14:val="100000"/>
              </w14:srgbClr>
            </w14:solidFill>
          </w14:textFill>
        </w:rPr>
        <w:t>|</w:t>
      </w:r>
      <w:r w:rsidR="005A78C0" w:rsidRPr="00471170">
        <w:t>% price reduction to $</w:t>
      </w:r>
      <w:r w:rsidR="001549E4" w:rsidRPr="00DA2049">
        <w:rPr>
          <w:color w:val="000000"/>
          <w:w w:val="15"/>
          <w:shd w:val="solid" w:color="000000" w:fill="000000"/>
          <w:fitText w:val="-20" w:id="-693991422"/>
          <w14:textFill>
            <w14:solidFill>
              <w14:srgbClr w14:val="000000">
                <w14:alpha w14:val="100000"/>
              </w14:srgbClr>
            </w14:solidFill>
          </w14:textFill>
        </w:rPr>
        <w:t>|</w:t>
      </w:r>
      <w:r w:rsidR="004A6DE4" w:rsidRPr="00DA2049">
        <w:rPr>
          <w:color w:val="000000"/>
          <w:w w:val="15"/>
          <w:shd w:val="solid" w:color="000000" w:fill="000000"/>
          <w:fitText w:val="-20" w:id="-693991422"/>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22"/>
          <w14:textFill>
            <w14:solidFill>
              <w14:srgbClr w14:val="000000">
                <w14:alpha w14:val="100000"/>
              </w14:srgbClr>
            </w14:solidFill>
          </w14:textFill>
        </w:rPr>
        <w:t>|</w:t>
      </w:r>
      <w:r w:rsidR="005A78C0" w:rsidRPr="00471170">
        <w:t>/mcg</w:t>
      </w:r>
      <w:r w:rsidR="005F310E" w:rsidRPr="00471170">
        <w:t>.</w:t>
      </w:r>
      <w:r w:rsidR="00192081" w:rsidRPr="00471170">
        <w:t xml:space="preserve"> The ESC</w:t>
      </w:r>
      <w:r w:rsidR="008B6220" w:rsidRPr="00471170">
        <w:t xml:space="preserve">, noting that there was no comparative clinical data </w:t>
      </w:r>
      <w:r w:rsidR="00941EF4" w:rsidRPr="00471170">
        <w:t>supporting dose escalation,</w:t>
      </w:r>
      <w:r w:rsidR="00192081" w:rsidRPr="00471170">
        <w:t xml:space="preserve"> considered that it would be more appropriate if the </w:t>
      </w:r>
      <w:r w:rsidR="00E97E35" w:rsidRPr="00471170">
        <w:t xml:space="preserve">cost of the higher </w:t>
      </w:r>
      <w:r w:rsidR="005E3A83" w:rsidRPr="00471170">
        <w:t>strength capsules,</w:t>
      </w:r>
      <w:r w:rsidR="00E97E35" w:rsidRPr="00471170">
        <w:t xml:space="preserve"> </w:t>
      </w:r>
      <w:r w:rsidR="00193312" w:rsidRPr="00471170">
        <w:t>used when patients escalated to 120</w:t>
      </w:r>
      <w:r w:rsidR="0017081E">
        <w:t> mcg</w:t>
      </w:r>
      <w:r w:rsidR="00193312" w:rsidRPr="00471170">
        <w:t>/kg</w:t>
      </w:r>
      <w:r w:rsidR="005E3A83" w:rsidRPr="00471170">
        <w:t>,</w:t>
      </w:r>
      <w:r w:rsidR="00193312" w:rsidRPr="00471170">
        <w:t xml:space="preserve"> were the </w:t>
      </w:r>
      <w:r w:rsidR="006F5FAE" w:rsidRPr="00DA2049">
        <w:rPr>
          <w:color w:val="000000"/>
          <w:w w:val="15"/>
          <w:shd w:val="solid" w:color="000000" w:fill="000000"/>
          <w:fitText w:val="-20" w:id="-693990400"/>
          <w14:textFill>
            <w14:solidFill>
              <w14:srgbClr w14:val="000000">
                <w14:alpha w14:val="100000"/>
              </w14:srgbClr>
            </w14:solidFill>
          </w14:textFill>
        </w:rPr>
        <w:t>|</w:t>
      </w:r>
      <w:r w:rsidR="004A6DE4" w:rsidRPr="00DA2049">
        <w:rPr>
          <w:color w:val="000000"/>
          <w:w w:val="15"/>
          <w:shd w:val="solid" w:color="000000" w:fill="000000"/>
          <w:fitText w:val="-20" w:id="-693990400"/>
          <w14:textFill>
            <w14:solidFill>
              <w14:srgbClr w14:val="000000">
                <w14:alpha w14:val="100000"/>
              </w14:srgbClr>
            </w14:solidFill>
          </w14:textFill>
        </w:rPr>
        <w:t xml:space="preserve"> </w:t>
      </w:r>
      <w:r w:rsidR="006F5FAE" w:rsidRPr="00DA2049">
        <w:rPr>
          <w:color w:val="000000"/>
          <w:spacing w:val="-61"/>
          <w:w w:val="15"/>
          <w:shd w:val="solid" w:color="000000" w:fill="000000"/>
          <w:fitText w:val="-20" w:id="-693990400"/>
          <w14:textFill>
            <w14:solidFill>
              <w14:srgbClr w14:val="000000">
                <w14:alpha w14:val="100000"/>
              </w14:srgbClr>
            </w14:solidFill>
          </w14:textFill>
        </w:rPr>
        <w:t>|</w:t>
      </w:r>
      <w:r w:rsidR="006F5FAE">
        <w:t xml:space="preserve"> </w:t>
      </w:r>
      <w:r w:rsidR="00193312" w:rsidRPr="00471170">
        <w:t xml:space="preserve">cost </w:t>
      </w:r>
      <w:r w:rsidR="005E3A83" w:rsidRPr="00471170">
        <w:t>as the lower strength capsules</w:t>
      </w:r>
      <w:r w:rsidR="00AE002A" w:rsidRPr="00471170">
        <w:t>, used when patients received 40</w:t>
      </w:r>
      <w:r w:rsidR="0017081E">
        <w:t> mcg</w:t>
      </w:r>
      <w:r w:rsidR="00AE002A" w:rsidRPr="00471170">
        <w:t>/kg.</w:t>
      </w:r>
      <w:r w:rsidR="005E3A83" w:rsidRPr="00471170">
        <w:t xml:space="preserve"> </w:t>
      </w:r>
      <w:r w:rsidR="0063437E" w:rsidRPr="00471170">
        <w:t xml:space="preserve">Further, the ESC noted that this was </w:t>
      </w:r>
      <w:r w:rsidR="00B718FA" w:rsidRPr="00471170">
        <w:t xml:space="preserve">previously </w:t>
      </w:r>
      <w:r w:rsidR="006018B9" w:rsidRPr="00471170">
        <w:t>requested by PBAC in July 2024.</w:t>
      </w:r>
    </w:p>
    <w:p w14:paraId="0581C2AC" w14:textId="710E725C" w:rsidR="00404D38" w:rsidRPr="00471170" w:rsidRDefault="00404D38" w:rsidP="00EC58E6">
      <w:pPr>
        <w:pStyle w:val="3-BodyText"/>
        <w:numPr>
          <w:ilvl w:val="1"/>
          <w:numId w:val="1"/>
        </w:numPr>
        <w:spacing w:before="0"/>
      </w:pPr>
      <w:bookmarkStart w:id="19" w:name="_Ref185017611"/>
      <w:r w:rsidRPr="00471170">
        <w:lastRenderedPageBreak/>
        <w:t xml:space="preserve">The resubmission also proposed a Risk </w:t>
      </w:r>
      <w:r w:rsidR="001E3017" w:rsidRPr="00471170">
        <w:t>Shar</w:t>
      </w:r>
      <w:r w:rsidR="001E3017">
        <w:t>ing</w:t>
      </w:r>
      <w:r w:rsidRPr="00471170">
        <w:t xml:space="preserve"> Arrangement (RSA) in the form of annual </w:t>
      </w:r>
      <w:r w:rsidR="00D17D21" w:rsidRPr="00471170">
        <w:t>expenditure</w:t>
      </w:r>
      <w:r w:rsidRPr="00471170">
        <w:t xml:space="preserve"> caps for the first five years of listing, which were calculated with a </w:t>
      </w:r>
      <w:r w:rsidR="00DB2937" w:rsidRPr="00471170">
        <w:t>‘</w:t>
      </w:r>
      <w:r w:rsidR="001549E4" w:rsidRPr="00DA2049">
        <w:rPr>
          <w:color w:val="000000"/>
          <w:w w:val="15"/>
          <w:shd w:val="solid" w:color="000000" w:fill="000000"/>
          <w:fitText w:val="-20" w:id="-693991421"/>
          <w14:textFill>
            <w14:solidFill>
              <w14:srgbClr w14:val="000000">
                <w14:alpha w14:val="100000"/>
              </w14:srgbClr>
            </w14:solidFill>
          </w14:textFill>
        </w:rPr>
        <w:t>|</w:t>
      </w:r>
      <w:r w:rsidR="004A6DE4" w:rsidRPr="00DA2049">
        <w:rPr>
          <w:color w:val="000000"/>
          <w:w w:val="15"/>
          <w:shd w:val="solid" w:color="000000" w:fill="000000"/>
          <w:fitText w:val="-20" w:id="-693991421"/>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21"/>
          <w14:textFill>
            <w14:solidFill>
              <w14:srgbClr w14:val="000000">
                <w14:alpha w14:val="100000"/>
              </w14:srgbClr>
            </w14:solidFill>
          </w14:textFill>
        </w:rPr>
        <w:t>|</w:t>
      </w:r>
      <w:r w:rsidR="00BB1289" w:rsidRPr="00BB1289">
        <w:t xml:space="preserve"> </w:t>
      </w:r>
      <w:r w:rsidR="001549E4" w:rsidRPr="00DA2049">
        <w:rPr>
          <w:color w:val="000000"/>
          <w:w w:val="15"/>
          <w:shd w:val="solid" w:color="000000" w:fill="000000"/>
          <w:fitText w:val="-20" w:id="-693991420"/>
          <w14:textFill>
            <w14:solidFill>
              <w14:srgbClr w14:val="000000">
                <w14:alpha w14:val="100000"/>
              </w14:srgbClr>
            </w14:solidFill>
          </w14:textFill>
        </w:rPr>
        <w:t>|</w:t>
      </w:r>
      <w:r w:rsidR="004A6DE4" w:rsidRPr="00DA2049">
        <w:rPr>
          <w:color w:val="000000"/>
          <w:w w:val="15"/>
          <w:shd w:val="solid" w:color="000000" w:fill="000000"/>
          <w:fitText w:val="-20" w:id="-693991420"/>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20"/>
          <w14:textFill>
            <w14:solidFill>
              <w14:srgbClr w14:val="000000">
                <w14:alpha w14:val="100000"/>
              </w14:srgbClr>
            </w14:solidFill>
          </w14:textFill>
        </w:rPr>
        <w:t>|</w:t>
      </w:r>
      <w:r w:rsidRPr="00C46272">
        <w:t xml:space="preserve"> cost</w:t>
      </w:r>
      <w:r w:rsidR="00DB2937" w:rsidRPr="00C46272">
        <w:t>’</w:t>
      </w:r>
      <w:r w:rsidRPr="00471170">
        <w:t xml:space="preserve"> assumption, which was implemented by </w:t>
      </w:r>
      <w:r w:rsidR="002E390C" w:rsidRPr="00471170">
        <w:t xml:space="preserve">assuming all patients received the </w:t>
      </w:r>
      <w:r w:rsidR="001549E4" w:rsidRPr="00DA2049">
        <w:rPr>
          <w:color w:val="000000"/>
          <w:w w:val="15"/>
          <w:shd w:val="solid" w:color="000000" w:fill="000000"/>
          <w:fitText w:val="-20" w:id="-693991419"/>
          <w14:textFill>
            <w14:solidFill>
              <w14:srgbClr w14:val="000000">
                <w14:alpha w14:val="100000"/>
              </w14:srgbClr>
            </w14:solidFill>
          </w14:textFill>
        </w:rPr>
        <w:t>|</w:t>
      </w:r>
      <w:r w:rsidR="004A6DE4" w:rsidRPr="00DA2049">
        <w:rPr>
          <w:color w:val="000000"/>
          <w:w w:val="15"/>
          <w:shd w:val="solid" w:color="000000" w:fill="000000"/>
          <w:fitText w:val="-20" w:id="-693991419"/>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9"/>
          <w14:textFill>
            <w14:solidFill>
              <w14:srgbClr w14:val="000000">
                <w14:alpha w14:val="100000"/>
              </w14:srgbClr>
            </w14:solidFill>
          </w14:textFill>
        </w:rPr>
        <w:t>|</w:t>
      </w:r>
      <w:r w:rsidR="002E390C" w:rsidRPr="00471170">
        <w:t xml:space="preserve"> </w:t>
      </w:r>
      <w:r w:rsidR="001549E4" w:rsidRPr="00DA2049">
        <w:rPr>
          <w:color w:val="000000"/>
          <w:w w:val="15"/>
          <w:shd w:val="solid" w:color="000000" w:fill="000000"/>
          <w:fitText w:val="-20" w:id="-693991418"/>
          <w14:textFill>
            <w14:solidFill>
              <w14:srgbClr w14:val="000000">
                <w14:alpha w14:val="100000"/>
              </w14:srgbClr>
            </w14:solidFill>
          </w14:textFill>
        </w:rPr>
        <w:t>|</w:t>
      </w:r>
      <w:r w:rsidR="004A6DE4" w:rsidRPr="00DA2049">
        <w:rPr>
          <w:color w:val="000000"/>
          <w:w w:val="15"/>
          <w:shd w:val="solid" w:color="000000" w:fill="000000"/>
          <w:fitText w:val="-20" w:id="-693991418"/>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8"/>
          <w14:textFill>
            <w14:solidFill>
              <w14:srgbClr w14:val="000000">
                <w14:alpha w14:val="100000"/>
              </w14:srgbClr>
            </w14:solidFill>
          </w14:textFill>
        </w:rPr>
        <w:t>|</w:t>
      </w:r>
      <w:r w:rsidR="0017081E">
        <w:t> mcg</w:t>
      </w:r>
      <w:r w:rsidR="002E390C" w:rsidRPr="00471170">
        <w:t>/kg dose</w:t>
      </w:r>
      <w:r w:rsidR="00E14B41" w:rsidRPr="00471170">
        <w:t xml:space="preserve"> </w:t>
      </w:r>
      <w:r w:rsidRPr="00471170">
        <w:t xml:space="preserve">(i.e. </w:t>
      </w:r>
      <w:r w:rsidR="001549E4" w:rsidRPr="00DA2049">
        <w:rPr>
          <w:color w:val="000000"/>
          <w:w w:val="15"/>
          <w:shd w:val="solid" w:color="000000" w:fill="000000"/>
          <w:fitText w:val="-20" w:id="-693991417"/>
          <w14:textFill>
            <w14:solidFill>
              <w14:srgbClr w14:val="000000">
                <w14:alpha w14:val="100000"/>
              </w14:srgbClr>
            </w14:solidFill>
          </w14:textFill>
        </w:rPr>
        <w:t>|</w:t>
      </w:r>
      <w:r w:rsidR="004A6DE4" w:rsidRPr="00DA2049">
        <w:rPr>
          <w:color w:val="000000"/>
          <w:w w:val="15"/>
          <w:shd w:val="solid" w:color="000000" w:fill="000000"/>
          <w:fitText w:val="-20" w:id="-693991417"/>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7"/>
          <w14:textFill>
            <w14:solidFill>
              <w14:srgbClr w14:val="000000">
                <w14:alpha w14:val="100000"/>
              </w14:srgbClr>
            </w14:solidFill>
          </w14:textFill>
        </w:rPr>
        <w:t>|</w:t>
      </w:r>
      <w:r w:rsidRPr="00471170">
        <w:t xml:space="preserve"> patients would be up titrated to 120</w:t>
      </w:r>
      <w:r w:rsidR="0017081E">
        <w:t> mcg</w:t>
      </w:r>
      <w:r w:rsidRPr="00471170">
        <w:t xml:space="preserve">/kg). The resubmission claimed that the </w:t>
      </w:r>
      <w:r w:rsidR="00DB2937" w:rsidRPr="00471170">
        <w:t>‘</w:t>
      </w:r>
      <w:r w:rsidR="001549E4" w:rsidRPr="00DA2049">
        <w:rPr>
          <w:color w:val="000000"/>
          <w:w w:val="15"/>
          <w:shd w:val="solid" w:color="000000" w:fill="000000"/>
          <w:fitText w:val="-20" w:id="-693991416"/>
          <w14:textFill>
            <w14:solidFill>
              <w14:srgbClr w14:val="000000">
                <w14:alpha w14:val="100000"/>
              </w14:srgbClr>
            </w14:solidFill>
          </w14:textFill>
        </w:rPr>
        <w:t>|</w:t>
      </w:r>
      <w:r w:rsidR="004A6DE4" w:rsidRPr="00DA2049">
        <w:rPr>
          <w:color w:val="000000"/>
          <w:w w:val="15"/>
          <w:shd w:val="solid" w:color="000000" w:fill="000000"/>
          <w:fitText w:val="-20" w:id="-693991416"/>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6"/>
          <w14:textFill>
            <w14:solidFill>
              <w14:srgbClr w14:val="000000">
                <w14:alpha w14:val="100000"/>
              </w14:srgbClr>
            </w14:solidFill>
          </w14:textFill>
        </w:rPr>
        <w:t>|</w:t>
      </w:r>
      <w:r w:rsidR="00BB1289" w:rsidRPr="00BB1289">
        <w:t xml:space="preserve"> </w:t>
      </w:r>
      <w:r w:rsidR="001549E4" w:rsidRPr="00DA2049">
        <w:rPr>
          <w:color w:val="000000"/>
          <w:w w:val="15"/>
          <w:shd w:val="solid" w:color="000000" w:fill="000000"/>
          <w:fitText w:val="-20" w:id="-693991415"/>
          <w14:textFill>
            <w14:solidFill>
              <w14:srgbClr w14:val="000000">
                <w14:alpha w14:val="100000"/>
              </w14:srgbClr>
            </w14:solidFill>
          </w14:textFill>
        </w:rPr>
        <w:t>|</w:t>
      </w:r>
      <w:r w:rsidR="004A6DE4" w:rsidRPr="00DA2049">
        <w:rPr>
          <w:color w:val="000000"/>
          <w:w w:val="15"/>
          <w:shd w:val="solid" w:color="000000" w:fill="000000"/>
          <w:fitText w:val="-20" w:id="-693991415"/>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5"/>
          <w14:textFill>
            <w14:solidFill>
              <w14:srgbClr w14:val="000000">
                <w14:alpha w14:val="100000"/>
              </w14:srgbClr>
            </w14:solidFill>
          </w14:textFill>
        </w:rPr>
        <w:t>|</w:t>
      </w:r>
      <w:r w:rsidRPr="00C46272">
        <w:t xml:space="preserve"> cost</w:t>
      </w:r>
      <w:r w:rsidR="00DB2937" w:rsidRPr="00C46272">
        <w:t>’</w:t>
      </w:r>
      <w:r w:rsidRPr="00471170">
        <w:t xml:space="preserve"> reflected a substantial cost reduction for odevixibat.</w:t>
      </w:r>
      <w:bookmarkEnd w:id="19"/>
      <w:r w:rsidRPr="00471170">
        <w:t xml:space="preserve"> </w:t>
      </w:r>
      <w:r w:rsidR="00F878EF" w:rsidRPr="00471170">
        <w:t xml:space="preserve">The </w:t>
      </w:r>
      <w:r w:rsidR="00412146" w:rsidRPr="00471170">
        <w:t xml:space="preserve">ESC noted that the </w:t>
      </w:r>
      <w:r w:rsidR="00542925" w:rsidRPr="00471170">
        <w:t>‘</w:t>
      </w:r>
      <w:r w:rsidR="001549E4" w:rsidRPr="00DA2049">
        <w:rPr>
          <w:color w:val="000000"/>
          <w:w w:val="15"/>
          <w:shd w:val="solid" w:color="000000" w:fill="000000"/>
          <w:fitText w:val="-20" w:id="-693991414"/>
          <w14:textFill>
            <w14:solidFill>
              <w14:srgbClr w14:val="000000">
                <w14:alpha w14:val="100000"/>
              </w14:srgbClr>
            </w14:solidFill>
          </w14:textFill>
        </w:rPr>
        <w:t>|</w:t>
      </w:r>
      <w:r w:rsidR="004A6DE4" w:rsidRPr="00DA2049">
        <w:rPr>
          <w:color w:val="000000"/>
          <w:w w:val="15"/>
          <w:shd w:val="solid" w:color="000000" w:fill="000000"/>
          <w:fitText w:val="-20" w:id="-693991414"/>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4"/>
          <w14:textFill>
            <w14:solidFill>
              <w14:srgbClr w14:val="000000">
                <w14:alpha w14:val="100000"/>
              </w14:srgbClr>
            </w14:solidFill>
          </w14:textFill>
        </w:rPr>
        <w:t>|</w:t>
      </w:r>
      <w:r w:rsidR="00BB1289" w:rsidRPr="00BB1289">
        <w:t xml:space="preserve"> </w:t>
      </w:r>
      <w:r w:rsidR="001549E4" w:rsidRPr="00DA2049">
        <w:rPr>
          <w:color w:val="000000"/>
          <w:w w:val="15"/>
          <w:shd w:val="solid" w:color="000000" w:fill="000000"/>
          <w:fitText w:val="-20" w:id="-693991413"/>
          <w14:textFill>
            <w14:solidFill>
              <w14:srgbClr w14:val="000000">
                <w14:alpha w14:val="100000"/>
              </w14:srgbClr>
            </w14:solidFill>
          </w14:textFill>
        </w:rPr>
        <w:t>|</w:t>
      </w:r>
      <w:r w:rsidR="004A6DE4" w:rsidRPr="00DA2049">
        <w:rPr>
          <w:color w:val="000000"/>
          <w:w w:val="15"/>
          <w:shd w:val="solid" w:color="000000" w:fill="000000"/>
          <w:fitText w:val="-20" w:id="-693991413"/>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3"/>
          <w14:textFill>
            <w14:solidFill>
              <w14:srgbClr w14:val="000000">
                <w14:alpha w14:val="100000"/>
              </w14:srgbClr>
            </w14:solidFill>
          </w14:textFill>
        </w:rPr>
        <w:t>|</w:t>
      </w:r>
      <w:r w:rsidR="00F878EF" w:rsidRPr="00C46272">
        <w:t xml:space="preserve"> cost</w:t>
      </w:r>
      <w:r w:rsidR="00DB2937" w:rsidRPr="00C46272">
        <w:t>’</w:t>
      </w:r>
      <w:r w:rsidR="00F878EF" w:rsidRPr="00471170">
        <w:t xml:space="preserve"> </w:t>
      </w:r>
      <w:r w:rsidR="00412146" w:rsidRPr="00471170">
        <w:t xml:space="preserve">would </w:t>
      </w:r>
      <w:r w:rsidR="007E71FE" w:rsidRPr="00471170">
        <w:t xml:space="preserve">only </w:t>
      </w:r>
      <w:r w:rsidR="00A77201" w:rsidRPr="00471170">
        <w:t xml:space="preserve">be </w:t>
      </w:r>
      <w:r w:rsidR="007E71FE" w:rsidRPr="00471170">
        <w:t xml:space="preserve">achieved if the assumptions behind the utilisations </w:t>
      </w:r>
      <w:r w:rsidR="00E87385" w:rsidRPr="00471170">
        <w:t xml:space="preserve">are </w:t>
      </w:r>
      <w:r w:rsidR="007E71FE" w:rsidRPr="00471170">
        <w:t>accurate</w:t>
      </w:r>
      <w:r w:rsidR="0009112E" w:rsidRPr="00471170">
        <w:t xml:space="preserve"> and utilisation is reached</w:t>
      </w:r>
      <w:r w:rsidR="007E71FE" w:rsidRPr="00471170">
        <w:t xml:space="preserve">. </w:t>
      </w:r>
    </w:p>
    <w:p w14:paraId="41AF3459" w14:textId="32B1136C" w:rsidR="006B5827" w:rsidRPr="00471170" w:rsidRDefault="006B5827" w:rsidP="00EC58E6">
      <w:pPr>
        <w:pStyle w:val="3-BodyText"/>
        <w:numPr>
          <w:ilvl w:val="1"/>
          <w:numId w:val="1"/>
        </w:numPr>
        <w:spacing w:before="0"/>
        <w:rPr>
          <w:color w:val="000000" w:themeColor="text1"/>
        </w:rPr>
      </w:pPr>
      <w:r w:rsidRPr="00471170">
        <w:rPr>
          <w:color w:val="000000" w:themeColor="text1"/>
        </w:rPr>
        <w:t xml:space="preserve">A summary of the changes to the requested restriction </w:t>
      </w:r>
      <w:r w:rsidR="005C0011" w:rsidRPr="00471170">
        <w:rPr>
          <w:color w:val="000000" w:themeColor="text1"/>
        </w:rPr>
        <w:t xml:space="preserve">in the resubmission </w:t>
      </w:r>
      <w:r w:rsidRPr="00471170">
        <w:rPr>
          <w:color w:val="000000" w:themeColor="text1"/>
        </w:rPr>
        <w:t xml:space="preserve">is presented in </w:t>
      </w:r>
      <w:r w:rsidRPr="00471170">
        <w:rPr>
          <w:color w:val="000000" w:themeColor="text1"/>
        </w:rPr>
        <w:fldChar w:fldCharType="begin" w:fldLock="1"/>
      </w:r>
      <w:r w:rsidRPr="00471170">
        <w:rPr>
          <w:color w:val="000000" w:themeColor="text1"/>
        </w:rPr>
        <w:instrText xml:space="preserve"> REF _Ref185087658 \h </w:instrText>
      </w:r>
      <w:r w:rsidR="00471170" w:rsidRPr="00471170">
        <w:rPr>
          <w:color w:val="000000" w:themeColor="text1"/>
        </w:rPr>
        <w:instrText xml:space="preserve"> \* MERGEFORMAT </w:instrText>
      </w:r>
      <w:r w:rsidRPr="00471170">
        <w:rPr>
          <w:color w:val="000000" w:themeColor="text1"/>
        </w:rPr>
      </w:r>
      <w:r w:rsidRPr="00471170">
        <w:rPr>
          <w:color w:val="000000" w:themeColor="text1"/>
        </w:rPr>
        <w:fldChar w:fldCharType="separate"/>
      </w:r>
      <w:r w:rsidR="00382EF0" w:rsidRPr="00471170">
        <w:t xml:space="preserve">Table </w:t>
      </w:r>
      <w:r w:rsidR="00382EF0" w:rsidRPr="00471170">
        <w:rPr>
          <w:noProof/>
        </w:rPr>
        <w:t>3</w:t>
      </w:r>
      <w:r w:rsidRPr="00471170">
        <w:rPr>
          <w:color w:val="000000" w:themeColor="text1"/>
        </w:rPr>
        <w:fldChar w:fldCharType="end"/>
      </w:r>
      <w:r w:rsidRPr="00471170">
        <w:rPr>
          <w:color w:val="000000" w:themeColor="text1"/>
        </w:rPr>
        <w:t>.</w:t>
      </w:r>
    </w:p>
    <w:p w14:paraId="205098F3" w14:textId="1BF8011E" w:rsidR="006B5827" w:rsidRDefault="006B5827" w:rsidP="006B5827">
      <w:pPr>
        <w:pStyle w:val="Caption"/>
      </w:pPr>
      <w:bookmarkStart w:id="20" w:name="_Ref185087658"/>
      <w:r>
        <w:t xml:space="preserve">Table </w:t>
      </w:r>
      <w:r w:rsidR="00382EF0">
        <w:fldChar w:fldCharType="begin" w:fldLock="1"/>
      </w:r>
      <w:r w:rsidR="00382EF0">
        <w:instrText xml:space="preserve"> SEQ Table \* ARABIC </w:instrText>
      </w:r>
      <w:r w:rsidR="00382EF0">
        <w:fldChar w:fldCharType="separate"/>
      </w:r>
      <w:r w:rsidR="00382EF0">
        <w:rPr>
          <w:noProof/>
        </w:rPr>
        <w:t>3</w:t>
      </w:r>
      <w:r w:rsidR="00382EF0">
        <w:rPr>
          <w:noProof/>
        </w:rPr>
        <w:fldChar w:fldCharType="end"/>
      </w:r>
      <w:bookmarkEnd w:id="20"/>
      <w:r>
        <w:t xml:space="preserve">: </w:t>
      </w:r>
      <w:r w:rsidRPr="006B5827">
        <w:t>Summary of changes to odevixibat requested restriction</w:t>
      </w:r>
    </w:p>
    <w:tbl>
      <w:tblPr>
        <w:tblStyle w:val="TableGrid"/>
        <w:tblW w:w="5000" w:type="pct"/>
        <w:tblLook w:val="04A0" w:firstRow="1" w:lastRow="0" w:firstColumn="1" w:lastColumn="0" w:noHBand="0" w:noVBand="1"/>
        <w:tblCaption w:val="Table 3: Summary of changes to odevixibat requested restriction"/>
      </w:tblPr>
      <w:tblGrid>
        <w:gridCol w:w="1795"/>
        <w:gridCol w:w="1800"/>
        <w:gridCol w:w="5422"/>
      </w:tblGrid>
      <w:tr w:rsidR="006B5827" w:rsidRPr="00471170" w14:paraId="2295893B" w14:textId="77777777" w:rsidTr="00052E9D">
        <w:trPr>
          <w:tblHeader/>
        </w:trPr>
        <w:tc>
          <w:tcPr>
            <w:tcW w:w="1795" w:type="dxa"/>
            <w:tcMar>
              <w:left w:w="20" w:type="dxa"/>
              <w:right w:w="20" w:type="dxa"/>
            </w:tcMar>
            <w:vAlign w:val="center"/>
          </w:tcPr>
          <w:p w14:paraId="7794BDD7" w14:textId="77777777" w:rsidR="006B5827" w:rsidRPr="00471170" w:rsidRDefault="006B5827" w:rsidP="00AC13C1">
            <w:pPr>
              <w:pStyle w:val="Tabletext"/>
              <w:keepNext/>
              <w:keepLines/>
              <w:rPr>
                <w:b/>
                <w:bCs/>
              </w:rPr>
            </w:pPr>
            <w:r w:rsidRPr="00471170">
              <w:rPr>
                <w:b/>
                <w:bCs/>
              </w:rPr>
              <w:t>PBAC topic</w:t>
            </w:r>
          </w:p>
        </w:tc>
        <w:tc>
          <w:tcPr>
            <w:tcW w:w="1800" w:type="dxa"/>
            <w:shd w:val="clear" w:color="auto" w:fill="auto"/>
            <w:tcMar>
              <w:left w:w="20" w:type="dxa"/>
              <w:right w:w="20" w:type="dxa"/>
            </w:tcMar>
            <w:vAlign w:val="center"/>
          </w:tcPr>
          <w:p w14:paraId="2043E116" w14:textId="77777777" w:rsidR="006B5827" w:rsidRPr="00471170" w:rsidRDefault="006B5827" w:rsidP="00AC13C1">
            <w:pPr>
              <w:pStyle w:val="Tabletext"/>
              <w:keepNext/>
              <w:keepLines/>
              <w:rPr>
                <w:b/>
                <w:bCs/>
              </w:rPr>
            </w:pPr>
            <w:r w:rsidRPr="00471170">
              <w:rPr>
                <w:b/>
                <w:bCs/>
              </w:rPr>
              <w:t>July 2024 Submission</w:t>
            </w:r>
          </w:p>
        </w:tc>
        <w:tc>
          <w:tcPr>
            <w:tcW w:w="5422" w:type="dxa"/>
            <w:tcMar>
              <w:left w:w="20" w:type="dxa"/>
              <w:right w:w="20" w:type="dxa"/>
            </w:tcMar>
            <w:vAlign w:val="center"/>
          </w:tcPr>
          <w:p w14:paraId="671EC5C2" w14:textId="77777777" w:rsidR="006B5827" w:rsidRPr="00471170" w:rsidRDefault="006B5827" w:rsidP="00AC13C1">
            <w:pPr>
              <w:pStyle w:val="Tabletext"/>
              <w:keepNext/>
              <w:keepLines/>
              <w:rPr>
                <w:b/>
                <w:bCs/>
              </w:rPr>
            </w:pPr>
            <w:r w:rsidRPr="00471170">
              <w:rPr>
                <w:b/>
                <w:bCs/>
              </w:rPr>
              <w:t>Resubmission</w:t>
            </w:r>
          </w:p>
        </w:tc>
      </w:tr>
      <w:tr w:rsidR="006B5827" w:rsidRPr="00471170" w14:paraId="03AE94EC" w14:textId="77777777" w:rsidTr="00F01090">
        <w:tc>
          <w:tcPr>
            <w:tcW w:w="1795" w:type="dxa"/>
            <w:tcMar>
              <w:left w:w="20" w:type="dxa"/>
              <w:right w:w="20" w:type="dxa"/>
            </w:tcMar>
            <w:vAlign w:val="center"/>
          </w:tcPr>
          <w:p w14:paraId="5DBE6989" w14:textId="77777777" w:rsidR="006B5827" w:rsidRPr="00471170" w:rsidRDefault="006B5827" w:rsidP="00AC13C1">
            <w:pPr>
              <w:pStyle w:val="Tabletext"/>
              <w:keepNext/>
              <w:keepLines/>
            </w:pPr>
            <w:r w:rsidRPr="00471170">
              <w:t>Authority prescribing</w:t>
            </w:r>
          </w:p>
        </w:tc>
        <w:tc>
          <w:tcPr>
            <w:tcW w:w="1800" w:type="dxa"/>
            <w:shd w:val="clear" w:color="auto" w:fill="auto"/>
            <w:tcMar>
              <w:left w:w="20" w:type="dxa"/>
              <w:right w:w="20" w:type="dxa"/>
            </w:tcMar>
            <w:vAlign w:val="center"/>
          </w:tcPr>
          <w:p w14:paraId="6CE38316" w14:textId="77777777" w:rsidR="006B5827" w:rsidRPr="00471170" w:rsidRDefault="006B5827" w:rsidP="00AC13C1">
            <w:pPr>
              <w:pStyle w:val="Tabletext"/>
              <w:keepNext/>
              <w:keepLines/>
            </w:pPr>
            <w:r w:rsidRPr="00471170">
              <w:t>Authority Required (Streamlined)</w:t>
            </w:r>
          </w:p>
        </w:tc>
        <w:tc>
          <w:tcPr>
            <w:tcW w:w="5422" w:type="dxa"/>
            <w:tcMar>
              <w:left w:w="20" w:type="dxa"/>
              <w:right w:w="20" w:type="dxa"/>
            </w:tcMar>
            <w:vAlign w:val="center"/>
          </w:tcPr>
          <w:p w14:paraId="6F28C66B" w14:textId="259508C8" w:rsidR="006B5827" w:rsidRPr="00471170" w:rsidRDefault="006B5827" w:rsidP="00AC13C1">
            <w:pPr>
              <w:pStyle w:val="Tabletext"/>
              <w:keepNext/>
              <w:keepLines/>
            </w:pPr>
            <w:r w:rsidRPr="00471170">
              <w:t>Initial</w:t>
            </w:r>
            <w:r w:rsidR="008B7F91" w:rsidRPr="00471170">
              <w:t>, dose modification</w:t>
            </w:r>
            <w:r w:rsidRPr="00471170">
              <w:t xml:space="preserve"> and continuing: </w:t>
            </w:r>
          </w:p>
          <w:p w14:paraId="097FB77B" w14:textId="29D84EE4" w:rsidR="006B5827" w:rsidRPr="00471170" w:rsidRDefault="006B5827" w:rsidP="00AC13C1">
            <w:pPr>
              <w:pStyle w:val="Tabletext"/>
              <w:keepNext/>
              <w:keepLines/>
            </w:pPr>
            <w:r w:rsidRPr="00471170">
              <w:t>• Authority Required (in writing only via post/HPOS upload)</w:t>
            </w:r>
            <w:r w:rsidR="00725A60" w:rsidRPr="00471170">
              <w:t xml:space="preserve"> (amended in PSCR, see </w:t>
            </w:r>
            <w:r w:rsidR="00725A60" w:rsidRPr="00471170">
              <w:fldChar w:fldCharType="begin" w:fldLock="1"/>
            </w:r>
            <w:r w:rsidR="00725A60" w:rsidRPr="00471170">
              <w:instrText xml:space="preserve"> REF _Ref184824272 \h  \* MERGEFORMAT </w:instrText>
            </w:r>
            <w:r w:rsidR="00725A60" w:rsidRPr="00471170">
              <w:fldChar w:fldCharType="separate"/>
            </w:r>
            <w:r w:rsidR="00725A60" w:rsidRPr="00471170">
              <w:t xml:space="preserve">Table </w:t>
            </w:r>
            <w:r w:rsidR="00725A60" w:rsidRPr="00471170">
              <w:rPr>
                <w:noProof/>
              </w:rPr>
              <w:t>2</w:t>
            </w:r>
            <w:r w:rsidR="00725A60" w:rsidRPr="00471170">
              <w:fldChar w:fldCharType="end"/>
            </w:r>
            <w:r w:rsidR="00725A60" w:rsidRPr="00471170">
              <w:t>)</w:t>
            </w:r>
          </w:p>
        </w:tc>
      </w:tr>
      <w:tr w:rsidR="006B5827" w:rsidRPr="00471170" w14:paraId="205AD041" w14:textId="77777777" w:rsidTr="00F01090">
        <w:tc>
          <w:tcPr>
            <w:tcW w:w="1795" w:type="dxa"/>
            <w:tcMar>
              <w:left w:w="20" w:type="dxa"/>
              <w:right w:w="20" w:type="dxa"/>
            </w:tcMar>
            <w:vAlign w:val="center"/>
          </w:tcPr>
          <w:p w14:paraId="5B93CDCA" w14:textId="499A97C9" w:rsidR="006B5827" w:rsidRPr="00471170" w:rsidRDefault="006B5827" w:rsidP="00AC13C1">
            <w:pPr>
              <w:pStyle w:val="Tabletext"/>
              <w:keepNext/>
              <w:keepLines/>
            </w:pPr>
            <w:r w:rsidRPr="00471170">
              <w:t>Genetic testing.</w:t>
            </w:r>
          </w:p>
        </w:tc>
        <w:tc>
          <w:tcPr>
            <w:tcW w:w="1800" w:type="dxa"/>
            <w:shd w:val="clear" w:color="auto" w:fill="auto"/>
            <w:tcMar>
              <w:left w:w="20" w:type="dxa"/>
              <w:right w:w="20" w:type="dxa"/>
            </w:tcMar>
            <w:vAlign w:val="center"/>
          </w:tcPr>
          <w:p w14:paraId="504AB717" w14:textId="77777777" w:rsidR="006B5827" w:rsidRPr="00471170" w:rsidRDefault="006B5827" w:rsidP="00AC13C1">
            <w:pPr>
              <w:pStyle w:val="Tabletext"/>
              <w:keepNext/>
              <w:keepLines/>
            </w:pPr>
            <w:r w:rsidRPr="00471170">
              <w:t>Not required</w:t>
            </w:r>
          </w:p>
        </w:tc>
        <w:tc>
          <w:tcPr>
            <w:tcW w:w="5422" w:type="dxa"/>
            <w:tcMar>
              <w:left w:w="20" w:type="dxa"/>
              <w:right w:w="20" w:type="dxa"/>
            </w:tcMar>
            <w:vAlign w:val="center"/>
          </w:tcPr>
          <w:p w14:paraId="5D5EDF18" w14:textId="77777777" w:rsidR="006B5827" w:rsidRPr="00471170" w:rsidRDefault="006B5827" w:rsidP="00AC13C1">
            <w:pPr>
              <w:pStyle w:val="Tabletext"/>
              <w:keepNext/>
              <w:keepLines/>
            </w:pPr>
            <w:r w:rsidRPr="00471170">
              <w:t xml:space="preserve">Not required. </w:t>
            </w:r>
          </w:p>
          <w:p w14:paraId="1BA19195" w14:textId="0045C8E4" w:rsidR="006B5827" w:rsidRPr="00471170" w:rsidRDefault="006B5827" w:rsidP="00AC13C1">
            <w:pPr>
              <w:pStyle w:val="Tabletext"/>
              <w:keepNext/>
              <w:keepLines/>
            </w:pPr>
            <w:r w:rsidRPr="00471170">
              <w:t xml:space="preserve">Non-responder subtype patients </w:t>
            </w:r>
            <w:r w:rsidR="00AF27A2" w:rsidRPr="00471170">
              <w:t xml:space="preserve">accounted for </w:t>
            </w:r>
            <w:r w:rsidRPr="00471170">
              <w:t>in RSA.</w:t>
            </w:r>
          </w:p>
        </w:tc>
      </w:tr>
      <w:tr w:rsidR="006B5827" w:rsidRPr="00471170" w14:paraId="02E434AD" w14:textId="77777777" w:rsidTr="00F01090">
        <w:tc>
          <w:tcPr>
            <w:tcW w:w="1795" w:type="dxa"/>
            <w:tcMar>
              <w:left w:w="20" w:type="dxa"/>
              <w:right w:w="20" w:type="dxa"/>
            </w:tcMar>
            <w:vAlign w:val="center"/>
          </w:tcPr>
          <w:p w14:paraId="56F42042" w14:textId="77777777" w:rsidR="006B5827" w:rsidRPr="00471170" w:rsidRDefault="006B5827" w:rsidP="00AC13C1">
            <w:pPr>
              <w:pStyle w:val="Tabletext"/>
              <w:keepNext/>
              <w:keepLines/>
            </w:pPr>
            <w:r w:rsidRPr="00471170">
              <w:t>Eligibility criteria (sBA and pruritus assessments)</w:t>
            </w:r>
          </w:p>
        </w:tc>
        <w:tc>
          <w:tcPr>
            <w:tcW w:w="1800" w:type="dxa"/>
            <w:shd w:val="clear" w:color="auto" w:fill="auto"/>
            <w:tcMar>
              <w:left w:w="20" w:type="dxa"/>
              <w:right w:w="20" w:type="dxa"/>
            </w:tcMar>
            <w:vAlign w:val="center"/>
          </w:tcPr>
          <w:p w14:paraId="6E866B3A" w14:textId="77777777" w:rsidR="006B5827" w:rsidRPr="00471170" w:rsidRDefault="006B5827" w:rsidP="00AC13C1">
            <w:pPr>
              <w:pStyle w:val="Tabletext"/>
              <w:keepNext/>
              <w:keepLines/>
            </w:pPr>
            <w:r w:rsidRPr="00471170">
              <w:t>Patient must have:</w:t>
            </w:r>
          </w:p>
          <w:p w14:paraId="35CC7573" w14:textId="77777777" w:rsidR="006B5827" w:rsidRPr="00471170" w:rsidRDefault="006B5827" w:rsidP="00AC13C1">
            <w:pPr>
              <w:pStyle w:val="Tabletext"/>
              <w:keepNext/>
              <w:keepLines/>
            </w:pPr>
            <w:r w:rsidRPr="00471170">
              <w:t>• Elevated sBA; AND/OR</w:t>
            </w:r>
          </w:p>
          <w:p w14:paraId="7FC28D79" w14:textId="77777777" w:rsidR="006B5827" w:rsidRPr="00471170" w:rsidRDefault="006B5827" w:rsidP="00AC13C1">
            <w:pPr>
              <w:pStyle w:val="Tabletext"/>
              <w:keepNext/>
              <w:keepLines/>
            </w:pPr>
            <w:r w:rsidRPr="00471170">
              <w:t>• Symptomatic pruritus</w:t>
            </w:r>
          </w:p>
        </w:tc>
        <w:tc>
          <w:tcPr>
            <w:tcW w:w="5422" w:type="dxa"/>
            <w:tcMar>
              <w:left w:w="20" w:type="dxa"/>
              <w:right w:w="20" w:type="dxa"/>
            </w:tcMar>
            <w:vAlign w:val="center"/>
          </w:tcPr>
          <w:p w14:paraId="65BA4CD9" w14:textId="77777777" w:rsidR="006B5827" w:rsidRPr="00471170" w:rsidRDefault="006B5827" w:rsidP="00AC13C1">
            <w:pPr>
              <w:pStyle w:val="Tabletext"/>
              <w:keepNext/>
              <w:keepLines/>
            </w:pPr>
            <w:r w:rsidRPr="00471170">
              <w:t>Patient must have:</w:t>
            </w:r>
          </w:p>
          <w:p w14:paraId="3722FE45" w14:textId="77777777" w:rsidR="006B5827" w:rsidRPr="00471170" w:rsidRDefault="006B5827" w:rsidP="00AC13C1">
            <w:pPr>
              <w:pStyle w:val="Tabletext"/>
              <w:keepNext/>
              <w:keepLines/>
            </w:pPr>
            <w:r w:rsidRPr="00471170">
              <w:t>• Elevated sBA at treatment initiation; AND</w:t>
            </w:r>
          </w:p>
          <w:p w14:paraId="548163F3" w14:textId="6A82434F" w:rsidR="006B5827" w:rsidRPr="00471170" w:rsidRDefault="006B5827" w:rsidP="00AC13C1">
            <w:pPr>
              <w:pStyle w:val="Tabletext"/>
              <w:keepNext/>
              <w:keepLines/>
            </w:pPr>
            <w:r w:rsidRPr="00471170">
              <w:t>• An average pruritus score of ≥2</w:t>
            </w:r>
            <w:r w:rsidR="004F7A6D" w:rsidRPr="00471170">
              <w:t xml:space="preserve"> </w:t>
            </w:r>
            <w:r w:rsidRPr="00471170">
              <w:t xml:space="preserve">on the Prucision™ ObsRO Pruritus Scale assessed over a </w:t>
            </w:r>
            <w:r w:rsidR="00D2591B" w:rsidRPr="00471170">
              <w:t>one-week</w:t>
            </w:r>
            <w:r w:rsidRPr="00471170">
              <w:t xml:space="preserve"> period prior to treatment initiation</w:t>
            </w:r>
            <w:r w:rsidR="00743AE0">
              <w:t>.</w:t>
            </w:r>
          </w:p>
        </w:tc>
      </w:tr>
      <w:tr w:rsidR="006B5827" w:rsidRPr="00471170" w14:paraId="5C9B66BD" w14:textId="77777777" w:rsidTr="00F01090">
        <w:tc>
          <w:tcPr>
            <w:tcW w:w="1795" w:type="dxa"/>
            <w:tcMar>
              <w:left w:w="20" w:type="dxa"/>
              <w:right w:w="20" w:type="dxa"/>
            </w:tcMar>
            <w:vAlign w:val="center"/>
          </w:tcPr>
          <w:p w14:paraId="07C58AB2" w14:textId="77777777" w:rsidR="006B5827" w:rsidRPr="00471170" w:rsidRDefault="006B5827" w:rsidP="00AC13C1">
            <w:pPr>
              <w:pStyle w:val="Tabletext"/>
              <w:keepNext/>
              <w:keepLines/>
            </w:pPr>
            <w:r w:rsidRPr="00471170">
              <w:t>Dose escalation</w:t>
            </w:r>
          </w:p>
        </w:tc>
        <w:tc>
          <w:tcPr>
            <w:tcW w:w="1800" w:type="dxa"/>
            <w:shd w:val="clear" w:color="auto" w:fill="auto"/>
            <w:tcMar>
              <w:left w:w="20" w:type="dxa"/>
              <w:right w:w="20" w:type="dxa"/>
            </w:tcMar>
            <w:vAlign w:val="center"/>
          </w:tcPr>
          <w:p w14:paraId="40668AD6" w14:textId="77777777" w:rsidR="006B5827" w:rsidRPr="00471170" w:rsidRDefault="006B5827" w:rsidP="00AC13C1">
            <w:pPr>
              <w:pStyle w:val="Tabletext"/>
              <w:keepNext/>
              <w:keepLines/>
            </w:pPr>
            <w:r w:rsidRPr="00471170">
              <w:t>Not described</w:t>
            </w:r>
          </w:p>
        </w:tc>
        <w:tc>
          <w:tcPr>
            <w:tcW w:w="5422" w:type="dxa"/>
            <w:tcMar>
              <w:left w:w="20" w:type="dxa"/>
              <w:right w:w="20" w:type="dxa"/>
            </w:tcMar>
            <w:vAlign w:val="center"/>
          </w:tcPr>
          <w:p w14:paraId="38E8F8BE" w14:textId="77AF1D77" w:rsidR="006B5827" w:rsidRPr="00471170" w:rsidRDefault="006B5827" w:rsidP="00AC13C1">
            <w:pPr>
              <w:pStyle w:val="Tabletext"/>
              <w:keepNext/>
              <w:keepLines/>
            </w:pPr>
            <w:r w:rsidRPr="00471170">
              <w:t xml:space="preserve">Patient must not have demonstrated an adequate clinical response </w:t>
            </w:r>
            <w:r w:rsidRPr="00471170">
              <w:rPr>
                <w:vertAlign w:val="superscript"/>
              </w:rPr>
              <w:t>a</w:t>
            </w:r>
            <w:r w:rsidRPr="00471170">
              <w:t xml:space="preserve"> to initial treatment at 40</w:t>
            </w:r>
            <w:r w:rsidR="0017081E">
              <w:t> mcg</w:t>
            </w:r>
            <w:r w:rsidRPr="00471170">
              <w:t xml:space="preserve">/kg/day after </w:t>
            </w:r>
            <w:r w:rsidR="00E87385" w:rsidRPr="00471170">
              <w:t xml:space="preserve">at least </w:t>
            </w:r>
            <w:r w:rsidRPr="00471170">
              <w:t xml:space="preserve">1 month. </w:t>
            </w:r>
            <w:r w:rsidR="005C52F1" w:rsidRPr="00471170">
              <w:t>T</w:t>
            </w:r>
            <w:r w:rsidR="00C52646" w:rsidRPr="00471170">
              <w:t>he ESC considered that the criterion required further clarification and state</w:t>
            </w:r>
            <w:r w:rsidR="00743AE0">
              <w:t>d</w:t>
            </w:r>
            <w:r w:rsidR="00C52646" w:rsidRPr="00471170">
              <w:t xml:space="preserve"> that (i) dose escalation was allowed to occur between 1-3 months after initiation; and (ii) the continuation criteria needed to be met at 6 months post-initiation.</w:t>
            </w:r>
          </w:p>
        </w:tc>
      </w:tr>
      <w:tr w:rsidR="006B5827" w:rsidRPr="00471170" w14:paraId="2D2FBF55" w14:textId="77777777" w:rsidTr="00F01090">
        <w:tc>
          <w:tcPr>
            <w:tcW w:w="1795" w:type="dxa"/>
            <w:tcMar>
              <w:left w:w="20" w:type="dxa"/>
              <w:right w:w="20" w:type="dxa"/>
            </w:tcMar>
            <w:vAlign w:val="center"/>
          </w:tcPr>
          <w:p w14:paraId="50C15912" w14:textId="0DCDF789" w:rsidR="006B5827" w:rsidRPr="00471170" w:rsidRDefault="006B5827" w:rsidP="00AC13C1">
            <w:pPr>
              <w:pStyle w:val="Tabletext"/>
              <w:keepNext/>
              <w:keepLines/>
            </w:pPr>
            <w:r w:rsidRPr="00471170">
              <w:t>Response criteria/</w:t>
            </w:r>
            <w:r w:rsidR="00F012EF" w:rsidRPr="00471170">
              <w:t xml:space="preserve"> </w:t>
            </w:r>
            <w:r w:rsidRPr="00471170">
              <w:t>discontinuation rules, and stopping &amp; restarting treatment</w:t>
            </w:r>
          </w:p>
        </w:tc>
        <w:tc>
          <w:tcPr>
            <w:tcW w:w="1800" w:type="dxa"/>
            <w:shd w:val="clear" w:color="auto" w:fill="auto"/>
            <w:tcMar>
              <w:left w:w="20" w:type="dxa"/>
              <w:right w:w="20" w:type="dxa"/>
            </w:tcMar>
            <w:vAlign w:val="center"/>
          </w:tcPr>
          <w:p w14:paraId="2482DD69" w14:textId="77777777" w:rsidR="006B5827" w:rsidRPr="00471170" w:rsidRDefault="006B5827" w:rsidP="00AC13C1">
            <w:pPr>
              <w:pStyle w:val="Tabletext"/>
              <w:keepNext/>
              <w:keepLines/>
            </w:pPr>
            <w:r w:rsidRPr="00471170">
              <w:t>Not described</w:t>
            </w:r>
          </w:p>
        </w:tc>
        <w:tc>
          <w:tcPr>
            <w:tcW w:w="5422" w:type="dxa"/>
            <w:tcMar>
              <w:left w:w="20" w:type="dxa"/>
              <w:right w:w="20" w:type="dxa"/>
            </w:tcMar>
            <w:vAlign w:val="center"/>
          </w:tcPr>
          <w:p w14:paraId="4B74BEC4" w14:textId="72134FC3" w:rsidR="006B5827" w:rsidRPr="00471170" w:rsidRDefault="006B5827" w:rsidP="00AC13C1">
            <w:pPr>
              <w:pStyle w:val="Tabletext"/>
              <w:keepNext/>
              <w:keepLines/>
            </w:pPr>
            <w:r w:rsidRPr="00471170">
              <w:t xml:space="preserve">Patient must have demonstrated an adequate clinical response </w:t>
            </w:r>
            <w:r w:rsidRPr="00471170">
              <w:rPr>
                <w:vertAlign w:val="superscript"/>
              </w:rPr>
              <w:t>a</w:t>
            </w:r>
            <w:r w:rsidRPr="00471170">
              <w:t xml:space="preserve"> to initial treatment at 40</w:t>
            </w:r>
            <w:r w:rsidR="0017081E">
              <w:t> mcg</w:t>
            </w:r>
            <w:r w:rsidRPr="00471170">
              <w:t>/kg/day over 3 consecutive months; OR 120</w:t>
            </w:r>
            <w:r w:rsidR="0017081E">
              <w:t> mcg</w:t>
            </w:r>
            <w:r w:rsidRPr="00471170">
              <w:t>/kg/day at 6 months from commencing odevixibat treatment</w:t>
            </w:r>
            <w:r w:rsidR="00743AE0">
              <w:t>.</w:t>
            </w:r>
          </w:p>
          <w:p w14:paraId="58C732D4" w14:textId="77777777" w:rsidR="006B5827" w:rsidRPr="00471170" w:rsidRDefault="006B5827" w:rsidP="00AC13C1">
            <w:pPr>
              <w:pStyle w:val="Tabletext"/>
              <w:keepNext/>
              <w:keepLines/>
            </w:pPr>
          </w:p>
          <w:p w14:paraId="6CF5CFBF" w14:textId="77777777" w:rsidR="006B5827" w:rsidRPr="00471170" w:rsidRDefault="006B5827" w:rsidP="00AC13C1">
            <w:pPr>
              <w:pStyle w:val="Tabletext"/>
              <w:keepNext/>
              <w:keepLines/>
            </w:pPr>
            <w:r w:rsidRPr="00471170">
              <w:rPr>
                <w:szCs w:val="20"/>
              </w:rPr>
              <w:t>Relapsing patient previously treated with this item may recommence treatment using initiation criteria if restrictions are satisfied.</w:t>
            </w:r>
          </w:p>
        </w:tc>
      </w:tr>
      <w:tr w:rsidR="006B5827" w:rsidRPr="00471170" w14:paraId="679A679F" w14:textId="77777777" w:rsidTr="00F01090">
        <w:trPr>
          <w:trHeight w:val="70"/>
        </w:trPr>
        <w:tc>
          <w:tcPr>
            <w:tcW w:w="1795" w:type="dxa"/>
            <w:tcMar>
              <w:left w:w="20" w:type="dxa"/>
              <w:right w:w="20" w:type="dxa"/>
            </w:tcMar>
            <w:vAlign w:val="center"/>
          </w:tcPr>
          <w:p w14:paraId="1BCBFDEB" w14:textId="77777777" w:rsidR="006B5827" w:rsidRPr="00471170" w:rsidRDefault="006B5827" w:rsidP="00AC13C1">
            <w:pPr>
              <w:pStyle w:val="Tabletext"/>
              <w:keepNext/>
              <w:keepLines/>
            </w:pPr>
            <w:r w:rsidRPr="00471170">
              <w:t>Initiation in adults</w:t>
            </w:r>
          </w:p>
        </w:tc>
        <w:tc>
          <w:tcPr>
            <w:tcW w:w="1800" w:type="dxa"/>
            <w:shd w:val="clear" w:color="auto" w:fill="auto"/>
            <w:tcMar>
              <w:left w:w="20" w:type="dxa"/>
              <w:right w:w="20" w:type="dxa"/>
            </w:tcMar>
            <w:vAlign w:val="center"/>
          </w:tcPr>
          <w:p w14:paraId="7BD8D245" w14:textId="77777777" w:rsidR="006B5827" w:rsidRPr="00471170" w:rsidRDefault="006B5827" w:rsidP="00AC13C1">
            <w:pPr>
              <w:pStyle w:val="Tabletext"/>
              <w:keepNext/>
              <w:keepLines/>
            </w:pPr>
            <w:r w:rsidRPr="00471170">
              <w:t>No age restriction</w:t>
            </w:r>
          </w:p>
        </w:tc>
        <w:tc>
          <w:tcPr>
            <w:tcW w:w="5422" w:type="dxa"/>
            <w:tcMar>
              <w:left w:w="20" w:type="dxa"/>
              <w:right w:w="20" w:type="dxa"/>
            </w:tcMar>
            <w:vAlign w:val="center"/>
          </w:tcPr>
          <w:p w14:paraId="4807A038" w14:textId="77300C1F" w:rsidR="006B5827" w:rsidRPr="00471170" w:rsidRDefault="006B5827" w:rsidP="00AC13C1">
            <w:pPr>
              <w:pStyle w:val="Tabletext"/>
              <w:keepNext/>
              <w:keepLines/>
            </w:pPr>
            <w:r w:rsidRPr="00471170">
              <w:t>No age restriction</w:t>
            </w:r>
            <w:r w:rsidR="002D6268" w:rsidRPr="00471170">
              <w:t>. The ESC</w:t>
            </w:r>
            <w:r w:rsidR="00E16DB2" w:rsidRPr="00471170">
              <w:t xml:space="preserve"> noted that there were no data for </w:t>
            </w:r>
            <w:r w:rsidR="0020186E" w:rsidRPr="00471170">
              <w:t xml:space="preserve">the initial </w:t>
            </w:r>
            <w:r w:rsidR="00E16DB2" w:rsidRPr="00471170">
              <w:t xml:space="preserve">treatment of patients </w:t>
            </w:r>
            <w:r w:rsidR="0020186E" w:rsidRPr="00471170">
              <w:t xml:space="preserve">diagnosed </w:t>
            </w:r>
            <w:r w:rsidR="00E16DB2" w:rsidRPr="00471170">
              <w:t>with PFIC</w:t>
            </w:r>
            <w:r w:rsidR="0020186E" w:rsidRPr="00471170">
              <w:t xml:space="preserve"> as an adult</w:t>
            </w:r>
            <w:r w:rsidR="00E16DB2" w:rsidRPr="00471170">
              <w:t>. Further, these patients generally have</w:t>
            </w:r>
            <w:r w:rsidR="0003694D" w:rsidRPr="00471170">
              <w:t xml:space="preserve"> a</w:t>
            </w:r>
            <w:r w:rsidR="00E16DB2" w:rsidRPr="00471170">
              <w:t xml:space="preserve"> </w:t>
            </w:r>
            <w:r w:rsidR="0020186E" w:rsidRPr="00471170">
              <w:t>better prognosis compared to paediatric patients</w:t>
            </w:r>
            <w:r w:rsidR="0003694D" w:rsidRPr="00471170">
              <w:t xml:space="preserve"> (see paragraph </w:t>
            </w:r>
            <w:r w:rsidR="0003694D" w:rsidRPr="00471170">
              <w:fldChar w:fldCharType="begin" w:fldLock="1"/>
            </w:r>
            <w:r w:rsidR="0003694D" w:rsidRPr="00471170">
              <w:instrText xml:space="preserve"> REF _Ref190603733 \r \h </w:instrText>
            </w:r>
            <w:r w:rsidR="00471170" w:rsidRPr="00471170">
              <w:instrText xml:space="preserve"> \* MERGEFORMAT </w:instrText>
            </w:r>
            <w:r w:rsidR="0003694D" w:rsidRPr="00471170">
              <w:fldChar w:fldCharType="separate"/>
            </w:r>
            <w:r w:rsidR="002F3877">
              <w:t>4.4</w:t>
            </w:r>
            <w:r w:rsidR="0003694D" w:rsidRPr="00471170">
              <w:fldChar w:fldCharType="end"/>
            </w:r>
            <w:r w:rsidR="0003694D" w:rsidRPr="00471170">
              <w:t>)</w:t>
            </w:r>
            <w:r w:rsidR="0020186E" w:rsidRPr="00471170">
              <w:t>.</w:t>
            </w:r>
            <w:r w:rsidR="00B37800">
              <w:t>The pre-PBAC response</w:t>
            </w:r>
            <w:r w:rsidR="00524CF8">
              <w:t xml:space="preserve"> </w:t>
            </w:r>
            <w:r w:rsidR="00541DFD">
              <w:t xml:space="preserve">acknowledged the concerns regarding older, and therefore heavier, patients </w:t>
            </w:r>
            <w:r w:rsidR="006E3A18">
              <w:t xml:space="preserve">accessing odevixibat. The pre-PBAC response suggested that initiation of odevixibat in adults could be </w:t>
            </w:r>
            <w:r w:rsidR="00F653D2">
              <w:t>restricted to specialist hepatologists working in liver transplant centres to prevent use in other cholestatic liver diseases.</w:t>
            </w:r>
          </w:p>
        </w:tc>
      </w:tr>
      <w:tr w:rsidR="006B5827" w:rsidRPr="00471170" w14:paraId="59CA1C90" w14:textId="77777777" w:rsidTr="00F01090">
        <w:tc>
          <w:tcPr>
            <w:tcW w:w="1795" w:type="dxa"/>
            <w:tcMar>
              <w:left w:w="20" w:type="dxa"/>
              <w:right w:w="20" w:type="dxa"/>
            </w:tcMar>
            <w:vAlign w:val="center"/>
          </w:tcPr>
          <w:p w14:paraId="29863274" w14:textId="77777777" w:rsidR="006B5827" w:rsidRPr="00471170" w:rsidRDefault="006B5827" w:rsidP="00AC13C1">
            <w:pPr>
              <w:pStyle w:val="Tabletext"/>
              <w:keepNext/>
              <w:keepLines/>
            </w:pPr>
            <w:r w:rsidRPr="00471170">
              <w:t>Use post-surgical treatment</w:t>
            </w:r>
          </w:p>
        </w:tc>
        <w:tc>
          <w:tcPr>
            <w:tcW w:w="1800" w:type="dxa"/>
            <w:shd w:val="clear" w:color="auto" w:fill="auto"/>
            <w:tcMar>
              <w:left w:w="20" w:type="dxa"/>
              <w:right w:w="20" w:type="dxa"/>
            </w:tcMar>
            <w:vAlign w:val="center"/>
          </w:tcPr>
          <w:p w14:paraId="1C4A5101" w14:textId="77777777" w:rsidR="006B5827" w:rsidRPr="00471170" w:rsidRDefault="006B5827" w:rsidP="00AC13C1">
            <w:pPr>
              <w:pStyle w:val="Tabletext"/>
              <w:keepNext/>
              <w:keepLines/>
            </w:pPr>
            <w:r w:rsidRPr="00471170">
              <w:t>Not excluded</w:t>
            </w:r>
          </w:p>
        </w:tc>
        <w:tc>
          <w:tcPr>
            <w:tcW w:w="5422" w:type="dxa"/>
            <w:tcMar>
              <w:left w:w="20" w:type="dxa"/>
              <w:right w:w="20" w:type="dxa"/>
            </w:tcMar>
            <w:vAlign w:val="center"/>
          </w:tcPr>
          <w:p w14:paraId="6A124410" w14:textId="77777777" w:rsidR="006B5827" w:rsidRPr="00471170" w:rsidRDefault="006B5827" w:rsidP="00AC13C1">
            <w:pPr>
              <w:pStyle w:val="Tabletext"/>
              <w:keepNext/>
              <w:keepLines/>
            </w:pPr>
            <w:r w:rsidRPr="00471170">
              <w:t>Not excluded</w:t>
            </w:r>
          </w:p>
        </w:tc>
      </w:tr>
    </w:tbl>
    <w:p w14:paraId="567A557B" w14:textId="3E940AE8" w:rsidR="006B5827" w:rsidRDefault="006B5827" w:rsidP="006B5827">
      <w:pPr>
        <w:jc w:val="left"/>
        <w:rPr>
          <w:rFonts w:ascii="Arial Narrow" w:eastAsiaTheme="majorEastAsia" w:hAnsi="Arial Narrow" w:cstheme="majorBidi"/>
          <w:sz w:val="20"/>
        </w:rPr>
      </w:pPr>
      <w:r w:rsidRPr="00D322FC">
        <w:rPr>
          <w:rFonts w:ascii="Arial Narrow" w:eastAsiaTheme="majorEastAsia" w:hAnsi="Arial Narrow" w:cstheme="majorBidi"/>
          <w:sz w:val="18"/>
          <w:szCs w:val="22"/>
        </w:rPr>
        <w:t>Source: compiled during evaluation from Table 1-1, p10 and Tables 1-7 to 1-9 of the resubmission.</w:t>
      </w:r>
    </w:p>
    <w:p w14:paraId="71D1151B" w14:textId="2E37EB5B" w:rsidR="006B5827" w:rsidRPr="006B5827" w:rsidRDefault="006B5827" w:rsidP="00510B19">
      <w:pPr>
        <w:spacing w:after="120"/>
        <w:jc w:val="left"/>
        <w:rPr>
          <w:rFonts w:ascii="Arial Narrow" w:eastAsiaTheme="majorEastAsia" w:hAnsi="Arial Narrow" w:cstheme="majorBidi"/>
          <w:sz w:val="20"/>
        </w:rPr>
      </w:pPr>
      <w:r w:rsidRPr="00646698">
        <w:rPr>
          <w:rFonts w:ascii="Arial Narrow" w:eastAsiaTheme="majorEastAsia" w:hAnsi="Arial Narrow" w:cstheme="majorBidi"/>
          <w:sz w:val="20"/>
        </w:rPr>
        <w:t xml:space="preserve"> </w:t>
      </w:r>
      <w:r w:rsidRPr="00D322FC">
        <w:rPr>
          <w:rFonts w:ascii="Arial Narrow" w:eastAsiaTheme="majorEastAsia" w:hAnsi="Arial Narrow" w:cstheme="majorBidi"/>
          <w:sz w:val="18"/>
          <w:szCs w:val="22"/>
        </w:rPr>
        <w:t xml:space="preserve">a An adequate clinical response to treatment is defined as an average ≥1 grade improvement in pruritus score on the Prucision™ ObsRO Pruritus Scale, assessed over a </w:t>
      </w:r>
      <w:r w:rsidR="00D2591B" w:rsidRPr="00D322FC">
        <w:rPr>
          <w:rFonts w:ascii="Arial Narrow" w:eastAsiaTheme="majorEastAsia" w:hAnsi="Arial Narrow" w:cstheme="majorBidi"/>
          <w:sz w:val="18"/>
          <w:szCs w:val="22"/>
        </w:rPr>
        <w:t>one-week</w:t>
      </w:r>
      <w:r w:rsidRPr="00D322FC">
        <w:rPr>
          <w:rFonts w:ascii="Arial Narrow" w:eastAsiaTheme="majorEastAsia" w:hAnsi="Arial Narrow" w:cstheme="majorBidi"/>
          <w:sz w:val="18"/>
          <w:szCs w:val="22"/>
        </w:rPr>
        <w:t xml:space="preserve"> period prior to dose modification.</w:t>
      </w:r>
      <w:r>
        <w:rPr>
          <w:rFonts w:ascii="Arial Narrow" w:eastAsiaTheme="majorEastAsia" w:hAnsi="Arial Narrow" w:cstheme="majorBidi"/>
          <w:sz w:val="18"/>
          <w:szCs w:val="22"/>
        </w:rPr>
        <w:br/>
        <w:t xml:space="preserve">Abbreviations: HPOS = </w:t>
      </w:r>
      <w:r w:rsidRPr="00D322FC">
        <w:rPr>
          <w:rFonts w:ascii="Arial Narrow" w:eastAsiaTheme="majorEastAsia" w:hAnsi="Arial Narrow" w:cstheme="majorBidi"/>
          <w:sz w:val="18"/>
          <w:szCs w:val="22"/>
        </w:rPr>
        <w:t>Health Professional Online Services</w:t>
      </w:r>
      <w:r>
        <w:rPr>
          <w:rFonts w:ascii="Arial Narrow" w:eastAsiaTheme="majorEastAsia" w:hAnsi="Arial Narrow" w:cstheme="majorBidi"/>
          <w:sz w:val="18"/>
          <w:szCs w:val="22"/>
        </w:rPr>
        <w:t>; ObsRO = observer reported outcomes; RSA = risk sharing arrangement; sBA = serum bile acids</w:t>
      </w:r>
    </w:p>
    <w:p w14:paraId="6DB959E6" w14:textId="32E03805" w:rsidR="00404D38" w:rsidRPr="00471170" w:rsidRDefault="00404D38" w:rsidP="00510B19">
      <w:pPr>
        <w:pStyle w:val="3-BodyText"/>
        <w:numPr>
          <w:ilvl w:val="1"/>
          <w:numId w:val="1"/>
        </w:numPr>
        <w:spacing w:before="0"/>
      </w:pPr>
      <w:r w:rsidRPr="00471170">
        <w:t>The proposed restriction did not include a requirement for genetic testing. Instead,</w:t>
      </w:r>
      <w:r w:rsidR="00FF69C2" w:rsidRPr="00471170">
        <w:t xml:space="preserve"> as per the Facilitated Resolution Pathway Workshop </w:t>
      </w:r>
      <w:r w:rsidR="0015326A" w:rsidRPr="00471170">
        <w:t>discussion</w:t>
      </w:r>
      <w:r w:rsidR="00FF69C2" w:rsidRPr="00471170">
        <w:t>,</w:t>
      </w:r>
      <w:r w:rsidRPr="00471170">
        <w:t xml:space="preserve"> the resubmission proposed compensating the Commonwealth for use of odevixibat in patients that </w:t>
      </w:r>
      <w:r w:rsidRPr="00471170">
        <w:lastRenderedPageBreak/>
        <w:t xml:space="preserve">would otherwise have been excluded on the basis of genetic testing. Following this, an estimated number of genetic non-responder patients was included as part of the </w:t>
      </w:r>
      <w:r w:rsidR="00D17D21" w:rsidRPr="00471170">
        <w:t>expenditure</w:t>
      </w:r>
      <w:r w:rsidRPr="00471170">
        <w:t xml:space="preserve"> caps comprising the proposed RSA (</w:t>
      </w:r>
      <w:r w:rsidR="007E4219" w:rsidRPr="00471170">
        <w:t xml:space="preserve">see paragraphs </w:t>
      </w:r>
      <w:r w:rsidR="007E4219" w:rsidRPr="00471170">
        <w:fldChar w:fldCharType="begin" w:fldLock="1"/>
      </w:r>
      <w:r w:rsidR="007E4219" w:rsidRPr="00471170">
        <w:instrText xml:space="preserve"> REF _Ref185079327 \r \h </w:instrText>
      </w:r>
      <w:r w:rsidR="00471170" w:rsidRPr="00471170">
        <w:instrText xml:space="preserve"> \* MERGEFORMAT </w:instrText>
      </w:r>
      <w:r w:rsidR="007E4219" w:rsidRPr="00471170">
        <w:fldChar w:fldCharType="separate"/>
      </w:r>
      <w:r w:rsidR="002F3877">
        <w:t>6.67</w:t>
      </w:r>
      <w:r w:rsidR="007E4219" w:rsidRPr="00471170">
        <w:fldChar w:fldCharType="end"/>
      </w:r>
      <w:r w:rsidR="007E4219" w:rsidRPr="00471170">
        <w:t xml:space="preserve"> to </w:t>
      </w:r>
      <w:r w:rsidR="007E4219" w:rsidRPr="00471170">
        <w:fldChar w:fldCharType="begin" w:fldLock="1"/>
      </w:r>
      <w:r w:rsidR="007E4219" w:rsidRPr="00471170">
        <w:instrText xml:space="preserve"> REF _Ref185073517 \r \h </w:instrText>
      </w:r>
      <w:r w:rsidR="00471170" w:rsidRPr="00471170">
        <w:instrText xml:space="preserve"> \* MERGEFORMAT </w:instrText>
      </w:r>
      <w:r w:rsidR="007E4219" w:rsidRPr="00471170">
        <w:fldChar w:fldCharType="separate"/>
      </w:r>
      <w:r w:rsidR="002F3877">
        <w:t>6.69</w:t>
      </w:r>
      <w:r w:rsidR="007E4219" w:rsidRPr="00471170">
        <w:fldChar w:fldCharType="end"/>
      </w:r>
      <w:r w:rsidR="007E4219" w:rsidRPr="00471170">
        <w:t>)</w:t>
      </w:r>
      <w:r w:rsidRPr="00471170">
        <w:t>.</w:t>
      </w:r>
      <w:r w:rsidR="006B5827" w:rsidRPr="00471170">
        <w:t xml:space="preserve"> </w:t>
      </w:r>
      <w:r w:rsidR="006E7D46">
        <w:t xml:space="preserve">The pre-PBAC response </w:t>
      </w:r>
      <w:r w:rsidR="00CC346F">
        <w:t>stated that genetic testing is considered helpful, but is not essential</w:t>
      </w:r>
      <w:r w:rsidR="007D765E">
        <w:t xml:space="preserve">, </w:t>
      </w:r>
      <w:r w:rsidR="00CC346F">
        <w:t>for initiating treatment with odevixibat</w:t>
      </w:r>
      <w:r w:rsidR="007D765E">
        <w:t xml:space="preserve"> and that clinical advice is </w:t>
      </w:r>
      <w:r w:rsidR="00D20E32">
        <w:t>that the assessment of benefit versus risk supports a trial of odevixibat</w:t>
      </w:r>
      <w:r w:rsidR="00C1207A">
        <w:t>.</w:t>
      </w:r>
    </w:p>
    <w:p w14:paraId="7ABAC7BC" w14:textId="1B4E659F" w:rsidR="00404D38" w:rsidRPr="00471170" w:rsidRDefault="00404D38" w:rsidP="00510B19">
      <w:pPr>
        <w:pStyle w:val="3-BodyText"/>
        <w:numPr>
          <w:ilvl w:val="1"/>
          <w:numId w:val="1"/>
        </w:numPr>
        <w:spacing w:before="0"/>
      </w:pPr>
      <w:r w:rsidRPr="00471170">
        <w:t xml:space="preserve">The amended clinical criteria for initiating treatment was in line with the </w:t>
      </w:r>
      <w:r w:rsidR="00FF69C2" w:rsidRPr="00471170">
        <w:t xml:space="preserve">Facilitated Resolution Pathway Workshop </w:t>
      </w:r>
      <w:r w:rsidR="005C605E" w:rsidRPr="00471170">
        <w:t>discussion document</w:t>
      </w:r>
      <w:r w:rsidRPr="00471170">
        <w:t xml:space="preserve">, which stated (Item 2.3) </w:t>
      </w:r>
      <w:r w:rsidR="00FF69C2" w:rsidRPr="00471170">
        <w:t xml:space="preserve">that </w:t>
      </w:r>
      <w:r w:rsidRPr="00471170">
        <w:t xml:space="preserve">participants believed it was reasonable to restrict access to PFIC patients who had both a finding of elevated serum bile acids only (i.e. not the ≥100 µmol/L level required in the registrational studies) </w:t>
      </w:r>
      <w:r w:rsidR="00FC0CE7" w:rsidRPr="00471170">
        <w:t>and</w:t>
      </w:r>
      <w:r w:rsidRPr="00471170">
        <w:t xml:space="preserve"> a prurit</w:t>
      </w:r>
      <w:r w:rsidR="00510B19" w:rsidRPr="00471170">
        <w:t>u</w:t>
      </w:r>
      <w:r w:rsidRPr="00471170">
        <w:t>s score of ≥2 (using the Prurit</w:t>
      </w:r>
      <w:r w:rsidR="00510B19" w:rsidRPr="00471170">
        <w:t>u</w:t>
      </w:r>
      <w:r w:rsidRPr="00471170">
        <w:t>s Item of the ObsRO instrument).</w:t>
      </w:r>
    </w:p>
    <w:p w14:paraId="75F69831" w14:textId="4ABDCD90" w:rsidR="006B5827" w:rsidRPr="00471170" w:rsidRDefault="00666B40" w:rsidP="00A17AF8">
      <w:pPr>
        <w:pStyle w:val="3-BodyText"/>
        <w:numPr>
          <w:ilvl w:val="1"/>
          <w:numId w:val="1"/>
        </w:numPr>
        <w:spacing w:before="0"/>
      </w:pPr>
      <w:bookmarkStart w:id="21" w:name="_Ref184916950"/>
      <w:r w:rsidRPr="00471170" w:rsidDel="001E7AD6">
        <w:t xml:space="preserve">The Facilitated Resolution Pathway Workshop </w:t>
      </w:r>
      <w:r w:rsidR="005C605E" w:rsidRPr="00471170">
        <w:t>discussion document</w:t>
      </w:r>
      <w:r w:rsidR="005C605E" w:rsidRPr="00471170" w:rsidDel="001E7AD6">
        <w:t xml:space="preserve"> </w:t>
      </w:r>
      <w:r w:rsidRPr="00471170" w:rsidDel="001E7AD6">
        <w:t>stated it was reasonable for ‘Continuing’ prescriptions to be allowed for patients who have demonstrated a positive pruritus response</w:t>
      </w:r>
      <w:r w:rsidRPr="00471170">
        <w:t xml:space="preserve">. </w:t>
      </w:r>
      <w:r w:rsidR="006B5827" w:rsidRPr="00471170">
        <w:t xml:space="preserve">The resubmission proposed that sBA assessment </w:t>
      </w:r>
      <w:r w:rsidR="005F2AD1">
        <w:t>not be included</w:t>
      </w:r>
      <w:r w:rsidR="006B5827" w:rsidRPr="00471170">
        <w:t xml:space="preserve"> as an eligibility requirement for continuing odevixibat treatment</w:t>
      </w:r>
      <w:r w:rsidR="005F2AD1">
        <w:t>,</w:t>
      </w:r>
      <w:r w:rsidR="00BB7CF0" w:rsidRPr="00471170">
        <w:t xml:space="preserve"> based on</w:t>
      </w:r>
      <w:r w:rsidR="006B5827" w:rsidRPr="00471170">
        <w:t xml:space="preserve"> </w:t>
      </w:r>
      <w:r w:rsidR="00BB7CF0" w:rsidRPr="00471170">
        <w:t>c</w:t>
      </w:r>
      <w:r w:rsidR="006B5827" w:rsidRPr="00471170">
        <w:t>linical advice that there is day-to-day, intra</w:t>
      </w:r>
      <w:r w:rsidR="00BF32DE" w:rsidRPr="00471170">
        <w:t>-</w:t>
      </w:r>
      <w:r w:rsidR="006B5827" w:rsidRPr="00471170">
        <w:t>patient variability in serum bile acid measurements that occurs due to diurnal variation, diet and other factors (Steiner 2011). The resubmission argued that due to this intra</w:t>
      </w:r>
      <w:r w:rsidR="00BF32DE" w:rsidRPr="00471170">
        <w:t>-</w:t>
      </w:r>
      <w:r w:rsidR="006B5827" w:rsidRPr="00471170">
        <w:t xml:space="preserve">patient variability, </w:t>
      </w:r>
      <w:r w:rsidR="0015665B" w:rsidRPr="00471170">
        <w:t>sBA</w:t>
      </w:r>
      <w:r w:rsidR="006B5827" w:rsidRPr="00471170">
        <w:t xml:space="preserve"> may not be a reliable marker for monitoring treatment effectiveness, and that the overwhelming objective of patients effected by PFIC and their families is to stop or reduce itching. </w:t>
      </w:r>
      <w:r w:rsidR="007D6509" w:rsidRPr="00471170">
        <w:t>The evaluation noted that</w:t>
      </w:r>
      <w:r w:rsidR="006B5827" w:rsidRPr="00471170">
        <w:t xml:space="preserve"> </w:t>
      </w:r>
      <w:r w:rsidR="009C0C50" w:rsidRPr="00471170">
        <w:t xml:space="preserve">sBA measurements were </w:t>
      </w:r>
      <w:r w:rsidR="00951515" w:rsidRPr="00471170">
        <w:t>the primary outcome for PEDFIC 1 and the submission is still proposing that</w:t>
      </w:r>
      <w:r w:rsidR="006B5827" w:rsidRPr="00471170">
        <w:t xml:space="preserve"> an elevated sBA </w:t>
      </w:r>
      <w:r w:rsidR="00951515" w:rsidRPr="00471170">
        <w:t>be</w:t>
      </w:r>
      <w:r w:rsidR="006B5827" w:rsidRPr="00471170">
        <w:t xml:space="preserve"> required at baseline </w:t>
      </w:r>
      <w:r w:rsidR="00951515" w:rsidRPr="00471170">
        <w:t xml:space="preserve">for </w:t>
      </w:r>
      <w:r w:rsidR="00446B3E" w:rsidRPr="00471170">
        <w:t>eligibility</w:t>
      </w:r>
      <w:r w:rsidR="00DE4475" w:rsidRPr="00471170">
        <w:t>.</w:t>
      </w:r>
      <w:r w:rsidR="00446B3E" w:rsidRPr="00471170">
        <w:t xml:space="preserve"> </w:t>
      </w:r>
      <w:r w:rsidR="00DE4475" w:rsidRPr="00471170">
        <w:t>R</w:t>
      </w:r>
      <w:r w:rsidR="00446B3E" w:rsidRPr="00471170">
        <w:t xml:space="preserve">esponse based on sBA was </w:t>
      </w:r>
      <w:r w:rsidR="00DE4475" w:rsidRPr="00471170">
        <w:t xml:space="preserve">also </w:t>
      </w:r>
      <w:r w:rsidR="008A1E77" w:rsidRPr="00471170">
        <w:t>used in the economic evaluation to define response</w:t>
      </w:r>
      <w:r w:rsidR="006B5827" w:rsidRPr="00471170">
        <w:t>.</w:t>
      </w:r>
      <w:bookmarkEnd w:id="21"/>
      <w:r w:rsidR="0008776F" w:rsidRPr="00471170">
        <w:t xml:space="preserve"> </w:t>
      </w:r>
      <w:r w:rsidR="001E0706" w:rsidRPr="00471170">
        <w:t xml:space="preserve">The PSCR stated that </w:t>
      </w:r>
      <w:r w:rsidR="002326D8" w:rsidRPr="00471170">
        <w:t>patients who have a symptomatic response (i.e. relief from prurit</w:t>
      </w:r>
      <w:r w:rsidR="00D83C69" w:rsidRPr="00471170">
        <w:t>u</w:t>
      </w:r>
      <w:r w:rsidR="002326D8" w:rsidRPr="00471170">
        <w:t xml:space="preserve">s) </w:t>
      </w:r>
      <w:r w:rsidR="001C0454" w:rsidRPr="00471170">
        <w:t xml:space="preserve">may be excluded from continuing therapy if </w:t>
      </w:r>
      <w:r w:rsidR="00167F67" w:rsidRPr="00471170">
        <w:t xml:space="preserve">it was </w:t>
      </w:r>
      <w:r w:rsidR="001C0454" w:rsidRPr="00471170">
        <w:t>based on sBA response alone</w:t>
      </w:r>
      <w:r w:rsidR="00DC620A" w:rsidRPr="00471170">
        <w:t xml:space="preserve"> due to the vagaries in sBA response</w:t>
      </w:r>
      <w:r w:rsidR="005918BC" w:rsidRPr="00471170">
        <w:t xml:space="preserve">. </w:t>
      </w:r>
      <w:r w:rsidR="00963EA0" w:rsidRPr="00471170">
        <w:t xml:space="preserve">Overall, the ESC considered that </w:t>
      </w:r>
      <w:r w:rsidR="001B6DE4" w:rsidRPr="00471170">
        <w:t xml:space="preserve">pruritus </w:t>
      </w:r>
      <w:r w:rsidR="00A8477A" w:rsidRPr="00471170">
        <w:t>alone</w:t>
      </w:r>
      <w:r w:rsidR="00E138D8" w:rsidRPr="00471170">
        <w:t>, if measured with a robust tool,</w:t>
      </w:r>
      <w:r w:rsidR="00A8477A" w:rsidRPr="00471170">
        <w:t xml:space="preserve"> </w:t>
      </w:r>
      <w:r w:rsidR="001B6DE4" w:rsidRPr="00471170">
        <w:t xml:space="preserve">was </w:t>
      </w:r>
      <w:r w:rsidR="0015326A" w:rsidRPr="00471170">
        <w:t>an acceptable</w:t>
      </w:r>
      <w:r w:rsidR="001B6DE4" w:rsidRPr="00471170">
        <w:t xml:space="preserve"> criteri</w:t>
      </w:r>
      <w:r w:rsidR="00653AD2" w:rsidRPr="00471170">
        <w:t>on</w:t>
      </w:r>
      <w:r w:rsidR="001B6DE4" w:rsidRPr="00471170">
        <w:t xml:space="preserve"> for </w:t>
      </w:r>
      <w:r w:rsidR="00653AD2" w:rsidRPr="00471170">
        <w:t xml:space="preserve">assessing </w:t>
      </w:r>
      <w:r w:rsidR="00127AA5" w:rsidRPr="00471170">
        <w:t xml:space="preserve">eligibility for </w:t>
      </w:r>
      <w:r w:rsidR="001B6DE4" w:rsidRPr="00471170">
        <w:t>continuing therapy</w:t>
      </w:r>
      <w:r w:rsidR="00F90CC7" w:rsidRPr="00471170">
        <w:t>.</w:t>
      </w:r>
      <w:r w:rsidR="005F2AD1">
        <w:t xml:space="preserve"> The </w:t>
      </w:r>
      <w:r w:rsidR="00526FFE">
        <w:t xml:space="preserve">PBAC </w:t>
      </w:r>
      <w:r w:rsidR="005F2AD1">
        <w:t xml:space="preserve">noted that repeated blood tests could be distressing to children. </w:t>
      </w:r>
    </w:p>
    <w:p w14:paraId="4DFAD498" w14:textId="46DF174A" w:rsidR="00404D38" w:rsidRPr="00471170" w:rsidRDefault="00404D38" w:rsidP="009C0C50">
      <w:pPr>
        <w:pStyle w:val="3-BodyText"/>
        <w:numPr>
          <w:ilvl w:val="1"/>
          <w:numId w:val="1"/>
        </w:numPr>
        <w:spacing w:before="0"/>
      </w:pPr>
      <w:bookmarkStart w:id="22" w:name="_Ref184831514"/>
      <w:r w:rsidRPr="00471170">
        <w:t xml:space="preserve">The resubmission defined an adequate clinical response to treatment as “an average ≥1 grade improvement in pruritus score on the Prucision™ ObsRO Pruritus Scale, assessed over a </w:t>
      </w:r>
      <w:r w:rsidR="00D2591B" w:rsidRPr="00471170">
        <w:t>one-week</w:t>
      </w:r>
      <w:r w:rsidRPr="00471170">
        <w:t xml:space="preserve"> period prior to dose modification.”</w:t>
      </w:r>
      <w:bookmarkEnd w:id="22"/>
      <w:r w:rsidR="009C0C50" w:rsidRPr="00471170">
        <w:t xml:space="preserve"> </w:t>
      </w:r>
      <w:r w:rsidR="00AC24C0" w:rsidRPr="00471170">
        <w:t xml:space="preserve">The proposed ObsRO scale for use of clinical response assessment </w:t>
      </w:r>
      <w:r w:rsidR="00EC55A0">
        <w:t>is</w:t>
      </w:r>
      <w:r w:rsidR="00EC55A0" w:rsidRPr="00471170">
        <w:t xml:space="preserve"> </w:t>
      </w:r>
      <w:r w:rsidR="00AC24C0" w:rsidRPr="00471170">
        <w:t xml:space="preserve">presented in </w:t>
      </w:r>
      <w:r w:rsidR="00AC24C0" w:rsidRPr="00471170">
        <w:fldChar w:fldCharType="begin" w:fldLock="1"/>
      </w:r>
      <w:r w:rsidR="00AC24C0" w:rsidRPr="00471170">
        <w:instrText xml:space="preserve"> REF _Ref184826138 \h </w:instrText>
      </w:r>
      <w:r w:rsidR="00471170" w:rsidRPr="00471170">
        <w:instrText xml:space="preserve"> \* MERGEFORMAT </w:instrText>
      </w:r>
      <w:r w:rsidR="00AC24C0" w:rsidRPr="00471170">
        <w:fldChar w:fldCharType="separate"/>
      </w:r>
      <w:r w:rsidR="00382EF0" w:rsidRPr="00471170">
        <w:t xml:space="preserve">Figure </w:t>
      </w:r>
      <w:r w:rsidR="00382EF0" w:rsidRPr="00471170">
        <w:rPr>
          <w:noProof/>
        </w:rPr>
        <w:t>1</w:t>
      </w:r>
      <w:r w:rsidR="00AC24C0" w:rsidRPr="00471170">
        <w:fldChar w:fldCharType="end"/>
      </w:r>
      <w:r w:rsidR="00AC24C0" w:rsidRPr="00471170">
        <w:t xml:space="preserve"> above. </w:t>
      </w:r>
      <w:r w:rsidR="00612BEA" w:rsidRPr="00471170">
        <w:t xml:space="preserve">The resubmission noted </w:t>
      </w:r>
      <w:r w:rsidR="00964018" w:rsidRPr="00471170">
        <w:t xml:space="preserve">the ObsRO scale </w:t>
      </w:r>
      <w:r w:rsidR="003955CA" w:rsidRPr="00471170">
        <w:t>is not used in clinical practice.</w:t>
      </w:r>
      <w:r w:rsidR="00F90CC7" w:rsidRPr="00471170">
        <w:t xml:space="preserve"> </w:t>
      </w:r>
    </w:p>
    <w:p w14:paraId="56A5933F" w14:textId="1A10CFD2" w:rsidR="00404D38" w:rsidRPr="00471170" w:rsidRDefault="00603596" w:rsidP="00AC13C1">
      <w:pPr>
        <w:pStyle w:val="3-BodyText"/>
        <w:numPr>
          <w:ilvl w:val="1"/>
          <w:numId w:val="1"/>
        </w:numPr>
        <w:spacing w:before="0"/>
      </w:pPr>
      <w:r w:rsidRPr="00471170">
        <w:t>T</w:t>
      </w:r>
      <w:r w:rsidR="00E71AFD" w:rsidRPr="00471170">
        <w:t xml:space="preserve">he ESC noted that </w:t>
      </w:r>
      <w:r w:rsidR="00F34B02" w:rsidRPr="00471170">
        <w:t xml:space="preserve">a 9-item </w:t>
      </w:r>
      <w:r w:rsidR="00404D38" w:rsidRPr="00471170">
        <w:t>ObsRO instrument was previously considered by the PBAC in the July 2024 submission. The PBAC noted the reliability of the ObsRO instrument, which was used in PEDFIC 1 to measure pruritus response, was uncertain given the limited information regarding the scoring of the instrument, the unclear clinical significance of the definition of a positive pruritus assessment and it not being independently validated in a study distinct from PEDFIC 1 (</w:t>
      </w:r>
      <w:r w:rsidR="00407F43" w:rsidRPr="00471170">
        <w:t>p</w:t>
      </w:r>
      <w:r w:rsidR="00404D38" w:rsidRPr="00471170">
        <w:t>aragraph 7.8, odevixibat PSD, July 2024 PBAC Meeting).</w:t>
      </w:r>
      <w:r w:rsidR="007A685B" w:rsidRPr="00471170">
        <w:t xml:space="preserve"> </w:t>
      </w:r>
      <w:r w:rsidR="00404D38" w:rsidRPr="00471170">
        <w:t>The ObsRO instrument has not been validated as a self-</w:t>
      </w:r>
      <w:r w:rsidR="00404D38" w:rsidRPr="00471170">
        <w:lastRenderedPageBreak/>
        <w:t xml:space="preserve">assessment tool. </w:t>
      </w:r>
      <w:r w:rsidR="00DD324F" w:rsidRPr="00471170">
        <w:t>The ESC noted that no</w:t>
      </w:r>
      <w:r w:rsidR="006F4346" w:rsidRPr="00471170">
        <w:t xml:space="preserve"> further details on the development and validation of the ObsRO instrument were provided in the resubmission.</w:t>
      </w:r>
    </w:p>
    <w:p w14:paraId="3E73B27A" w14:textId="64CC4930" w:rsidR="00603596" w:rsidRPr="00471170" w:rsidRDefault="00C16FBB" w:rsidP="00AC13C1">
      <w:pPr>
        <w:pStyle w:val="3-BodyText"/>
        <w:numPr>
          <w:ilvl w:val="1"/>
          <w:numId w:val="1"/>
        </w:numPr>
        <w:spacing w:before="0"/>
      </w:pPr>
      <w:r w:rsidRPr="00471170">
        <w:t xml:space="preserve">The resubmission’s proposed ObsRO Pruritus Scale was a simplification of the 9-item ObsRO instrument used in PEDFIC1 and PEDFIC2, using a single Likert-scale item to measure the overall degree of itch as experience over a prior week, and it could be completed by a patient or carer. </w:t>
      </w:r>
      <w:r w:rsidR="00E6358A" w:rsidRPr="00471170">
        <w:t>T</w:t>
      </w:r>
      <w:r w:rsidR="00603596" w:rsidRPr="00471170">
        <w:t>he</w:t>
      </w:r>
      <w:r w:rsidR="00E6358A" w:rsidRPr="00471170">
        <w:t xml:space="preserve"> </w:t>
      </w:r>
      <w:r w:rsidR="00603596" w:rsidRPr="00471170">
        <w:t xml:space="preserve">ESC noted that the ObsRO Pruritus Scale, as proposed in the resubmission to assess eligibility and clinical response, relied on the answer to one question. Overall, the ESC considered that the ObsRO </w:t>
      </w:r>
      <w:r w:rsidR="00E6358A" w:rsidRPr="00471170">
        <w:t>Pruritus S</w:t>
      </w:r>
      <w:r w:rsidR="00603596" w:rsidRPr="00471170">
        <w:t>cale would be subject to high variability and may not be a meaningful measure of response.</w:t>
      </w:r>
      <w:r w:rsidR="00CC1B46" w:rsidRPr="00471170">
        <w:t xml:space="preserve"> The </w:t>
      </w:r>
      <w:r w:rsidR="00030B86" w:rsidRPr="00471170">
        <w:t xml:space="preserve">ESC </w:t>
      </w:r>
      <w:r w:rsidR="00CC1B46" w:rsidRPr="00471170">
        <w:t xml:space="preserve">noted that </w:t>
      </w:r>
      <w:r w:rsidR="00832C4C" w:rsidRPr="00471170">
        <w:t>the</w:t>
      </w:r>
      <w:r w:rsidRPr="00471170">
        <w:t xml:space="preserve"> expanded</w:t>
      </w:r>
      <w:r w:rsidR="00832C4C" w:rsidRPr="00471170">
        <w:t xml:space="preserve"> ObsRO </w:t>
      </w:r>
      <w:r w:rsidRPr="00471170">
        <w:t>instrument</w:t>
      </w:r>
      <w:r w:rsidR="00652A8B" w:rsidRPr="00471170">
        <w:t xml:space="preserve">, or one of the several other pruritus scales which had been validated, including the Worst </w:t>
      </w:r>
      <w:r w:rsidR="00FC32F5" w:rsidRPr="00471170">
        <w:t>itch numeric rating scale (WI-NRS) or the 5-D itch scale,</w:t>
      </w:r>
      <w:r w:rsidR="00832C4C" w:rsidRPr="00471170">
        <w:t xml:space="preserve"> could be applied </w:t>
      </w:r>
      <w:r w:rsidR="00FC32F5" w:rsidRPr="00471170">
        <w:t xml:space="preserve">in the restriction </w:t>
      </w:r>
      <w:r w:rsidR="00652A8B" w:rsidRPr="00471170">
        <w:t>to measure response</w:t>
      </w:r>
      <w:r w:rsidR="00FC32F5" w:rsidRPr="00471170">
        <w:t xml:space="preserve">. </w:t>
      </w:r>
      <w:r w:rsidR="00012927">
        <w:t>The pre-PBAC response stated that</w:t>
      </w:r>
      <w:r w:rsidR="005D08E8">
        <w:t>,</w:t>
      </w:r>
      <w:r w:rsidR="00012927">
        <w:t xml:space="preserve"> </w:t>
      </w:r>
      <w:r w:rsidR="004A6204">
        <w:t xml:space="preserve">although none of the suggested tools were used in clinical practice, the </w:t>
      </w:r>
      <w:r w:rsidR="00CF34FB">
        <w:t>s</w:t>
      </w:r>
      <w:r w:rsidR="004A6204">
        <w:t>ponsor was open to alternatives to the ObsRO Pruritus Scale being used</w:t>
      </w:r>
      <w:r w:rsidR="007516DD">
        <w:t xml:space="preserve"> as long as it does</w:t>
      </w:r>
      <w:r w:rsidR="00FD3036">
        <w:t xml:space="preserve"> not</w:t>
      </w:r>
      <w:r w:rsidR="007516DD">
        <w:t xml:space="preserve"> place undue burden on prescribers, patients and caregivers.</w:t>
      </w:r>
    </w:p>
    <w:p w14:paraId="376B3436" w14:textId="268F8256" w:rsidR="00404D38" w:rsidRPr="00471170" w:rsidRDefault="00404D38" w:rsidP="00612BEA">
      <w:pPr>
        <w:pStyle w:val="3-BodyText"/>
        <w:numPr>
          <w:ilvl w:val="1"/>
          <w:numId w:val="1"/>
        </w:numPr>
        <w:spacing w:before="0"/>
      </w:pPr>
      <w:r w:rsidRPr="00471170">
        <w:t>The resubmission proposed that ‘Continuing’ prescriptions only be allowed for patients who have demonstrated an adequate clinical response (</w:t>
      </w:r>
      <w:r w:rsidR="006B5827" w:rsidRPr="00471170">
        <w:t xml:space="preserve">see </w:t>
      </w:r>
      <w:r w:rsidRPr="00471170">
        <w:t xml:space="preserve">paragraph </w:t>
      </w:r>
      <w:r w:rsidRPr="00471170">
        <w:fldChar w:fldCharType="begin" w:fldLock="1"/>
      </w:r>
      <w:r w:rsidRPr="00471170">
        <w:instrText xml:space="preserve"> REF _Ref184831514 \r \h </w:instrText>
      </w:r>
      <w:r w:rsidR="00471170" w:rsidRPr="00471170">
        <w:instrText xml:space="preserve"> \* MERGEFORMAT </w:instrText>
      </w:r>
      <w:r w:rsidRPr="00471170">
        <w:fldChar w:fldCharType="separate"/>
      </w:r>
      <w:r w:rsidR="002F3877">
        <w:t>3.8</w:t>
      </w:r>
      <w:r w:rsidRPr="00471170">
        <w:fldChar w:fldCharType="end"/>
      </w:r>
      <w:r w:rsidRPr="00471170">
        <w:t>) following treatment under ‘Initial’ treatment or ‘Dose Modification’ restrictions</w:t>
      </w:r>
      <w:r w:rsidR="002F3877">
        <w:t xml:space="preserve">, that is: </w:t>
      </w:r>
    </w:p>
    <w:p w14:paraId="26BED861" w14:textId="7D12E4E2" w:rsidR="00404D38" w:rsidRPr="00471170" w:rsidRDefault="00404D38" w:rsidP="00FD40C0">
      <w:pPr>
        <w:pStyle w:val="3-BodyText"/>
        <w:numPr>
          <w:ilvl w:val="0"/>
          <w:numId w:val="11"/>
        </w:numPr>
        <w:spacing w:before="0"/>
        <w:ind w:left="1080"/>
      </w:pPr>
      <w:r w:rsidRPr="00471170">
        <w:t xml:space="preserve">If an adequate clinical response is achieved after </w:t>
      </w:r>
      <w:r w:rsidR="00384482" w:rsidRPr="00471170">
        <w:t>thre</w:t>
      </w:r>
      <w:r w:rsidR="00115BEE" w:rsidRPr="00471170">
        <w:t>e</w:t>
      </w:r>
      <w:r w:rsidRPr="00471170">
        <w:t xml:space="preserve"> months of initial treatment, odevixibat would continue at 40</w:t>
      </w:r>
      <w:r w:rsidR="0017081E">
        <w:t> mcg</w:t>
      </w:r>
      <w:r w:rsidRPr="00471170">
        <w:t>/kg/day through the continuing treatment phase;</w:t>
      </w:r>
    </w:p>
    <w:p w14:paraId="027FD623" w14:textId="015FAF6D" w:rsidR="00404D38" w:rsidRPr="00471170" w:rsidRDefault="00404D38" w:rsidP="00FD40C0">
      <w:pPr>
        <w:pStyle w:val="3-BodyText"/>
        <w:numPr>
          <w:ilvl w:val="0"/>
          <w:numId w:val="11"/>
        </w:numPr>
        <w:spacing w:before="0"/>
        <w:ind w:left="1080"/>
      </w:pPr>
      <w:r w:rsidRPr="00471170">
        <w:t xml:space="preserve">If there is an inadequate clinical response following </w:t>
      </w:r>
      <w:r w:rsidR="007E555E" w:rsidRPr="00471170">
        <w:t>one to three months</w:t>
      </w:r>
      <w:r w:rsidRPr="00471170">
        <w:t xml:space="preserve"> of initial treatment at low dosage, </w:t>
      </w:r>
      <w:r w:rsidR="007E555E" w:rsidRPr="00471170">
        <w:t xml:space="preserve">patients can increase </w:t>
      </w:r>
      <w:r w:rsidR="0064477F" w:rsidRPr="00471170">
        <w:t>to the 120</w:t>
      </w:r>
      <w:r w:rsidR="0017081E">
        <w:t> mcg</w:t>
      </w:r>
      <w:r w:rsidR="0064477F" w:rsidRPr="00471170">
        <w:t xml:space="preserve">/kg/day dose. If </w:t>
      </w:r>
      <w:r w:rsidRPr="00471170">
        <w:t xml:space="preserve">an adequate clinical response has been achieved at </w:t>
      </w:r>
      <w:r w:rsidR="00845962" w:rsidRPr="00471170">
        <w:t>six</w:t>
      </w:r>
      <w:r w:rsidRPr="00471170">
        <w:t xml:space="preserve"> months </w:t>
      </w:r>
      <w:r w:rsidR="0064477F" w:rsidRPr="00471170">
        <w:t xml:space="preserve">post initiation </w:t>
      </w:r>
      <w:r w:rsidRPr="00471170">
        <w:t>with dose escalation to 120</w:t>
      </w:r>
      <w:r w:rsidR="0017081E">
        <w:t> mcg</w:t>
      </w:r>
      <w:r w:rsidRPr="00471170">
        <w:t>/kg/day, treatment should continue at 120</w:t>
      </w:r>
      <w:r w:rsidR="0017081E">
        <w:t> mcg</w:t>
      </w:r>
      <w:r w:rsidRPr="00471170">
        <w:t>/kg/day through the continuing treatment phase; or</w:t>
      </w:r>
    </w:p>
    <w:p w14:paraId="7D46A878" w14:textId="77777777" w:rsidR="00404D38" w:rsidRPr="00471170" w:rsidRDefault="00404D38" w:rsidP="00FD40C0">
      <w:pPr>
        <w:pStyle w:val="3-BodyText"/>
        <w:numPr>
          <w:ilvl w:val="0"/>
          <w:numId w:val="11"/>
        </w:numPr>
        <w:spacing w:before="0"/>
        <w:ind w:left="1080"/>
      </w:pPr>
      <w:r w:rsidRPr="00471170">
        <w:t>If a positive pruritus response is not achieved after 6 months, including after dose modification, then treatment would be discontinued.</w:t>
      </w:r>
    </w:p>
    <w:p w14:paraId="6DA38C9C" w14:textId="07095F7A" w:rsidR="00404D38" w:rsidRPr="00471170" w:rsidRDefault="00C56991" w:rsidP="00612BEA">
      <w:pPr>
        <w:pStyle w:val="3-BodyText"/>
        <w:numPr>
          <w:ilvl w:val="1"/>
          <w:numId w:val="1"/>
        </w:numPr>
        <w:spacing w:before="0"/>
      </w:pPr>
      <w:bookmarkStart w:id="23" w:name="_Ref185294852"/>
      <w:r w:rsidRPr="00471170">
        <w:t>T</w:t>
      </w:r>
      <w:r w:rsidR="00404D38" w:rsidRPr="00471170">
        <w:t>he</w:t>
      </w:r>
      <w:r w:rsidR="00474C08" w:rsidRPr="00471170">
        <w:t xml:space="preserve"> proposed </w:t>
      </w:r>
      <w:r w:rsidR="00404D38" w:rsidRPr="00471170">
        <w:t>response criteria only require</w:t>
      </w:r>
      <w:r w:rsidR="00C97674" w:rsidRPr="00471170">
        <w:t>d</w:t>
      </w:r>
      <w:r w:rsidR="00404D38" w:rsidRPr="00471170">
        <w:t xml:space="preserve"> the patient to have demonstrated an adequate clinical response to initial treatment but not in continuing treatment. That is, there was no requirement for patients in the continuation treatment phase to maintain response (or even a requirement for any objective assessment), nor any discontinuation criteria for patients who may subsequently lose response. This would allow for patients that are no longer receiving (adequate) benefit from odevixibat to continue treatment, which </w:t>
      </w:r>
      <w:r w:rsidR="005D08E8">
        <w:t>would</w:t>
      </w:r>
      <w:r w:rsidR="005D08E8" w:rsidRPr="00471170">
        <w:t xml:space="preserve"> </w:t>
      </w:r>
      <w:r w:rsidR="00404D38" w:rsidRPr="00471170">
        <w:t>be inappropriate.</w:t>
      </w:r>
      <w:bookmarkEnd w:id="23"/>
      <w:r w:rsidR="00D06716" w:rsidRPr="00471170">
        <w:t xml:space="preserve"> The ESC considered that </w:t>
      </w:r>
      <w:r w:rsidR="00CB014F" w:rsidRPr="00471170">
        <w:t xml:space="preserve">patients should continue to </w:t>
      </w:r>
      <w:r w:rsidR="00814C88" w:rsidRPr="00471170">
        <w:t>demonstrate an adequate response</w:t>
      </w:r>
      <w:r w:rsidR="0027452C" w:rsidRPr="00471170">
        <w:t xml:space="preserve"> (i.e. reduced pruri</w:t>
      </w:r>
      <w:r w:rsidR="000D39D5" w:rsidRPr="00471170">
        <w:t>tus)</w:t>
      </w:r>
      <w:r w:rsidR="00814C88" w:rsidRPr="00471170">
        <w:t xml:space="preserve"> to odevixibat </w:t>
      </w:r>
      <w:r w:rsidR="00877DE4" w:rsidRPr="00471170">
        <w:t>to continue receiving treatment</w:t>
      </w:r>
      <w:r w:rsidR="0027452C" w:rsidRPr="00471170">
        <w:t>,</w:t>
      </w:r>
      <w:r w:rsidR="00877DE4" w:rsidRPr="00471170">
        <w:t xml:space="preserve"> </w:t>
      </w:r>
      <w:r w:rsidR="00E658D4" w:rsidRPr="00471170">
        <w:t xml:space="preserve">given the </w:t>
      </w:r>
      <w:r w:rsidR="00E65763" w:rsidRPr="00471170">
        <w:t>limited longer</w:t>
      </w:r>
      <w:r w:rsidR="0027452C" w:rsidRPr="00471170">
        <w:t>-</w:t>
      </w:r>
      <w:r w:rsidR="00E65763" w:rsidRPr="00471170">
        <w:t>term data available and the possibility that</w:t>
      </w:r>
      <w:r w:rsidR="00877DE4" w:rsidRPr="00471170">
        <w:t xml:space="preserve"> some patients may experience a loss of response. </w:t>
      </w:r>
      <w:r w:rsidR="007A5CD8">
        <w:t xml:space="preserve">The </w:t>
      </w:r>
      <w:r w:rsidR="007A5CD8">
        <w:lastRenderedPageBreak/>
        <w:t>pre-PBAC response</w:t>
      </w:r>
      <w:r w:rsidR="00A20AA6">
        <w:t xml:space="preserve"> state</w:t>
      </w:r>
      <w:r w:rsidR="00A3247A">
        <w:t>d</w:t>
      </w:r>
      <w:r w:rsidR="00A20AA6">
        <w:t xml:space="preserve"> that </w:t>
      </w:r>
      <w:r w:rsidR="00E06FBE">
        <w:t xml:space="preserve">treatment should continue </w:t>
      </w:r>
      <w:r w:rsidR="00F94169">
        <w:t>for as long as a positive pruritus response is maintained.</w:t>
      </w:r>
      <w:r w:rsidR="00E06FBE">
        <w:t xml:space="preserve"> </w:t>
      </w:r>
    </w:p>
    <w:p w14:paraId="22483322" w14:textId="5801A57C" w:rsidR="00404D38" w:rsidRDefault="00C56991" w:rsidP="00AC13C1">
      <w:pPr>
        <w:pStyle w:val="3-BodyText"/>
        <w:numPr>
          <w:ilvl w:val="1"/>
          <w:numId w:val="1"/>
        </w:numPr>
        <w:spacing w:before="0"/>
      </w:pPr>
      <w:bookmarkStart w:id="24" w:name="_Ref185078533"/>
      <w:bookmarkStart w:id="25" w:name="_Ref185294853"/>
      <w:r w:rsidRPr="00471170">
        <w:t>T</w:t>
      </w:r>
      <w:r w:rsidR="00404D38" w:rsidRPr="00471170">
        <w:t>here was no criteri</w:t>
      </w:r>
      <w:r w:rsidR="00C97674" w:rsidRPr="00471170">
        <w:t>on</w:t>
      </w:r>
      <w:r w:rsidR="00404D38" w:rsidRPr="00471170">
        <w:t xml:space="preserve"> in the resubmission’s initial treatment restriction which would prevent non-responder patients </w:t>
      </w:r>
      <w:r w:rsidR="005D08E8">
        <w:t>who</w:t>
      </w:r>
      <w:r w:rsidR="005D08E8" w:rsidRPr="00471170">
        <w:t xml:space="preserve"> </w:t>
      </w:r>
      <w:r w:rsidR="00404D38" w:rsidRPr="00471170">
        <w:t>were not eligible for continuing treatment from receiving treatment under the initial treatment criteria again.</w:t>
      </w:r>
      <w:r w:rsidR="00E65763" w:rsidRPr="00471170">
        <w:t xml:space="preserve"> The ESC </w:t>
      </w:r>
      <w:r w:rsidR="009E0609" w:rsidRPr="00471170">
        <w:t>considered that a patient should only be el</w:t>
      </w:r>
      <w:r w:rsidR="00C10784" w:rsidRPr="00471170">
        <w:t xml:space="preserve">igible to </w:t>
      </w:r>
      <w:r w:rsidR="00A352ED" w:rsidRPr="00471170">
        <w:t>receive retreatment if they had previously satisfied the criteria for a clinical response</w:t>
      </w:r>
      <w:r w:rsidR="0015326A" w:rsidRPr="00471170">
        <w:t xml:space="preserve"> </w:t>
      </w:r>
      <w:r w:rsidR="00160F75" w:rsidRPr="00471170">
        <w:t>and the reason for prior discontinuation was that it was considered that odevixibat was no longer required, not that the itch had worsened whilst on odevixibat</w:t>
      </w:r>
      <w:r w:rsidR="00A352ED" w:rsidRPr="00471170">
        <w:t>.</w:t>
      </w:r>
      <w:r w:rsidR="00404D38" w:rsidRPr="00471170">
        <w:t xml:space="preserve"> </w:t>
      </w:r>
      <w:bookmarkEnd w:id="24"/>
      <w:bookmarkEnd w:id="25"/>
      <w:r w:rsidR="00F94169">
        <w:t xml:space="preserve">The pre-PBAC </w:t>
      </w:r>
      <w:r w:rsidR="00C51481">
        <w:t>agreed in principle with the ESC’s consideration that patients should only be eligible to receive retreatment if they had previously responded</w:t>
      </w:r>
      <w:r w:rsidR="00012927">
        <w:t>.</w:t>
      </w:r>
    </w:p>
    <w:p w14:paraId="3A645A10" w14:textId="175D530A" w:rsidR="00A90134" w:rsidRPr="00A90134" w:rsidRDefault="00A90134" w:rsidP="00A90134">
      <w:pPr>
        <w:pStyle w:val="3-BodyText"/>
        <w:numPr>
          <w:ilvl w:val="0"/>
          <w:numId w:val="0"/>
        </w:numPr>
        <w:spacing w:before="0"/>
        <w:ind w:left="720"/>
        <w:rPr>
          <w:i/>
          <w:iCs/>
        </w:rPr>
      </w:pPr>
      <w:r w:rsidRPr="00A90134">
        <w:rPr>
          <w:i/>
          <w:iCs/>
        </w:rPr>
        <w:t>For more detail on PBAC’s view, see section 7 PBAC outcome.</w:t>
      </w:r>
    </w:p>
    <w:p w14:paraId="46DE5141" w14:textId="77777777" w:rsidR="00404D38" w:rsidRPr="0098262F" w:rsidDel="00195452" w:rsidRDefault="00404D38" w:rsidP="00404D38">
      <w:pPr>
        <w:pStyle w:val="2-SectionHeading"/>
        <w:numPr>
          <w:ilvl w:val="0"/>
          <w:numId w:val="1"/>
        </w:numPr>
      </w:pPr>
      <w:bookmarkStart w:id="26" w:name="_Toc184822909"/>
      <w:bookmarkStart w:id="27" w:name="_Toc188451872"/>
      <w:r w:rsidRPr="0098262F" w:rsidDel="00195452">
        <w:t>Population and disease</w:t>
      </w:r>
      <w:bookmarkEnd w:id="26"/>
      <w:bookmarkEnd w:id="27"/>
    </w:p>
    <w:p w14:paraId="59E00367" w14:textId="72ED9831" w:rsidR="00404D38" w:rsidRPr="00471170" w:rsidRDefault="00404D38" w:rsidP="00D872FC">
      <w:pPr>
        <w:pStyle w:val="3-BodyText"/>
        <w:numPr>
          <w:ilvl w:val="1"/>
          <w:numId w:val="1"/>
        </w:numPr>
        <w:spacing w:before="0"/>
        <w:rPr>
          <w:color w:val="000000" w:themeColor="text1"/>
        </w:rPr>
      </w:pPr>
      <w:r w:rsidRPr="00471170">
        <w:rPr>
          <w:color w:val="000000" w:themeColor="text1"/>
        </w:rPr>
        <w:t>PFIC is a rare, heterogeneous group of genetic liver disorders of autosomal recessive inheritance that reduces or stops the transportation of bile acid out of the liver resulting in an accumulation of bile acid. PFIC is estimated to affect between 1 per 50,000 and 1 per 100,000 live births globally. PFIC is characterised by an early onset of cholestasis (usually during infancy) with pruritus (itching) and malabsorption, which rapidly progresses to liver failure. PFIC is also associated with a portal hypertension, liver failure, cirrhosis, hepatocellular carcinoma, and extrahepatic manifestations (e.g., diarrhoea, risk of pancreatitis, hearing problems, and fat-soluble vitamin deficiencies). The ESC has previously noted that neonatal cholestasis affects 1 in 2,500 infants and ~13% of these infants have PFIC (paragraph 4.1, odevixibat PSD, July 2024 PBAC meeting).</w:t>
      </w:r>
      <w:r w:rsidRPr="00471170">
        <w:rPr>
          <w:rStyle w:val="FootnoteReference"/>
          <w:color w:val="000000" w:themeColor="text1"/>
        </w:rPr>
        <w:footnoteReference w:id="2"/>
      </w:r>
      <w:r w:rsidRPr="00471170" w:rsidDel="00195452">
        <w:rPr>
          <w:color w:val="000000" w:themeColor="text1"/>
        </w:rPr>
        <w:t xml:space="preserve"> </w:t>
      </w:r>
    </w:p>
    <w:p w14:paraId="244093DB" w14:textId="6341DE34" w:rsidR="00D85BFE" w:rsidRPr="00471170" w:rsidRDefault="00D85BFE" w:rsidP="00D872FC">
      <w:pPr>
        <w:pStyle w:val="3-BodyText"/>
        <w:numPr>
          <w:ilvl w:val="1"/>
          <w:numId w:val="1"/>
        </w:numPr>
        <w:spacing w:before="0"/>
        <w:rPr>
          <w:color w:val="000000" w:themeColor="text1"/>
        </w:rPr>
      </w:pPr>
      <w:r w:rsidRPr="00471170">
        <w:rPr>
          <w:color w:val="000000" w:themeColor="text1"/>
        </w:rPr>
        <w:t>Odevixibat is an ileal bile acid transport (IBAT) inhibitor that binds to IBAT at the distal ileum and decreases reabsorption of bile acid from the small intestine to the liver, thereby reducing sBA levels.</w:t>
      </w:r>
    </w:p>
    <w:p w14:paraId="58B3E57B" w14:textId="32F658A5" w:rsidR="00404D38" w:rsidRPr="00471170" w:rsidRDefault="00404D38" w:rsidP="00AC13C1">
      <w:pPr>
        <w:pStyle w:val="3-BodyText"/>
        <w:numPr>
          <w:ilvl w:val="1"/>
          <w:numId w:val="1"/>
        </w:numPr>
        <w:spacing w:before="0"/>
        <w:rPr>
          <w:color w:val="000000" w:themeColor="text1"/>
        </w:rPr>
      </w:pPr>
      <w:r w:rsidRPr="00471170">
        <w:rPr>
          <w:color w:val="000000" w:themeColor="text1"/>
        </w:rPr>
        <w:t xml:space="preserve">Five out of six PFIC subtypes (except for PFIC3) disrupt the ability of </w:t>
      </w:r>
      <w:r w:rsidRPr="003E58B6">
        <w:rPr>
          <w:i/>
          <w:iCs/>
          <w:color w:val="000000" w:themeColor="text1"/>
        </w:rPr>
        <w:t>BSEP</w:t>
      </w:r>
      <w:r w:rsidRPr="00471170">
        <w:rPr>
          <w:color w:val="000000" w:themeColor="text1"/>
        </w:rPr>
        <w:t xml:space="preserve"> to transport bile acids from the hepatocytes into the canalicular spaces. PFIC2 is directly due to abnormalities in the </w:t>
      </w:r>
      <w:r w:rsidRPr="003E58B6">
        <w:rPr>
          <w:i/>
          <w:iCs/>
          <w:color w:val="000000" w:themeColor="text1"/>
        </w:rPr>
        <w:t>BSEP</w:t>
      </w:r>
      <w:r w:rsidRPr="00471170">
        <w:rPr>
          <w:color w:val="000000" w:themeColor="text1"/>
        </w:rPr>
        <w:t xml:space="preserve"> protein that leads to reduced or absent </w:t>
      </w:r>
      <w:r w:rsidRPr="003E58B6">
        <w:rPr>
          <w:i/>
          <w:iCs/>
          <w:color w:val="000000" w:themeColor="text1"/>
        </w:rPr>
        <w:t>BSEP</w:t>
      </w:r>
      <w:r w:rsidRPr="00471170">
        <w:rPr>
          <w:color w:val="000000" w:themeColor="text1"/>
        </w:rPr>
        <w:t xml:space="preserve"> function; within PFIC2 are the </w:t>
      </w:r>
      <w:r w:rsidRPr="003E58B6">
        <w:rPr>
          <w:i/>
          <w:iCs/>
          <w:color w:val="000000" w:themeColor="text1"/>
        </w:rPr>
        <w:t>BSEP1</w:t>
      </w:r>
      <w:r w:rsidRPr="00471170">
        <w:rPr>
          <w:color w:val="000000" w:themeColor="text1"/>
        </w:rPr>
        <w:t xml:space="preserve">, </w:t>
      </w:r>
      <w:r w:rsidRPr="003E58B6">
        <w:rPr>
          <w:i/>
          <w:iCs/>
          <w:color w:val="000000" w:themeColor="text1"/>
        </w:rPr>
        <w:t>BSEP2</w:t>
      </w:r>
      <w:r w:rsidRPr="00471170">
        <w:rPr>
          <w:color w:val="000000" w:themeColor="text1"/>
        </w:rPr>
        <w:t xml:space="preserve">, and BSEP3 genotypes. Patients with PFIC2 </w:t>
      </w:r>
      <w:r w:rsidRPr="003E58B6">
        <w:rPr>
          <w:i/>
          <w:iCs/>
          <w:color w:val="000000" w:themeColor="text1"/>
        </w:rPr>
        <w:t xml:space="preserve">BSEP3 </w:t>
      </w:r>
      <w:r w:rsidRPr="00471170">
        <w:rPr>
          <w:color w:val="000000" w:themeColor="text1"/>
        </w:rPr>
        <w:t xml:space="preserve">are not expected to benefit from odevixibat due to the complete lack of function in the </w:t>
      </w:r>
      <w:r w:rsidRPr="003E58B6">
        <w:rPr>
          <w:i/>
          <w:iCs/>
          <w:color w:val="000000" w:themeColor="text1"/>
        </w:rPr>
        <w:t xml:space="preserve">BSEP </w:t>
      </w:r>
      <w:r w:rsidRPr="00471170">
        <w:rPr>
          <w:color w:val="000000" w:themeColor="text1"/>
        </w:rPr>
        <w:t>protein. Patients with PFIC5 may also not benefit from odevixibat</w:t>
      </w:r>
      <w:r w:rsidR="001D0976">
        <w:rPr>
          <w:color w:val="000000" w:themeColor="text1"/>
        </w:rPr>
        <w:t>;</w:t>
      </w:r>
      <w:r w:rsidRPr="00471170">
        <w:rPr>
          <w:color w:val="000000" w:themeColor="text1"/>
        </w:rPr>
        <w:t xml:space="preserve"> however</w:t>
      </w:r>
      <w:r w:rsidR="001D0976">
        <w:rPr>
          <w:color w:val="000000" w:themeColor="text1"/>
        </w:rPr>
        <w:t>,</w:t>
      </w:r>
      <w:r w:rsidRPr="00471170">
        <w:rPr>
          <w:color w:val="000000" w:themeColor="text1"/>
        </w:rPr>
        <w:t xml:space="preserve"> PFIC5 is noted to be a very rare subtype with only nine patients identified worldwide in the literature (paragraph 4.5, odevixibat PSD, July 2024 PBAC meeting). The resubmission proposed to account for the costs associated with treatment of </w:t>
      </w:r>
      <w:r w:rsidRPr="00471170">
        <w:rPr>
          <w:color w:val="000000" w:themeColor="text1"/>
        </w:rPr>
        <w:lastRenderedPageBreak/>
        <w:t xml:space="preserve">odevixibat in an estimated proportion of patients predicted to be </w:t>
      </w:r>
      <w:r w:rsidR="00A8233D" w:rsidRPr="00471170">
        <w:rPr>
          <w:color w:val="000000" w:themeColor="text1"/>
        </w:rPr>
        <w:t>PFIC</w:t>
      </w:r>
      <w:r w:rsidR="00A92A42">
        <w:rPr>
          <w:color w:val="000000" w:themeColor="text1"/>
        </w:rPr>
        <w:t>2</w:t>
      </w:r>
      <w:r w:rsidR="00A8233D" w:rsidRPr="00471170">
        <w:rPr>
          <w:color w:val="000000" w:themeColor="text1"/>
        </w:rPr>
        <w:t xml:space="preserve"> </w:t>
      </w:r>
      <w:r w:rsidR="00A8233D" w:rsidRPr="003E58B6">
        <w:rPr>
          <w:i/>
          <w:iCs/>
          <w:color w:val="000000" w:themeColor="text1"/>
        </w:rPr>
        <w:t>BSEP3</w:t>
      </w:r>
      <w:r w:rsidR="00A8233D" w:rsidRPr="00471170">
        <w:rPr>
          <w:color w:val="000000" w:themeColor="text1"/>
        </w:rPr>
        <w:t xml:space="preserve"> </w:t>
      </w:r>
      <w:r w:rsidRPr="00471170">
        <w:rPr>
          <w:color w:val="000000" w:themeColor="text1"/>
        </w:rPr>
        <w:t>non-responders within the proposed RSA.</w:t>
      </w:r>
    </w:p>
    <w:p w14:paraId="08778F08" w14:textId="62E1A682" w:rsidR="00404D38" w:rsidRPr="00471170" w:rsidRDefault="00404D38" w:rsidP="00D872FC">
      <w:pPr>
        <w:pStyle w:val="3-BodyText"/>
        <w:numPr>
          <w:ilvl w:val="1"/>
          <w:numId w:val="1"/>
        </w:numPr>
        <w:spacing w:before="0"/>
        <w:rPr>
          <w:color w:val="000000" w:themeColor="text1"/>
        </w:rPr>
      </w:pPr>
      <w:bookmarkStart w:id="28" w:name="_Ref185080629"/>
      <w:bookmarkStart w:id="29" w:name="_Ref190603733"/>
      <w:r w:rsidRPr="00471170">
        <w:rPr>
          <w:color w:val="000000" w:themeColor="text1"/>
        </w:rPr>
        <w:t xml:space="preserve">The resubmission also </w:t>
      </w:r>
      <w:r w:rsidR="00CB678B" w:rsidRPr="00471170">
        <w:rPr>
          <w:color w:val="000000" w:themeColor="text1"/>
        </w:rPr>
        <w:t>described</w:t>
      </w:r>
      <w:r w:rsidRPr="00471170">
        <w:rPr>
          <w:color w:val="000000" w:themeColor="text1"/>
        </w:rPr>
        <w:t xml:space="preserve"> ‘episodic PFIC’ where patients experience acute manifestations of severe prurit</w:t>
      </w:r>
      <w:r w:rsidR="004270A8" w:rsidRPr="00471170">
        <w:rPr>
          <w:color w:val="000000" w:themeColor="text1"/>
        </w:rPr>
        <w:t>u</w:t>
      </w:r>
      <w:r w:rsidRPr="00471170">
        <w:rPr>
          <w:color w:val="000000" w:themeColor="text1"/>
        </w:rPr>
        <w:t>s lasting for several weeks or months followed by significan</w:t>
      </w:r>
      <w:r w:rsidR="00F226B3" w:rsidRPr="00471170">
        <w:rPr>
          <w:color w:val="000000" w:themeColor="text1"/>
        </w:rPr>
        <w:t>t</w:t>
      </w:r>
      <w:r w:rsidRPr="00471170">
        <w:rPr>
          <w:color w:val="000000" w:themeColor="text1"/>
        </w:rPr>
        <w:t xml:space="preserve"> periods of remission. During periods of remission, liver function is restored and typically such patients do not progress to cirrhosis. </w:t>
      </w:r>
      <w:r w:rsidR="008250C3" w:rsidRPr="00471170">
        <w:rPr>
          <w:color w:val="000000" w:themeColor="text1"/>
        </w:rPr>
        <w:t xml:space="preserve">Episodic PFIC </w:t>
      </w:r>
      <w:r w:rsidR="001630B3" w:rsidRPr="00471170">
        <w:rPr>
          <w:color w:val="000000" w:themeColor="text1"/>
        </w:rPr>
        <w:t>may</w:t>
      </w:r>
      <w:r w:rsidR="008250C3" w:rsidRPr="00471170">
        <w:rPr>
          <w:color w:val="000000" w:themeColor="text1"/>
        </w:rPr>
        <w:t xml:space="preserve"> refer to benign recurrent intrahepatic cholestasis (BRIC), which is </w:t>
      </w:r>
      <w:r w:rsidR="00160F75" w:rsidRPr="00471170">
        <w:rPr>
          <w:color w:val="000000" w:themeColor="text1"/>
        </w:rPr>
        <w:t xml:space="preserve">sometimes </w:t>
      </w:r>
      <w:r w:rsidR="008250C3" w:rsidRPr="00471170">
        <w:rPr>
          <w:color w:val="000000" w:themeColor="text1"/>
        </w:rPr>
        <w:t>considered a milder form of PFIC</w:t>
      </w:r>
      <w:r w:rsidR="003C2DF8">
        <w:rPr>
          <w:color w:val="000000" w:themeColor="text1"/>
        </w:rPr>
        <w:t xml:space="preserve"> characterised by periods of cholestasis interspersed with, usually much longer, periods with no cholestasis and without progression to chronic liver disease</w:t>
      </w:r>
      <w:r w:rsidR="008250C3" w:rsidRPr="00471170">
        <w:rPr>
          <w:color w:val="000000" w:themeColor="text1"/>
        </w:rPr>
        <w:t>. Similar genes are implicated in BRIC1 and PFIC1 (ATP8B1), as well as among BRIC2 and PFIC2 patients (ABCB11)</w:t>
      </w:r>
      <w:r w:rsidR="00661805">
        <w:rPr>
          <w:color w:val="000000" w:themeColor="text1"/>
        </w:rPr>
        <w:t>;</w:t>
      </w:r>
      <w:r w:rsidR="008250C3" w:rsidRPr="00471170">
        <w:rPr>
          <w:color w:val="000000" w:themeColor="text1"/>
        </w:rPr>
        <w:t xml:space="preserve"> however</w:t>
      </w:r>
      <w:r w:rsidR="00661805">
        <w:rPr>
          <w:color w:val="000000" w:themeColor="text1"/>
        </w:rPr>
        <w:t>,</w:t>
      </w:r>
      <w:r w:rsidR="008250C3" w:rsidRPr="00471170">
        <w:rPr>
          <w:color w:val="000000" w:themeColor="text1"/>
        </w:rPr>
        <w:t xml:space="preserve"> there is differentiation in gene expression, resulting in major clinical and prognostic differences between the two entities</w:t>
      </w:r>
      <w:r w:rsidR="00F3105D" w:rsidRPr="00471170">
        <w:rPr>
          <w:rStyle w:val="FootnoteReference"/>
          <w:color w:val="000000" w:themeColor="text1"/>
        </w:rPr>
        <w:footnoteReference w:id="3"/>
      </w:r>
      <w:r w:rsidR="00F3105D" w:rsidRPr="00471170">
        <w:rPr>
          <w:color w:val="000000" w:themeColor="text1"/>
        </w:rPr>
        <w:t>.</w:t>
      </w:r>
      <w:r w:rsidR="008250C3" w:rsidRPr="00471170">
        <w:rPr>
          <w:color w:val="000000" w:themeColor="text1"/>
        </w:rPr>
        <w:t xml:space="preserve"> Whilst PFIC is typically diagnosed in infancy, the time of a first episode of BRIC varies widely, with records ranging from two months to 47 years</w:t>
      </w:r>
      <w:r w:rsidR="00F3105D" w:rsidRPr="00471170">
        <w:rPr>
          <w:rStyle w:val="FootnoteReference"/>
          <w:color w:val="000000" w:themeColor="text1"/>
        </w:rPr>
        <w:footnoteReference w:id="4"/>
      </w:r>
      <w:r w:rsidR="008250C3" w:rsidRPr="00471170">
        <w:rPr>
          <w:color w:val="000000" w:themeColor="text1"/>
        </w:rPr>
        <w:t xml:space="preserve">. The exact prevalence of </w:t>
      </w:r>
      <w:r w:rsidR="003C2DF8">
        <w:rPr>
          <w:color w:val="000000" w:themeColor="text1"/>
        </w:rPr>
        <w:t xml:space="preserve">episodic PFIC or </w:t>
      </w:r>
      <w:r w:rsidR="008250C3" w:rsidRPr="00471170">
        <w:rPr>
          <w:color w:val="000000" w:themeColor="text1"/>
        </w:rPr>
        <w:t xml:space="preserve">BRIC is not </w:t>
      </w:r>
      <w:r w:rsidR="00FC1742" w:rsidRPr="00471170">
        <w:rPr>
          <w:color w:val="000000" w:themeColor="text1"/>
        </w:rPr>
        <w:t>known;</w:t>
      </w:r>
      <w:r w:rsidR="008250C3" w:rsidRPr="00471170">
        <w:rPr>
          <w:color w:val="000000" w:themeColor="text1"/>
        </w:rPr>
        <w:t xml:space="preserve"> </w:t>
      </w:r>
      <w:r w:rsidR="000C17F1" w:rsidRPr="00471170">
        <w:rPr>
          <w:color w:val="000000" w:themeColor="text1"/>
        </w:rPr>
        <w:t>however,</w:t>
      </w:r>
      <w:r w:rsidR="008250C3" w:rsidRPr="00471170">
        <w:rPr>
          <w:color w:val="000000" w:themeColor="text1"/>
        </w:rPr>
        <w:t xml:space="preserve"> it was noted </w:t>
      </w:r>
      <w:r w:rsidR="00FF07B9" w:rsidRPr="00471170">
        <w:rPr>
          <w:color w:val="000000" w:themeColor="text1"/>
        </w:rPr>
        <w:t>in</w:t>
      </w:r>
      <w:r w:rsidR="008250C3" w:rsidRPr="00471170">
        <w:rPr>
          <w:color w:val="000000" w:themeColor="text1"/>
        </w:rPr>
        <w:t xml:space="preserve"> the </w:t>
      </w:r>
      <w:r w:rsidR="00DB2937" w:rsidRPr="00471170">
        <w:rPr>
          <w:color w:val="000000" w:themeColor="text1"/>
        </w:rPr>
        <w:t xml:space="preserve">Facilitated Resolution Pathway Workshop </w:t>
      </w:r>
      <w:r w:rsidR="00160F75" w:rsidRPr="00471170">
        <w:rPr>
          <w:color w:val="000000" w:themeColor="text1"/>
        </w:rPr>
        <w:t xml:space="preserve">document </w:t>
      </w:r>
      <w:r w:rsidR="008250C3" w:rsidRPr="00471170">
        <w:rPr>
          <w:color w:val="000000" w:themeColor="text1"/>
        </w:rPr>
        <w:t xml:space="preserve">that allowing patients with episodic exacerbations of PFIC over the age of 18 to initiate odevixibat would significantly </w:t>
      </w:r>
      <w:r w:rsidR="00996F70" w:rsidRPr="00471170">
        <w:rPr>
          <w:color w:val="000000" w:themeColor="text1"/>
        </w:rPr>
        <w:t>increase</w:t>
      </w:r>
      <w:r w:rsidR="008250C3" w:rsidRPr="00471170">
        <w:rPr>
          <w:color w:val="000000" w:themeColor="text1"/>
        </w:rPr>
        <w:t xml:space="preserve"> the size of the prevalent pool.</w:t>
      </w:r>
      <w:bookmarkEnd w:id="28"/>
      <w:r w:rsidR="00CB761E" w:rsidRPr="00471170">
        <w:rPr>
          <w:color w:val="000000" w:themeColor="text1"/>
        </w:rPr>
        <w:t xml:space="preserve"> Notably, the efficacy of odevixibat in BRIC</w:t>
      </w:r>
      <w:r w:rsidR="004270A8" w:rsidRPr="00471170">
        <w:rPr>
          <w:color w:val="000000" w:themeColor="text1"/>
        </w:rPr>
        <w:t xml:space="preserve"> (or any ‘episodic PFIC’)</w:t>
      </w:r>
      <w:r w:rsidR="00CB761E" w:rsidRPr="00471170">
        <w:rPr>
          <w:color w:val="000000" w:themeColor="text1"/>
        </w:rPr>
        <w:t xml:space="preserve"> </w:t>
      </w:r>
      <w:r w:rsidR="00160F75" w:rsidRPr="00471170">
        <w:rPr>
          <w:color w:val="000000" w:themeColor="text1"/>
        </w:rPr>
        <w:t xml:space="preserve">is </w:t>
      </w:r>
      <w:r w:rsidR="00CB761E" w:rsidRPr="00471170">
        <w:rPr>
          <w:color w:val="000000" w:themeColor="text1"/>
        </w:rPr>
        <w:t>unknown</w:t>
      </w:r>
      <w:r w:rsidR="007A42A7" w:rsidRPr="00471170">
        <w:rPr>
          <w:color w:val="000000" w:themeColor="text1"/>
        </w:rPr>
        <w:t>,</w:t>
      </w:r>
      <w:r w:rsidR="00160F75" w:rsidRPr="00471170">
        <w:rPr>
          <w:color w:val="000000" w:themeColor="text1"/>
        </w:rPr>
        <w:t xml:space="preserve"> with no clinical data presented and the potential incremental benefit</w:t>
      </w:r>
      <w:r w:rsidR="00CB761E" w:rsidRPr="00471170">
        <w:rPr>
          <w:color w:val="000000" w:themeColor="text1"/>
        </w:rPr>
        <w:t xml:space="preserve"> not captured in the economic modelling</w:t>
      </w:r>
      <w:r w:rsidR="000D39D5" w:rsidRPr="00471170">
        <w:rPr>
          <w:color w:val="000000" w:themeColor="text1"/>
        </w:rPr>
        <w:t xml:space="preserve">. The ESC </w:t>
      </w:r>
      <w:r w:rsidR="007A42A7" w:rsidRPr="00471170">
        <w:rPr>
          <w:color w:val="000000" w:themeColor="text1"/>
        </w:rPr>
        <w:t xml:space="preserve">also </w:t>
      </w:r>
      <w:r w:rsidR="000D39D5" w:rsidRPr="00471170">
        <w:rPr>
          <w:color w:val="000000" w:themeColor="text1"/>
        </w:rPr>
        <w:t xml:space="preserve">noted that these potential patients were not included </w:t>
      </w:r>
      <w:r w:rsidR="00CB761E" w:rsidRPr="00471170">
        <w:rPr>
          <w:color w:val="000000" w:themeColor="text1"/>
        </w:rPr>
        <w:t>in the financial estimates</w:t>
      </w:r>
      <w:r w:rsidR="00DB2937" w:rsidRPr="00471170">
        <w:rPr>
          <w:color w:val="000000" w:themeColor="text1"/>
        </w:rPr>
        <w:t>.</w:t>
      </w:r>
      <w:bookmarkEnd w:id="29"/>
    </w:p>
    <w:p w14:paraId="2C657131" w14:textId="4ACCC57A" w:rsidR="005E3B9B" w:rsidRPr="00471170" w:rsidRDefault="00AE484F" w:rsidP="00D872FC">
      <w:pPr>
        <w:pStyle w:val="3-BodyText"/>
        <w:numPr>
          <w:ilvl w:val="1"/>
          <w:numId w:val="1"/>
        </w:numPr>
        <w:spacing w:before="0"/>
        <w:rPr>
          <w:color w:val="000000" w:themeColor="text1"/>
        </w:rPr>
      </w:pPr>
      <w:r w:rsidRPr="00471170">
        <w:rPr>
          <w:color w:val="000000" w:themeColor="text1"/>
        </w:rPr>
        <w:t>The ESC noted that additional data were requested by NIC</w:t>
      </w:r>
      <w:r w:rsidR="005E3B9B" w:rsidRPr="00471170">
        <w:rPr>
          <w:color w:val="000000" w:themeColor="text1"/>
        </w:rPr>
        <w:t>E</w:t>
      </w:r>
      <w:r w:rsidR="001B6F85" w:rsidRPr="00471170">
        <w:rPr>
          <w:color w:val="000000" w:themeColor="text1"/>
        </w:rPr>
        <w:t xml:space="preserve"> during its review of odevixibat </w:t>
      </w:r>
      <w:r w:rsidR="00FC0891" w:rsidRPr="00471170">
        <w:rPr>
          <w:color w:val="000000" w:themeColor="text1"/>
        </w:rPr>
        <w:t>(published February 2022</w:t>
      </w:r>
      <w:r w:rsidR="00824CD4" w:rsidRPr="00471170">
        <w:rPr>
          <w:color w:val="000000" w:themeColor="text1"/>
        </w:rPr>
        <w:t>, page 39</w:t>
      </w:r>
      <w:r w:rsidR="00FC0891" w:rsidRPr="00471170">
        <w:rPr>
          <w:color w:val="000000" w:themeColor="text1"/>
        </w:rPr>
        <w:t>)</w:t>
      </w:r>
      <w:r w:rsidR="00FC0891" w:rsidRPr="00471170">
        <w:rPr>
          <w:rStyle w:val="FootnoteReference"/>
          <w:color w:val="000000" w:themeColor="text1"/>
        </w:rPr>
        <w:footnoteReference w:id="5"/>
      </w:r>
      <w:r w:rsidR="005E3B9B" w:rsidRPr="00471170">
        <w:rPr>
          <w:color w:val="000000" w:themeColor="text1"/>
        </w:rPr>
        <w:t>,</w:t>
      </w:r>
      <w:r w:rsidR="00123CB5" w:rsidRPr="00471170">
        <w:rPr>
          <w:color w:val="000000" w:themeColor="text1"/>
        </w:rPr>
        <w:t xml:space="preserve"> for its next review in 2025,</w:t>
      </w:r>
      <w:r w:rsidR="005E3B9B" w:rsidRPr="00471170">
        <w:rPr>
          <w:color w:val="000000" w:themeColor="text1"/>
        </w:rPr>
        <w:t xml:space="preserve"> including</w:t>
      </w:r>
      <w:r w:rsidR="0089579A" w:rsidRPr="00471170">
        <w:rPr>
          <w:color w:val="000000" w:themeColor="text1"/>
        </w:rPr>
        <w:t>:</w:t>
      </w:r>
      <w:r w:rsidR="005E3B9B" w:rsidRPr="00471170">
        <w:rPr>
          <w:color w:val="000000" w:themeColor="text1"/>
        </w:rPr>
        <w:t xml:space="preserve"> </w:t>
      </w:r>
    </w:p>
    <w:p w14:paraId="1419F807" w14:textId="585291CB" w:rsidR="00D85BFE" w:rsidRPr="00471170" w:rsidRDefault="005E3B9B" w:rsidP="007C21AA">
      <w:pPr>
        <w:pStyle w:val="3-BodyText"/>
        <w:numPr>
          <w:ilvl w:val="0"/>
          <w:numId w:val="26"/>
        </w:numPr>
        <w:spacing w:before="0"/>
        <w:ind w:hanging="360"/>
        <w:rPr>
          <w:color w:val="000000" w:themeColor="text1"/>
        </w:rPr>
      </w:pPr>
      <w:r w:rsidRPr="00471170">
        <w:rPr>
          <w:color w:val="000000" w:themeColor="text1"/>
        </w:rPr>
        <w:t>the ongoing effect of odevixibat on serum bile acid levels and pruritus, survival outcomes, liver transplant rates and alternative utility values for people having high dose odevixibat in PEDFIC 2,</w:t>
      </w:r>
    </w:p>
    <w:p w14:paraId="69C4C022" w14:textId="006C398C" w:rsidR="005E3B9B" w:rsidRPr="00471170" w:rsidRDefault="005E3B9B" w:rsidP="007C21AA">
      <w:pPr>
        <w:pStyle w:val="3-BodyText"/>
        <w:numPr>
          <w:ilvl w:val="0"/>
          <w:numId w:val="26"/>
        </w:numPr>
        <w:spacing w:before="0"/>
        <w:ind w:hanging="360"/>
        <w:rPr>
          <w:color w:val="000000" w:themeColor="text1"/>
        </w:rPr>
      </w:pPr>
      <w:r w:rsidRPr="00471170">
        <w:rPr>
          <w:color w:val="000000" w:themeColor="text1"/>
        </w:rPr>
        <w:t>clinical effectiveness by PFIC subtypes from PEDFIC 2, particularly types 3 and 6;</w:t>
      </w:r>
    </w:p>
    <w:p w14:paraId="4419D0F4" w14:textId="4AFABC95" w:rsidR="005E3B9B" w:rsidRPr="00471170" w:rsidRDefault="005E3B9B" w:rsidP="007C21AA">
      <w:pPr>
        <w:pStyle w:val="3-BodyText"/>
        <w:numPr>
          <w:ilvl w:val="0"/>
          <w:numId w:val="26"/>
        </w:numPr>
        <w:spacing w:before="0"/>
        <w:ind w:hanging="360"/>
        <w:rPr>
          <w:color w:val="000000" w:themeColor="text1"/>
        </w:rPr>
      </w:pPr>
      <w:r w:rsidRPr="00471170">
        <w:rPr>
          <w:color w:val="000000" w:themeColor="text1"/>
        </w:rPr>
        <w:t>the clinical effectiveness of odevixibat compar</w:t>
      </w:r>
      <w:r w:rsidR="00B572A4" w:rsidRPr="00471170">
        <w:rPr>
          <w:color w:val="000000" w:themeColor="text1"/>
        </w:rPr>
        <w:t>e</w:t>
      </w:r>
      <w:r w:rsidRPr="00471170">
        <w:rPr>
          <w:color w:val="000000" w:themeColor="text1"/>
        </w:rPr>
        <w:t xml:space="preserve">d with </w:t>
      </w:r>
      <w:r w:rsidR="00B572A4" w:rsidRPr="00471170">
        <w:rPr>
          <w:color w:val="000000" w:themeColor="text1"/>
        </w:rPr>
        <w:t>P</w:t>
      </w:r>
      <w:r w:rsidRPr="00471170">
        <w:rPr>
          <w:color w:val="000000" w:themeColor="text1"/>
        </w:rPr>
        <w:t>EBD</w:t>
      </w:r>
      <w:r w:rsidR="00B572A4" w:rsidRPr="00471170">
        <w:rPr>
          <w:color w:val="000000" w:themeColor="text1"/>
        </w:rPr>
        <w:t xml:space="preserve"> </w:t>
      </w:r>
      <w:r w:rsidRPr="00471170">
        <w:rPr>
          <w:color w:val="000000" w:themeColor="text1"/>
        </w:rPr>
        <w:t>from the sponsor’s indirect treatment comparison;</w:t>
      </w:r>
      <w:r w:rsidR="001B6F85" w:rsidRPr="00471170">
        <w:rPr>
          <w:color w:val="000000" w:themeColor="text1"/>
        </w:rPr>
        <w:t xml:space="preserve"> </w:t>
      </w:r>
    </w:p>
    <w:p w14:paraId="5E05206A" w14:textId="77777777" w:rsidR="00C7443A" w:rsidRPr="00471170" w:rsidRDefault="005E3B9B" w:rsidP="007C21AA">
      <w:pPr>
        <w:pStyle w:val="3-BodyText"/>
        <w:numPr>
          <w:ilvl w:val="0"/>
          <w:numId w:val="26"/>
        </w:numPr>
        <w:spacing w:before="0"/>
        <w:ind w:hanging="360"/>
        <w:rPr>
          <w:color w:val="000000" w:themeColor="text1"/>
        </w:rPr>
      </w:pPr>
      <w:r w:rsidRPr="00471170">
        <w:rPr>
          <w:color w:val="000000" w:themeColor="text1"/>
        </w:rPr>
        <w:t>UK-specific data on starting age and stopping rates for odevixibat</w:t>
      </w:r>
      <w:r w:rsidR="00C7443A" w:rsidRPr="00471170">
        <w:rPr>
          <w:color w:val="000000" w:themeColor="text1"/>
        </w:rPr>
        <w:t xml:space="preserve">; and </w:t>
      </w:r>
    </w:p>
    <w:p w14:paraId="659EC794" w14:textId="704BCEBE" w:rsidR="005E3B9B" w:rsidRPr="00471170" w:rsidRDefault="00805A88" w:rsidP="007C21AA">
      <w:pPr>
        <w:pStyle w:val="3-BodyText"/>
        <w:numPr>
          <w:ilvl w:val="0"/>
          <w:numId w:val="26"/>
        </w:numPr>
        <w:spacing w:before="0"/>
        <w:ind w:hanging="360"/>
        <w:rPr>
          <w:color w:val="000000" w:themeColor="text1"/>
        </w:rPr>
      </w:pPr>
      <w:r w:rsidRPr="00471170">
        <w:rPr>
          <w:color w:val="000000" w:themeColor="text1"/>
        </w:rPr>
        <w:t>alternative utilities for patients having a stoma ba</w:t>
      </w:r>
      <w:r w:rsidR="00A10405" w:rsidRPr="00471170">
        <w:rPr>
          <w:color w:val="000000" w:themeColor="text1"/>
        </w:rPr>
        <w:t>g</w:t>
      </w:r>
      <w:r w:rsidR="001B6F85" w:rsidRPr="00471170">
        <w:rPr>
          <w:color w:val="000000" w:themeColor="text1"/>
        </w:rPr>
        <w:t>.</w:t>
      </w:r>
    </w:p>
    <w:p w14:paraId="7B2AC2F2" w14:textId="77777777" w:rsidR="00AB1522" w:rsidRDefault="00B572A4" w:rsidP="00036444">
      <w:pPr>
        <w:pStyle w:val="3-BodyText"/>
        <w:numPr>
          <w:ilvl w:val="0"/>
          <w:numId w:val="0"/>
        </w:numPr>
        <w:ind w:left="720"/>
      </w:pPr>
      <w:r w:rsidRPr="00036444">
        <w:t xml:space="preserve">The ESC </w:t>
      </w:r>
      <w:r w:rsidR="0089579A" w:rsidRPr="00036444">
        <w:t xml:space="preserve">requested that any available </w:t>
      </w:r>
      <w:r w:rsidR="00892F88" w:rsidRPr="00036444">
        <w:t xml:space="preserve">NICE </w:t>
      </w:r>
      <w:r w:rsidR="0089579A" w:rsidRPr="00036444">
        <w:t>data be provided for PBAC consideration.</w:t>
      </w:r>
      <w:r w:rsidR="004B5E5B" w:rsidRPr="00036444">
        <w:t xml:space="preserve"> </w:t>
      </w:r>
    </w:p>
    <w:p w14:paraId="3556017C" w14:textId="741C425C" w:rsidR="00A90134" w:rsidRPr="00A90134" w:rsidRDefault="00A90134" w:rsidP="00036444">
      <w:pPr>
        <w:pStyle w:val="3-BodyText"/>
        <w:numPr>
          <w:ilvl w:val="0"/>
          <w:numId w:val="0"/>
        </w:numPr>
        <w:ind w:left="720"/>
        <w:rPr>
          <w:i/>
          <w:iCs/>
          <w:color w:val="000000" w:themeColor="text1"/>
        </w:rPr>
      </w:pPr>
      <w:r w:rsidRPr="00A90134">
        <w:rPr>
          <w:i/>
          <w:iCs/>
          <w:color w:val="000000" w:themeColor="text1"/>
        </w:rPr>
        <w:lastRenderedPageBreak/>
        <w:t>For more detail on PBAC’s view, see section 7 PBAC outcome.</w:t>
      </w:r>
    </w:p>
    <w:p w14:paraId="025BF01F" w14:textId="6730BB18" w:rsidR="00404D38" w:rsidRPr="0098262F" w:rsidRDefault="00404D38" w:rsidP="00404D38">
      <w:pPr>
        <w:pStyle w:val="2-SectionHeading"/>
        <w:numPr>
          <w:ilvl w:val="0"/>
          <w:numId w:val="1"/>
        </w:numPr>
      </w:pPr>
      <w:bookmarkStart w:id="30" w:name="_Toc184822910"/>
      <w:bookmarkStart w:id="31" w:name="_Toc188451873"/>
      <w:r w:rsidRPr="0098262F">
        <w:t>Comparator</w:t>
      </w:r>
      <w:bookmarkEnd w:id="30"/>
      <w:bookmarkEnd w:id="31"/>
    </w:p>
    <w:p w14:paraId="1C179062" w14:textId="44313D66" w:rsidR="00404D38" w:rsidRPr="00471170" w:rsidRDefault="00E7464F" w:rsidP="00AC13C1">
      <w:pPr>
        <w:pStyle w:val="3-BodyText"/>
        <w:numPr>
          <w:ilvl w:val="1"/>
          <w:numId w:val="1"/>
        </w:numPr>
        <w:spacing w:before="0"/>
      </w:pPr>
      <w:bookmarkStart w:id="32" w:name="_Ref184835096"/>
      <w:r w:rsidRPr="00471170">
        <w:t>T</w:t>
      </w:r>
      <w:r w:rsidR="001F521A" w:rsidRPr="00471170">
        <w:t>he comparator</w:t>
      </w:r>
      <w:r w:rsidRPr="00471170">
        <w:t xml:space="preserve"> in the resubmission remains </w:t>
      </w:r>
      <w:proofErr w:type="spellStart"/>
      <w:r w:rsidRPr="00471170">
        <w:t>SoC</w:t>
      </w:r>
      <w:r w:rsidR="001F521A" w:rsidRPr="00471170">
        <w:t>.</w:t>
      </w:r>
      <w:proofErr w:type="spellEnd"/>
      <w:r w:rsidR="009204C7" w:rsidRPr="00471170">
        <w:t xml:space="preserve"> </w:t>
      </w:r>
      <w:r w:rsidR="00404D38" w:rsidRPr="00471170">
        <w:t>At the July 2024 PBAC Meeting, the PBAC considered the nomination of SoC, including off-label use of medicines such as ursodeoxycholic acid and rifampicin, as well as PEBD surgery, as a proxy for all SBDs, and LT, as the main comparator was reasonable. However, the PBAC noted the submission appeared to position odevixibat largely as an alternative to PEBD in the proposed clinical management algorithm and the economic model (</w:t>
      </w:r>
      <w:r w:rsidR="00407F43" w:rsidRPr="00471170">
        <w:t>p</w:t>
      </w:r>
      <w:r w:rsidR="00404D38" w:rsidRPr="00471170">
        <w:t>aragraph 7.5, odevixibat PSD, July 2024 PBAC Meeting). The resubmission continued to present odevixibat largely as an alternative to PEBD in the clinical algorithm.</w:t>
      </w:r>
      <w:bookmarkEnd w:id="32"/>
    </w:p>
    <w:p w14:paraId="6A53BA1E" w14:textId="7F7DEE49" w:rsidR="00404D38" w:rsidRPr="00471170" w:rsidRDefault="00404D38" w:rsidP="00122C8B">
      <w:pPr>
        <w:pStyle w:val="3-BodyText"/>
        <w:numPr>
          <w:ilvl w:val="1"/>
          <w:numId w:val="1"/>
        </w:numPr>
        <w:spacing w:before="0"/>
      </w:pPr>
      <w:bookmarkStart w:id="33" w:name="_Ref184944841"/>
      <w:r w:rsidRPr="00471170">
        <w:t xml:space="preserve">The resubmission </w:t>
      </w:r>
      <w:r w:rsidR="00A37196">
        <w:t xml:space="preserve">stated </w:t>
      </w:r>
      <w:r w:rsidRPr="00471170">
        <w:t xml:space="preserve">that the PBAC heard within the </w:t>
      </w:r>
      <w:r w:rsidR="00151EBD" w:rsidRPr="00471170">
        <w:t xml:space="preserve">Sponsor </w:t>
      </w:r>
      <w:r w:rsidRPr="00471170">
        <w:t xml:space="preserve">Hearing </w:t>
      </w:r>
      <w:r w:rsidR="00151EBD" w:rsidRPr="00471170">
        <w:t>at the July 2024 PBAC meeting</w:t>
      </w:r>
      <w:r w:rsidRPr="00471170">
        <w:t xml:space="preserve"> that PEBD following odevixibat treatment is quite rare, with the clinician aware of only one case being considered in Australia. </w:t>
      </w:r>
      <w:r w:rsidR="0043731F" w:rsidRPr="00471170">
        <w:rPr>
          <w:color w:val="000000" w:themeColor="text1"/>
        </w:rPr>
        <w:t>The PEDFIC-2 72</w:t>
      </w:r>
      <w:r w:rsidR="00A44866">
        <w:rPr>
          <w:color w:val="000000" w:themeColor="text1"/>
        </w:rPr>
        <w:t>-</w:t>
      </w:r>
      <w:r w:rsidR="001C6168">
        <w:rPr>
          <w:color w:val="000000" w:themeColor="text1"/>
        </w:rPr>
        <w:t xml:space="preserve">week </w:t>
      </w:r>
      <w:r w:rsidR="0043731F" w:rsidRPr="00471170">
        <w:rPr>
          <w:color w:val="000000" w:themeColor="text1"/>
        </w:rPr>
        <w:t xml:space="preserve">clinical study report (CSR) reported that 3 of 116 patients (2.5%) underwent SBD and 15 of 116 patients (12.9%) underwent LT following treatment with odevixibat. </w:t>
      </w:r>
      <w:r w:rsidRPr="00471170">
        <w:t xml:space="preserve">The resubmission also stated that </w:t>
      </w:r>
      <w:r w:rsidR="00DB2937" w:rsidRPr="00471170">
        <w:t xml:space="preserve">at </w:t>
      </w:r>
      <w:r w:rsidRPr="00471170">
        <w:t xml:space="preserve">the Facilitated Resolution </w:t>
      </w:r>
      <w:r w:rsidR="00DB2937" w:rsidRPr="00471170">
        <w:t xml:space="preserve">Pathway </w:t>
      </w:r>
      <w:r w:rsidRPr="00471170">
        <w:t>Workshop</w:t>
      </w:r>
      <w:r w:rsidR="00160F75" w:rsidRPr="00471170">
        <w:t>,</w:t>
      </w:r>
      <w:r w:rsidRPr="00471170">
        <w:t xml:space="preserve"> clinician input also noted this as a rare event, with very little PEBD being conducted now. It was unclear whether ‘very little PEBD being conducted now’ was applicable to all patients, or only odevixibat treated patients. That is, if PEBD was reduced in clinical practice for all patients, then the rate of surgery in the SoC arm may have been overestimated in the economic model and financial estimates</w:t>
      </w:r>
      <w:r w:rsidR="006930FC" w:rsidRPr="00471170">
        <w:t xml:space="preserve">. </w:t>
      </w:r>
      <w:bookmarkEnd w:id="33"/>
    </w:p>
    <w:p w14:paraId="55DD633A" w14:textId="77777777" w:rsidR="00C268A1" w:rsidRPr="00471170" w:rsidRDefault="0043731F" w:rsidP="00C268A1">
      <w:pPr>
        <w:pStyle w:val="3-BodyText"/>
        <w:numPr>
          <w:ilvl w:val="1"/>
          <w:numId w:val="1"/>
        </w:numPr>
        <w:spacing w:before="0"/>
      </w:pPr>
      <w:bookmarkStart w:id="34" w:name="_Ref184944864"/>
      <w:r w:rsidRPr="00471170">
        <w:rPr>
          <w:color w:val="000000" w:themeColor="text1"/>
        </w:rPr>
        <w:t>No evidence was presented on the comparative rates of PEDB and LT in odevixibat non</w:t>
      </w:r>
      <w:r w:rsidRPr="00471170">
        <w:rPr>
          <w:color w:val="000000" w:themeColor="text1"/>
        </w:rPr>
        <w:noBreakHyphen/>
        <w:t xml:space="preserve">responders versus patients untreated with odevixibat and it remains uncertain whether odevixibat will replace SBD and LT and to what degree. </w:t>
      </w:r>
      <w:bookmarkEnd w:id="34"/>
    </w:p>
    <w:p w14:paraId="7454C593" w14:textId="77777777" w:rsidR="0048303C" w:rsidRDefault="00404D38" w:rsidP="00C268A1">
      <w:pPr>
        <w:pStyle w:val="3-BodyText"/>
        <w:numPr>
          <w:ilvl w:val="1"/>
          <w:numId w:val="1"/>
        </w:numPr>
        <w:spacing w:before="0"/>
      </w:pPr>
      <w:r w:rsidRPr="00471170">
        <w:t xml:space="preserve">The direct clinical evidence from PEDFIC 1 presented in the July 2024 submission compared odevixibat to placebo in mostly patients who have not undergone SBD, and there was no direct evidence of odevixibat compared to PEBD. </w:t>
      </w:r>
      <w:r w:rsidR="00457731" w:rsidRPr="00471170">
        <w:t xml:space="preserve">The PBAC had considered the OvEC part B </w:t>
      </w:r>
      <w:r w:rsidR="006F1E4F" w:rsidRPr="00471170">
        <w:t xml:space="preserve">was the most relevant study as it compared odevixibat to SBD, but the study had significant limitations (paragraph 7.11, odevixibat PSD, July 2024 PBAC meeting). </w:t>
      </w:r>
      <w:r w:rsidRPr="00471170">
        <w:t xml:space="preserve">No additional clinical evidence comparing odevixibat against PEBD has been presented in the resubmission. The estimated rate of PEBD surgery had a substantial impact on both the resubmission’s economic model and financial estimates. </w:t>
      </w:r>
      <w:bookmarkStart w:id="35" w:name="_Toc184822911"/>
      <w:bookmarkStart w:id="36" w:name="_Toc22897640"/>
    </w:p>
    <w:p w14:paraId="609B2FCF" w14:textId="359B62C0" w:rsidR="00A90134" w:rsidRPr="00A90134" w:rsidRDefault="00A90134" w:rsidP="00A90134">
      <w:pPr>
        <w:pStyle w:val="3-BodyText"/>
        <w:numPr>
          <w:ilvl w:val="0"/>
          <w:numId w:val="0"/>
        </w:numPr>
        <w:spacing w:before="0"/>
        <w:ind w:left="720"/>
        <w:rPr>
          <w:i/>
          <w:iCs/>
        </w:rPr>
      </w:pPr>
      <w:r w:rsidRPr="00A90134">
        <w:rPr>
          <w:i/>
          <w:iCs/>
        </w:rPr>
        <w:t>For more detail on PBAC’s view, see section 7 PBAC outcome.</w:t>
      </w:r>
    </w:p>
    <w:p w14:paraId="62492EAF" w14:textId="7D68C616" w:rsidR="00404D38" w:rsidRPr="00C268A1" w:rsidRDefault="00404D38" w:rsidP="0048303C">
      <w:pPr>
        <w:pStyle w:val="2-SectionHeading"/>
        <w:rPr>
          <w:i/>
          <w:iCs/>
        </w:rPr>
      </w:pPr>
      <w:bookmarkStart w:id="37" w:name="_Toc188451874"/>
      <w:r w:rsidRPr="0098262F">
        <w:t>Consideration of the evidence</w:t>
      </w:r>
      <w:bookmarkEnd w:id="35"/>
      <w:bookmarkEnd w:id="37"/>
    </w:p>
    <w:p w14:paraId="549D801F" w14:textId="77777777" w:rsidR="008328FD" w:rsidRPr="00F70EF3" w:rsidRDefault="008328FD" w:rsidP="008328FD">
      <w:pPr>
        <w:pStyle w:val="4-SubsectionHeading"/>
      </w:pPr>
      <w:bookmarkStart w:id="38" w:name="_Hlk76375935"/>
      <w:bookmarkStart w:id="39" w:name="_Toc184822912"/>
      <w:bookmarkStart w:id="40" w:name="_Toc188451875"/>
      <w:r w:rsidRPr="006E1229">
        <w:t xml:space="preserve">Sponsor </w:t>
      </w:r>
      <w:r w:rsidRPr="00F70EF3">
        <w:t>hearing</w:t>
      </w:r>
    </w:p>
    <w:p w14:paraId="7DB038CD" w14:textId="6247FE2E" w:rsidR="009D291A" w:rsidRPr="00F70EF3" w:rsidRDefault="008328FD" w:rsidP="008328FD">
      <w:pPr>
        <w:widowControl w:val="0"/>
        <w:numPr>
          <w:ilvl w:val="1"/>
          <w:numId w:val="1"/>
        </w:numPr>
        <w:spacing w:after="120"/>
        <w:rPr>
          <w:rFonts w:asciiTheme="minorHAnsi" w:hAnsiTheme="minorHAnsi"/>
          <w:bCs/>
          <w:snapToGrid w:val="0"/>
        </w:rPr>
      </w:pPr>
      <w:bookmarkStart w:id="41" w:name="_Hlk76382586"/>
      <w:r w:rsidRPr="00F70EF3">
        <w:rPr>
          <w:rFonts w:asciiTheme="minorHAnsi" w:hAnsiTheme="minorHAnsi"/>
          <w:bCs/>
          <w:snapToGrid w:val="0"/>
        </w:rPr>
        <w:t xml:space="preserve">The sponsor requested a hearing for this item. The clinician </w:t>
      </w:r>
      <w:r w:rsidR="00371673" w:rsidRPr="00F70EF3">
        <w:rPr>
          <w:rFonts w:asciiTheme="minorHAnsi" w:hAnsiTheme="minorHAnsi"/>
          <w:bCs/>
          <w:snapToGrid w:val="0"/>
        </w:rPr>
        <w:t>primarily discussed the clinical perspective o</w:t>
      </w:r>
      <w:r w:rsidR="005212F8" w:rsidRPr="00F70EF3">
        <w:rPr>
          <w:rFonts w:asciiTheme="minorHAnsi" w:hAnsiTheme="minorHAnsi"/>
          <w:bCs/>
          <w:snapToGrid w:val="0"/>
        </w:rPr>
        <w:t>f</w:t>
      </w:r>
      <w:r w:rsidR="00371673" w:rsidRPr="00F70EF3">
        <w:rPr>
          <w:rFonts w:asciiTheme="minorHAnsi" w:hAnsiTheme="minorHAnsi"/>
          <w:bCs/>
          <w:snapToGrid w:val="0"/>
        </w:rPr>
        <w:t xml:space="preserve"> treatment of adults with PFIC. </w:t>
      </w:r>
      <w:r w:rsidR="0030179A" w:rsidRPr="00F70EF3">
        <w:rPr>
          <w:rFonts w:asciiTheme="minorHAnsi" w:hAnsiTheme="minorHAnsi"/>
          <w:bCs/>
          <w:snapToGrid w:val="0"/>
        </w:rPr>
        <w:t>The clinician stated that</w:t>
      </w:r>
      <w:r w:rsidR="00704BF9" w:rsidRPr="00F70EF3">
        <w:rPr>
          <w:rFonts w:asciiTheme="minorHAnsi" w:hAnsiTheme="minorHAnsi"/>
          <w:bCs/>
          <w:snapToGrid w:val="0"/>
        </w:rPr>
        <w:t xml:space="preserve">, although </w:t>
      </w:r>
      <w:r w:rsidR="001F4B8F" w:rsidRPr="00F70EF3">
        <w:rPr>
          <w:rFonts w:asciiTheme="minorHAnsi" w:hAnsiTheme="minorHAnsi"/>
          <w:bCs/>
          <w:snapToGrid w:val="0"/>
        </w:rPr>
        <w:lastRenderedPageBreak/>
        <w:t>a minority of patients are diagnosed in adulthood</w:t>
      </w:r>
      <w:r w:rsidR="00704BF9" w:rsidRPr="00F70EF3">
        <w:rPr>
          <w:rFonts w:asciiTheme="minorHAnsi" w:hAnsiTheme="minorHAnsi"/>
          <w:bCs/>
          <w:snapToGrid w:val="0"/>
        </w:rPr>
        <w:t xml:space="preserve">, </w:t>
      </w:r>
      <w:r w:rsidR="00011AB9" w:rsidRPr="00F70EF3">
        <w:rPr>
          <w:rFonts w:asciiTheme="minorHAnsi" w:hAnsiTheme="minorHAnsi"/>
          <w:bCs/>
          <w:snapToGrid w:val="0"/>
        </w:rPr>
        <w:t xml:space="preserve">it is becoming </w:t>
      </w:r>
      <w:r w:rsidR="003C2DF8">
        <w:rPr>
          <w:rFonts w:asciiTheme="minorHAnsi" w:hAnsiTheme="minorHAnsi"/>
          <w:bCs/>
          <w:snapToGrid w:val="0"/>
        </w:rPr>
        <w:t>increasingly recognised</w:t>
      </w:r>
      <w:r w:rsidR="00011AB9" w:rsidRPr="00F70EF3">
        <w:rPr>
          <w:rFonts w:asciiTheme="minorHAnsi" w:hAnsiTheme="minorHAnsi"/>
          <w:bCs/>
          <w:snapToGrid w:val="0"/>
        </w:rPr>
        <w:t xml:space="preserve">. The clinician stated that adult patients generally have a more attenuated form of disease which is less rapidly progressing, </w:t>
      </w:r>
      <w:r w:rsidR="00A45CC7" w:rsidRPr="00F70EF3">
        <w:rPr>
          <w:rFonts w:asciiTheme="minorHAnsi" w:hAnsiTheme="minorHAnsi"/>
          <w:bCs/>
          <w:snapToGrid w:val="0"/>
        </w:rPr>
        <w:t xml:space="preserve">and </w:t>
      </w:r>
      <w:r w:rsidR="008E5493" w:rsidRPr="00F70EF3">
        <w:rPr>
          <w:rFonts w:asciiTheme="minorHAnsi" w:hAnsiTheme="minorHAnsi"/>
          <w:bCs/>
          <w:snapToGrid w:val="0"/>
        </w:rPr>
        <w:t xml:space="preserve">that patients </w:t>
      </w:r>
      <w:r w:rsidR="00DA14A6" w:rsidRPr="00F70EF3">
        <w:rPr>
          <w:rFonts w:asciiTheme="minorHAnsi" w:hAnsiTheme="minorHAnsi"/>
          <w:bCs/>
          <w:snapToGrid w:val="0"/>
        </w:rPr>
        <w:t xml:space="preserve">with long standing disease </w:t>
      </w:r>
      <w:r w:rsidR="008E5493" w:rsidRPr="00F70EF3">
        <w:rPr>
          <w:rFonts w:asciiTheme="minorHAnsi" w:hAnsiTheme="minorHAnsi"/>
          <w:bCs/>
          <w:snapToGrid w:val="0"/>
        </w:rPr>
        <w:t xml:space="preserve">generally presenting for diagnosis as their </w:t>
      </w:r>
      <w:r w:rsidR="005212F8" w:rsidRPr="00F70EF3">
        <w:rPr>
          <w:rFonts w:asciiTheme="minorHAnsi" w:hAnsiTheme="minorHAnsi"/>
          <w:bCs/>
          <w:snapToGrid w:val="0"/>
        </w:rPr>
        <w:t>pruritus and jaundice</w:t>
      </w:r>
      <w:r w:rsidR="00B55824" w:rsidRPr="00F70EF3">
        <w:rPr>
          <w:rFonts w:asciiTheme="minorHAnsi" w:hAnsiTheme="minorHAnsi"/>
          <w:bCs/>
          <w:snapToGrid w:val="0"/>
        </w:rPr>
        <w:t xml:space="preserve"> </w:t>
      </w:r>
      <w:r w:rsidR="00E70784" w:rsidRPr="00F70EF3">
        <w:rPr>
          <w:rFonts w:asciiTheme="minorHAnsi" w:hAnsiTheme="minorHAnsi"/>
          <w:bCs/>
          <w:snapToGrid w:val="0"/>
        </w:rPr>
        <w:t xml:space="preserve">become more severe. </w:t>
      </w:r>
      <w:r w:rsidR="00897F64" w:rsidRPr="00F70EF3">
        <w:rPr>
          <w:rFonts w:asciiTheme="minorHAnsi" w:hAnsiTheme="minorHAnsi"/>
          <w:bCs/>
          <w:snapToGrid w:val="0"/>
        </w:rPr>
        <w:t xml:space="preserve">Diagnosis </w:t>
      </w:r>
      <w:r w:rsidR="00E5402F" w:rsidRPr="00F70EF3">
        <w:rPr>
          <w:rFonts w:asciiTheme="minorHAnsi" w:hAnsiTheme="minorHAnsi"/>
          <w:bCs/>
          <w:snapToGrid w:val="0"/>
        </w:rPr>
        <w:t xml:space="preserve">of these patients </w:t>
      </w:r>
      <w:r w:rsidR="00897F64" w:rsidRPr="00F70EF3">
        <w:rPr>
          <w:rFonts w:asciiTheme="minorHAnsi" w:hAnsiTheme="minorHAnsi"/>
          <w:bCs/>
          <w:snapToGrid w:val="0"/>
        </w:rPr>
        <w:t>relies primarily on histology and symptoms</w:t>
      </w:r>
      <w:r w:rsidR="003C2DF8">
        <w:rPr>
          <w:rFonts w:asciiTheme="minorHAnsi" w:hAnsiTheme="minorHAnsi"/>
          <w:bCs/>
          <w:snapToGrid w:val="0"/>
        </w:rPr>
        <w:t xml:space="preserve"> and can usually be differentiated clinically from BRIC</w:t>
      </w:r>
      <w:r w:rsidR="00E5402F" w:rsidRPr="00F70EF3">
        <w:rPr>
          <w:rFonts w:asciiTheme="minorHAnsi" w:hAnsiTheme="minorHAnsi"/>
          <w:bCs/>
          <w:snapToGrid w:val="0"/>
        </w:rPr>
        <w:t xml:space="preserve">. The clinician further stated that pruritus can be burdensome to patients and that odevixibat, which is a directed antipruritic </w:t>
      </w:r>
      <w:r w:rsidR="00F0432B" w:rsidRPr="00F70EF3">
        <w:rPr>
          <w:rFonts w:asciiTheme="minorHAnsi" w:hAnsiTheme="minorHAnsi"/>
          <w:bCs/>
          <w:snapToGrid w:val="0"/>
        </w:rPr>
        <w:t>therapy</w:t>
      </w:r>
      <w:r w:rsidR="009D291A" w:rsidRPr="00F70EF3">
        <w:rPr>
          <w:rFonts w:asciiTheme="minorHAnsi" w:hAnsiTheme="minorHAnsi"/>
          <w:bCs/>
          <w:snapToGrid w:val="0"/>
        </w:rPr>
        <w:t>,</w:t>
      </w:r>
      <w:r w:rsidR="00F0432B" w:rsidRPr="00F70EF3">
        <w:rPr>
          <w:rFonts w:asciiTheme="minorHAnsi" w:hAnsiTheme="minorHAnsi"/>
          <w:bCs/>
          <w:snapToGrid w:val="0"/>
        </w:rPr>
        <w:t xml:space="preserve"> is effective and can positively impact a patients quality of life.</w:t>
      </w:r>
    </w:p>
    <w:bookmarkEnd w:id="41"/>
    <w:p w14:paraId="2C59FA2B" w14:textId="0DA03C59" w:rsidR="008328FD" w:rsidRPr="00F70EF3" w:rsidRDefault="008328FD" w:rsidP="008328FD">
      <w:pPr>
        <w:pStyle w:val="4-SubsectionHeading"/>
      </w:pPr>
      <w:r w:rsidRPr="00F70EF3">
        <w:t>Consumer comments</w:t>
      </w:r>
    </w:p>
    <w:p w14:paraId="5EBB8299" w14:textId="7EEF1D6C" w:rsidR="00634F90" w:rsidRPr="00F70EF3" w:rsidRDefault="008328FD" w:rsidP="000E1BFF">
      <w:pPr>
        <w:widowControl w:val="0"/>
        <w:numPr>
          <w:ilvl w:val="1"/>
          <w:numId w:val="1"/>
        </w:numPr>
        <w:spacing w:after="120"/>
        <w:rPr>
          <w:rFonts w:asciiTheme="minorHAnsi" w:hAnsiTheme="minorHAnsi"/>
          <w:bCs/>
          <w:snapToGrid w:val="0"/>
        </w:rPr>
      </w:pPr>
      <w:bookmarkStart w:id="42" w:name="_Hlk76382618"/>
      <w:r w:rsidRPr="00F70EF3">
        <w:rPr>
          <w:rFonts w:asciiTheme="minorHAnsi" w:hAnsiTheme="minorHAnsi"/>
          <w:bCs/>
          <w:snapToGrid w:val="0"/>
        </w:rPr>
        <w:t>The PBAC noted and welcomed the input from individuals (</w:t>
      </w:r>
      <w:r w:rsidR="00F74009" w:rsidRPr="00F70EF3">
        <w:rPr>
          <w:rFonts w:asciiTheme="minorHAnsi" w:hAnsiTheme="minorHAnsi"/>
          <w:bCs/>
          <w:snapToGrid w:val="0"/>
        </w:rPr>
        <w:t>1</w:t>
      </w:r>
      <w:r w:rsidRPr="00F70EF3">
        <w:rPr>
          <w:rFonts w:asciiTheme="minorHAnsi" w:hAnsiTheme="minorHAnsi"/>
          <w:bCs/>
          <w:snapToGrid w:val="0"/>
        </w:rPr>
        <w:t>), health care professionals (</w:t>
      </w:r>
      <w:r w:rsidR="00F74009" w:rsidRPr="00F70EF3">
        <w:rPr>
          <w:rFonts w:asciiTheme="minorHAnsi" w:hAnsiTheme="minorHAnsi"/>
          <w:bCs/>
          <w:snapToGrid w:val="0"/>
        </w:rPr>
        <w:t>4</w:t>
      </w:r>
      <w:r w:rsidRPr="00F70EF3">
        <w:rPr>
          <w:rFonts w:asciiTheme="minorHAnsi" w:hAnsiTheme="minorHAnsi"/>
          <w:bCs/>
          <w:snapToGrid w:val="0"/>
        </w:rPr>
        <w:t>) and organisations (</w:t>
      </w:r>
      <w:r w:rsidR="00F74009" w:rsidRPr="00F70EF3">
        <w:rPr>
          <w:rFonts w:asciiTheme="minorHAnsi" w:hAnsiTheme="minorHAnsi"/>
          <w:bCs/>
          <w:snapToGrid w:val="0"/>
        </w:rPr>
        <w:t>2</w:t>
      </w:r>
      <w:r w:rsidRPr="00F70EF3">
        <w:rPr>
          <w:rFonts w:asciiTheme="minorHAnsi" w:hAnsiTheme="minorHAnsi"/>
          <w:bCs/>
          <w:snapToGrid w:val="0"/>
        </w:rPr>
        <w:t>) via the Consumer Comments facility on the PBS website</w:t>
      </w:r>
      <w:r w:rsidR="00C666FF" w:rsidRPr="00F70EF3">
        <w:rPr>
          <w:rFonts w:asciiTheme="minorHAnsi" w:hAnsiTheme="minorHAnsi"/>
          <w:bCs/>
          <w:snapToGrid w:val="0"/>
        </w:rPr>
        <w:t xml:space="preserve"> associ</w:t>
      </w:r>
      <w:r w:rsidR="007C18C7" w:rsidRPr="00F70EF3">
        <w:rPr>
          <w:rFonts w:asciiTheme="minorHAnsi" w:hAnsiTheme="minorHAnsi"/>
          <w:bCs/>
          <w:snapToGrid w:val="0"/>
        </w:rPr>
        <w:t>a</w:t>
      </w:r>
      <w:r w:rsidR="00C666FF" w:rsidRPr="00F70EF3">
        <w:rPr>
          <w:rFonts w:asciiTheme="minorHAnsi" w:hAnsiTheme="minorHAnsi"/>
          <w:bCs/>
          <w:snapToGrid w:val="0"/>
        </w:rPr>
        <w:t>ted with this resubmission</w:t>
      </w:r>
      <w:r w:rsidRPr="00F70EF3">
        <w:rPr>
          <w:rFonts w:asciiTheme="minorHAnsi" w:hAnsiTheme="minorHAnsi"/>
          <w:bCs/>
          <w:snapToGrid w:val="0"/>
        </w:rPr>
        <w:t xml:space="preserve">. </w:t>
      </w:r>
      <w:r w:rsidR="007C18C7" w:rsidRPr="00F70EF3">
        <w:rPr>
          <w:rFonts w:asciiTheme="minorHAnsi" w:hAnsiTheme="minorHAnsi"/>
          <w:bCs/>
          <w:snapToGrid w:val="0"/>
        </w:rPr>
        <w:t xml:space="preserve">The PBAC also recalled that </w:t>
      </w:r>
      <w:r w:rsidR="00C44259" w:rsidRPr="00F70EF3">
        <w:rPr>
          <w:rFonts w:asciiTheme="minorHAnsi" w:hAnsiTheme="minorHAnsi"/>
          <w:bCs/>
          <w:snapToGrid w:val="0"/>
        </w:rPr>
        <w:t>the July 2024 submission rec</w:t>
      </w:r>
      <w:r w:rsidR="001D07F0" w:rsidRPr="00F70EF3">
        <w:rPr>
          <w:rFonts w:asciiTheme="minorHAnsi" w:hAnsiTheme="minorHAnsi"/>
          <w:bCs/>
          <w:snapToGrid w:val="0"/>
        </w:rPr>
        <w:t>ei</w:t>
      </w:r>
      <w:r w:rsidR="00C44259" w:rsidRPr="00F70EF3">
        <w:rPr>
          <w:rFonts w:asciiTheme="minorHAnsi" w:hAnsiTheme="minorHAnsi"/>
          <w:bCs/>
          <w:snapToGrid w:val="0"/>
        </w:rPr>
        <w:t>ved</w:t>
      </w:r>
      <w:r w:rsidR="007C18C7" w:rsidRPr="00F70EF3">
        <w:rPr>
          <w:rFonts w:asciiTheme="minorHAnsi" w:hAnsiTheme="minorHAnsi"/>
          <w:bCs/>
          <w:snapToGrid w:val="0"/>
        </w:rPr>
        <w:t xml:space="preserve"> input from individuals (35), health care professionals (4) and organisations (3)</w:t>
      </w:r>
      <w:r w:rsidR="00634F90" w:rsidRPr="00F70EF3">
        <w:rPr>
          <w:rFonts w:asciiTheme="minorHAnsi" w:hAnsiTheme="minorHAnsi"/>
          <w:bCs/>
          <w:snapToGrid w:val="0"/>
        </w:rPr>
        <w:t xml:space="preserve">. The comments described a range of benefits of treatment with odevixibat. Health care professionals emphasised the lack of alternative therapies, the potential for significantly improved quality of life for patients and caregivers with reduction or resolution of both symptoms and complications of the disease, the relatively good safety profile (common adverse events include diarrhoea and abdominal pain), and a reduction in the need for hospitalisations and surgical interventions. Consumers commented on benefits including </w:t>
      </w:r>
      <w:bookmarkStart w:id="43" w:name="_Hlk171937017"/>
      <w:r w:rsidR="00634F90" w:rsidRPr="00F70EF3">
        <w:rPr>
          <w:rFonts w:asciiTheme="minorHAnsi" w:hAnsiTheme="minorHAnsi"/>
          <w:bCs/>
          <w:snapToGrid w:val="0"/>
        </w:rPr>
        <w:t>improved quality of life associated with reduced itch, reduced bleeding due to scratching, improved sleep, reduced anxiety, less growth delay, improved energy and appetite, and an increase in ability to attend school and work</w:t>
      </w:r>
      <w:bookmarkEnd w:id="43"/>
      <w:r w:rsidR="00634F90" w:rsidRPr="00F70EF3">
        <w:rPr>
          <w:rFonts w:asciiTheme="minorHAnsi" w:hAnsiTheme="minorHAnsi"/>
          <w:bCs/>
          <w:snapToGrid w:val="0"/>
        </w:rPr>
        <w:t>. Caregivers described that “</w:t>
      </w:r>
      <w:r w:rsidR="00100417" w:rsidRPr="00F70EF3">
        <w:rPr>
          <w:rFonts w:asciiTheme="minorHAnsi" w:hAnsiTheme="minorHAnsi"/>
          <w:bCs/>
          <w:snapToGrid w:val="0"/>
        </w:rPr>
        <w:t>2 months after the first dose, we almost forgot about the itching”</w:t>
      </w:r>
      <w:r w:rsidR="00634F90" w:rsidRPr="00F70EF3">
        <w:rPr>
          <w:rFonts w:asciiTheme="minorHAnsi" w:hAnsiTheme="minorHAnsi"/>
          <w:bCs/>
          <w:snapToGrid w:val="0"/>
        </w:rPr>
        <w:t xml:space="preserve"> and that “</w:t>
      </w:r>
      <w:r w:rsidR="00BC1FE3" w:rsidRPr="00F70EF3">
        <w:rPr>
          <w:rFonts w:asciiTheme="minorHAnsi" w:hAnsiTheme="minorHAnsi"/>
          <w:bCs/>
          <w:snapToGrid w:val="0"/>
        </w:rPr>
        <w:t xml:space="preserve">life </w:t>
      </w:r>
      <w:r w:rsidR="00634F90" w:rsidRPr="00F70EF3">
        <w:rPr>
          <w:rFonts w:asciiTheme="minorHAnsi" w:hAnsiTheme="minorHAnsi"/>
          <w:bCs/>
          <w:snapToGrid w:val="0"/>
        </w:rPr>
        <w:t>changed almost immediately”, highlighting the positive impact of treatment on families. While many consumers commented on gastrointestinal side effects, tolerability of the treatment was emphasised. Consumers also commented that odevixibat would save time and money related to traveling to medical appointments associated with diversion surgery or transplant.</w:t>
      </w:r>
    </w:p>
    <w:p w14:paraId="3114E328" w14:textId="6C2B606C" w:rsidR="0024641B" w:rsidRDefault="0024641B" w:rsidP="000E1BFF">
      <w:pPr>
        <w:widowControl w:val="0"/>
        <w:numPr>
          <w:ilvl w:val="1"/>
          <w:numId w:val="1"/>
        </w:numPr>
        <w:spacing w:after="120"/>
        <w:rPr>
          <w:rFonts w:asciiTheme="minorHAnsi" w:hAnsiTheme="minorHAnsi"/>
          <w:bCs/>
          <w:snapToGrid w:val="0"/>
        </w:rPr>
      </w:pPr>
      <w:r w:rsidRPr="00F70EF3">
        <w:rPr>
          <w:rFonts w:asciiTheme="minorHAnsi" w:hAnsiTheme="minorHAnsi"/>
          <w:bCs/>
          <w:snapToGrid w:val="0"/>
        </w:rPr>
        <w:t>The PBAC noted the advice received from PFIC Network, PFIC and Related Disorders Australia, and Liver Foundation</w:t>
      </w:r>
      <w:r w:rsidRPr="00681D48">
        <w:rPr>
          <w:rFonts w:asciiTheme="minorHAnsi" w:hAnsiTheme="minorHAnsi"/>
          <w:bCs/>
          <w:snapToGrid w:val="0"/>
        </w:rPr>
        <w:t xml:space="preserve"> stating that PFIC often results in a “horrendous itch” that, in some cases may be incessant and lead to continuous scratching and bleeding, lack of sleep, anxiety, depression, post-traumatic stress disorder, and ultimately poor quality of life for patients, as well as their families. The advice stated that the itch associated with PFIC has led to job losses and children being unable to attend school. The organisations stated that the PBS listing of odevixibat may “potentially reduce the need for costly and risky surgeries”, noting that, with respect to liver transplant, some patients must wait until they are “big enough or weigh enough to be able to handle it”, and that complications associated with surgery can lead to patients spending a substantial amount of time in hospital. </w:t>
      </w:r>
    </w:p>
    <w:p w14:paraId="15B41AD8" w14:textId="679F05E8" w:rsidR="008172F5" w:rsidRPr="00681D48" w:rsidRDefault="00801CBA" w:rsidP="000E1BFF">
      <w:pPr>
        <w:widowControl w:val="0"/>
        <w:numPr>
          <w:ilvl w:val="1"/>
          <w:numId w:val="1"/>
        </w:numPr>
        <w:spacing w:after="120"/>
        <w:rPr>
          <w:rFonts w:asciiTheme="minorHAnsi" w:hAnsiTheme="minorHAnsi"/>
          <w:bCs/>
          <w:snapToGrid w:val="0"/>
        </w:rPr>
      </w:pPr>
      <w:bookmarkStart w:id="44" w:name="_Ref193960302"/>
      <w:r>
        <w:rPr>
          <w:rFonts w:asciiTheme="minorHAnsi" w:hAnsiTheme="minorHAnsi"/>
          <w:bCs/>
          <w:snapToGrid w:val="0"/>
        </w:rPr>
        <w:t>In March 2025, PFIC and Related Disorders Australia</w:t>
      </w:r>
      <w:r w:rsidR="00942EBC">
        <w:rPr>
          <w:rFonts w:asciiTheme="minorHAnsi" w:hAnsiTheme="minorHAnsi"/>
          <w:bCs/>
          <w:snapToGrid w:val="0"/>
        </w:rPr>
        <w:t xml:space="preserve"> stated that there was a critical </w:t>
      </w:r>
      <w:r w:rsidR="00942EBC">
        <w:rPr>
          <w:rFonts w:asciiTheme="minorHAnsi" w:hAnsiTheme="minorHAnsi"/>
          <w:bCs/>
          <w:snapToGrid w:val="0"/>
        </w:rPr>
        <w:lastRenderedPageBreak/>
        <w:t xml:space="preserve">need for </w:t>
      </w:r>
      <w:r w:rsidR="000017ED">
        <w:rPr>
          <w:rFonts w:asciiTheme="minorHAnsi" w:hAnsiTheme="minorHAnsi"/>
          <w:bCs/>
          <w:snapToGrid w:val="0"/>
        </w:rPr>
        <w:t xml:space="preserve">odevixibat to be made available to adult patients, as well as paediatric patients. </w:t>
      </w:r>
      <w:r w:rsidR="00BB2B42">
        <w:rPr>
          <w:rFonts w:asciiTheme="minorHAnsi" w:hAnsiTheme="minorHAnsi"/>
          <w:bCs/>
          <w:snapToGrid w:val="0"/>
        </w:rPr>
        <w:t xml:space="preserve">The groups stated that </w:t>
      </w:r>
      <w:r w:rsidR="00241955">
        <w:rPr>
          <w:rFonts w:asciiTheme="minorHAnsi" w:hAnsiTheme="minorHAnsi"/>
          <w:bCs/>
          <w:snapToGrid w:val="0"/>
        </w:rPr>
        <w:t>the adult population was likely to be very small (i.e. approximately 10 patients)</w:t>
      </w:r>
      <w:r w:rsidR="00C21F73">
        <w:rPr>
          <w:rFonts w:asciiTheme="minorHAnsi" w:hAnsiTheme="minorHAnsi"/>
          <w:bCs/>
          <w:snapToGrid w:val="0"/>
        </w:rPr>
        <w:t xml:space="preserve"> and </w:t>
      </w:r>
      <w:r w:rsidR="000E6776">
        <w:rPr>
          <w:rFonts w:asciiTheme="minorHAnsi" w:hAnsiTheme="minorHAnsi"/>
          <w:bCs/>
          <w:snapToGrid w:val="0"/>
        </w:rPr>
        <w:t xml:space="preserve">noted </w:t>
      </w:r>
      <w:r w:rsidR="00C21F73">
        <w:rPr>
          <w:rFonts w:asciiTheme="minorHAnsi" w:hAnsiTheme="minorHAnsi"/>
          <w:bCs/>
          <w:snapToGrid w:val="0"/>
        </w:rPr>
        <w:t xml:space="preserve">that many adults with PFIC experience episodic disease and may only require treatment </w:t>
      </w:r>
      <w:r w:rsidR="000E6776">
        <w:rPr>
          <w:rFonts w:asciiTheme="minorHAnsi" w:hAnsiTheme="minorHAnsi"/>
          <w:bCs/>
          <w:snapToGrid w:val="0"/>
        </w:rPr>
        <w:t>during exacerbations.</w:t>
      </w:r>
      <w:bookmarkEnd w:id="44"/>
    </w:p>
    <w:bookmarkEnd w:id="38"/>
    <w:bookmarkEnd w:id="42"/>
    <w:p w14:paraId="2C90C8BE" w14:textId="77777777" w:rsidR="00404D38" w:rsidRPr="0098262F" w:rsidRDefault="00404D38" w:rsidP="005514B9">
      <w:pPr>
        <w:pStyle w:val="4-SubsectionHeading"/>
        <w:spacing w:before="0"/>
      </w:pPr>
      <w:r w:rsidRPr="0098262F">
        <w:t>Clinical studies/trials</w:t>
      </w:r>
      <w:bookmarkEnd w:id="36"/>
      <w:bookmarkEnd w:id="39"/>
      <w:bookmarkEnd w:id="40"/>
    </w:p>
    <w:p w14:paraId="4971DA58" w14:textId="41606601" w:rsidR="00404D38" w:rsidRPr="00471170" w:rsidRDefault="00404D38" w:rsidP="005514B9">
      <w:pPr>
        <w:pStyle w:val="3-BodyText"/>
        <w:numPr>
          <w:ilvl w:val="1"/>
          <w:numId w:val="1"/>
        </w:numPr>
        <w:spacing w:before="0"/>
      </w:pPr>
      <w:r w:rsidRPr="00471170">
        <w:t>The July 2024 submission was based on one direct randomised trial comparing odevixibat to placebo (PEDFIC 1, N=62). Supplementary evidence was provided by one ongoing single arm study (PEDFIC 2, N=69) and one indirect treatment comparison (ITC), OvEC, comparing odevixibat (based on patients from PEDFIC 1 and PEDFIC 2, n=69) to external controls (based on patients from NAPPED, n=80 [Part A] and n=24 [Part B]) (paragraph 6.4, odevixibat PSD, July 2024 PBAC meeting).</w:t>
      </w:r>
    </w:p>
    <w:p w14:paraId="2FD23A16" w14:textId="548CCC75" w:rsidR="00404D38" w:rsidRPr="00471170" w:rsidRDefault="00404D38" w:rsidP="005514B9">
      <w:pPr>
        <w:pStyle w:val="3-BodyText"/>
        <w:numPr>
          <w:ilvl w:val="1"/>
          <w:numId w:val="1"/>
        </w:numPr>
        <w:spacing w:before="0"/>
      </w:pPr>
      <w:r w:rsidRPr="00471170">
        <w:t xml:space="preserve">As the final analysis for PEDFIC 1 was presented within the July 2024 submission, no new data was presented in the resubmission. However, the resubmission presented an updated </w:t>
      </w:r>
      <w:r w:rsidR="00FC1742" w:rsidRPr="00471170">
        <w:t>72-week</w:t>
      </w:r>
      <w:r w:rsidRPr="00471170">
        <w:t xml:space="preserve"> </w:t>
      </w:r>
      <w:r w:rsidR="0037642B" w:rsidRPr="00471170">
        <w:t>treatment period analysis</w:t>
      </w:r>
      <w:r w:rsidRPr="00471170">
        <w:t xml:space="preserve"> for PEDFIC 2</w:t>
      </w:r>
      <w:r w:rsidR="004C2015" w:rsidRPr="00471170">
        <w:t xml:space="preserve"> which included additional non-randomised patients</w:t>
      </w:r>
      <w:r w:rsidRPr="00471170">
        <w:t xml:space="preserve"> </w:t>
      </w:r>
      <w:r w:rsidR="000C3BB3" w:rsidRPr="00471170">
        <w:t xml:space="preserve">recruited into Cohort 2 </w:t>
      </w:r>
      <w:r w:rsidRPr="00471170">
        <w:t>(N=116</w:t>
      </w:r>
      <w:r w:rsidR="00C43997" w:rsidRPr="00471170">
        <w:t>; median follow-up = 98.9 weeks</w:t>
      </w:r>
      <w:r w:rsidRPr="00471170">
        <w:t xml:space="preserve">). </w:t>
      </w:r>
    </w:p>
    <w:p w14:paraId="2F0B28D9" w14:textId="0B91DF76" w:rsidR="00404D38" w:rsidRPr="00471170" w:rsidRDefault="00404D38" w:rsidP="005514B9">
      <w:pPr>
        <w:pStyle w:val="3-BodyText"/>
        <w:numPr>
          <w:ilvl w:val="1"/>
          <w:numId w:val="1"/>
        </w:numPr>
        <w:spacing w:before="0"/>
      </w:pPr>
      <w:r w:rsidRPr="00471170">
        <w:t>In response to the PBAC’s advice that any resubmission provide adequate details for validation (i.e., OvEC Part A and Part B) (</w:t>
      </w:r>
      <w:r w:rsidR="00407F43" w:rsidRPr="00471170">
        <w:t>p</w:t>
      </w:r>
      <w:r w:rsidRPr="00471170">
        <w:t xml:space="preserve">aragraph 7.26, odevixibat PSD, July 2024 PBAC Meeting), the resubmission claimed that whilst additional information has been requested from the authors of the OvEC study, this was not available at the time of resubmission. </w:t>
      </w:r>
    </w:p>
    <w:p w14:paraId="5A2AD1EA" w14:textId="171C3DA5" w:rsidR="00404D38" w:rsidRPr="00471170" w:rsidRDefault="00404D38" w:rsidP="005514B9">
      <w:pPr>
        <w:pStyle w:val="3-BodyText"/>
        <w:numPr>
          <w:ilvl w:val="1"/>
          <w:numId w:val="1"/>
        </w:numPr>
        <w:spacing w:before="0"/>
      </w:pPr>
      <w:r w:rsidRPr="00471170">
        <w:t xml:space="preserve">Details of the studies presented in the submission are provided in </w:t>
      </w:r>
      <w:r w:rsidRPr="00471170">
        <w:fldChar w:fldCharType="begin" w:fldLock="1"/>
      </w:r>
      <w:r w:rsidRPr="00471170">
        <w:instrText xml:space="preserve"> REF _Ref104803956 \h </w:instrText>
      </w:r>
      <w:r w:rsidR="00471170" w:rsidRPr="00471170">
        <w:instrText xml:space="preserve"> \* MERGEFORMAT </w:instrText>
      </w:r>
      <w:r w:rsidRPr="00471170">
        <w:fldChar w:fldCharType="separate"/>
      </w:r>
      <w:r w:rsidR="00382EF0" w:rsidRPr="00471170">
        <w:t xml:space="preserve">Table </w:t>
      </w:r>
      <w:r w:rsidR="00382EF0" w:rsidRPr="00471170">
        <w:rPr>
          <w:noProof/>
        </w:rPr>
        <w:t>4</w:t>
      </w:r>
      <w:r w:rsidRPr="00471170">
        <w:fldChar w:fldCharType="end"/>
      </w:r>
      <w:r w:rsidRPr="00471170">
        <w:t xml:space="preserve">. </w:t>
      </w:r>
    </w:p>
    <w:p w14:paraId="37C3E9FB" w14:textId="1CBCDC09" w:rsidR="00404D38" w:rsidRDefault="00404D38" w:rsidP="00404D38">
      <w:pPr>
        <w:pStyle w:val="TableFigureHeading"/>
        <w:rPr>
          <w:rStyle w:val="CommentReference"/>
          <w:b/>
          <w:szCs w:val="24"/>
        </w:rPr>
      </w:pPr>
      <w:bookmarkStart w:id="45" w:name="_Ref104803956"/>
      <w:r w:rsidRPr="0098262F">
        <w:t xml:space="preserve">Table </w:t>
      </w:r>
      <w:r w:rsidR="00382EF0">
        <w:fldChar w:fldCharType="begin" w:fldLock="1"/>
      </w:r>
      <w:r w:rsidR="00382EF0">
        <w:instrText xml:space="preserve"> SEQ Table \* ARABIC </w:instrText>
      </w:r>
      <w:r w:rsidR="00382EF0">
        <w:fldChar w:fldCharType="separate"/>
      </w:r>
      <w:r w:rsidR="00382EF0">
        <w:rPr>
          <w:noProof/>
        </w:rPr>
        <w:t>4</w:t>
      </w:r>
      <w:r w:rsidR="00382EF0">
        <w:rPr>
          <w:noProof/>
        </w:rPr>
        <w:fldChar w:fldCharType="end"/>
      </w:r>
      <w:bookmarkEnd w:id="45"/>
      <w:r w:rsidRPr="0098262F">
        <w:t>:</w:t>
      </w:r>
      <w:r w:rsidRPr="0098262F">
        <w:rPr>
          <w:rStyle w:val="CommentReference"/>
          <w:b/>
          <w:szCs w:val="24"/>
        </w:rPr>
        <w:t xml:space="preserve"> Trials/studies</w:t>
      </w:r>
      <w:r>
        <w:rPr>
          <w:rStyle w:val="CommentReference"/>
          <w:b/>
          <w:szCs w:val="24"/>
        </w:rPr>
        <w:t xml:space="preserve"> </w:t>
      </w:r>
      <w:r w:rsidRPr="0098262F">
        <w:rPr>
          <w:rStyle w:val="CommentReference"/>
          <w:b/>
          <w:szCs w:val="24"/>
        </w:rPr>
        <w:t xml:space="preserve">and associated reports presented in the </w:t>
      </w:r>
      <w:r>
        <w:rPr>
          <w:rStyle w:val="CommentReference"/>
          <w:b/>
          <w:szCs w:val="24"/>
        </w:rPr>
        <w:t>re</w:t>
      </w:r>
      <w:r w:rsidRPr="0098262F">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studies and associated reports presented in the resubmission"/>
        <w:tblDescription w:val="Trial IDs include PEDFIC1: NCT03566238, PEDFIC2: NCT03659916 and OvEC"/>
      </w:tblPr>
      <w:tblGrid>
        <w:gridCol w:w="1436"/>
        <w:gridCol w:w="4797"/>
        <w:gridCol w:w="2784"/>
      </w:tblGrid>
      <w:tr w:rsidR="008C5A65" w:rsidRPr="0098262F" w14:paraId="06E905CA" w14:textId="77777777" w:rsidTr="008C5A65">
        <w:trPr>
          <w:tblHeader/>
        </w:trPr>
        <w:tc>
          <w:tcPr>
            <w:tcW w:w="796" w:type="pct"/>
            <w:vAlign w:val="center"/>
          </w:tcPr>
          <w:p w14:paraId="2271E96A" w14:textId="77777777" w:rsidR="008C5A65" w:rsidRPr="0098262F" w:rsidRDefault="008C5A65" w:rsidP="008C5A65">
            <w:pPr>
              <w:pStyle w:val="In-tableHeading"/>
              <w:framePr w:hSpace="0" w:wrap="auto" w:vAnchor="margin" w:yAlign="inline"/>
              <w:suppressOverlap w:val="0"/>
            </w:pPr>
            <w:r w:rsidRPr="0098262F">
              <w:t>Trial ID</w:t>
            </w:r>
          </w:p>
        </w:tc>
        <w:tc>
          <w:tcPr>
            <w:tcW w:w="2660" w:type="pct"/>
            <w:vAlign w:val="center"/>
          </w:tcPr>
          <w:p w14:paraId="0714469A" w14:textId="77777777" w:rsidR="008C5A65" w:rsidRPr="0098262F" w:rsidRDefault="008C5A65" w:rsidP="008C5A65">
            <w:pPr>
              <w:pStyle w:val="In-tableHeading"/>
              <w:framePr w:hSpace="0" w:wrap="auto" w:vAnchor="margin" w:yAlign="inline"/>
              <w:suppressOverlap w:val="0"/>
            </w:pPr>
            <w:r w:rsidRPr="0098262F">
              <w:t>Protocol title/ Publication title</w:t>
            </w:r>
          </w:p>
        </w:tc>
        <w:tc>
          <w:tcPr>
            <w:tcW w:w="1544" w:type="pct"/>
            <w:vAlign w:val="center"/>
          </w:tcPr>
          <w:p w14:paraId="2FE5332D" w14:textId="77777777" w:rsidR="008C5A65" w:rsidRPr="0098262F" w:rsidRDefault="008C5A65" w:rsidP="008C5A65">
            <w:pPr>
              <w:pStyle w:val="In-tableHeading"/>
              <w:framePr w:hSpace="0" w:wrap="auto" w:vAnchor="margin" w:yAlign="inline"/>
              <w:suppressOverlap w:val="0"/>
            </w:pPr>
            <w:r w:rsidRPr="0098262F">
              <w:t>Publication citation</w:t>
            </w:r>
          </w:p>
        </w:tc>
      </w:tr>
      <w:tr w:rsidR="00404D38" w:rsidRPr="0098262F" w14:paraId="7D6956ED" w14:textId="77777777" w:rsidTr="00AC13C1">
        <w:tc>
          <w:tcPr>
            <w:tcW w:w="796" w:type="pct"/>
            <w:vMerge w:val="restart"/>
            <w:shd w:val="clear" w:color="auto" w:fill="DBE5F1" w:themeFill="accent1" w:themeFillTint="33"/>
            <w:vAlign w:val="center"/>
          </w:tcPr>
          <w:p w14:paraId="7D9DCE25" w14:textId="77777777" w:rsidR="00404D38" w:rsidRDefault="00404D38" w:rsidP="00AC13C1">
            <w:pPr>
              <w:pStyle w:val="TableText0"/>
            </w:pPr>
            <w:r>
              <w:t>PEDFIC1</w:t>
            </w:r>
          </w:p>
          <w:p w14:paraId="29FA6218" w14:textId="77777777" w:rsidR="00404D38" w:rsidRPr="0098262F" w:rsidRDefault="00404D38" w:rsidP="00AC13C1">
            <w:pPr>
              <w:pStyle w:val="TableText0"/>
            </w:pPr>
            <w:r>
              <w:t>NCT03566238</w:t>
            </w:r>
          </w:p>
        </w:tc>
        <w:tc>
          <w:tcPr>
            <w:tcW w:w="2660" w:type="pct"/>
            <w:tcBorders>
              <w:bottom w:val="nil"/>
            </w:tcBorders>
            <w:shd w:val="clear" w:color="auto" w:fill="DBE5F1" w:themeFill="accent1" w:themeFillTint="33"/>
            <w:vAlign w:val="center"/>
          </w:tcPr>
          <w:p w14:paraId="059207EB" w14:textId="77777777" w:rsidR="00404D38" w:rsidRPr="0098262F" w:rsidRDefault="00404D38" w:rsidP="00AC13C1">
            <w:pPr>
              <w:pStyle w:val="TableText0"/>
              <w:rPr>
                <w:szCs w:val="18"/>
              </w:rPr>
            </w:pPr>
            <w:r w:rsidRPr="00390E60">
              <w:rPr>
                <w:szCs w:val="18"/>
              </w:rPr>
              <w:t>PEDFIC 1 Clinical Study Report. Odevixibat treatment in</w:t>
            </w:r>
            <w:r>
              <w:rPr>
                <w:szCs w:val="18"/>
              </w:rPr>
              <w:t xml:space="preserve"> </w:t>
            </w:r>
            <w:r w:rsidRPr="00390E60">
              <w:rPr>
                <w:szCs w:val="18"/>
              </w:rPr>
              <w:t>progressive familial intrahepatic</w:t>
            </w:r>
            <w:r>
              <w:rPr>
                <w:szCs w:val="18"/>
              </w:rPr>
              <w:t xml:space="preserve"> </w:t>
            </w:r>
            <w:r w:rsidRPr="00390E60">
              <w:rPr>
                <w:szCs w:val="18"/>
              </w:rPr>
              <w:t>cholestasis: a randomised, placebo-controlled, phase 3 trial</w:t>
            </w:r>
          </w:p>
        </w:tc>
        <w:tc>
          <w:tcPr>
            <w:tcW w:w="1544" w:type="pct"/>
            <w:tcBorders>
              <w:bottom w:val="nil"/>
            </w:tcBorders>
            <w:shd w:val="clear" w:color="auto" w:fill="DBE5F1" w:themeFill="accent1" w:themeFillTint="33"/>
            <w:vAlign w:val="center"/>
          </w:tcPr>
          <w:p w14:paraId="4E4663A4" w14:textId="77777777" w:rsidR="00404D38" w:rsidRPr="0098262F" w:rsidRDefault="00404D38" w:rsidP="00AC13C1">
            <w:pPr>
              <w:pStyle w:val="TableText0"/>
            </w:pPr>
            <w:r w:rsidRPr="00390E60">
              <w:t>September 2022</w:t>
            </w:r>
          </w:p>
        </w:tc>
      </w:tr>
      <w:tr w:rsidR="00404D38" w:rsidRPr="0098262F" w14:paraId="7EF659A1" w14:textId="77777777" w:rsidTr="00AC13C1">
        <w:tc>
          <w:tcPr>
            <w:tcW w:w="796" w:type="pct"/>
            <w:vMerge/>
            <w:shd w:val="clear" w:color="auto" w:fill="DBE5F1" w:themeFill="accent1" w:themeFillTint="33"/>
            <w:vAlign w:val="center"/>
          </w:tcPr>
          <w:p w14:paraId="4D38C5D2" w14:textId="77777777" w:rsidR="00404D38" w:rsidRPr="0098262F" w:rsidRDefault="00404D38" w:rsidP="00AC13C1">
            <w:pPr>
              <w:pStyle w:val="TableText0"/>
            </w:pPr>
          </w:p>
        </w:tc>
        <w:tc>
          <w:tcPr>
            <w:tcW w:w="2660" w:type="pct"/>
            <w:tcBorders>
              <w:top w:val="nil"/>
              <w:bottom w:val="nil"/>
            </w:tcBorders>
            <w:shd w:val="clear" w:color="auto" w:fill="DBE5F1" w:themeFill="accent1" w:themeFillTint="33"/>
            <w:vAlign w:val="center"/>
          </w:tcPr>
          <w:p w14:paraId="1609EFB8" w14:textId="77777777" w:rsidR="00404D38" w:rsidRPr="00390E60" w:rsidRDefault="00404D38" w:rsidP="00AC13C1">
            <w:pPr>
              <w:pStyle w:val="TableText0"/>
              <w:rPr>
                <w:szCs w:val="18"/>
              </w:rPr>
            </w:pPr>
            <w:r w:rsidRPr="00390E60">
              <w:rPr>
                <w:szCs w:val="18"/>
              </w:rPr>
              <w:t>Thompson RJ, Arnell H, Artan R, Baumann U, Calvo PL,</w:t>
            </w:r>
          </w:p>
          <w:p w14:paraId="163E24F0" w14:textId="77777777" w:rsidR="00404D38" w:rsidRPr="00390E60" w:rsidRDefault="00404D38" w:rsidP="00AC13C1">
            <w:pPr>
              <w:pStyle w:val="TableText0"/>
              <w:rPr>
                <w:szCs w:val="18"/>
              </w:rPr>
            </w:pPr>
            <w:proofErr w:type="spellStart"/>
            <w:r w:rsidRPr="00390E60">
              <w:rPr>
                <w:szCs w:val="18"/>
              </w:rPr>
              <w:t>Czubkowski</w:t>
            </w:r>
            <w:proofErr w:type="spellEnd"/>
            <w:r w:rsidRPr="00390E60">
              <w:rPr>
                <w:szCs w:val="18"/>
              </w:rPr>
              <w:t xml:space="preserve"> P, et al. Odevixibat treatment in progressive</w:t>
            </w:r>
          </w:p>
          <w:p w14:paraId="691BBC6A" w14:textId="42D321A1" w:rsidR="00404D38" w:rsidRPr="0098262F" w:rsidRDefault="00404D38" w:rsidP="00AC13C1">
            <w:pPr>
              <w:pStyle w:val="TableText0"/>
              <w:rPr>
                <w:szCs w:val="18"/>
              </w:rPr>
            </w:pPr>
            <w:r w:rsidRPr="00390E60">
              <w:rPr>
                <w:szCs w:val="18"/>
              </w:rPr>
              <w:t>familial intrahepatic cholestasis: a randomised, placebo</w:t>
            </w:r>
            <w:r w:rsidR="00FC1742">
              <w:rPr>
                <w:szCs w:val="18"/>
              </w:rPr>
              <w:t xml:space="preserve"> </w:t>
            </w:r>
            <w:r w:rsidRPr="00390E60">
              <w:rPr>
                <w:szCs w:val="18"/>
              </w:rPr>
              <w:t>controlled, phase 3 trial.</w:t>
            </w:r>
          </w:p>
        </w:tc>
        <w:tc>
          <w:tcPr>
            <w:tcW w:w="1544" w:type="pct"/>
            <w:tcBorders>
              <w:top w:val="nil"/>
              <w:bottom w:val="nil"/>
            </w:tcBorders>
            <w:shd w:val="clear" w:color="auto" w:fill="DBE5F1" w:themeFill="accent1" w:themeFillTint="33"/>
            <w:vAlign w:val="center"/>
          </w:tcPr>
          <w:p w14:paraId="6818154F" w14:textId="77777777" w:rsidR="00404D38" w:rsidRPr="0098262F" w:rsidRDefault="00404D38" w:rsidP="00AC13C1">
            <w:pPr>
              <w:pStyle w:val="TableText0"/>
              <w:rPr>
                <w:szCs w:val="18"/>
              </w:rPr>
            </w:pPr>
            <w:r w:rsidRPr="00390E60">
              <w:rPr>
                <w:szCs w:val="18"/>
              </w:rPr>
              <w:t>Lancet Gastroenterol</w:t>
            </w:r>
            <w:r>
              <w:rPr>
                <w:szCs w:val="18"/>
              </w:rPr>
              <w:t xml:space="preserve"> </w:t>
            </w:r>
            <w:r w:rsidRPr="00390E60">
              <w:rPr>
                <w:szCs w:val="18"/>
              </w:rPr>
              <w:t>Hepatol. 2022 Sep.</w:t>
            </w:r>
            <w:r>
              <w:rPr>
                <w:szCs w:val="18"/>
              </w:rPr>
              <w:t xml:space="preserve"> </w:t>
            </w:r>
            <w:r w:rsidRPr="00390E60">
              <w:rPr>
                <w:szCs w:val="18"/>
              </w:rPr>
              <w:t xml:space="preserve">7(9):830-842. </w:t>
            </w:r>
            <w:proofErr w:type="spellStart"/>
            <w:r w:rsidRPr="00390E60">
              <w:rPr>
                <w:szCs w:val="18"/>
              </w:rPr>
              <w:t>doi</w:t>
            </w:r>
            <w:proofErr w:type="spellEnd"/>
            <w:r w:rsidRPr="00390E60">
              <w:rPr>
                <w:szCs w:val="18"/>
              </w:rPr>
              <w:t>:</w:t>
            </w:r>
            <w:r>
              <w:rPr>
                <w:szCs w:val="18"/>
              </w:rPr>
              <w:t xml:space="preserve"> </w:t>
            </w:r>
            <w:r w:rsidRPr="00390E60">
              <w:rPr>
                <w:szCs w:val="18"/>
              </w:rPr>
              <w:t>10.1016/S2468-1253(22)00093-0.</w:t>
            </w:r>
            <w:r>
              <w:rPr>
                <w:szCs w:val="18"/>
              </w:rPr>
              <w:t xml:space="preserve"> </w:t>
            </w:r>
            <w:proofErr w:type="spellStart"/>
            <w:r w:rsidRPr="00390E60">
              <w:rPr>
                <w:szCs w:val="18"/>
              </w:rPr>
              <w:t>Epub</w:t>
            </w:r>
            <w:proofErr w:type="spellEnd"/>
            <w:r w:rsidRPr="00390E60">
              <w:rPr>
                <w:szCs w:val="18"/>
              </w:rPr>
              <w:t xml:space="preserve"> 2022 Jul 1. PMID:</w:t>
            </w:r>
            <w:r>
              <w:rPr>
                <w:szCs w:val="18"/>
              </w:rPr>
              <w:t xml:space="preserve"> </w:t>
            </w:r>
            <w:r w:rsidRPr="00390E60">
              <w:rPr>
                <w:szCs w:val="18"/>
              </w:rPr>
              <w:t>35780807</w:t>
            </w:r>
          </w:p>
        </w:tc>
      </w:tr>
      <w:tr w:rsidR="00404D38" w:rsidRPr="0098262F" w14:paraId="52D563CE" w14:textId="77777777" w:rsidTr="00AC13C1">
        <w:tc>
          <w:tcPr>
            <w:tcW w:w="796" w:type="pct"/>
            <w:vAlign w:val="center"/>
          </w:tcPr>
          <w:p w14:paraId="4BD95ED6" w14:textId="77777777" w:rsidR="00404D38" w:rsidRDefault="00404D38" w:rsidP="00AC13C1">
            <w:pPr>
              <w:pStyle w:val="TableText0"/>
            </w:pPr>
            <w:r>
              <w:t>PEDFIC2</w:t>
            </w:r>
          </w:p>
          <w:p w14:paraId="6D182090" w14:textId="77777777" w:rsidR="00404D38" w:rsidRPr="0098262F" w:rsidRDefault="00404D38" w:rsidP="00AC13C1">
            <w:pPr>
              <w:pStyle w:val="TableText0"/>
            </w:pPr>
            <w:r>
              <w:t>NCT03659916</w:t>
            </w:r>
          </w:p>
        </w:tc>
        <w:tc>
          <w:tcPr>
            <w:tcW w:w="2660" w:type="pct"/>
            <w:tcBorders>
              <w:bottom w:val="nil"/>
            </w:tcBorders>
            <w:vAlign w:val="center"/>
          </w:tcPr>
          <w:p w14:paraId="51A638EF" w14:textId="77777777" w:rsidR="00404D38" w:rsidRPr="0098262F" w:rsidRDefault="00404D38" w:rsidP="00AC13C1">
            <w:pPr>
              <w:pStyle w:val="TableText0"/>
            </w:pPr>
            <w:r w:rsidRPr="00390E60">
              <w:rPr>
                <w:szCs w:val="18"/>
              </w:rPr>
              <w:t>PEDFIC 2 Clinical Study Report. An Open-label Extension Study to Evaluate Long-term Efficacy and Safety of A4250 in Children With Progressive Familial Intrahepatic Cholestasis Types 1 and 2 (PEDFIC 2)</w:t>
            </w:r>
          </w:p>
        </w:tc>
        <w:tc>
          <w:tcPr>
            <w:tcW w:w="1544" w:type="pct"/>
            <w:tcBorders>
              <w:bottom w:val="nil"/>
            </w:tcBorders>
            <w:vAlign w:val="center"/>
          </w:tcPr>
          <w:p w14:paraId="70E31624" w14:textId="77777777" w:rsidR="00404D38" w:rsidRPr="0098262F" w:rsidRDefault="00404D38" w:rsidP="00AC13C1">
            <w:pPr>
              <w:pStyle w:val="TableText0"/>
            </w:pPr>
            <w:r>
              <w:t>Week 72 CSR, February</w:t>
            </w:r>
            <w:r w:rsidRPr="001B493F">
              <w:t xml:space="preserve"> 2024 </w:t>
            </w:r>
            <w:r>
              <w:t>data cut, date of report</w:t>
            </w:r>
            <w:r w:rsidRPr="001B493F">
              <w:t xml:space="preserve"> </w:t>
            </w:r>
            <w:r>
              <w:t>29</w:t>
            </w:r>
            <w:r w:rsidRPr="001B493F">
              <w:t xml:space="preserve"> </w:t>
            </w:r>
            <w:r>
              <w:t>August</w:t>
            </w:r>
            <w:r w:rsidRPr="001B493F">
              <w:t xml:space="preserve"> 202</w:t>
            </w:r>
            <w:r>
              <w:t>4</w:t>
            </w:r>
          </w:p>
        </w:tc>
      </w:tr>
      <w:tr w:rsidR="00404D38" w:rsidRPr="0098262F" w14:paraId="4116F1C1" w14:textId="77777777" w:rsidTr="00AC13C1">
        <w:tc>
          <w:tcPr>
            <w:tcW w:w="796" w:type="pct"/>
            <w:vMerge w:val="restart"/>
            <w:shd w:val="clear" w:color="auto" w:fill="DBE5F1" w:themeFill="accent1" w:themeFillTint="33"/>
            <w:vAlign w:val="center"/>
          </w:tcPr>
          <w:p w14:paraId="5F62B212" w14:textId="77777777" w:rsidR="00404D38" w:rsidRPr="0098262F" w:rsidRDefault="00404D38" w:rsidP="00AC13C1">
            <w:pPr>
              <w:pStyle w:val="TableText0"/>
            </w:pPr>
            <w:r w:rsidRPr="00390E60">
              <w:t>OvEC</w:t>
            </w:r>
          </w:p>
        </w:tc>
        <w:tc>
          <w:tcPr>
            <w:tcW w:w="2660" w:type="pct"/>
            <w:tcBorders>
              <w:bottom w:val="nil"/>
            </w:tcBorders>
            <w:shd w:val="clear" w:color="auto" w:fill="DBE5F1" w:themeFill="accent1" w:themeFillTint="33"/>
            <w:vAlign w:val="center"/>
          </w:tcPr>
          <w:p w14:paraId="68564D61" w14:textId="77777777" w:rsidR="00404D38" w:rsidRDefault="00404D38" w:rsidP="00AC13C1">
            <w:pPr>
              <w:pStyle w:val="TableText0"/>
            </w:pPr>
            <w:r>
              <w:t xml:space="preserve">Hansen B, </w:t>
            </w:r>
            <w:proofErr w:type="spellStart"/>
            <w:r>
              <w:t>Valcheva</w:t>
            </w:r>
            <w:proofErr w:type="spellEnd"/>
            <w:r>
              <w:t xml:space="preserve"> V, Yu Q, van Wessel DBE, Thompson</w:t>
            </w:r>
          </w:p>
          <w:p w14:paraId="51E37135" w14:textId="77777777" w:rsidR="00404D38" w:rsidRDefault="00404D38" w:rsidP="00AC13C1">
            <w:pPr>
              <w:pStyle w:val="TableText0"/>
            </w:pPr>
            <w:r>
              <w:t>RJ, Gonzales E, et al. P1 Analysis of long-term treatment</w:t>
            </w:r>
          </w:p>
          <w:p w14:paraId="1D7AD878" w14:textId="77777777" w:rsidR="00404D38" w:rsidRDefault="00404D38" w:rsidP="00AC13C1">
            <w:pPr>
              <w:pStyle w:val="TableText0"/>
            </w:pPr>
            <w:r>
              <w:t>effects of odevixibat on clinical outcomes in children with</w:t>
            </w:r>
          </w:p>
          <w:p w14:paraId="0CCF41BF" w14:textId="77777777" w:rsidR="00404D38" w:rsidRDefault="00404D38" w:rsidP="00AC13C1">
            <w:pPr>
              <w:pStyle w:val="TableText0"/>
            </w:pPr>
            <w:r>
              <w:t>progressive familial intrahepatic cholestasis in odevixibat</w:t>
            </w:r>
          </w:p>
          <w:p w14:paraId="061A012D" w14:textId="77777777" w:rsidR="00404D38" w:rsidRDefault="00404D38" w:rsidP="00AC13C1">
            <w:pPr>
              <w:pStyle w:val="TableText0"/>
            </w:pPr>
            <w:r>
              <w:t>clinical studies vs external controls from the NAPPED</w:t>
            </w:r>
          </w:p>
          <w:p w14:paraId="2EABC516" w14:textId="77777777" w:rsidR="00404D38" w:rsidRPr="0098262F" w:rsidRDefault="00404D38" w:rsidP="00AC13C1">
            <w:pPr>
              <w:pStyle w:val="TableText0"/>
            </w:pPr>
            <w:r>
              <w:t>database.</w:t>
            </w:r>
          </w:p>
        </w:tc>
        <w:tc>
          <w:tcPr>
            <w:tcW w:w="1544" w:type="pct"/>
            <w:tcBorders>
              <w:bottom w:val="nil"/>
            </w:tcBorders>
            <w:shd w:val="clear" w:color="auto" w:fill="DBE5F1" w:themeFill="accent1" w:themeFillTint="33"/>
            <w:vAlign w:val="center"/>
          </w:tcPr>
          <w:p w14:paraId="0EB49724" w14:textId="77777777" w:rsidR="00404D38" w:rsidRPr="0098262F" w:rsidRDefault="00404D38" w:rsidP="00AC13C1">
            <w:pPr>
              <w:pStyle w:val="TableText0"/>
            </w:pPr>
            <w:r>
              <w:t>Journal of Hepatology, 2023; 72: A13;10.1136/gutjnl-2023-BASL.17.</w:t>
            </w:r>
          </w:p>
        </w:tc>
      </w:tr>
      <w:tr w:rsidR="00404D38" w:rsidRPr="0098262F" w14:paraId="69BB16C5" w14:textId="77777777" w:rsidTr="00AC13C1">
        <w:tc>
          <w:tcPr>
            <w:tcW w:w="796" w:type="pct"/>
            <w:vMerge/>
            <w:tcBorders>
              <w:bottom w:val="single" w:sz="4" w:space="0" w:color="auto"/>
            </w:tcBorders>
            <w:shd w:val="clear" w:color="auto" w:fill="DBE5F1" w:themeFill="accent1" w:themeFillTint="33"/>
            <w:vAlign w:val="center"/>
          </w:tcPr>
          <w:p w14:paraId="2845635D" w14:textId="77777777" w:rsidR="00404D38" w:rsidRPr="0098262F" w:rsidRDefault="00404D38" w:rsidP="00AC13C1">
            <w:pPr>
              <w:pStyle w:val="TableText0"/>
            </w:pPr>
          </w:p>
        </w:tc>
        <w:tc>
          <w:tcPr>
            <w:tcW w:w="2660" w:type="pct"/>
            <w:tcBorders>
              <w:top w:val="nil"/>
              <w:bottom w:val="single" w:sz="4" w:space="0" w:color="auto"/>
            </w:tcBorders>
            <w:shd w:val="clear" w:color="auto" w:fill="DBE5F1" w:themeFill="accent1" w:themeFillTint="33"/>
            <w:vAlign w:val="center"/>
          </w:tcPr>
          <w:p w14:paraId="0901AFFE" w14:textId="77777777" w:rsidR="00404D38" w:rsidRPr="0098262F" w:rsidRDefault="00404D38" w:rsidP="00AC13C1">
            <w:pPr>
              <w:pStyle w:val="TableText0"/>
              <w:rPr>
                <w:szCs w:val="18"/>
              </w:rPr>
            </w:pPr>
          </w:p>
        </w:tc>
        <w:tc>
          <w:tcPr>
            <w:tcW w:w="1544" w:type="pct"/>
            <w:tcBorders>
              <w:top w:val="nil"/>
              <w:bottom w:val="single" w:sz="4" w:space="0" w:color="auto"/>
            </w:tcBorders>
            <w:shd w:val="clear" w:color="auto" w:fill="DBE5F1" w:themeFill="accent1" w:themeFillTint="33"/>
            <w:vAlign w:val="center"/>
          </w:tcPr>
          <w:p w14:paraId="20C96882" w14:textId="77777777" w:rsidR="00404D38" w:rsidRPr="0098262F" w:rsidRDefault="00404D38" w:rsidP="00AC13C1">
            <w:pPr>
              <w:pStyle w:val="TableText0"/>
            </w:pPr>
          </w:p>
        </w:tc>
      </w:tr>
    </w:tbl>
    <w:p w14:paraId="496571B6" w14:textId="77777777" w:rsidR="00404D38" w:rsidRDefault="00404D38" w:rsidP="00404D38">
      <w:pPr>
        <w:pStyle w:val="FooterTableFigure"/>
      </w:pPr>
      <w:r w:rsidRPr="0098262F">
        <w:t xml:space="preserve">Source: </w:t>
      </w:r>
      <w:r>
        <w:t>Table 3, Odevixibat PSD, July 2024 PBAC Meeting and ‘Large files” attachment to the submission</w:t>
      </w:r>
    </w:p>
    <w:p w14:paraId="53C82D68" w14:textId="77777777" w:rsidR="00404D38" w:rsidRPr="00F52D93" w:rsidRDefault="00404D38" w:rsidP="00404D38">
      <w:pPr>
        <w:pStyle w:val="FooterTableFigure"/>
        <w:rPr>
          <w:rStyle w:val="CommentReference"/>
          <w:b w:val="0"/>
          <w:szCs w:val="22"/>
        </w:rPr>
      </w:pPr>
      <w:r>
        <w:t>Blue shaded cells indicate studies previously considered by the PBAC</w:t>
      </w:r>
    </w:p>
    <w:p w14:paraId="4182C3E6" w14:textId="3F440613" w:rsidR="00404D38" w:rsidRPr="0098262F" w:rsidRDefault="00404D38" w:rsidP="005514B9">
      <w:pPr>
        <w:pStyle w:val="3-BodyText"/>
        <w:numPr>
          <w:ilvl w:val="1"/>
          <w:numId w:val="1"/>
        </w:numPr>
        <w:spacing w:before="0"/>
        <w:rPr>
          <w:color w:val="0066FF"/>
        </w:rPr>
      </w:pPr>
      <w:r w:rsidRPr="0098262F">
        <w:t xml:space="preserve">The key features of the included evidence are summarised in </w:t>
      </w:r>
      <w:r w:rsidRPr="0098262F">
        <w:fldChar w:fldCharType="begin" w:fldLock="1"/>
      </w:r>
      <w:r w:rsidRPr="0098262F">
        <w:instrText xml:space="preserve"> REF _Ref104804098 \h  \* MERGEFORMAT </w:instrText>
      </w:r>
      <w:r w:rsidRPr="0098262F">
        <w:fldChar w:fldCharType="separate"/>
      </w:r>
      <w:r w:rsidR="00382EF0" w:rsidRPr="00382EF0">
        <w:t>Table 5</w:t>
      </w:r>
      <w:r w:rsidRPr="0098262F">
        <w:fldChar w:fldCharType="end"/>
      </w:r>
      <w:r w:rsidRPr="0098262F">
        <w:t xml:space="preserve">. </w:t>
      </w:r>
    </w:p>
    <w:p w14:paraId="50A23595" w14:textId="287B882B" w:rsidR="00404D38" w:rsidRDefault="00404D38" w:rsidP="00CB3FB5">
      <w:pPr>
        <w:pStyle w:val="Caption"/>
        <w:rPr>
          <w:rStyle w:val="CommentReference"/>
          <w:rFonts w:eastAsiaTheme="majorEastAsia" w:cstheme="majorBidi"/>
          <w:b/>
          <w:szCs w:val="24"/>
        </w:rPr>
      </w:pPr>
      <w:bookmarkStart w:id="46" w:name="_Ref104804098"/>
      <w:r w:rsidRPr="0098262F">
        <w:rPr>
          <w:rStyle w:val="CommentReference"/>
          <w:rFonts w:eastAsiaTheme="majorEastAsia" w:cstheme="majorBidi"/>
          <w:b/>
          <w:szCs w:val="24"/>
        </w:rPr>
        <w:lastRenderedPageBreak/>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382EF0">
        <w:rPr>
          <w:rStyle w:val="CommentReference"/>
          <w:rFonts w:eastAsiaTheme="majorEastAsia" w:cstheme="majorBidi"/>
          <w:b/>
          <w:noProof/>
          <w:szCs w:val="24"/>
        </w:rPr>
        <w:t>5</w:t>
      </w:r>
      <w:r w:rsidRPr="0098262F">
        <w:rPr>
          <w:rStyle w:val="CommentReference"/>
          <w:rFonts w:eastAsiaTheme="majorEastAsia" w:cstheme="majorBidi"/>
          <w:b/>
          <w:szCs w:val="24"/>
        </w:rPr>
        <w:fldChar w:fldCharType="end"/>
      </w:r>
      <w:bookmarkEnd w:id="46"/>
      <w:r w:rsidRPr="0098262F">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Key feastures of the included evidence"/>
        <w:tblDescription w:val="PEDFIC 1 and 2 compare odevixibat vs placebo. OvEC compares odevixibat (PEDFIC 1 and 2) to external controls (NAPPED)"/>
      </w:tblPr>
      <w:tblGrid>
        <w:gridCol w:w="955"/>
        <w:gridCol w:w="1876"/>
        <w:gridCol w:w="849"/>
        <w:gridCol w:w="709"/>
        <w:gridCol w:w="2126"/>
        <w:gridCol w:w="1277"/>
        <w:gridCol w:w="1225"/>
      </w:tblGrid>
      <w:tr w:rsidR="005514B9" w:rsidRPr="00D33C2C" w14:paraId="3205D64D" w14:textId="77777777" w:rsidTr="00E402CF">
        <w:trPr>
          <w:cantSplit/>
        </w:trPr>
        <w:tc>
          <w:tcPr>
            <w:tcW w:w="530" w:type="pct"/>
            <w:shd w:val="clear" w:color="auto" w:fill="DBE5F1" w:themeFill="accent1" w:themeFillTint="33"/>
            <w:vAlign w:val="center"/>
          </w:tcPr>
          <w:p w14:paraId="0FD4F5AA" w14:textId="48457246" w:rsidR="005514B9" w:rsidRPr="005514B9" w:rsidRDefault="005514B9" w:rsidP="005514B9">
            <w:pPr>
              <w:pStyle w:val="TableText0"/>
              <w:rPr>
                <w:b/>
                <w:bCs w:val="0"/>
              </w:rPr>
            </w:pPr>
            <w:r w:rsidRPr="005514B9">
              <w:rPr>
                <w:b/>
                <w:bCs w:val="0"/>
              </w:rPr>
              <w:t>Trial</w:t>
            </w:r>
          </w:p>
        </w:tc>
        <w:tc>
          <w:tcPr>
            <w:tcW w:w="1040" w:type="pct"/>
            <w:shd w:val="clear" w:color="auto" w:fill="DBE5F1" w:themeFill="accent1" w:themeFillTint="33"/>
            <w:vAlign w:val="center"/>
          </w:tcPr>
          <w:p w14:paraId="77E13D4B" w14:textId="2B3DC4B8" w:rsidR="005514B9" w:rsidRPr="005514B9" w:rsidRDefault="005514B9" w:rsidP="005514B9">
            <w:pPr>
              <w:pStyle w:val="TableText0"/>
              <w:jc w:val="center"/>
              <w:rPr>
                <w:b/>
                <w:bCs w:val="0"/>
              </w:rPr>
            </w:pPr>
            <w:r w:rsidRPr="005514B9">
              <w:rPr>
                <w:b/>
                <w:bCs w:val="0"/>
              </w:rPr>
              <w:t>N</w:t>
            </w:r>
          </w:p>
        </w:tc>
        <w:tc>
          <w:tcPr>
            <w:tcW w:w="471" w:type="pct"/>
            <w:shd w:val="clear" w:color="auto" w:fill="DBE5F1" w:themeFill="accent1" w:themeFillTint="33"/>
            <w:vAlign w:val="center"/>
          </w:tcPr>
          <w:p w14:paraId="16F94B7A" w14:textId="7BB07FC9" w:rsidR="005514B9" w:rsidRPr="005514B9" w:rsidRDefault="005514B9" w:rsidP="005514B9">
            <w:pPr>
              <w:pStyle w:val="TableText0"/>
              <w:jc w:val="center"/>
              <w:rPr>
                <w:b/>
                <w:bCs w:val="0"/>
              </w:rPr>
            </w:pPr>
            <w:r w:rsidRPr="005514B9">
              <w:rPr>
                <w:b/>
                <w:bCs w:val="0"/>
              </w:rPr>
              <w:t>Design/ duration</w:t>
            </w:r>
          </w:p>
        </w:tc>
        <w:tc>
          <w:tcPr>
            <w:tcW w:w="393" w:type="pct"/>
            <w:shd w:val="clear" w:color="auto" w:fill="DBE5F1" w:themeFill="accent1" w:themeFillTint="33"/>
            <w:vAlign w:val="center"/>
          </w:tcPr>
          <w:p w14:paraId="74D14A14" w14:textId="3D234405" w:rsidR="005514B9" w:rsidRPr="005514B9" w:rsidRDefault="005514B9" w:rsidP="005514B9">
            <w:pPr>
              <w:pStyle w:val="TableText0"/>
              <w:jc w:val="center"/>
              <w:rPr>
                <w:b/>
                <w:bCs w:val="0"/>
                <w:i/>
              </w:rPr>
            </w:pPr>
            <w:r w:rsidRPr="005514B9">
              <w:rPr>
                <w:b/>
                <w:bCs w:val="0"/>
              </w:rPr>
              <w:t>Risk of bias</w:t>
            </w:r>
          </w:p>
        </w:tc>
        <w:tc>
          <w:tcPr>
            <w:tcW w:w="1179" w:type="pct"/>
            <w:shd w:val="clear" w:color="auto" w:fill="DBE5F1" w:themeFill="accent1" w:themeFillTint="33"/>
            <w:vAlign w:val="center"/>
          </w:tcPr>
          <w:p w14:paraId="1C13DB67" w14:textId="0CF5535A" w:rsidR="005514B9" w:rsidRPr="005514B9" w:rsidRDefault="005514B9" w:rsidP="005514B9">
            <w:pPr>
              <w:pStyle w:val="TableText0"/>
              <w:jc w:val="center"/>
              <w:rPr>
                <w:b/>
                <w:bCs w:val="0"/>
              </w:rPr>
            </w:pPr>
            <w:r w:rsidRPr="005514B9">
              <w:rPr>
                <w:b/>
                <w:bCs w:val="0"/>
              </w:rPr>
              <w:t>Patient population</w:t>
            </w:r>
          </w:p>
        </w:tc>
        <w:tc>
          <w:tcPr>
            <w:tcW w:w="708" w:type="pct"/>
            <w:shd w:val="clear" w:color="auto" w:fill="DBE5F1" w:themeFill="accent1" w:themeFillTint="33"/>
            <w:vAlign w:val="center"/>
          </w:tcPr>
          <w:p w14:paraId="40D4B4E4" w14:textId="3A8B6DE0" w:rsidR="005514B9" w:rsidRPr="005514B9" w:rsidRDefault="005514B9" w:rsidP="005514B9">
            <w:pPr>
              <w:pStyle w:val="TableText0"/>
              <w:jc w:val="center"/>
              <w:rPr>
                <w:b/>
                <w:bCs w:val="0"/>
              </w:rPr>
            </w:pPr>
            <w:r w:rsidRPr="005514B9">
              <w:rPr>
                <w:b/>
                <w:bCs w:val="0"/>
              </w:rPr>
              <w:t xml:space="preserve">Outcome(s) </w:t>
            </w:r>
            <w:r w:rsidRPr="005514B9">
              <w:rPr>
                <w:b/>
                <w:bCs w:val="0"/>
                <w:vertAlign w:val="superscript"/>
              </w:rPr>
              <w:t>d</w:t>
            </w:r>
          </w:p>
        </w:tc>
        <w:tc>
          <w:tcPr>
            <w:tcW w:w="679" w:type="pct"/>
            <w:shd w:val="clear" w:color="auto" w:fill="DBE5F1" w:themeFill="accent1" w:themeFillTint="33"/>
            <w:vAlign w:val="center"/>
          </w:tcPr>
          <w:p w14:paraId="3B2C6AB1" w14:textId="1202FD79" w:rsidR="005514B9" w:rsidRPr="005514B9" w:rsidRDefault="005514B9" w:rsidP="005514B9">
            <w:pPr>
              <w:pStyle w:val="TableText0"/>
              <w:jc w:val="center"/>
              <w:rPr>
                <w:b/>
                <w:bCs w:val="0"/>
              </w:rPr>
            </w:pPr>
            <w:r w:rsidRPr="005514B9">
              <w:rPr>
                <w:b/>
                <w:bCs w:val="0"/>
              </w:rPr>
              <w:t>Use in modelled evaluation</w:t>
            </w:r>
          </w:p>
        </w:tc>
      </w:tr>
      <w:tr w:rsidR="005514B9" w:rsidRPr="00D33C2C" w14:paraId="0330D0FD" w14:textId="77777777" w:rsidTr="005514B9">
        <w:trPr>
          <w:cantSplit/>
        </w:trPr>
        <w:tc>
          <w:tcPr>
            <w:tcW w:w="5000" w:type="pct"/>
            <w:gridSpan w:val="7"/>
            <w:shd w:val="clear" w:color="auto" w:fill="DBE5F1" w:themeFill="accent1" w:themeFillTint="33"/>
            <w:vAlign w:val="center"/>
          </w:tcPr>
          <w:p w14:paraId="57DE38AB" w14:textId="17C2CF4B" w:rsidR="005514B9" w:rsidRPr="005514B9" w:rsidRDefault="005514B9" w:rsidP="005514B9">
            <w:pPr>
              <w:pStyle w:val="TableText0"/>
              <w:rPr>
                <w:b/>
                <w:bCs w:val="0"/>
              </w:rPr>
            </w:pPr>
            <w:r w:rsidRPr="005514B9">
              <w:rPr>
                <w:b/>
                <w:bCs w:val="0"/>
              </w:rPr>
              <w:t xml:space="preserve">Odevixibat vs placebo </w:t>
            </w:r>
          </w:p>
        </w:tc>
      </w:tr>
      <w:tr w:rsidR="00404D38" w:rsidRPr="00D33C2C" w14:paraId="60FBE7DF" w14:textId="77777777" w:rsidTr="00E402CF">
        <w:trPr>
          <w:cantSplit/>
        </w:trPr>
        <w:tc>
          <w:tcPr>
            <w:tcW w:w="530" w:type="pct"/>
            <w:shd w:val="clear" w:color="auto" w:fill="DBE5F1" w:themeFill="accent1" w:themeFillTint="33"/>
            <w:vAlign w:val="center"/>
          </w:tcPr>
          <w:p w14:paraId="1E2761F1" w14:textId="77777777" w:rsidR="00404D38" w:rsidRPr="00D33C2C" w:rsidRDefault="00404D38" w:rsidP="00CB3FB5">
            <w:pPr>
              <w:pStyle w:val="TableText0"/>
              <w:rPr>
                <w:vertAlign w:val="superscript"/>
              </w:rPr>
            </w:pPr>
            <w:r w:rsidRPr="00D33C2C">
              <w:t xml:space="preserve">PEDFIC 1 </w:t>
            </w:r>
            <w:r w:rsidRPr="00D33C2C">
              <w:rPr>
                <w:vertAlign w:val="superscript"/>
              </w:rPr>
              <w:t>a</w:t>
            </w:r>
          </w:p>
        </w:tc>
        <w:tc>
          <w:tcPr>
            <w:tcW w:w="1040" w:type="pct"/>
            <w:shd w:val="clear" w:color="auto" w:fill="DBE5F1" w:themeFill="accent1" w:themeFillTint="33"/>
            <w:vAlign w:val="center"/>
          </w:tcPr>
          <w:p w14:paraId="67E51957" w14:textId="0C81DF5F" w:rsidR="00404D38" w:rsidRPr="00D33C2C" w:rsidRDefault="00404D38" w:rsidP="00CB3FB5">
            <w:pPr>
              <w:pStyle w:val="TableText0"/>
              <w:jc w:val="center"/>
            </w:pPr>
            <w:r w:rsidRPr="00D33C2C">
              <w:t>40</w:t>
            </w:r>
            <w:r w:rsidR="0017081E">
              <w:t> mcg</w:t>
            </w:r>
            <w:r w:rsidRPr="00D33C2C">
              <w:t>/kg = 23</w:t>
            </w:r>
          </w:p>
          <w:p w14:paraId="5B0A00AF" w14:textId="0B779E66" w:rsidR="00404D38" w:rsidRPr="00D33C2C" w:rsidRDefault="00404D38" w:rsidP="00CB3FB5">
            <w:pPr>
              <w:pStyle w:val="TableText0"/>
              <w:jc w:val="center"/>
            </w:pPr>
            <w:r w:rsidRPr="00D33C2C">
              <w:t>120</w:t>
            </w:r>
            <w:r w:rsidR="0017081E">
              <w:t> mcg</w:t>
            </w:r>
            <w:r w:rsidRPr="00D33C2C">
              <w:t>/kg = 19</w:t>
            </w:r>
          </w:p>
          <w:p w14:paraId="29C930DD" w14:textId="47164D86" w:rsidR="00404D38" w:rsidRPr="00D33C2C" w:rsidRDefault="00404D38" w:rsidP="00CB3FB5">
            <w:pPr>
              <w:pStyle w:val="TableText0"/>
              <w:jc w:val="center"/>
            </w:pPr>
            <w:r w:rsidRPr="00D33C2C">
              <w:t xml:space="preserve">Placebo = 20 </w:t>
            </w:r>
          </w:p>
        </w:tc>
        <w:tc>
          <w:tcPr>
            <w:tcW w:w="471" w:type="pct"/>
            <w:shd w:val="clear" w:color="auto" w:fill="DBE5F1" w:themeFill="accent1" w:themeFillTint="33"/>
            <w:vAlign w:val="center"/>
          </w:tcPr>
          <w:p w14:paraId="2664485B" w14:textId="77777777" w:rsidR="00404D38" w:rsidRPr="00D33C2C" w:rsidRDefault="00404D38" w:rsidP="00CB3FB5">
            <w:pPr>
              <w:pStyle w:val="TableText0"/>
              <w:jc w:val="center"/>
              <w:rPr>
                <w:vertAlign w:val="superscript"/>
              </w:rPr>
            </w:pPr>
            <w:r w:rsidRPr="00D33C2C">
              <w:t xml:space="preserve">R, DB, MC </w:t>
            </w:r>
          </w:p>
          <w:p w14:paraId="70389C21" w14:textId="77777777" w:rsidR="00404D38" w:rsidRPr="00D33C2C" w:rsidRDefault="00404D38" w:rsidP="00CB3FB5">
            <w:pPr>
              <w:pStyle w:val="TableText0"/>
              <w:jc w:val="center"/>
            </w:pPr>
            <w:r w:rsidRPr="00D33C2C">
              <w:t>24 weeks</w:t>
            </w:r>
          </w:p>
        </w:tc>
        <w:tc>
          <w:tcPr>
            <w:tcW w:w="393" w:type="pct"/>
            <w:shd w:val="clear" w:color="auto" w:fill="DBE5F1" w:themeFill="accent1" w:themeFillTint="33"/>
            <w:vAlign w:val="center"/>
          </w:tcPr>
          <w:p w14:paraId="46CA8C5C" w14:textId="77777777" w:rsidR="00404D38" w:rsidRPr="009972B7" w:rsidRDefault="00404D38" w:rsidP="00CB3FB5">
            <w:pPr>
              <w:pStyle w:val="TableText0"/>
              <w:jc w:val="center"/>
              <w:rPr>
                <w:iCs/>
              </w:rPr>
            </w:pPr>
            <w:r w:rsidRPr="009972B7">
              <w:rPr>
                <w:iCs/>
              </w:rPr>
              <w:t>Low</w:t>
            </w:r>
          </w:p>
        </w:tc>
        <w:tc>
          <w:tcPr>
            <w:tcW w:w="1179" w:type="pct"/>
            <w:shd w:val="clear" w:color="auto" w:fill="DBE5F1" w:themeFill="accent1" w:themeFillTint="33"/>
            <w:vAlign w:val="center"/>
          </w:tcPr>
          <w:p w14:paraId="63776E53" w14:textId="77777777" w:rsidR="00404D38" w:rsidRDefault="00404D38" w:rsidP="00CB3FB5">
            <w:pPr>
              <w:pStyle w:val="TableText0"/>
              <w:jc w:val="center"/>
            </w:pPr>
            <w:r w:rsidRPr="00D33C2C">
              <w:t>PFIC1 and 2</w:t>
            </w:r>
            <w:r>
              <w:t>;</w:t>
            </w:r>
            <w:r w:rsidRPr="00D33C2C">
              <w:t xml:space="preserve"> </w:t>
            </w:r>
            <w:r>
              <w:br/>
            </w:r>
            <w:r w:rsidRPr="00D33C2C">
              <w:t>≥</w:t>
            </w:r>
            <w:r>
              <w:t xml:space="preserve"> </w:t>
            </w:r>
            <w:r w:rsidRPr="00D33C2C">
              <w:t>6</w:t>
            </w:r>
            <w:r>
              <w:t xml:space="preserve"> months</w:t>
            </w:r>
            <w:r w:rsidRPr="00D33C2C">
              <w:t xml:space="preserve"> and &lt;</w:t>
            </w:r>
            <w:r>
              <w:t xml:space="preserve"> </w:t>
            </w:r>
            <w:r w:rsidRPr="00D33C2C">
              <w:t>18</w:t>
            </w:r>
            <w:r>
              <w:t xml:space="preserve"> </w:t>
            </w:r>
            <w:r w:rsidRPr="00D33C2C">
              <w:t>y</w:t>
            </w:r>
            <w:r>
              <w:t>ears;</w:t>
            </w:r>
            <w:r w:rsidRPr="00D33C2C">
              <w:t xml:space="preserve"> </w:t>
            </w:r>
          </w:p>
          <w:p w14:paraId="77D05C3C" w14:textId="77777777" w:rsidR="00404D38" w:rsidRPr="00D33C2C" w:rsidRDefault="00404D38" w:rsidP="00CB3FB5">
            <w:pPr>
              <w:pStyle w:val="TableText0"/>
              <w:jc w:val="center"/>
            </w:pPr>
            <w:r>
              <w:t>No</w:t>
            </w:r>
            <w:r w:rsidRPr="00D33C2C">
              <w:t xml:space="preserve"> SBD </w:t>
            </w:r>
            <w:r>
              <w:t xml:space="preserve">within </w:t>
            </w:r>
            <w:r w:rsidRPr="00D33C2C">
              <w:t>&lt;</w:t>
            </w:r>
            <w:r>
              <w:t xml:space="preserve"> </w:t>
            </w:r>
            <w:r w:rsidRPr="00D33C2C">
              <w:t>6</w:t>
            </w:r>
            <w:r>
              <w:t xml:space="preserve"> </w:t>
            </w:r>
            <w:r w:rsidRPr="00D33C2C">
              <w:t>m</w:t>
            </w:r>
            <w:r>
              <w:t>onths of enrolment</w:t>
            </w:r>
          </w:p>
        </w:tc>
        <w:tc>
          <w:tcPr>
            <w:tcW w:w="708" w:type="pct"/>
            <w:shd w:val="clear" w:color="auto" w:fill="DBE5F1" w:themeFill="accent1" w:themeFillTint="33"/>
            <w:vAlign w:val="center"/>
          </w:tcPr>
          <w:p w14:paraId="0F6F7431" w14:textId="77777777" w:rsidR="00404D38" w:rsidRPr="00D33C2C" w:rsidRDefault="00404D38" w:rsidP="00CB3FB5">
            <w:pPr>
              <w:pStyle w:val="TableText0"/>
              <w:jc w:val="center"/>
              <w:rPr>
                <w:vertAlign w:val="superscript"/>
              </w:rPr>
            </w:pPr>
            <w:r w:rsidRPr="00D33C2C">
              <w:t xml:space="preserve">sBA response, pruritus response, safety </w:t>
            </w:r>
          </w:p>
        </w:tc>
        <w:tc>
          <w:tcPr>
            <w:tcW w:w="679" w:type="pct"/>
            <w:shd w:val="clear" w:color="auto" w:fill="DBE5F1" w:themeFill="accent1" w:themeFillTint="33"/>
            <w:vAlign w:val="center"/>
          </w:tcPr>
          <w:p w14:paraId="41C94229" w14:textId="77777777" w:rsidR="00404D38" w:rsidRPr="00D33C2C" w:rsidRDefault="00404D38" w:rsidP="00CB3FB5">
            <w:pPr>
              <w:pStyle w:val="TableText0"/>
              <w:jc w:val="center"/>
            </w:pPr>
            <w:r>
              <w:t>Odevixibat sBA response</w:t>
            </w:r>
          </w:p>
        </w:tc>
      </w:tr>
      <w:tr w:rsidR="00404D38" w:rsidRPr="00D33C2C" w14:paraId="31978665" w14:textId="77777777" w:rsidTr="00E402CF">
        <w:trPr>
          <w:cantSplit/>
        </w:trPr>
        <w:tc>
          <w:tcPr>
            <w:tcW w:w="530" w:type="pct"/>
            <w:shd w:val="clear" w:color="auto" w:fill="DBE5F1" w:themeFill="accent1" w:themeFillTint="33"/>
            <w:vAlign w:val="center"/>
          </w:tcPr>
          <w:p w14:paraId="3AFB5311" w14:textId="77777777" w:rsidR="00404D38" w:rsidRPr="00D33C2C" w:rsidRDefault="00404D38" w:rsidP="00CB3FB5">
            <w:pPr>
              <w:pStyle w:val="TableText0"/>
              <w:rPr>
                <w:vertAlign w:val="superscript"/>
              </w:rPr>
            </w:pPr>
            <w:r w:rsidRPr="00D33C2C">
              <w:t xml:space="preserve">PEDFIC 2 </w:t>
            </w:r>
            <w:r w:rsidRPr="00D33C2C">
              <w:rPr>
                <w:vertAlign w:val="superscript"/>
              </w:rPr>
              <w:t>b</w:t>
            </w:r>
          </w:p>
        </w:tc>
        <w:tc>
          <w:tcPr>
            <w:tcW w:w="1040" w:type="pct"/>
            <w:shd w:val="clear" w:color="auto" w:fill="DBE5F1" w:themeFill="accent1" w:themeFillTint="33"/>
            <w:vAlign w:val="center"/>
          </w:tcPr>
          <w:p w14:paraId="56AE9315" w14:textId="77777777" w:rsidR="00404D38" w:rsidRPr="00D33C2C" w:rsidRDefault="00404D38" w:rsidP="00CB3FB5">
            <w:pPr>
              <w:pStyle w:val="TableText0"/>
              <w:jc w:val="center"/>
            </w:pPr>
            <w:r w:rsidRPr="00D33C2C">
              <w:t>Cohort 1 = 5</w:t>
            </w:r>
            <w:r>
              <w:t>6</w:t>
            </w:r>
          </w:p>
          <w:p w14:paraId="024D79A7" w14:textId="77777777" w:rsidR="00404D38" w:rsidRPr="00D33C2C" w:rsidRDefault="00404D38" w:rsidP="00CB3FB5">
            <w:pPr>
              <w:pStyle w:val="TableText0"/>
              <w:jc w:val="center"/>
            </w:pPr>
            <w:r w:rsidRPr="00D33C2C">
              <w:t xml:space="preserve">Cohort 2 = </w:t>
            </w:r>
            <w:r>
              <w:t>60</w:t>
            </w:r>
          </w:p>
          <w:p w14:paraId="7140BA28" w14:textId="50CE6FDA" w:rsidR="00404D38" w:rsidRPr="00D33C2C" w:rsidRDefault="00404D38" w:rsidP="00CB3FB5">
            <w:pPr>
              <w:pStyle w:val="TableText0"/>
              <w:jc w:val="center"/>
            </w:pPr>
            <w:r w:rsidRPr="00D33C2C">
              <w:t>All received 120</w:t>
            </w:r>
            <w:r w:rsidR="0017081E">
              <w:t> mcg</w:t>
            </w:r>
            <w:r w:rsidRPr="00D33C2C">
              <w:t xml:space="preserve">/kg </w:t>
            </w:r>
          </w:p>
        </w:tc>
        <w:tc>
          <w:tcPr>
            <w:tcW w:w="471" w:type="pct"/>
            <w:shd w:val="clear" w:color="auto" w:fill="DBE5F1" w:themeFill="accent1" w:themeFillTint="33"/>
            <w:vAlign w:val="center"/>
          </w:tcPr>
          <w:p w14:paraId="5B327D1A" w14:textId="77777777" w:rsidR="00404D38" w:rsidRPr="00D33C2C" w:rsidRDefault="00404D38" w:rsidP="00CB3FB5">
            <w:pPr>
              <w:pStyle w:val="TableText0"/>
              <w:jc w:val="center"/>
            </w:pPr>
            <w:r w:rsidRPr="00D33C2C">
              <w:t>SA, OL</w:t>
            </w:r>
          </w:p>
          <w:p w14:paraId="3AF646DB" w14:textId="77777777" w:rsidR="00404D38" w:rsidRPr="00D33C2C" w:rsidRDefault="00404D38" w:rsidP="00CB3FB5">
            <w:pPr>
              <w:pStyle w:val="TableText0"/>
              <w:jc w:val="center"/>
            </w:pPr>
            <w:r w:rsidRPr="00D33C2C">
              <w:t>Ongoing</w:t>
            </w:r>
          </w:p>
        </w:tc>
        <w:tc>
          <w:tcPr>
            <w:tcW w:w="393" w:type="pct"/>
            <w:shd w:val="clear" w:color="auto" w:fill="DBE5F1" w:themeFill="accent1" w:themeFillTint="33"/>
            <w:vAlign w:val="center"/>
          </w:tcPr>
          <w:p w14:paraId="1509156E" w14:textId="77777777" w:rsidR="00404D38" w:rsidRPr="009972B7" w:rsidRDefault="00404D38" w:rsidP="00CB3FB5">
            <w:pPr>
              <w:pStyle w:val="TableText0"/>
              <w:jc w:val="center"/>
              <w:rPr>
                <w:iCs/>
              </w:rPr>
            </w:pPr>
            <w:r w:rsidRPr="009972B7">
              <w:rPr>
                <w:iCs/>
              </w:rPr>
              <w:t>High</w:t>
            </w:r>
          </w:p>
        </w:tc>
        <w:tc>
          <w:tcPr>
            <w:tcW w:w="1179" w:type="pct"/>
            <w:shd w:val="clear" w:color="auto" w:fill="DBE5F1" w:themeFill="accent1" w:themeFillTint="33"/>
            <w:vAlign w:val="center"/>
          </w:tcPr>
          <w:p w14:paraId="1887D695" w14:textId="77777777" w:rsidR="00404D38" w:rsidRPr="00D33C2C" w:rsidRDefault="00404D38" w:rsidP="00CB3FB5">
            <w:pPr>
              <w:pStyle w:val="TableText0"/>
              <w:jc w:val="center"/>
            </w:pPr>
            <w:r w:rsidRPr="00D33C2C">
              <w:t xml:space="preserve">Cohort 1 = PEDFIC 1 </w:t>
            </w:r>
          </w:p>
          <w:p w14:paraId="2E3FDFC2" w14:textId="77777777" w:rsidR="00404D38" w:rsidRPr="00D33C2C" w:rsidRDefault="00404D38" w:rsidP="00CB3FB5">
            <w:pPr>
              <w:pStyle w:val="TableText0"/>
              <w:jc w:val="center"/>
            </w:pPr>
            <w:r w:rsidRPr="00D33C2C">
              <w:t>Cohort 2 = PFIC any subtype and age</w:t>
            </w:r>
          </w:p>
        </w:tc>
        <w:tc>
          <w:tcPr>
            <w:tcW w:w="708" w:type="pct"/>
            <w:shd w:val="clear" w:color="auto" w:fill="DBE5F1" w:themeFill="accent1" w:themeFillTint="33"/>
            <w:vAlign w:val="center"/>
          </w:tcPr>
          <w:p w14:paraId="6377CFD8" w14:textId="77777777" w:rsidR="00404D38" w:rsidRPr="00D33C2C" w:rsidRDefault="00404D38" w:rsidP="00CB3FB5">
            <w:pPr>
              <w:pStyle w:val="TableText0"/>
              <w:jc w:val="center"/>
            </w:pPr>
            <w:r w:rsidRPr="00D33C2C">
              <w:t>sBA levels and pruritus score</w:t>
            </w:r>
          </w:p>
        </w:tc>
        <w:tc>
          <w:tcPr>
            <w:tcW w:w="679" w:type="pct"/>
            <w:shd w:val="clear" w:color="auto" w:fill="DBE5F1" w:themeFill="accent1" w:themeFillTint="33"/>
            <w:vAlign w:val="center"/>
          </w:tcPr>
          <w:p w14:paraId="066D7E6B" w14:textId="77777777" w:rsidR="00404D38" w:rsidRPr="00D33C2C" w:rsidRDefault="00404D38" w:rsidP="00CB3FB5">
            <w:pPr>
              <w:pStyle w:val="TableText0"/>
              <w:jc w:val="center"/>
            </w:pPr>
            <w:r>
              <w:t>D</w:t>
            </w:r>
            <w:r w:rsidRPr="00D33C2C">
              <w:t>iscontinuation rates</w:t>
            </w:r>
            <w:r>
              <w:t xml:space="preserve"> and rate of PEBD in odevixibat arm</w:t>
            </w:r>
          </w:p>
        </w:tc>
      </w:tr>
      <w:tr w:rsidR="00404D38" w:rsidRPr="00D33C2C" w14:paraId="6146EFD9" w14:textId="77777777" w:rsidTr="00AC13C1">
        <w:trPr>
          <w:cantSplit/>
        </w:trPr>
        <w:tc>
          <w:tcPr>
            <w:tcW w:w="5000" w:type="pct"/>
            <w:gridSpan w:val="7"/>
            <w:shd w:val="clear" w:color="auto" w:fill="auto"/>
            <w:vAlign w:val="center"/>
          </w:tcPr>
          <w:p w14:paraId="1D0B9B06" w14:textId="77777777" w:rsidR="00404D38" w:rsidRPr="00D33C2C" w:rsidRDefault="00404D38" w:rsidP="00CB3FB5">
            <w:pPr>
              <w:pStyle w:val="TableText0"/>
              <w:rPr>
                <w:b/>
                <w:bCs w:val="0"/>
              </w:rPr>
            </w:pPr>
            <w:r w:rsidRPr="00D33C2C">
              <w:rPr>
                <w:b/>
                <w:bCs w:val="0"/>
              </w:rPr>
              <w:t>ITC: Odevixibat (PEDFIC 1 and 2) vs External Controls (NAPPED)</w:t>
            </w:r>
          </w:p>
        </w:tc>
      </w:tr>
      <w:tr w:rsidR="00404D38" w:rsidRPr="00D33C2C" w14:paraId="04119C28" w14:textId="77777777" w:rsidTr="00E402CF">
        <w:trPr>
          <w:cantSplit/>
        </w:trPr>
        <w:tc>
          <w:tcPr>
            <w:tcW w:w="530" w:type="pct"/>
            <w:shd w:val="clear" w:color="auto" w:fill="DBE5F1" w:themeFill="accent1" w:themeFillTint="33"/>
            <w:vAlign w:val="center"/>
          </w:tcPr>
          <w:p w14:paraId="796C3A49" w14:textId="77777777" w:rsidR="00404D38" w:rsidRPr="00D33C2C" w:rsidRDefault="00404D38" w:rsidP="00CB3FB5">
            <w:pPr>
              <w:pStyle w:val="TableText0"/>
              <w:rPr>
                <w:vertAlign w:val="superscript"/>
              </w:rPr>
            </w:pPr>
            <w:r w:rsidRPr="00D33C2C">
              <w:t xml:space="preserve">OvEC </w:t>
            </w:r>
            <w:r w:rsidRPr="00D33C2C">
              <w:rPr>
                <w:vertAlign w:val="superscript"/>
              </w:rPr>
              <w:t>c</w:t>
            </w:r>
          </w:p>
        </w:tc>
        <w:tc>
          <w:tcPr>
            <w:tcW w:w="1040" w:type="pct"/>
            <w:shd w:val="clear" w:color="auto" w:fill="DBE5F1" w:themeFill="accent1" w:themeFillTint="33"/>
            <w:vAlign w:val="center"/>
          </w:tcPr>
          <w:p w14:paraId="4804F649" w14:textId="77777777" w:rsidR="00404D38" w:rsidRPr="00D33C2C" w:rsidRDefault="00404D38" w:rsidP="00CB3FB5">
            <w:pPr>
              <w:pStyle w:val="TableText0"/>
              <w:jc w:val="center"/>
            </w:pPr>
            <w:r w:rsidRPr="00D33C2C">
              <w:t>Odevixibat ‘all doses’ = 69</w:t>
            </w:r>
          </w:p>
          <w:p w14:paraId="01691A6D" w14:textId="77777777" w:rsidR="00404D38" w:rsidRPr="00D33C2C" w:rsidRDefault="00404D38" w:rsidP="00CB3FB5">
            <w:pPr>
              <w:pStyle w:val="TableText0"/>
              <w:jc w:val="center"/>
            </w:pPr>
            <w:r w:rsidRPr="00D33C2C">
              <w:t>Control (Part A) = 80</w:t>
            </w:r>
          </w:p>
          <w:p w14:paraId="38277B26" w14:textId="77777777" w:rsidR="00404D38" w:rsidRPr="00D33C2C" w:rsidRDefault="00404D38" w:rsidP="00CB3FB5">
            <w:pPr>
              <w:pStyle w:val="TableText0"/>
              <w:jc w:val="center"/>
            </w:pPr>
            <w:r w:rsidRPr="00D33C2C">
              <w:t xml:space="preserve">Controls </w:t>
            </w:r>
            <w:r>
              <w:t>(</w:t>
            </w:r>
            <w:r w:rsidRPr="00D33C2C">
              <w:t>Part B</w:t>
            </w:r>
            <w:r>
              <w:t>)</w:t>
            </w:r>
            <w:r w:rsidRPr="00D33C2C">
              <w:t xml:space="preserve"> = 24</w:t>
            </w:r>
          </w:p>
        </w:tc>
        <w:tc>
          <w:tcPr>
            <w:tcW w:w="471" w:type="pct"/>
            <w:shd w:val="clear" w:color="auto" w:fill="DBE5F1" w:themeFill="accent1" w:themeFillTint="33"/>
            <w:vAlign w:val="center"/>
          </w:tcPr>
          <w:p w14:paraId="5DAC3972" w14:textId="77777777" w:rsidR="00404D38" w:rsidRPr="00D33C2C" w:rsidRDefault="00404D38" w:rsidP="00CB3FB5">
            <w:pPr>
              <w:pStyle w:val="TableText0"/>
              <w:jc w:val="center"/>
            </w:pPr>
            <w:r w:rsidRPr="00D33C2C">
              <w:t>ITC</w:t>
            </w:r>
          </w:p>
          <w:p w14:paraId="3324AB26" w14:textId="77777777" w:rsidR="00404D38" w:rsidRPr="00D33C2C" w:rsidRDefault="00404D38" w:rsidP="00CB3FB5">
            <w:pPr>
              <w:pStyle w:val="TableText0"/>
              <w:jc w:val="center"/>
            </w:pPr>
            <w:r w:rsidRPr="00D33C2C">
              <w:t>22.6 months follow-up</w:t>
            </w:r>
          </w:p>
        </w:tc>
        <w:tc>
          <w:tcPr>
            <w:tcW w:w="393" w:type="pct"/>
            <w:shd w:val="clear" w:color="auto" w:fill="DBE5F1" w:themeFill="accent1" w:themeFillTint="33"/>
            <w:vAlign w:val="center"/>
          </w:tcPr>
          <w:p w14:paraId="20C69764" w14:textId="77777777" w:rsidR="00404D38" w:rsidRPr="009972B7" w:rsidRDefault="00404D38" w:rsidP="00CB3FB5">
            <w:pPr>
              <w:pStyle w:val="TableText0"/>
              <w:jc w:val="center"/>
              <w:rPr>
                <w:iCs/>
              </w:rPr>
            </w:pPr>
            <w:r w:rsidRPr="009972B7">
              <w:rPr>
                <w:iCs/>
              </w:rPr>
              <w:t>High</w:t>
            </w:r>
          </w:p>
        </w:tc>
        <w:tc>
          <w:tcPr>
            <w:tcW w:w="1179" w:type="pct"/>
            <w:shd w:val="clear" w:color="auto" w:fill="DBE5F1" w:themeFill="accent1" w:themeFillTint="33"/>
            <w:vAlign w:val="center"/>
          </w:tcPr>
          <w:p w14:paraId="7DAA8ED9" w14:textId="77777777" w:rsidR="00404D38" w:rsidRPr="00D33C2C" w:rsidRDefault="00404D38" w:rsidP="00CB3FB5">
            <w:pPr>
              <w:pStyle w:val="TableText0"/>
              <w:jc w:val="center"/>
            </w:pPr>
            <w:r w:rsidRPr="00D33C2C">
              <w:t>PFIC1 and 2</w:t>
            </w:r>
          </w:p>
          <w:p w14:paraId="13370B87" w14:textId="77777777" w:rsidR="00404D38" w:rsidRPr="00D33C2C" w:rsidRDefault="00404D38" w:rsidP="00CB3FB5">
            <w:pPr>
              <w:pStyle w:val="TableText0"/>
              <w:jc w:val="center"/>
            </w:pPr>
            <w:r w:rsidRPr="00D33C2C">
              <w:t>≥</w:t>
            </w:r>
            <w:r>
              <w:t xml:space="preserve"> </w:t>
            </w:r>
            <w:r w:rsidRPr="00D33C2C">
              <w:t>6</w:t>
            </w:r>
            <w:r>
              <w:t xml:space="preserve"> months</w:t>
            </w:r>
            <w:r w:rsidRPr="00D33C2C">
              <w:t xml:space="preserve"> and &lt;</w:t>
            </w:r>
            <w:r>
              <w:t xml:space="preserve"> </w:t>
            </w:r>
            <w:r w:rsidRPr="00D33C2C">
              <w:t>18</w:t>
            </w:r>
            <w:r>
              <w:t xml:space="preserve"> </w:t>
            </w:r>
            <w:r w:rsidRPr="00D33C2C">
              <w:t>y</w:t>
            </w:r>
            <w:r>
              <w:t>ears</w:t>
            </w:r>
          </w:p>
          <w:p w14:paraId="41C1F4B6" w14:textId="77777777" w:rsidR="00404D38" w:rsidRPr="00D33C2C" w:rsidRDefault="00404D38" w:rsidP="00CB3FB5">
            <w:pPr>
              <w:pStyle w:val="TableText0"/>
              <w:jc w:val="center"/>
            </w:pPr>
            <w:r w:rsidRPr="00D33C2C">
              <w:t>Part A = no prior SBD</w:t>
            </w:r>
          </w:p>
          <w:p w14:paraId="48D5CC93" w14:textId="77777777" w:rsidR="00404D38" w:rsidRPr="00D33C2C" w:rsidRDefault="00404D38" w:rsidP="00CB3FB5">
            <w:pPr>
              <w:pStyle w:val="TableText0"/>
              <w:jc w:val="center"/>
            </w:pPr>
            <w:r w:rsidRPr="00D33C2C">
              <w:t xml:space="preserve">Part B = </w:t>
            </w:r>
            <w:r>
              <w:t xml:space="preserve">prior </w:t>
            </w:r>
            <w:r w:rsidRPr="00D33C2C">
              <w:t>SBD</w:t>
            </w:r>
          </w:p>
        </w:tc>
        <w:tc>
          <w:tcPr>
            <w:tcW w:w="708" w:type="pct"/>
            <w:shd w:val="clear" w:color="auto" w:fill="DBE5F1" w:themeFill="accent1" w:themeFillTint="33"/>
            <w:vAlign w:val="center"/>
          </w:tcPr>
          <w:p w14:paraId="4D15F0CE" w14:textId="77777777" w:rsidR="00404D38" w:rsidRPr="00D33C2C" w:rsidRDefault="00404D38" w:rsidP="00CB3FB5">
            <w:pPr>
              <w:pStyle w:val="TableText0"/>
              <w:jc w:val="center"/>
            </w:pPr>
            <w:r w:rsidRPr="00D33C2C">
              <w:t>EFS (primary)</w:t>
            </w:r>
          </w:p>
          <w:p w14:paraId="5DC3DAA9" w14:textId="77777777" w:rsidR="00404D38" w:rsidRPr="00D33C2C" w:rsidRDefault="00404D38" w:rsidP="00CB3FB5">
            <w:pPr>
              <w:pStyle w:val="TableText0"/>
              <w:jc w:val="center"/>
            </w:pPr>
            <w:r w:rsidRPr="00D33C2C">
              <w:t>NLS, DFS, OS (secondary)</w:t>
            </w:r>
          </w:p>
        </w:tc>
        <w:tc>
          <w:tcPr>
            <w:tcW w:w="679" w:type="pct"/>
            <w:shd w:val="clear" w:color="auto" w:fill="DBE5F1" w:themeFill="accent1" w:themeFillTint="33"/>
            <w:vAlign w:val="center"/>
          </w:tcPr>
          <w:p w14:paraId="3DA87EB4" w14:textId="77777777" w:rsidR="00404D38" w:rsidRPr="00D33C2C" w:rsidRDefault="00404D38" w:rsidP="00CB3FB5">
            <w:pPr>
              <w:pStyle w:val="TableText0"/>
              <w:jc w:val="center"/>
            </w:pPr>
            <w:r>
              <w:t xml:space="preserve">Rate of PEBD in SoC arm, PEBD response and LT transitions </w:t>
            </w:r>
          </w:p>
        </w:tc>
      </w:tr>
    </w:tbl>
    <w:p w14:paraId="32A05910" w14:textId="77777777" w:rsidR="00404D38" w:rsidRPr="00974DF8" w:rsidRDefault="00404D38" w:rsidP="00D248EF">
      <w:pPr>
        <w:pStyle w:val="Tabletext"/>
        <w:jc w:val="both"/>
        <w:rPr>
          <w:sz w:val="18"/>
          <w:szCs w:val="22"/>
        </w:rPr>
      </w:pPr>
      <w:r w:rsidRPr="00974DF8">
        <w:rPr>
          <w:sz w:val="18"/>
          <w:szCs w:val="22"/>
        </w:rPr>
        <w:t>Source: Table 4, odevixibat PSD, July 2024 PBAC Meeting.</w:t>
      </w:r>
    </w:p>
    <w:p w14:paraId="4C858CEF" w14:textId="77777777" w:rsidR="00404D38" w:rsidRPr="00974DF8" w:rsidRDefault="00404D38" w:rsidP="00D248EF">
      <w:pPr>
        <w:pStyle w:val="Tabletext"/>
        <w:jc w:val="both"/>
        <w:rPr>
          <w:sz w:val="18"/>
          <w:szCs w:val="22"/>
        </w:rPr>
      </w:pPr>
      <w:r w:rsidRPr="00974DF8">
        <w:rPr>
          <w:sz w:val="18"/>
          <w:szCs w:val="22"/>
        </w:rPr>
        <w:t>Abbreviations: DB = double blind; DFS = diversion-free survival; EFS = event free survival; ITC = indirect treatment comparison; MC = multi-centre; NLS = native liver survival; OL = open label; OS = overall survival; PFIC = progressive familiar intrahepatic cholestasis; PFS = progression-free survival; R = randomised; SA = single arm; sBA = serum bile acid; SBD = surgical biliary diversion</w:t>
      </w:r>
    </w:p>
    <w:p w14:paraId="3A7C89A9" w14:textId="20B350C7" w:rsidR="00404D38" w:rsidRPr="00974DF8" w:rsidRDefault="00404D38" w:rsidP="00D248EF">
      <w:pPr>
        <w:pStyle w:val="Tabletext"/>
        <w:jc w:val="both"/>
        <w:rPr>
          <w:sz w:val="18"/>
          <w:szCs w:val="22"/>
        </w:rPr>
      </w:pPr>
      <w:r w:rsidRPr="00974DF8">
        <w:rPr>
          <w:sz w:val="18"/>
          <w:szCs w:val="22"/>
          <w:vertAlign w:val="superscript"/>
        </w:rPr>
        <w:t xml:space="preserve">a </w:t>
      </w:r>
      <w:r w:rsidRPr="00974DF8">
        <w:rPr>
          <w:sz w:val="18"/>
          <w:szCs w:val="22"/>
        </w:rPr>
        <w:t>PEDFIC 1 24-week study period was completed</w:t>
      </w:r>
      <w:r w:rsidR="00F56029">
        <w:rPr>
          <w:sz w:val="18"/>
          <w:szCs w:val="22"/>
        </w:rPr>
        <w:t>,</w:t>
      </w:r>
      <w:r w:rsidRPr="00974DF8">
        <w:rPr>
          <w:sz w:val="18"/>
          <w:szCs w:val="22"/>
        </w:rPr>
        <w:t xml:space="preserve"> and patients could roll over to PEDFIC 2 (prior to or at completion of study). </w:t>
      </w:r>
    </w:p>
    <w:p w14:paraId="56B9F441" w14:textId="28B3A3F7" w:rsidR="00404D38" w:rsidRPr="00974DF8" w:rsidRDefault="00404D38" w:rsidP="00D248EF">
      <w:pPr>
        <w:pStyle w:val="Tabletext"/>
        <w:jc w:val="both"/>
        <w:rPr>
          <w:sz w:val="18"/>
          <w:szCs w:val="22"/>
        </w:rPr>
      </w:pPr>
      <w:r w:rsidRPr="00974DF8">
        <w:rPr>
          <w:sz w:val="18"/>
          <w:szCs w:val="22"/>
          <w:vertAlign w:val="superscript"/>
        </w:rPr>
        <w:t xml:space="preserve">b </w:t>
      </w:r>
      <w:r w:rsidRPr="00974DF8">
        <w:rPr>
          <w:sz w:val="18"/>
          <w:szCs w:val="22"/>
        </w:rPr>
        <w:t>PEDFIC 2 interim analys</w:t>
      </w:r>
      <w:r w:rsidR="00F70EF3">
        <w:rPr>
          <w:sz w:val="18"/>
          <w:szCs w:val="22"/>
        </w:rPr>
        <w:t>es</w:t>
      </w:r>
      <w:r w:rsidRPr="00974DF8">
        <w:rPr>
          <w:sz w:val="18"/>
          <w:szCs w:val="22"/>
        </w:rPr>
        <w:t xml:space="preserve"> as of 29 Augst 2024 reporting on results at 72 weeks; 116 patients enrolled and 100% received at least 1 dose; Cohort 1 comprised PEDFIC 1 patients (both odevixibat-treated and placebo); Cohort 2 comprised new PFIC patients</w:t>
      </w:r>
    </w:p>
    <w:p w14:paraId="36DC55FA" w14:textId="77777777" w:rsidR="00404D38" w:rsidRPr="00974DF8" w:rsidRDefault="00404D38" w:rsidP="00D248EF">
      <w:pPr>
        <w:pStyle w:val="Tabletext"/>
        <w:jc w:val="both"/>
        <w:rPr>
          <w:sz w:val="18"/>
          <w:szCs w:val="22"/>
        </w:rPr>
      </w:pPr>
      <w:r w:rsidRPr="00974DF8">
        <w:rPr>
          <w:sz w:val="18"/>
          <w:szCs w:val="22"/>
          <w:vertAlign w:val="superscript"/>
        </w:rPr>
        <w:t xml:space="preserve">c </w:t>
      </w:r>
      <w:r w:rsidRPr="00974DF8">
        <w:rPr>
          <w:sz w:val="18"/>
          <w:szCs w:val="22"/>
        </w:rPr>
        <w:t>Data extracted from PEDFIC 1 and PEDFIC 2 on 31 January 2022 and from the NAPPED database on 23 February 2020. Part A compared odevixibat to SOC in SBD-free patients. Part B compared odevixibat to patients who have had SBD.</w:t>
      </w:r>
    </w:p>
    <w:p w14:paraId="3DDB3508" w14:textId="77777777" w:rsidR="00404D38" w:rsidRPr="00974DF8" w:rsidRDefault="00404D38" w:rsidP="00D248EF">
      <w:pPr>
        <w:pStyle w:val="Tabletext"/>
        <w:jc w:val="both"/>
        <w:rPr>
          <w:sz w:val="18"/>
          <w:szCs w:val="22"/>
        </w:rPr>
      </w:pPr>
      <w:r w:rsidRPr="00974DF8">
        <w:rPr>
          <w:sz w:val="18"/>
          <w:szCs w:val="22"/>
          <w:vertAlign w:val="superscript"/>
        </w:rPr>
        <w:t>d</w:t>
      </w:r>
      <w:r w:rsidRPr="00974DF8">
        <w:rPr>
          <w:sz w:val="18"/>
          <w:szCs w:val="22"/>
        </w:rPr>
        <w:t xml:space="preserve"> sBA response in PEDFIC 1 and PEDFIC 2 defined as ≥70% reduction in fasting sBA concentration from baseline or reaching a level ≤70 µmol/L. However, in NAPPED (used in the control arm of OvEC) sBA response was defined as ≥75% reduction in sBA from baseline or sBA levels ≤65 µmol/L.</w:t>
      </w:r>
    </w:p>
    <w:p w14:paraId="1D8E4C40" w14:textId="77777777" w:rsidR="00404D38" w:rsidRPr="00974DF8" w:rsidRDefault="00404D38" w:rsidP="00D248EF">
      <w:pPr>
        <w:pStyle w:val="Tabletext"/>
        <w:jc w:val="both"/>
        <w:rPr>
          <w:sz w:val="18"/>
          <w:szCs w:val="22"/>
        </w:rPr>
      </w:pPr>
      <w:r w:rsidRPr="00974DF8">
        <w:rPr>
          <w:sz w:val="18"/>
          <w:szCs w:val="22"/>
        </w:rPr>
        <w:t xml:space="preserve">Pruritus response defined as Observer reported outcome (ObsRO) score of </w:t>
      </w:r>
      <w:r w:rsidRPr="00974DF8">
        <w:rPr>
          <w:rFonts w:cs="Calibri"/>
          <w:sz w:val="18"/>
          <w:szCs w:val="22"/>
        </w:rPr>
        <w:t>≤</w:t>
      </w:r>
      <w:r w:rsidRPr="00974DF8">
        <w:rPr>
          <w:sz w:val="18"/>
          <w:szCs w:val="22"/>
        </w:rPr>
        <w:t>1 or at least a 1-point drop from baseline</w:t>
      </w:r>
    </w:p>
    <w:p w14:paraId="7D9BAD1E" w14:textId="03679FAE" w:rsidR="00404D38" w:rsidRPr="00974DF8" w:rsidRDefault="00404D38" w:rsidP="00D248EF">
      <w:pPr>
        <w:pStyle w:val="Tabletext"/>
        <w:jc w:val="both"/>
        <w:rPr>
          <w:sz w:val="18"/>
          <w:szCs w:val="22"/>
        </w:rPr>
      </w:pPr>
      <w:r w:rsidRPr="00974DF8">
        <w:rPr>
          <w:sz w:val="18"/>
          <w:szCs w:val="22"/>
        </w:rPr>
        <w:t>EFS defined as time to first surgical biliary diversion, liver transplant, or death</w:t>
      </w:r>
      <w:r w:rsidR="00DA4783">
        <w:rPr>
          <w:sz w:val="18"/>
          <w:szCs w:val="22"/>
        </w:rPr>
        <w:t xml:space="preserve">. </w:t>
      </w:r>
      <w:r w:rsidRPr="00974DF8">
        <w:rPr>
          <w:sz w:val="18"/>
          <w:szCs w:val="22"/>
        </w:rPr>
        <w:t>NLS defined as time to first liver transplant or death</w:t>
      </w:r>
      <w:r w:rsidR="00DA4783">
        <w:rPr>
          <w:sz w:val="18"/>
          <w:szCs w:val="22"/>
        </w:rPr>
        <w:t xml:space="preserve">. </w:t>
      </w:r>
      <w:r w:rsidRPr="00974DF8">
        <w:rPr>
          <w:sz w:val="18"/>
          <w:szCs w:val="22"/>
        </w:rPr>
        <w:t>DFS defined as time to first biliary diversion surgery or death</w:t>
      </w:r>
      <w:r w:rsidR="00DA4783">
        <w:rPr>
          <w:sz w:val="18"/>
          <w:szCs w:val="22"/>
        </w:rPr>
        <w:t xml:space="preserve">. </w:t>
      </w:r>
      <w:r w:rsidRPr="00974DF8">
        <w:rPr>
          <w:sz w:val="18"/>
          <w:szCs w:val="22"/>
        </w:rPr>
        <w:t>OS define as time to death</w:t>
      </w:r>
      <w:r w:rsidR="00DA4783">
        <w:rPr>
          <w:sz w:val="18"/>
          <w:szCs w:val="22"/>
        </w:rPr>
        <w:t>.</w:t>
      </w:r>
      <w:r w:rsidRPr="00974DF8">
        <w:rPr>
          <w:sz w:val="18"/>
          <w:szCs w:val="22"/>
        </w:rPr>
        <w:t xml:space="preserve"> </w:t>
      </w:r>
    </w:p>
    <w:p w14:paraId="584D6297" w14:textId="77777777" w:rsidR="00404D38" w:rsidRPr="00974DF8" w:rsidRDefault="00404D38" w:rsidP="00D248EF">
      <w:pPr>
        <w:pStyle w:val="Tabletext"/>
        <w:spacing w:after="120"/>
        <w:jc w:val="both"/>
        <w:rPr>
          <w:sz w:val="18"/>
          <w:szCs w:val="22"/>
        </w:rPr>
      </w:pPr>
      <w:r w:rsidRPr="00974DF8">
        <w:rPr>
          <w:sz w:val="18"/>
          <w:szCs w:val="22"/>
        </w:rPr>
        <w:t>Blue shaded cells indicate studies previously considered by the PBAC</w:t>
      </w:r>
    </w:p>
    <w:p w14:paraId="2BCC1D17" w14:textId="2BFF0A3E" w:rsidR="00404D38" w:rsidRPr="00F7639C" w:rsidRDefault="00404D38" w:rsidP="005514B9">
      <w:pPr>
        <w:pStyle w:val="3-BodyText"/>
        <w:numPr>
          <w:ilvl w:val="1"/>
          <w:numId w:val="1"/>
        </w:numPr>
        <w:spacing w:before="0"/>
      </w:pPr>
      <w:r>
        <w:t>Of the included evidence only OvEC Part B</w:t>
      </w:r>
      <w:r w:rsidR="0037642B">
        <w:t xml:space="preserve"> </w:t>
      </w:r>
      <w:r>
        <w:t xml:space="preserve">provided any information regarding the comparative efficacy of odevixibat </w:t>
      </w:r>
      <w:r w:rsidR="00316834">
        <w:t>to SBD</w:t>
      </w:r>
      <w:r>
        <w:t xml:space="preserve">. </w:t>
      </w:r>
      <w:r w:rsidRPr="00D65BA2">
        <w:rPr>
          <w:color w:val="000000" w:themeColor="text1"/>
        </w:rPr>
        <w:t xml:space="preserve">The ESC previously noted that as no baseline characteristics for OvEC Part B were reported, it was not possible to assess transitivity between treatment arms in OvEC Part B and the risk of bias should be considered high due to lack of information (paragraph 6.16, odevixibat PSD, July 2024 PBAC Meeting). </w:t>
      </w:r>
    </w:p>
    <w:p w14:paraId="5084B3DA" w14:textId="77777777" w:rsidR="00404D38" w:rsidRPr="0098262F" w:rsidRDefault="00404D38" w:rsidP="00966065">
      <w:pPr>
        <w:pStyle w:val="4-SubsectionHeading"/>
        <w:spacing w:before="0"/>
      </w:pPr>
      <w:bookmarkStart w:id="47" w:name="_Toc22897641"/>
      <w:bookmarkStart w:id="48" w:name="_Toc184822913"/>
      <w:bookmarkStart w:id="49" w:name="_Toc188451876"/>
      <w:r w:rsidRPr="0098262F">
        <w:t>Comparative effectiveness</w:t>
      </w:r>
      <w:bookmarkEnd w:id="47"/>
      <w:bookmarkEnd w:id="48"/>
      <w:bookmarkEnd w:id="49"/>
    </w:p>
    <w:p w14:paraId="0DF48A64" w14:textId="5E55FD5C" w:rsidR="00404D38" w:rsidRPr="00D65BA2" w:rsidRDefault="00404D38" w:rsidP="00966065">
      <w:pPr>
        <w:pStyle w:val="3-BodyText"/>
        <w:numPr>
          <w:ilvl w:val="1"/>
          <w:numId w:val="1"/>
        </w:numPr>
        <w:spacing w:before="0"/>
        <w:rPr>
          <w:color w:val="000000" w:themeColor="text1"/>
        </w:rPr>
      </w:pPr>
      <w:r w:rsidRPr="00D65BA2">
        <w:rPr>
          <w:color w:val="000000" w:themeColor="text1"/>
        </w:rPr>
        <w:t>Results for the primary endpoint, sBA response (</w:t>
      </w:r>
      <w:r w:rsidR="008D1691">
        <w:rPr>
          <w:color w:val="000000" w:themeColor="text1"/>
        </w:rPr>
        <w:t xml:space="preserve">defined as </w:t>
      </w:r>
      <w:r w:rsidRPr="00D65BA2">
        <w:rPr>
          <w:color w:val="000000" w:themeColor="text1"/>
        </w:rPr>
        <w:t>≥70% reduction in fasting sBA concentration from baseline to the end of treatment or reaching a level ≤ 70 µmol/L) and the key secondary endpoints; pruritus response (defined as a scratching score of ≤1 or at least a 1-point reduction from baseline on the P</w:t>
      </w:r>
      <w:r w:rsidR="009546A6">
        <w:rPr>
          <w:color w:val="000000" w:themeColor="text1"/>
        </w:rPr>
        <w:t>rucision</w:t>
      </w:r>
      <w:r w:rsidRPr="00D65BA2">
        <w:rPr>
          <w:color w:val="000000" w:themeColor="text1"/>
        </w:rPr>
        <w:t xml:space="preserve"> ObsRO) and pruritus response for ≥50% of the time from PEDFIC 1 are presented in </w:t>
      </w:r>
      <w:r>
        <w:rPr>
          <w:color w:val="000000" w:themeColor="text1"/>
        </w:rPr>
        <w:fldChar w:fldCharType="begin" w:fldLock="1"/>
      </w:r>
      <w:r>
        <w:rPr>
          <w:color w:val="000000" w:themeColor="text1"/>
        </w:rPr>
        <w:instrText xml:space="preserve"> REF _Ref184911084 \h </w:instrText>
      </w:r>
      <w:r>
        <w:rPr>
          <w:color w:val="000000" w:themeColor="text1"/>
        </w:rPr>
      </w:r>
      <w:r>
        <w:rPr>
          <w:color w:val="000000" w:themeColor="text1"/>
        </w:rPr>
        <w:fldChar w:fldCharType="separate"/>
      </w:r>
      <w:r w:rsidR="00382EF0" w:rsidRPr="0098262F">
        <w:t xml:space="preserve">Table </w:t>
      </w:r>
      <w:r w:rsidR="00382EF0">
        <w:rPr>
          <w:noProof/>
        </w:rPr>
        <w:t>6</w:t>
      </w:r>
      <w:r>
        <w:rPr>
          <w:color w:val="000000" w:themeColor="text1"/>
        </w:rPr>
        <w:fldChar w:fldCharType="end"/>
      </w:r>
      <w:r>
        <w:rPr>
          <w:color w:val="000000" w:themeColor="text1"/>
        </w:rPr>
        <w:t>.</w:t>
      </w:r>
    </w:p>
    <w:p w14:paraId="796DC9C9" w14:textId="6B730CD2" w:rsidR="00404D38" w:rsidRPr="00534D69" w:rsidRDefault="00404D38" w:rsidP="00404D38">
      <w:pPr>
        <w:pStyle w:val="TableFigureHeading"/>
        <w:rPr>
          <w:rStyle w:val="CommentReference"/>
          <w:b/>
          <w:szCs w:val="24"/>
        </w:rPr>
      </w:pPr>
      <w:bookmarkStart w:id="50" w:name="_Ref184911084"/>
      <w:r w:rsidRPr="0098262F">
        <w:lastRenderedPageBreak/>
        <w:t xml:space="preserve">Table </w:t>
      </w:r>
      <w:r w:rsidR="00382EF0">
        <w:fldChar w:fldCharType="begin" w:fldLock="1"/>
      </w:r>
      <w:r w:rsidR="00382EF0">
        <w:instrText xml:space="preserve"> SEQ Table \* ARABIC </w:instrText>
      </w:r>
      <w:r w:rsidR="00382EF0">
        <w:fldChar w:fldCharType="separate"/>
      </w:r>
      <w:r w:rsidR="00382EF0">
        <w:rPr>
          <w:noProof/>
        </w:rPr>
        <w:t>6</w:t>
      </w:r>
      <w:r w:rsidR="00382EF0">
        <w:rPr>
          <w:noProof/>
        </w:rPr>
        <w:fldChar w:fldCharType="end"/>
      </w:r>
      <w:bookmarkEnd w:id="50"/>
      <w:r w:rsidRPr="0098262F">
        <w:t>:</w:t>
      </w:r>
      <w:r w:rsidRPr="0098262F">
        <w:rPr>
          <w:rStyle w:val="CommentReference"/>
          <w:b/>
          <w:szCs w:val="24"/>
        </w:rPr>
        <w:t xml:space="preserve"> </w:t>
      </w:r>
      <w:r w:rsidRPr="00534D69">
        <w:rPr>
          <w:rStyle w:val="CommentReference"/>
          <w:b/>
          <w:szCs w:val="24"/>
        </w:rPr>
        <w:t>Proportion sBA response, pruritus response, and pruritus response for ≥50% of the time at 24 weeks–</w:t>
      </w:r>
    </w:p>
    <w:p w14:paraId="03E30B5A" w14:textId="77777777" w:rsidR="00404D38" w:rsidRPr="0098262F" w:rsidRDefault="00404D38" w:rsidP="00404D38">
      <w:pPr>
        <w:pStyle w:val="TableFigureHeading"/>
        <w:rPr>
          <w:rStyle w:val="CommentReference"/>
          <w:b/>
          <w:szCs w:val="24"/>
        </w:rPr>
      </w:pPr>
      <w:r w:rsidRPr="00534D69">
        <w:rPr>
          <w:rStyle w:val="CommentReference"/>
          <w:b/>
          <w:szCs w:val="24"/>
        </w:rPr>
        <w:t>PEDFIC 1 (FAS)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Caption w:val="Table 6: Proportion sBA response, pruritus response, and pruritus response for ≥50% of the time at 24 weeks–"/>
      </w:tblPr>
      <w:tblGrid>
        <w:gridCol w:w="3681"/>
        <w:gridCol w:w="1334"/>
        <w:gridCol w:w="1334"/>
        <w:gridCol w:w="1334"/>
        <w:gridCol w:w="1334"/>
      </w:tblGrid>
      <w:tr w:rsidR="00404D38" w:rsidRPr="00D33C2C" w14:paraId="24003AEB" w14:textId="77777777" w:rsidTr="00AC13C1">
        <w:trPr>
          <w:cantSplit/>
          <w:trHeight w:val="227"/>
        </w:trPr>
        <w:tc>
          <w:tcPr>
            <w:tcW w:w="3681" w:type="dxa"/>
            <w:tcBorders>
              <w:bottom w:val="single" w:sz="4" w:space="0" w:color="auto"/>
            </w:tcBorders>
            <w:shd w:val="clear" w:color="auto" w:fill="DBE5F1" w:themeFill="accent1" w:themeFillTint="33"/>
            <w:noWrap/>
            <w:vAlign w:val="center"/>
          </w:tcPr>
          <w:p w14:paraId="38371B64" w14:textId="77777777" w:rsidR="00404D38" w:rsidRPr="00D33C2C" w:rsidRDefault="00404D38" w:rsidP="00AC13C1">
            <w:pPr>
              <w:pStyle w:val="Tabletext"/>
              <w:keepNext/>
              <w:keepLines/>
              <w:rPr>
                <w:b/>
                <w:bCs/>
                <w:szCs w:val="20"/>
              </w:rPr>
            </w:pPr>
          </w:p>
        </w:tc>
        <w:tc>
          <w:tcPr>
            <w:tcW w:w="1334" w:type="dxa"/>
            <w:tcBorders>
              <w:bottom w:val="single" w:sz="4" w:space="0" w:color="auto"/>
            </w:tcBorders>
            <w:shd w:val="clear" w:color="auto" w:fill="DBE5F1" w:themeFill="accent1" w:themeFillTint="33"/>
            <w:noWrap/>
            <w:vAlign w:val="center"/>
            <w:hideMark/>
          </w:tcPr>
          <w:p w14:paraId="35229ECD" w14:textId="77777777" w:rsidR="00404D38" w:rsidRPr="00D33C2C" w:rsidRDefault="00404D38" w:rsidP="00AC13C1">
            <w:pPr>
              <w:pStyle w:val="Tabletext"/>
              <w:keepNext/>
              <w:keepLines/>
              <w:jc w:val="center"/>
              <w:rPr>
                <w:b/>
                <w:bCs/>
                <w:szCs w:val="20"/>
              </w:rPr>
            </w:pPr>
            <w:r w:rsidRPr="00D33C2C">
              <w:rPr>
                <w:b/>
                <w:bCs/>
                <w:szCs w:val="20"/>
              </w:rPr>
              <w:t>Placebo,</w:t>
            </w:r>
          </w:p>
          <w:p w14:paraId="0C32DF4A" w14:textId="77777777" w:rsidR="00404D38" w:rsidRPr="00D33C2C" w:rsidRDefault="00404D38" w:rsidP="00AC13C1">
            <w:pPr>
              <w:pStyle w:val="Tabletext"/>
              <w:keepNext/>
              <w:keepLines/>
              <w:jc w:val="center"/>
              <w:rPr>
                <w:b/>
                <w:bCs/>
                <w:szCs w:val="20"/>
              </w:rPr>
            </w:pPr>
            <w:r w:rsidRPr="00D33C2C">
              <w:rPr>
                <w:b/>
                <w:bCs/>
                <w:szCs w:val="20"/>
              </w:rPr>
              <w:t>n=20</w:t>
            </w:r>
          </w:p>
        </w:tc>
        <w:tc>
          <w:tcPr>
            <w:tcW w:w="1334" w:type="dxa"/>
            <w:tcBorders>
              <w:bottom w:val="single" w:sz="4" w:space="0" w:color="auto"/>
            </w:tcBorders>
            <w:shd w:val="clear" w:color="auto" w:fill="DBE5F1" w:themeFill="accent1" w:themeFillTint="33"/>
            <w:noWrap/>
            <w:vAlign w:val="center"/>
            <w:hideMark/>
          </w:tcPr>
          <w:p w14:paraId="16ACD1EF" w14:textId="65B43614" w:rsidR="00404D38" w:rsidRPr="00D33C2C" w:rsidRDefault="00404D38" w:rsidP="00AC13C1">
            <w:pPr>
              <w:pStyle w:val="Tabletext"/>
              <w:keepNext/>
              <w:keepLines/>
              <w:jc w:val="center"/>
              <w:rPr>
                <w:b/>
                <w:bCs/>
                <w:szCs w:val="20"/>
              </w:rPr>
            </w:pPr>
            <w:r w:rsidRPr="00D33C2C">
              <w:rPr>
                <w:b/>
                <w:bCs/>
                <w:szCs w:val="20"/>
              </w:rPr>
              <w:t>40</w:t>
            </w:r>
            <w:r w:rsidR="0017081E">
              <w:rPr>
                <w:b/>
                <w:bCs/>
                <w:szCs w:val="20"/>
              </w:rPr>
              <w:t> mcg</w:t>
            </w:r>
            <w:r w:rsidRPr="00D33C2C">
              <w:rPr>
                <w:b/>
                <w:bCs/>
                <w:szCs w:val="20"/>
              </w:rPr>
              <w:t>/kg, n=23</w:t>
            </w:r>
          </w:p>
        </w:tc>
        <w:tc>
          <w:tcPr>
            <w:tcW w:w="1334" w:type="dxa"/>
            <w:tcBorders>
              <w:bottom w:val="single" w:sz="4" w:space="0" w:color="auto"/>
            </w:tcBorders>
            <w:shd w:val="clear" w:color="auto" w:fill="DBE5F1" w:themeFill="accent1" w:themeFillTint="33"/>
            <w:noWrap/>
            <w:vAlign w:val="center"/>
            <w:hideMark/>
          </w:tcPr>
          <w:p w14:paraId="7EFE6C34" w14:textId="7F7E1DC3" w:rsidR="00404D38" w:rsidRPr="00D33C2C" w:rsidRDefault="00404D38" w:rsidP="00AC13C1">
            <w:pPr>
              <w:pStyle w:val="Tabletext"/>
              <w:keepNext/>
              <w:keepLines/>
              <w:jc w:val="center"/>
              <w:rPr>
                <w:b/>
                <w:bCs/>
                <w:szCs w:val="20"/>
              </w:rPr>
            </w:pPr>
            <w:r w:rsidRPr="00D33C2C">
              <w:rPr>
                <w:b/>
                <w:bCs/>
                <w:szCs w:val="20"/>
              </w:rPr>
              <w:t>120</w:t>
            </w:r>
            <w:r w:rsidR="0017081E">
              <w:rPr>
                <w:b/>
                <w:bCs/>
                <w:szCs w:val="20"/>
              </w:rPr>
              <w:t> mcg</w:t>
            </w:r>
            <w:r w:rsidRPr="00D33C2C">
              <w:rPr>
                <w:b/>
                <w:bCs/>
                <w:szCs w:val="20"/>
              </w:rPr>
              <w:t>/kg, n=19</w:t>
            </w:r>
          </w:p>
        </w:tc>
        <w:tc>
          <w:tcPr>
            <w:tcW w:w="1334" w:type="dxa"/>
            <w:tcBorders>
              <w:bottom w:val="single" w:sz="4" w:space="0" w:color="auto"/>
            </w:tcBorders>
            <w:shd w:val="clear" w:color="auto" w:fill="DBE5F1" w:themeFill="accent1" w:themeFillTint="33"/>
            <w:noWrap/>
            <w:vAlign w:val="center"/>
            <w:hideMark/>
          </w:tcPr>
          <w:p w14:paraId="0189F171" w14:textId="77777777" w:rsidR="00404D38" w:rsidRPr="00D33C2C" w:rsidRDefault="00404D38" w:rsidP="00AC13C1">
            <w:pPr>
              <w:pStyle w:val="Tabletext"/>
              <w:keepNext/>
              <w:keepLines/>
              <w:jc w:val="center"/>
              <w:rPr>
                <w:b/>
                <w:bCs/>
                <w:szCs w:val="20"/>
              </w:rPr>
            </w:pPr>
            <w:r w:rsidRPr="00D33C2C">
              <w:rPr>
                <w:b/>
                <w:bCs/>
                <w:szCs w:val="20"/>
              </w:rPr>
              <w:t>All doses, n=42</w:t>
            </w:r>
          </w:p>
        </w:tc>
      </w:tr>
      <w:tr w:rsidR="00404D38" w:rsidRPr="00D33C2C" w14:paraId="4F9873C0" w14:textId="77777777" w:rsidTr="00AC13C1">
        <w:trPr>
          <w:cantSplit/>
          <w:trHeight w:val="227"/>
        </w:trPr>
        <w:tc>
          <w:tcPr>
            <w:tcW w:w="90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E10C0F" w14:textId="77777777" w:rsidR="00404D38" w:rsidRPr="00D33C2C" w:rsidRDefault="00404D38" w:rsidP="00AC13C1">
            <w:pPr>
              <w:pStyle w:val="Tabletext"/>
              <w:keepNext/>
              <w:keepLines/>
              <w:rPr>
                <w:b/>
                <w:bCs/>
                <w:szCs w:val="20"/>
              </w:rPr>
            </w:pPr>
            <w:r w:rsidRPr="00D33C2C">
              <w:rPr>
                <w:b/>
                <w:bCs/>
                <w:szCs w:val="20"/>
              </w:rPr>
              <w:t>Proportion of sBA response (primary)</w:t>
            </w:r>
          </w:p>
        </w:tc>
      </w:tr>
      <w:tr w:rsidR="00404D38" w:rsidRPr="00D33C2C" w14:paraId="04F0D323" w14:textId="77777777" w:rsidTr="00AC13C1">
        <w:trPr>
          <w:cantSplit/>
          <w:trHeight w:val="227"/>
        </w:trPr>
        <w:tc>
          <w:tcPr>
            <w:tcW w:w="3681" w:type="dxa"/>
            <w:tcBorders>
              <w:top w:val="single" w:sz="4" w:space="0" w:color="auto"/>
            </w:tcBorders>
            <w:shd w:val="clear" w:color="auto" w:fill="DBE5F1" w:themeFill="accent1" w:themeFillTint="33"/>
            <w:noWrap/>
            <w:vAlign w:val="center"/>
            <w:hideMark/>
          </w:tcPr>
          <w:p w14:paraId="269D7C3F" w14:textId="77777777" w:rsidR="00404D38" w:rsidRPr="00D33C2C" w:rsidRDefault="00404D38" w:rsidP="00AC13C1">
            <w:pPr>
              <w:pStyle w:val="Tabletext"/>
              <w:keepNext/>
              <w:keepLines/>
              <w:rPr>
                <w:szCs w:val="20"/>
              </w:rPr>
            </w:pPr>
            <w:r w:rsidRPr="00D33C2C">
              <w:rPr>
                <w:szCs w:val="20"/>
              </w:rPr>
              <w:t>Responders, n (%)</w:t>
            </w:r>
          </w:p>
        </w:tc>
        <w:tc>
          <w:tcPr>
            <w:tcW w:w="1334" w:type="dxa"/>
            <w:tcBorders>
              <w:top w:val="single" w:sz="4" w:space="0" w:color="auto"/>
            </w:tcBorders>
            <w:shd w:val="clear" w:color="auto" w:fill="DBE5F1" w:themeFill="accent1" w:themeFillTint="33"/>
            <w:noWrap/>
            <w:vAlign w:val="center"/>
            <w:hideMark/>
          </w:tcPr>
          <w:p w14:paraId="02B43B28" w14:textId="77777777" w:rsidR="00404D38" w:rsidRPr="00D33C2C" w:rsidRDefault="00404D38" w:rsidP="00AC13C1">
            <w:pPr>
              <w:pStyle w:val="Tabletext"/>
              <w:keepNext/>
              <w:keepLines/>
              <w:jc w:val="center"/>
              <w:rPr>
                <w:szCs w:val="20"/>
              </w:rPr>
            </w:pPr>
            <w:r w:rsidRPr="00D33C2C">
              <w:rPr>
                <w:szCs w:val="20"/>
              </w:rPr>
              <w:t>0</w:t>
            </w:r>
          </w:p>
        </w:tc>
        <w:tc>
          <w:tcPr>
            <w:tcW w:w="1334" w:type="dxa"/>
            <w:tcBorders>
              <w:top w:val="single" w:sz="4" w:space="0" w:color="auto"/>
            </w:tcBorders>
            <w:shd w:val="clear" w:color="auto" w:fill="DBE5F1" w:themeFill="accent1" w:themeFillTint="33"/>
            <w:noWrap/>
            <w:vAlign w:val="center"/>
            <w:hideMark/>
          </w:tcPr>
          <w:p w14:paraId="574E1ED5" w14:textId="77777777" w:rsidR="00404D38" w:rsidRPr="00D33C2C" w:rsidRDefault="00404D38" w:rsidP="00AC13C1">
            <w:pPr>
              <w:pStyle w:val="Tabletext"/>
              <w:keepNext/>
              <w:keepLines/>
              <w:jc w:val="center"/>
              <w:rPr>
                <w:szCs w:val="20"/>
              </w:rPr>
            </w:pPr>
            <w:r w:rsidRPr="00D33C2C">
              <w:rPr>
                <w:szCs w:val="20"/>
              </w:rPr>
              <w:t>10 (43.5)</w:t>
            </w:r>
          </w:p>
        </w:tc>
        <w:tc>
          <w:tcPr>
            <w:tcW w:w="1334" w:type="dxa"/>
            <w:tcBorders>
              <w:top w:val="single" w:sz="4" w:space="0" w:color="auto"/>
            </w:tcBorders>
            <w:shd w:val="clear" w:color="auto" w:fill="DBE5F1" w:themeFill="accent1" w:themeFillTint="33"/>
            <w:noWrap/>
            <w:vAlign w:val="center"/>
            <w:hideMark/>
          </w:tcPr>
          <w:p w14:paraId="6B01BF26" w14:textId="77777777" w:rsidR="00404D38" w:rsidRPr="00D33C2C" w:rsidRDefault="00404D38" w:rsidP="00AC13C1">
            <w:pPr>
              <w:pStyle w:val="Tabletext"/>
              <w:keepNext/>
              <w:keepLines/>
              <w:jc w:val="center"/>
              <w:rPr>
                <w:szCs w:val="20"/>
              </w:rPr>
            </w:pPr>
            <w:r w:rsidRPr="00D33C2C">
              <w:rPr>
                <w:szCs w:val="20"/>
              </w:rPr>
              <w:t>4 (21.1)</w:t>
            </w:r>
          </w:p>
        </w:tc>
        <w:tc>
          <w:tcPr>
            <w:tcW w:w="1334" w:type="dxa"/>
            <w:tcBorders>
              <w:top w:val="single" w:sz="4" w:space="0" w:color="auto"/>
            </w:tcBorders>
            <w:shd w:val="clear" w:color="auto" w:fill="DBE5F1" w:themeFill="accent1" w:themeFillTint="33"/>
            <w:noWrap/>
            <w:vAlign w:val="center"/>
            <w:hideMark/>
          </w:tcPr>
          <w:p w14:paraId="3D0F099E" w14:textId="77777777" w:rsidR="00404D38" w:rsidRPr="00D33C2C" w:rsidRDefault="00404D38" w:rsidP="00AC13C1">
            <w:pPr>
              <w:pStyle w:val="Tabletext"/>
              <w:keepNext/>
              <w:keepLines/>
              <w:jc w:val="center"/>
              <w:rPr>
                <w:szCs w:val="20"/>
              </w:rPr>
            </w:pPr>
            <w:r w:rsidRPr="00D33C2C">
              <w:rPr>
                <w:szCs w:val="20"/>
              </w:rPr>
              <w:t>14 (33.3)</w:t>
            </w:r>
          </w:p>
        </w:tc>
      </w:tr>
      <w:tr w:rsidR="00404D38" w:rsidRPr="00D33C2C" w14:paraId="40717849" w14:textId="77777777" w:rsidTr="00AC13C1">
        <w:trPr>
          <w:cantSplit/>
          <w:trHeight w:val="227"/>
        </w:trPr>
        <w:tc>
          <w:tcPr>
            <w:tcW w:w="3681" w:type="dxa"/>
            <w:shd w:val="clear" w:color="auto" w:fill="DBE5F1" w:themeFill="accent1" w:themeFillTint="33"/>
            <w:noWrap/>
            <w:vAlign w:val="center"/>
            <w:hideMark/>
          </w:tcPr>
          <w:p w14:paraId="25E085F0" w14:textId="77777777" w:rsidR="00404D38" w:rsidRPr="00D33C2C" w:rsidRDefault="00404D38" w:rsidP="00AC13C1">
            <w:pPr>
              <w:pStyle w:val="Tabletext"/>
              <w:keepNext/>
              <w:keepLines/>
              <w:rPr>
                <w:szCs w:val="20"/>
              </w:rPr>
            </w:pPr>
            <w:r w:rsidRPr="00D33C2C">
              <w:rPr>
                <w:szCs w:val="20"/>
              </w:rPr>
              <w:t>95% CI</w:t>
            </w:r>
          </w:p>
        </w:tc>
        <w:tc>
          <w:tcPr>
            <w:tcW w:w="1334" w:type="dxa"/>
            <w:shd w:val="clear" w:color="auto" w:fill="DBE5F1" w:themeFill="accent1" w:themeFillTint="33"/>
            <w:noWrap/>
            <w:vAlign w:val="center"/>
            <w:hideMark/>
          </w:tcPr>
          <w:p w14:paraId="317EFFB6" w14:textId="77777777" w:rsidR="00404D38" w:rsidRPr="00D33C2C" w:rsidRDefault="00404D38" w:rsidP="00AC13C1">
            <w:pPr>
              <w:pStyle w:val="Tabletext"/>
              <w:keepNext/>
              <w:keepLines/>
              <w:jc w:val="center"/>
              <w:rPr>
                <w:szCs w:val="20"/>
              </w:rPr>
            </w:pPr>
            <w:r w:rsidRPr="00D33C2C">
              <w:rPr>
                <w:szCs w:val="20"/>
              </w:rPr>
              <w:t>(0.00, 16.84)</w:t>
            </w:r>
          </w:p>
        </w:tc>
        <w:tc>
          <w:tcPr>
            <w:tcW w:w="1334" w:type="dxa"/>
            <w:shd w:val="clear" w:color="auto" w:fill="DBE5F1" w:themeFill="accent1" w:themeFillTint="33"/>
            <w:noWrap/>
            <w:vAlign w:val="center"/>
            <w:hideMark/>
          </w:tcPr>
          <w:p w14:paraId="7024B372" w14:textId="77777777" w:rsidR="00404D38" w:rsidRPr="00D33C2C" w:rsidRDefault="00404D38" w:rsidP="00AC13C1">
            <w:pPr>
              <w:pStyle w:val="Tabletext"/>
              <w:keepNext/>
              <w:keepLines/>
              <w:jc w:val="center"/>
              <w:rPr>
                <w:szCs w:val="20"/>
              </w:rPr>
            </w:pPr>
            <w:r w:rsidRPr="00D33C2C">
              <w:rPr>
                <w:szCs w:val="20"/>
              </w:rPr>
              <w:t>(23.19, 65.51)</w:t>
            </w:r>
          </w:p>
        </w:tc>
        <w:tc>
          <w:tcPr>
            <w:tcW w:w="1334" w:type="dxa"/>
            <w:shd w:val="clear" w:color="auto" w:fill="DBE5F1" w:themeFill="accent1" w:themeFillTint="33"/>
            <w:noWrap/>
            <w:vAlign w:val="center"/>
            <w:hideMark/>
          </w:tcPr>
          <w:p w14:paraId="4B04FD72" w14:textId="77777777" w:rsidR="00404D38" w:rsidRPr="00D33C2C" w:rsidRDefault="00404D38" w:rsidP="00AC13C1">
            <w:pPr>
              <w:pStyle w:val="Tabletext"/>
              <w:keepNext/>
              <w:keepLines/>
              <w:jc w:val="center"/>
              <w:rPr>
                <w:szCs w:val="20"/>
              </w:rPr>
            </w:pPr>
            <w:r w:rsidRPr="00D33C2C">
              <w:rPr>
                <w:szCs w:val="20"/>
              </w:rPr>
              <w:t>(6.05, 45.57)</w:t>
            </w:r>
          </w:p>
        </w:tc>
        <w:tc>
          <w:tcPr>
            <w:tcW w:w="1334" w:type="dxa"/>
            <w:shd w:val="clear" w:color="auto" w:fill="DBE5F1" w:themeFill="accent1" w:themeFillTint="33"/>
            <w:noWrap/>
            <w:vAlign w:val="center"/>
            <w:hideMark/>
          </w:tcPr>
          <w:p w14:paraId="197BE0F3" w14:textId="77777777" w:rsidR="00404D38" w:rsidRPr="00D33C2C" w:rsidRDefault="00404D38" w:rsidP="00AC13C1">
            <w:pPr>
              <w:pStyle w:val="Tabletext"/>
              <w:keepNext/>
              <w:keepLines/>
              <w:jc w:val="center"/>
              <w:rPr>
                <w:szCs w:val="20"/>
              </w:rPr>
            </w:pPr>
            <w:r w:rsidRPr="00D33C2C">
              <w:rPr>
                <w:szCs w:val="20"/>
              </w:rPr>
              <w:t>(19.57, 49.55)</w:t>
            </w:r>
          </w:p>
        </w:tc>
      </w:tr>
      <w:tr w:rsidR="00404D38" w:rsidRPr="00D33C2C" w14:paraId="0B15BDDB" w14:textId="77777777" w:rsidTr="00AC13C1">
        <w:trPr>
          <w:cantSplit/>
          <w:trHeight w:val="227"/>
        </w:trPr>
        <w:tc>
          <w:tcPr>
            <w:tcW w:w="3681" w:type="dxa"/>
            <w:shd w:val="clear" w:color="auto" w:fill="DBE5F1" w:themeFill="accent1" w:themeFillTint="33"/>
            <w:noWrap/>
            <w:vAlign w:val="center"/>
            <w:hideMark/>
          </w:tcPr>
          <w:p w14:paraId="5C205039" w14:textId="77777777" w:rsidR="00404D38" w:rsidRPr="00D33C2C" w:rsidRDefault="00404D38" w:rsidP="00AC13C1">
            <w:pPr>
              <w:pStyle w:val="Tabletext"/>
              <w:keepNext/>
              <w:keepLines/>
              <w:rPr>
                <w:szCs w:val="20"/>
              </w:rPr>
            </w:pPr>
            <w:r>
              <w:rPr>
                <w:szCs w:val="20"/>
              </w:rPr>
              <w:t xml:space="preserve">% </w:t>
            </w:r>
            <w:r w:rsidRPr="00D33C2C">
              <w:rPr>
                <w:szCs w:val="20"/>
              </w:rPr>
              <w:t xml:space="preserve">Difference adjusted (95% CI) </w:t>
            </w:r>
          </w:p>
          <w:p w14:paraId="5EB29464" w14:textId="77777777" w:rsidR="00404D38" w:rsidRPr="00D33C2C" w:rsidRDefault="00404D38" w:rsidP="00AC13C1">
            <w:pPr>
              <w:pStyle w:val="Tabletext"/>
              <w:keepNext/>
              <w:keepLines/>
              <w:rPr>
                <w:szCs w:val="20"/>
              </w:rPr>
            </w:pPr>
            <w:r w:rsidRPr="00D33C2C">
              <w:rPr>
                <w:szCs w:val="20"/>
              </w:rPr>
              <w:t xml:space="preserve">(Odevixibat -Placebo) </w:t>
            </w:r>
          </w:p>
        </w:tc>
        <w:tc>
          <w:tcPr>
            <w:tcW w:w="1334" w:type="dxa"/>
            <w:shd w:val="clear" w:color="auto" w:fill="DBE5F1" w:themeFill="accent1" w:themeFillTint="33"/>
            <w:noWrap/>
            <w:vAlign w:val="center"/>
            <w:hideMark/>
          </w:tcPr>
          <w:p w14:paraId="03F39992" w14:textId="77777777" w:rsidR="00404D38" w:rsidRPr="00D33C2C" w:rsidRDefault="00404D38" w:rsidP="00AC13C1">
            <w:pPr>
              <w:pStyle w:val="Tabletext"/>
              <w:keepNext/>
              <w:keepLines/>
              <w:jc w:val="center"/>
              <w:rPr>
                <w:szCs w:val="20"/>
              </w:rPr>
            </w:pPr>
            <w:r w:rsidRPr="00D33C2C">
              <w:rPr>
                <w:szCs w:val="20"/>
              </w:rPr>
              <w:t>-</w:t>
            </w:r>
          </w:p>
        </w:tc>
        <w:tc>
          <w:tcPr>
            <w:tcW w:w="1334" w:type="dxa"/>
            <w:shd w:val="clear" w:color="auto" w:fill="DBE5F1" w:themeFill="accent1" w:themeFillTint="33"/>
            <w:noWrap/>
            <w:vAlign w:val="center"/>
            <w:hideMark/>
          </w:tcPr>
          <w:p w14:paraId="33573654" w14:textId="0932515D" w:rsidR="00404D38" w:rsidRPr="00D33C2C" w:rsidRDefault="00404D38" w:rsidP="00AC13C1">
            <w:pPr>
              <w:pStyle w:val="Tabletext"/>
              <w:keepNext/>
              <w:keepLines/>
              <w:jc w:val="center"/>
              <w:rPr>
                <w:b/>
                <w:bCs/>
                <w:szCs w:val="20"/>
              </w:rPr>
            </w:pPr>
            <w:r>
              <w:rPr>
                <w:b/>
                <w:bCs/>
                <w:szCs w:val="20"/>
              </w:rPr>
              <w:t xml:space="preserve">44.1 </w:t>
            </w:r>
            <w:r w:rsidR="00E04822">
              <w:rPr>
                <w:b/>
                <w:bCs/>
                <w:szCs w:val="20"/>
              </w:rPr>
              <w:br/>
            </w:r>
            <w:r>
              <w:rPr>
                <w:b/>
                <w:bCs/>
                <w:szCs w:val="20"/>
              </w:rPr>
              <w:t>(23.61, 64.64)</w:t>
            </w:r>
          </w:p>
        </w:tc>
        <w:tc>
          <w:tcPr>
            <w:tcW w:w="1334" w:type="dxa"/>
            <w:shd w:val="clear" w:color="auto" w:fill="DBE5F1" w:themeFill="accent1" w:themeFillTint="33"/>
            <w:noWrap/>
            <w:vAlign w:val="center"/>
            <w:hideMark/>
          </w:tcPr>
          <w:p w14:paraId="33CC0883" w14:textId="5C7CF7B8" w:rsidR="00404D38" w:rsidRPr="00D33C2C" w:rsidRDefault="00404D38" w:rsidP="00AC13C1">
            <w:pPr>
              <w:pStyle w:val="Tabletext"/>
              <w:keepNext/>
              <w:keepLines/>
              <w:jc w:val="center"/>
              <w:rPr>
                <w:szCs w:val="20"/>
              </w:rPr>
            </w:pPr>
            <w:r>
              <w:rPr>
                <w:szCs w:val="20"/>
              </w:rPr>
              <w:t xml:space="preserve">21.6 </w:t>
            </w:r>
            <w:r w:rsidR="00E04822">
              <w:rPr>
                <w:szCs w:val="20"/>
              </w:rPr>
              <w:br/>
            </w:r>
            <w:r>
              <w:rPr>
                <w:szCs w:val="20"/>
              </w:rPr>
              <w:t>(-0.5, 43.8)</w:t>
            </w:r>
          </w:p>
        </w:tc>
        <w:tc>
          <w:tcPr>
            <w:tcW w:w="1334" w:type="dxa"/>
            <w:shd w:val="clear" w:color="auto" w:fill="DBE5F1" w:themeFill="accent1" w:themeFillTint="33"/>
            <w:noWrap/>
            <w:vAlign w:val="center"/>
            <w:hideMark/>
          </w:tcPr>
          <w:p w14:paraId="356F54D2" w14:textId="7808AA8F" w:rsidR="00404D38" w:rsidRPr="00D33C2C" w:rsidRDefault="00404D38" w:rsidP="00AC13C1">
            <w:pPr>
              <w:pStyle w:val="Tabletext"/>
              <w:keepNext/>
              <w:keepLines/>
              <w:jc w:val="center"/>
              <w:rPr>
                <w:szCs w:val="20"/>
              </w:rPr>
            </w:pPr>
            <w:r>
              <w:rPr>
                <w:szCs w:val="20"/>
              </w:rPr>
              <w:t xml:space="preserve">30.7 </w:t>
            </w:r>
            <w:r w:rsidR="00E04822">
              <w:rPr>
                <w:szCs w:val="20"/>
              </w:rPr>
              <w:br/>
            </w:r>
            <w:r>
              <w:rPr>
                <w:szCs w:val="20"/>
              </w:rPr>
              <w:t>(12.6, 48.79)</w:t>
            </w:r>
          </w:p>
        </w:tc>
      </w:tr>
      <w:tr w:rsidR="00404D38" w:rsidRPr="00D33C2C" w14:paraId="43D46F5F" w14:textId="77777777" w:rsidTr="00AC13C1">
        <w:trPr>
          <w:cantSplit/>
          <w:trHeight w:val="227"/>
        </w:trPr>
        <w:tc>
          <w:tcPr>
            <w:tcW w:w="3681" w:type="dxa"/>
            <w:shd w:val="clear" w:color="auto" w:fill="DBE5F1" w:themeFill="accent1" w:themeFillTint="33"/>
            <w:noWrap/>
            <w:vAlign w:val="center"/>
            <w:hideMark/>
          </w:tcPr>
          <w:p w14:paraId="5C212B8F" w14:textId="77777777" w:rsidR="00404D38" w:rsidRPr="00D33C2C" w:rsidRDefault="00404D38" w:rsidP="00AC13C1">
            <w:pPr>
              <w:pStyle w:val="Tabletext"/>
              <w:keepNext/>
              <w:keepLines/>
              <w:rPr>
                <w:szCs w:val="20"/>
              </w:rPr>
            </w:pPr>
            <w:r w:rsidRPr="00D33C2C">
              <w:rPr>
                <w:szCs w:val="20"/>
              </w:rPr>
              <w:t>1-sided unadjusted p-valued</w:t>
            </w:r>
          </w:p>
        </w:tc>
        <w:tc>
          <w:tcPr>
            <w:tcW w:w="1334" w:type="dxa"/>
            <w:shd w:val="clear" w:color="auto" w:fill="DBE5F1" w:themeFill="accent1" w:themeFillTint="33"/>
            <w:noWrap/>
            <w:vAlign w:val="center"/>
            <w:hideMark/>
          </w:tcPr>
          <w:p w14:paraId="7F910535" w14:textId="77777777" w:rsidR="00404D38" w:rsidRPr="00D33C2C" w:rsidRDefault="00404D38" w:rsidP="00AC13C1">
            <w:pPr>
              <w:pStyle w:val="Tabletext"/>
              <w:keepNext/>
              <w:keepLines/>
              <w:jc w:val="center"/>
              <w:rPr>
                <w:szCs w:val="20"/>
              </w:rPr>
            </w:pPr>
            <w:r w:rsidRPr="00D33C2C">
              <w:rPr>
                <w:szCs w:val="20"/>
              </w:rPr>
              <w:t>-</w:t>
            </w:r>
          </w:p>
        </w:tc>
        <w:tc>
          <w:tcPr>
            <w:tcW w:w="1334" w:type="dxa"/>
            <w:shd w:val="clear" w:color="auto" w:fill="DBE5F1" w:themeFill="accent1" w:themeFillTint="33"/>
            <w:noWrap/>
            <w:vAlign w:val="center"/>
            <w:hideMark/>
          </w:tcPr>
          <w:p w14:paraId="7981B08C" w14:textId="77777777" w:rsidR="00404D38" w:rsidRPr="00AF2925" w:rsidRDefault="00404D38" w:rsidP="00AC13C1">
            <w:pPr>
              <w:pStyle w:val="Tabletext"/>
              <w:keepNext/>
              <w:keepLines/>
              <w:jc w:val="center"/>
              <w:rPr>
                <w:szCs w:val="20"/>
              </w:rPr>
            </w:pPr>
            <w:r w:rsidRPr="00AF2925">
              <w:rPr>
                <w:szCs w:val="20"/>
              </w:rPr>
              <w:t>0.0003</w:t>
            </w:r>
          </w:p>
        </w:tc>
        <w:tc>
          <w:tcPr>
            <w:tcW w:w="1334" w:type="dxa"/>
            <w:shd w:val="clear" w:color="auto" w:fill="DBE5F1" w:themeFill="accent1" w:themeFillTint="33"/>
            <w:noWrap/>
            <w:vAlign w:val="center"/>
            <w:hideMark/>
          </w:tcPr>
          <w:p w14:paraId="7F5ED315" w14:textId="77777777" w:rsidR="00404D38" w:rsidRPr="00D33C2C" w:rsidRDefault="00404D38" w:rsidP="00AC13C1">
            <w:pPr>
              <w:pStyle w:val="Tabletext"/>
              <w:keepNext/>
              <w:keepLines/>
              <w:jc w:val="center"/>
              <w:rPr>
                <w:szCs w:val="20"/>
              </w:rPr>
            </w:pPr>
            <w:r w:rsidRPr="00D33C2C">
              <w:rPr>
                <w:szCs w:val="20"/>
              </w:rPr>
              <w:t>0.0174</w:t>
            </w:r>
          </w:p>
        </w:tc>
        <w:tc>
          <w:tcPr>
            <w:tcW w:w="1334" w:type="dxa"/>
            <w:shd w:val="clear" w:color="auto" w:fill="DBE5F1" w:themeFill="accent1" w:themeFillTint="33"/>
            <w:noWrap/>
            <w:vAlign w:val="center"/>
            <w:hideMark/>
          </w:tcPr>
          <w:p w14:paraId="73D4BFF1" w14:textId="77777777" w:rsidR="00404D38" w:rsidRPr="00D33C2C" w:rsidRDefault="00404D38" w:rsidP="00AC13C1">
            <w:pPr>
              <w:pStyle w:val="Tabletext"/>
              <w:keepNext/>
              <w:keepLines/>
              <w:jc w:val="center"/>
              <w:rPr>
                <w:szCs w:val="20"/>
              </w:rPr>
            </w:pPr>
            <w:r w:rsidRPr="00D33C2C">
              <w:rPr>
                <w:szCs w:val="20"/>
              </w:rPr>
              <w:t>0.0015</w:t>
            </w:r>
          </w:p>
        </w:tc>
      </w:tr>
      <w:tr w:rsidR="00404D38" w:rsidRPr="00D33C2C" w14:paraId="620D8A2A" w14:textId="77777777" w:rsidTr="00AC13C1">
        <w:trPr>
          <w:cantSplit/>
          <w:trHeight w:val="227"/>
        </w:trPr>
        <w:tc>
          <w:tcPr>
            <w:tcW w:w="3681" w:type="dxa"/>
            <w:tcBorders>
              <w:bottom w:val="single" w:sz="4" w:space="0" w:color="auto"/>
            </w:tcBorders>
            <w:shd w:val="clear" w:color="auto" w:fill="DBE5F1" w:themeFill="accent1" w:themeFillTint="33"/>
            <w:noWrap/>
            <w:vAlign w:val="center"/>
            <w:hideMark/>
          </w:tcPr>
          <w:p w14:paraId="47C15BDD" w14:textId="77777777" w:rsidR="00404D38" w:rsidRPr="00D33C2C" w:rsidRDefault="00404D38" w:rsidP="00AC13C1">
            <w:pPr>
              <w:pStyle w:val="Tabletext"/>
              <w:keepNext/>
              <w:keepLines/>
              <w:rPr>
                <w:szCs w:val="20"/>
              </w:rPr>
            </w:pPr>
            <w:r w:rsidRPr="00D33C2C">
              <w:rPr>
                <w:szCs w:val="20"/>
              </w:rPr>
              <w:t>1-sided adjusted p-value</w:t>
            </w:r>
          </w:p>
        </w:tc>
        <w:tc>
          <w:tcPr>
            <w:tcW w:w="1334" w:type="dxa"/>
            <w:tcBorders>
              <w:bottom w:val="single" w:sz="4" w:space="0" w:color="auto"/>
            </w:tcBorders>
            <w:shd w:val="clear" w:color="auto" w:fill="DBE5F1" w:themeFill="accent1" w:themeFillTint="33"/>
            <w:noWrap/>
            <w:vAlign w:val="center"/>
            <w:hideMark/>
          </w:tcPr>
          <w:p w14:paraId="5FEE0AA5" w14:textId="77777777" w:rsidR="00404D38" w:rsidRPr="00D33C2C" w:rsidRDefault="00404D38" w:rsidP="00AC13C1">
            <w:pPr>
              <w:pStyle w:val="Tabletext"/>
              <w:keepNext/>
              <w:keepLines/>
              <w:jc w:val="center"/>
              <w:rPr>
                <w:szCs w:val="20"/>
              </w:rPr>
            </w:pPr>
            <w:r w:rsidRPr="00D33C2C">
              <w:rPr>
                <w:szCs w:val="20"/>
              </w:rPr>
              <w:t>-</w:t>
            </w:r>
          </w:p>
        </w:tc>
        <w:tc>
          <w:tcPr>
            <w:tcW w:w="1334" w:type="dxa"/>
            <w:tcBorders>
              <w:bottom w:val="single" w:sz="4" w:space="0" w:color="auto"/>
            </w:tcBorders>
            <w:shd w:val="clear" w:color="auto" w:fill="DBE5F1" w:themeFill="accent1" w:themeFillTint="33"/>
            <w:noWrap/>
            <w:vAlign w:val="center"/>
            <w:hideMark/>
          </w:tcPr>
          <w:p w14:paraId="4A1B4238" w14:textId="77777777" w:rsidR="00404D38" w:rsidRPr="00D33C2C" w:rsidRDefault="00404D38" w:rsidP="00AC13C1">
            <w:pPr>
              <w:pStyle w:val="Tabletext"/>
              <w:keepNext/>
              <w:keepLines/>
              <w:jc w:val="center"/>
              <w:rPr>
                <w:b/>
                <w:bCs/>
                <w:szCs w:val="20"/>
              </w:rPr>
            </w:pPr>
            <w:r w:rsidRPr="00D33C2C">
              <w:rPr>
                <w:b/>
                <w:bCs/>
                <w:szCs w:val="20"/>
              </w:rPr>
              <w:t>0.0015</w:t>
            </w:r>
          </w:p>
        </w:tc>
        <w:tc>
          <w:tcPr>
            <w:tcW w:w="1334" w:type="dxa"/>
            <w:tcBorders>
              <w:bottom w:val="single" w:sz="4" w:space="0" w:color="auto"/>
            </w:tcBorders>
            <w:shd w:val="clear" w:color="auto" w:fill="DBE5F1" w:themeFill="accent1" w:themeFillTint="33"/>
            <w:noWrap/>
            <w:vAlign w:val="center"/>
            <w:hideMark/>
          </w:tcPr>
          <w:p w14:paraId="12C835DD" w14:textId="77777777" w:rsidR="00404D38" w:rsidRPr="00D33C2C" w:rsidRDefault="00404D38" w:rsidP="00AC13C1">
            <w:pPr>
              <w:pStyle w:val="Tabletext"/>
              <w:keepNext/>
              <w:keepLines/>
              <w:jc w:val="center"/>
              <w:rPr>
                <w:szCs w:val="20"/>
              </w:rPr>
            </w:pPr>
            <w:r w:rsidRPr="00D33C2C">
              <w:rPr>
                <w:szCs w:val="20"/>
              </w:rPr>
              <w:t>0.0174</w:t>
            </w:r>
          </w:p>
        </w:tc>
        <w:tc>
          <w:tcPr>
            <w:tcW w:w="1334" w:type="dxa"/>
            <w:tcBorders>
              <w:bottom w:val="single" w:sz="4" w:space="0" w:color="auto"/>
            </w:tcBorders>
            <w:shd w:val="clear" w:color="auto" w:fill="DBE5F1" w:themeFill="accent1" w:themeFillTint="33"/>
            <w:noWrap/>
            <w:vAlign w:val="center"/>
            <w:hideMark/>
          </w:tcPr>
          <w:p w14:paraId="25C718C2" w14:textId="77777777" w:rsidR="00404D38" w:rsidRPr="00D33C2C" w:rsidRDefault="00404D38" w:rsidP="00AC13C1">
            <w:pPr>
              <w:pStyle w:val="Tabletext"/>
              <w:keepNext/>
              <w:keepLines/>
              <w:jc w:val="center"/>
              <w:rPr>
                <w:szCs w:val="20"/>
              </w:rPr>
            </w:pPr>
            <w:r w:rsidRPr="00D33C2C">
              <w:rPr>
                <w:szCs w:val="20"/>
              </w:rPr>
              <w:t>-</w:t>
            </w:r>
          </w:p>
        </w:tc>
      </w:tr>
      <w:tr w:rsidR="00404D38" w:rsidRPr="00D33C2C" w14:paraId="3C4B01A1" w14:textId="77777777" w:rsidTr="00AC13C1">
        <w:trPr>
          <w:cantSplit/>
          <w:trHeight w:val="227"/>
        </w:trPr>
        <w:tc>
          <w:tcPr>
            <w:tcW w:w="90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7A563C" w14:textId="77777777" w:rsidR="00404D38" w:rsidRPr="00D33C2C" w:rsidRDefault="00404D38" w:rsidP="00AC13C1">
            <w:pPr>
              <w:pStyle w:val="Tabletext"/>
              <w:keepNext/>
              <w:keepLines/>
              <w:rPr>
                <w:szCs w:val="20"/>
              </w:rPr>
            </w:pPr>
            <w:r w:rsidRPr="00D33C2C">
              <w:rPr>
                <w:b/>
                <w:bCs/>
                <w:szCs w:val="20"/>
              </w:rPr>
              <w:t>Proportion of positive pruritus assessments (primary)</w:t>
            </w:r>
          </w:p>
        </w:tc>
      </w:tr>
      <w:tr w:rsidR="00404D38" w:rsidRPr="00D33C2C" w14:paraId="420D95D0" w14:textId="77777777" w:rsidTr="00AC13C1">
        <w:trPr>
          <w:cantSplit/>
          <w:trHeight w:val="227"/>
        </w:trPr>
        <w:tc>
          <w:tcPr>
            <w:tcW w:w="3681" w:type="dxa"/>
            <w:shd w:val="clear" w:color="auto" w:fill="DBE5F1" w:themeFill="accent1" w:themeFillTint="33"/>
            <w:noWrap/>
            <w:vAlign w:val="center"/>
            <w:hideMark/>
          </w:tcPr>
          <w:p w14:paraId="248A626B" w14:textId="77777777" w:rsidR="00404D38" w:rsidRPr="00D33C2C" w:rsidRDefault="00404D38" w:rsidP="00AC13C1">
            <w:pPr>
              <w:pStyle w:val="Tabletext"/>
              <w:keepNext/>
              <w:keepLines/>
              <w:rPr>
                <w:szCs w:val="20"/>
              </w:rPr>
            </w:pPr>
            <w:r w:rsidRPr="00D33C2C">
              <w:rPr>
                <w:szCs w:val="20"/>
              </w:rPr>
              <w:t>% mean (SE)</w:t>
            </w:r>
          </w:p>
        </w:tc>
        <w:tc>
          <w:tcPr>
            <w:tcW w:w="1334" w:type="dxa"/>
            <w:shd w:val="clear" w:color="auto" w:fill="DBE5F1" w:themeFill="accent1" w:themeFillTint="33"/>
            <w:noWrap/>
            <w:vAlign w:val="center"/>
            <w:hideMark/>
          </w:tcPr>
          <w:p w14:paraId="6BEE700B" w14:textId="77777777" w:rsidR="00404D38" w:rsidRPr="00D33C2C" w:rsidRDefault="00404D38" w:rsidP="00AC13C1">
            <w:pPr>
              <w:pStyle w:val="Tabletext"/>
              <w:keepNext/>
              <w:keepLines/>
              <w:jc w:val="center"/>
              <w:rPr>
                <w:szCs w:val="20"/>
              </w:rPr>
            </w:pPr>
            <w:r w:rsidRPr="001C4600">
              <w:t>28.74 (5.21)</w:t>
            </w:r>
          </w:p>
        </w:tc>
        <w:tc>
          <w:tcPr>
            <w:tcW w:w="1334" w:type="dxa"/>
            <w:shd w:val="clear" w:color="auto" w:fill="DBE5F1" w:themeFill="accent1" w:themeFillTint="33"/>
            <w:noWrap/>
            <w:vAlign w:val="center"/>
            <w:hideMark/>
          </w:tcPr>
          <w:p w14:paraId="354D59A5" w14:textId="77777777" w:rsidR="00404D38" w:rsidRPr="00D33C2C" w:rsidRDefault="00404D38" w:rsidP="00AC13C1">
            <w:pPr>
              <w:pStyle w:val="Tabletext"/>
              <w:keepNext/>
              <w:keepLines/>
              <w:jc w:val="center"/>
              <w:rPr>
                <w:szCs w:val="20"/>
              </w:rPr>
            </w:pPr>
            <w:r w:rsidRPr="001C4600">
              <w:t>58.31 (6.21)</w:t>
            </w:r>
          </w:p>
        </w:tc>
        <w:tc>
          <w:tcPr>
            <w:tcW w:w="1334" w:type="dxa"/>
            <w:shd w:val="clear" w:color="auto" w:fill="DBE5F1" w:themeFill="accent1" w:themeFillTint="33"/>
            <w:noWrap/>
            <w:vAlign w:val="center"/>
            <w:hideMark/>
          </w:tcPr>
          <w:p w14:paraId="7374EE53" w14:textId="77777777" w:rsidR="00404D38" w:rsidRPr="00D33C2C" w:rsidRDefault="00404D38" w:rsidP="00AC13C1">
            <w:pPr>
              <w:pStyle w:val="Tabletext"/>
              <w:keepNext/>
              <w:keepLines/>
              <w:jc w:val="center"/>
              <w:rPr>
                <w:szCs w:val="20"/>
              </w:rPr>
            </w:pPr>
            <w:r w:rsidRPr="001C4600">
              <w:t>47.69 (8.11)</w:t>
            </w:r>
          </w:p>
        </w:tc>
        <w:tc>
          <w:tcPr>
            <w:tcW w:w="1334" w:type="dxa"/>
            <w:shd w:val="clear" w:color="auto" w:fill="DBE5F1" w:themeFill="accent1" w:themeFillTint="33"/>
            <w:noWrap/>
            <w:vAlign w:val="center"/>
            <w:hideMark/>
          </w:tcPr>
          <w:p w14:paraId="67E7C8C2" w14:textId="77777777" w:rsidR="00404D38" w:rsidRPr="00D33C2C" w:rsidRDefault="00404D38" w:rsidP="00AC13C1">
            <w:pPr>
              <w:pStyle w:val="Tabletext"/>
              <w:keepNext/>
              <w:keepLines/>
              <w:jc w:val="center"/>
              <w:rPr>
                <w:szCs w:val="20"/>
              </w:rPr>
            </w:pPr>
            <w:r w:rsidRPr="001C4600">
              <w:t>53.51 (5.01)</w:t>
            </w:r>
          </w:p>
        </w:tc>
      </w:tr>
      <w:tr w:rsidR="00404D38" w:rsidRPr="00D33C2C" w14:paraId="5F5C573E" w14:textId="77777777" w:rsidTr="00AC13C1">
        <w:trPr>
          <w:cantSplit/>
          <w:trHeight w:val="227"/>
        </w:trPr>
        <w:tc>
          <w:tcPr>
            <w:tcW w:w="3681" w:type="dxa"/>
            <w:shd w:val="clear" w:color="auto" w:fill="DBE5F1" w:themeFill="accent1" w:themeFillTint="33"/>
            <w:noWrap/>
            <w:vAlign w:val="center"/>
            <w:hideMark/>
          </w:tcPr>
          <w:p w14:paraId="1E393683" w14:textId="77777777" w:rsidR="00404D38" w:rsidRPr="00D33C2C" w:rsidRDefault="00404D38" w:rsidP="00AC13C1">
            <w:pPr>
              <w:pStyle w:val="Tabletext"/>
              <w:keepNext/>
              <w:keepLines/>
              <w:rPr>
                <w:szCs w:val="20"/>
              </w:rPr>
            </w:pPr>
            <w:r w:rsidRPr="00D33C2C">
              <w:rPr>
                <w:szCs w:val="20"/>
              </w:rPr>
              <w:t>% LS Mean (SE)</w:t>
            </w:r>
          </w:p>
        </w:tc>
        <w:tc>
          <w:tcPr>
            <w:tcW w:w="1334" w:type="dxa"/>
            <w:shd w:val="clear" w:color="auto" w:fill="DBE5F1" w:themeFill="accent1" w:themeFillTint="33"/>
            <w:noWrap/>
            <w:vAlign w:val="center"/>
            <w:hideMark/>
          </w:tcPr>
          <w:p w14:paraId="13ED134A" w14:textId="77777777" w:rsidR="00404D38" w:rsidRPr="00D33C2C" w:rsidRDefault="00404D38" w:rsidP="00AC13C1">
            <w:pPr>
              <w:pStyle w:val="Tabletext"/>
              <w:keepNext/>
              <w:keepLines/>
              <w:jc w:val="center"/>
              <w:rPr>
                <w:szCs w:val="20"/>
              </w:rPr>
            </w:pPr>
            <w:r w:rsidRPr="001C4600">
              <w:t>30.10 (9.12)</w:t>
            </w:r>
          </w:p>
        </w:tc>
        <w:tc>
          <w:tcPr>
            <w:tcW w:w="1334" w:type="dxa"/>
            <w:shd w:val="clear" w:color="auto" w:fill="DBE5F1" w:themeFill="accent1" w:themeFillTint="33"/>
            <w:noWrap/>
            <w:vAlign w:val="center"/>
            <w:hideMark/>
          </w:tcPr>
          <w:p w14:paraId="0909AD3E" w14:textId="77777777" w:rsidR="00404D38" w:rsidRPr="00D33C2C" w:rsidRDefault="00404D38" w:rsidP="00AC13C1">
            <w:pPr>
              <w:pStyle w:val="Tabletext"/>
              <w:keepNext/>
              <w:keepLines/>
              <w:jc w:val="center"/>
              <w:rPr>
                <w:szCs w:val="20"/>
              </w:rPr>
            </w:pPr>
            <w:r w:rsidRPr="001C4600">
              <w:t>58.34 (8.58)</w:t>
            </w:r>
          </w:p>
        </w:tc>
        <w:tc>
          <w:tcPr>
            <w:tcW w:w="1334" w:type="dxa"/>
            <w:shd w:val="clear" w:color="auto" w:fill="DBE5F1" w:themeFill="accent1" w:themeFillTint="33"/>
            <w:noWrap/>
            <w:vAlign w:val="center"/>
            <w:hideMark/>
          </w:tcPr>
          <w:p w14:paraId="5347CF35" w14:textId="77777777" w:rsidR="00404D38" w:rsidRPr="00D33C2C" w:rsidRDefault="00404D38" w:rsidP="00AC13C1">
            <w:pPr>
              <w:pStyle w:val="Tabletext"/>
              <w:keepNext/>
              <w:keepLines/>
              <w:jc w:val="center"/>
              <w:rPr>
                <w:szCs w:val="20"/>
              </w:rPr>
            </w:pPr>
            <w:r w:rsidRPr="001C4600">
              <w:t>51.81 (9.46)</w:t>
            </w:r>
          </w:p>
        </w:tc>
        <w:tc>
          <w:tcPr>
            <w:tcW w:w="1334" w:type="dxa"/>
            <w:shd w:val="clear" w:color="auto" w:fill="DBE5F1" w:themeFill="accent1" w:themeFillTint="33"/>
            <w:noWrap/>
            <w:vAlign w:val="center"/>
            <w:hideMark/>
          </w:tcPr>
          <w:p w14:paraId="04E4FA20" w14:textId="77777777" w:rsidR="00404D38" w:rsidRPr="00D33C2C" w:rsidRDefault="00404D38" w:rsidP="00AC13C1">
            <w:pPr>
              <w:pStyle w:val="Tabletext"/>
              <w:keepNext/>
              <w:keepLines/>
              <w:jc w:val="center"/>
              <w:rPr>
                <w:szCs w:val="20"/>
              </w:rPr>
            </w:pPr>
            <w:r w:rsidRPr="001C4600">
              <w:t>55.08 (7.64)</w:t>
            </w:r>
          </w:p>
        </w:tc>
      </w:tr>
      <w:tr w:rsidR="00404D38" w:rsidRPr="00D33C2C" w14:paraId="4EBCE962" w14:textId="77777777" w:rsidTr="00AC13C1">
        <w:trPr>
          <w:cantSplit/>
          <w:trHeight w:val="227"/>
        </w:trPr>
        <w:tc>
          <w:tcPr>
            <w:tcW w:w="3681" w:type="dxa"/>
            <w:shd w:val="clear" w:color="auto" w:fill="DBE5F1" w:themeFill="accent1" w:themeFillTint="33"/>
            <w:noWrap/>
            <w:vAlign w:val="center"/>
            <w:hideMark/>
          </w:tcPr>
          <w:p w14:paraId="748BD982" w14:textId="77777777" w:rsidR="00404D38" w:rsidRPr="00D33C2C" w:rsidRDefault="00404D38" w:rsidP="00AC13C1">
            <w:pPr>
              <w:pStyle w:val="Tabletext"/>
              <w:keepNext/>
              <w:keepLines/>
              <w:rPr>
                <w:szCs w:val="20"/>
              </w:rPr>
            </w:pPr>
            <w:r w:rsidRPr="00D33C2C">
              <w:rPr>
                <w:szCs w:val="20"/>
              </w:rPr>
              <w:t xml:space="preserve">% LS Mean Difference (SE) </w:t>
            </w:r>
          </w:p>
          <w:p w14:paraId="34245753" w14:textId="77777777" w:rsidR="00404D38" w:rsidRPr="00D33C2C" w:rsidRDefault="00404D38" w:rsidP="00AC13C1">
            <w:pPr>
              <w:pStyle w:val="Tabletext"/>
              <w:keepNext/>
              <w:keepLines/>
              <w:rPr>
                <w:szCs w:val="20"/>
              </w:rPr>
            </w:pPr>
            <w:r w:rsidRPr="00D33C2C">
              <w:rPr>
                <w:szCs w:val="20"/>
              </w:rPr>
              <w:t xml:space="preserve">(Odevixibat-Placebo) </w:t>
            </w:r>
          </w:p>
        </w:tc>
        <w:tc>
          <w:tcPr>
            <w:tcW w:w="1334" w:type="dxa"/>
            <w:shd w:val="clear" w:color="auto" w:fill="DBE5F1" w:themeFill="accent1" w:themeFillTint="33"/>
            <w:noWrap/>
            <w:vAlign w:val="center"/>
            <w:hideMark/>
          </w:tcPr>
          <w:p w14:paraId="7136D1CF" w14:textId="77777777" w:rsidR="00404D38" w:rsidRPr="00D33C2C" w:rsidRDefault="00404D38" w:rsidP="00AC13C1">
            <w:pPr>
              <w:pStyle w:val="Tabletext"/>
              <w:keepNext/>
              <w:keepLines/>
              <w:jc w:val="center"/>
              <w:rPr>
                <w:szCs w:val="20"/>
              </w:rPr>
            </w:pPr>
            <w:r w:rsidRPr="001C4600">
              <w:t>-</w:t>
            </w:r>
          </w:p>
        </w:tc>
        <w:tc>
          <w:tcPr>
            <w:tcW w:w="1334" w:type="dxa"/>
            <w:shd w:val="clear" w:color="auto" w:fill="DBE5F1" w:themeFill="accent1" w:themeFillTint="33"/>
            <w:noWrap/>
            <w:vAlign w:val="center"/>
            <w:hideMark/>
          </w:tcPr>
          <w:p w14:paraId="5F1BD70D" w14:textId="77777777" w:rsidR="00404D38" w:rsidRPr="00D33C2C" w:rsidRDefault="00404D38" w:rsidP="00AC13C1">
            <w:pPr>
              <w:pStyle w:val="Tabletext"/>
              <w:keepNext/>
              <w:keepLines/>
              <w:jc w:val="center"/>
              <w:rPr>
                <w:szCs w:val="20"/>
              </w:rPr>
            </w:pPr>
            <w:r w:rsidRPr="001C4600">
              <w:t>28.23 (9.18)</w:t>
            </w:r>
          </w:p>
        </w:tc>
        <w:tc>
          <w:tcPr>
            <w:tcW w:w="1334" w:type="dxa"/>
            <w:shd w:val="clear" w:color="auto" w:fill="DBE5F1" w:themeFill="accent1" w:themeFillTint="33"/>
            <w:noWrap/>
            <w:vAlign w:val="center"/>
            <w:hideMark/>
          </w:tcPr>
          <w:p w14:paraId="4A15FA71" w14:textId="77777777" w:rsidR="00404D38" w:rsidRPr="00D33C2C" w:rsidRDefault="00404D38" w:rsidP="00AC13C1">
            <w:pPr>
              <w:pStyle w:val="Tabletext"/>
              <w:keepNext/>
              <w:keepLines/>
              <w:jc w:val="center"/>
              <w:rPr>
                <w:szCs w:val="20"/>
              </w:rPr>
            </w:pPr>
            <w:r w:rsidRPr="001C4600">
              <w:t>21.71 (9.89)</w:t>
            </w:r>
          </w:p>
        </w:tc>
        <w:tc>
          <w:tcPr>
            <w:tcW w:w="1334" w:type="dxa"/>
            <w:shd w:val="clear" w:color="auto" w:fill="DBE5F1" w:themeFill="accent1" w:themeFillTint="33"/>
            <w:noWrap/>
            <w:vAlign w:val="center"/>
            <w:hideMark/>
          </w:tcPr>
          <w:p w14:paraId="4835B065" w14:textId="77777777" w:rsidR="00404D38" w:rsidRPr="00D33C2C" w:rsidRDefault="00404D38" w:rsidP="00AC13C1">
            <w:pPr>
              <w:pStyle w:val="Tabletext"/>
              <w:keepNext/>
              <w:keepLines/>
              <w:jc w:val="center"/>
              <w:rPr>
                <w:szCs w:val="20"/>
              </w:rPr>
            </w:pPr>
            <w:r w:rsidRPr="001C4600">
              <w:t>24.97 (8.24)</w:t>
            </w:r>
          </w:p>
        </w:tc>
      </w:tr>
      <w:tr w:rsidR="00404D38" w:rsidRPr="00D33C2C" w14:paraId="6DB51B0A" w14:textId="77777777" w:rsidTr="00AC13C1">
        <w:trPr>
          <w:cantSplit/>
          <w:trHeight w:val="227"/>
        </w:trPr>
        <w:tc>
          <w:tcPr>
            <w:tcW w:w="3681" w:type="dxa"/>
            <w:shd w:val="clear" w:color="auto" w:fill="DBE5F1" w:themeFill="accent1" w:themeFillTint="33"/>
            <w:noWrap/>
            <w:vAlign w:val="center"/>
            <w:hideMark/>
          </w:tcPr>
          <w:p w14:paraId="40523483" w14:textId="77777777" w:rsidR="00404D38" w:rsidRPr="00D33C2C" w:rsidRDefault="00404D38" w:rsidP="00AC13C1">
            <w:pPr>
              <w:pStyle w:val="Tabletext"/>
              <w:keepNext/>
              <w:keepLines/>
              <w:rPr>
                <w:szCs w:val="20"/>
              </w:rPr>
            </w:pPr>
            <w:r w:rsidRPr="00D33C2C">
              <w:rPr>
                <w:szCs w:val="20"/>
              </w:rPr>
              <w:t>95% CI</w:t>
            </w:r>
          </w:p>
        </w:tc>
        <w:tc>
          <w:tcPr>
            <w:tcW w:w="1334" w:type="dxa"/>
            <w:shd w:val="clear" w:color="auto" w:fill="DBE5F1" w:themeFill="accent1" w:themeFillTint="33"/>
            <w:noWrap/>
            <w:vAlign w:val="center"/>
            <w:hideMark/>
          </w:tcPr>
          <w:p w14:paraId="2CB54C40" w14:textId="77777777" w:rsidR="00404D38" w:rsidRPr="00D33C2C" w:rsidRDefault="00404D38" w:rsidP="00AC13C1">
            <w:pPr>
              <w:pStyle w:val="Tabletext"/>
              <w:keepNext/>
              <w:keepLines/>
              <w:jc w:val="center"/>
              <w:rPr>
                <w:szCs w:val="20"/>
              </w:rPr>
            </w:pPr>
            <w:r w:rsidRPr="001C4600">
              <w:t>-</w:t>
            </w:r>
          </w:p>
        </w:tc>
        <w:tc>
          <w:tcPr>
            <w:tcW w:w="1334" w:type="dxa"/>
            <w:shd w:val="clear" w:color="auto" w:fill="DBE5F1" w:themeFill="accent1" w:themeFillTint="33"/>
            <w:noWrap/>
            <w:vAlign w:val="center"/>
            <w:hideMark/>
          </w:tcPr>
          <w:p w14:paraId="423AF1BE" w14:textId="77777777" w:rsidR="00404D38" w:rsidRPr="00D33C2C" w:rsidRDefault="00404D38" w:rsidP="00AC13C1">
            <w:pPr>
              <w:pStyle w:val="Tabletext"/>
              <w:keepNext/>
              <w:keepLines/>
              <w:jc w:val="center"/>
              <w:rPr>
                <w:szCs w:val="20"/>
              </w:rPr>
            </w:pPr>
            <w:r w:rsidRPr="001C4600">
              <w:t>(9.83, 46.64)</w:t>
            </w:r>
          </w:p>
        </w:tc>
        <w:tc>
          <w:tcPr>
            <w:tcW w:w="1334" w:type="dxa"/>
            <w:shd w:val="clear" w:color="auto" w:fill="DBE5F1" w:themeFill="accent1" w:themeFillTint="33"/>
            <w:noWrap/>
            <w:vAlign w:val="center"/>
            <w:hideMark/>
          </w:tcPr>
          <w:p w14:paraId="6A58CC3B" w14:textId="77777777" w:rsidR="00404D38" w:rsidRPr="00D33C2C" w:rsidRDefault="00404D38" w:rsidP="00AC13C1">
            <w:pPr>
              <w:pStyle w:val="Tabletext"/>
              <w:keepNext/>
              <w:keepLines/>
              <w:jc w:val="center"/>
              <w:rPr>
                <w:szCs w:val="20"/>
              </w:rPr>
            </w:pPr>
            <w:r w:rsidRPr="001C4600">
              <w:t>(1.87, 41.54)</w:t>
            </w:r>
          </w:p>
        </w:tc>
        <w:tc>
          <w:tcPr>
            <w:tcW w:w="1334" w:type="dxa"/>
            <w:shd w:val="clear" w:color="auto" w:fill="DBE5F1" w:themeFill="accent1" w:themeFillTint="33"/>
            <w:noWrap/>
            <w:vAlign w:val="center"/>
            <w:hideMark/>
          </w:tcPr>
          <w:p w14:paraId="6B9FD4D7" w14:textId="77777777" w:rsidR="00404D38" w:rsidRPr="00D33C2C" w:rsidRDefault="00404D38" w:rsidP="00AC13C1">
            <w:pPr>
              <w:pStyle w:val="Tabletext"/>
              <w:keepNext/>
              <w:keepLines/>
              <w:jc w:val="center"/>
              <w:rPr>
                <w:szCs w:val="20"/>
              </w:rPr>
            </w:pPr>
            <w:r w:rsidRPr="001C4600">
              <w:t>(8.45, 41.49)</w:t>
            </w:r>
          </w:p>
        </w:tc>
      </w:tr>
      <w:tr w:rsidR="00404D38" w:rsidRPr="00D33C2C" w14:paraId="439AF1A8" w14:textId="77777777" w:rsidTr="00AC13C1">
        <w:trPr>
          <w:cantSplit/>
          <w:trHeight w:val="227"/>
        </w:trPr>
        <w:tc>
          <w:tcPr>
            <w:tcW w:w="3681" w:type="dxa"/>
            <w:tcBorders>
              <w:bottom w:val="single" w:sz="4" w:space="0" w:color="auto"/>
            </w:tcBorders>
            <w:shd w:val="clear" w:color="auto" w:fill="DBE5F1" w:themeFill="accent1" w:themeFillTint="33"/>
            <w:noWrap/>
            <w:vAlign w:val="center"/>
            <w:hideMark/>
          </w:tcPr>
          <w:p w14:paraId="57DB2DDE" w14:textId="77777777" w:rsidR="00404D38" w:rsidRPr="00D33C2C" w:rsidRDefault="00404D38" w:rsidP="00AC13C1">
            <w:pPr>
              <w:pStyle w:val="Tabletext"/>
              <w:keepNext/>
              <w:keepLines/>
              <w:rPr>
                <w:szCs w:val="20"/>
              </w:rPr>
            </w:pPr>
            <w:r w:rsidRPr="00D33C2C">
              <w:rPr>
                <w:szCs w:val="20"/>
              </w:rPr>
              <w:t>One-sided p-value (unadjusted)</w:t>
            </w:r>
          </w:p>
        </w:tc>
        <w:tc>
          <w:tcPr>
            <w:tcW w:w="1334" w:type="dxa"/>
            <w:tcBorders>
              <w:bottom w:val="single" w:sz="4" w:space="0" w:color="auto"/>
            </w:tcBorders>
            <w:shd w:val="clear" w:color="auto" w:fill="DBE5F1" w:themeFill="accent1" w:themeFillTint="33"/>
            <w:noWrap/>
            <w:vAlign w:val="center"/>
            <w:hideMark/>
          </w:tcPr>
          <w:p w14:paraId="0E7B7265" w14:textId="77777777" w:rsidR="00404D38" w:rsidRPr="00D33C2C" w:rsidRDefault="00404D38" w:rsidP="00AC13C1">
            <w:pPr>
              <w:pStyle w:val="Tabletext"/>
              <w:keepNext/>
              <w:keepLines/>
              <w:jc w:val="center"/>
              <w:rPr>
                <w:szCs w:val="20"/>
              </w:rPr>
            </w:pPr>
            <w:r w:rsidRPr="00D33C2C">
              <w:rPr>
                <w:szCs w:val="20"/>
              </w:rPr>
              <w:t>-</w:t>
            </w:r>
          </w:p>
        </w:tc>
        <w:tc>
          <w:tcPr>
            <w:tcW w:w="1334" w:type="dxa"/>
            <w:tcBorders>
              <w:bottom w:val="single" w:sz="4" w:space="0" w:color="auto"/>
            </w:tcBorders>
            <w:shd w:val="clear" w:color="auto" w:fill="DBE5F1" w:themeFill="accent1" w:themeFillTint="33"/>
            <w:noWrap/>
            <w:vAlign w:val="center"/>
            <w:hideMark/>
          </w:tcPr>
          <w:p w14:paraId="30E050E1" w14:textId="77777777" w:rsidR="00404D38" w:rsidRPr="00D33C2C" w:rsidRDefault="00404D38" w:rsidP="00AC13C1">
            <w:pPr>
              <w:pStyle w:val="Tabletext"/>
              <w:keepNext/>
              <w:keepLines/>
              <w:jc w:val="center"/>
              <w:rPr>
                <w:szCs w:val="20"/>
              </w:rPr>
            </w:pPr>
            <w:r w:rsidRPr="00D33C2C">
              <w:rPr>
                <w:szCs w:val="20"/>
              </w:rPr>
              <w:t>0.0016</w:t>
            </w:r>
          </w:p>
        </w:tc>
        <w:tc>
          <w:tcPr>
            <w:tcW w:w="1334" w:type="dxa"/>
            <w:tcBorders>
              <w:bottom w:val="single" w:sz="4" w:space="0" w:color="auto"/>
            </w:tcBorders>
            <w:shd w:val="clear" w:color="auto" w:fill="DBE5F1" w:themeFill="accent1" w:themeFillTint="33"/>
            <w:noWrap/>
            <w:vAlign w:val="center"/>
            <w:hideMark/>
          </w:tcPr>
          <w:p w14:paraId="288B8674" w14:textId="77777777" w:rsidR="00404D38" w:rsidRPr="00D33C2C" w:rsidRDefault="00404D38" w:rsidP="00AC13C1">
            <w:pPr>
              <w:pStyle w:val="Tabletext"/>
              <w:keepNext/>
              <w:keepLines/>
              <w:jc w:val="center"/>
              <w:rPr>
                <w:szCs w:val="20"/>
              </w:rPr>
            </w:pPr>
            <w:r w:rsidRPr="00D33C2C">
              <w:rPr>
                <w:szCs w:val="20"/>
              </w:rPr>
              <w:t>0.0163</w:t>
            </w:r>
          </w:p>
        </w:tc>
        <w:tc>
          <w:tcPr>
            <w:tcW w:w="1334" w:type="dxa"/>
            <w:tcBorders>
              <w:bottom w:val="single" w:sz="4" w:space="0" w:color="auto"/>
            </w:tcBorders>
            <w:shd w:val="clear" w:color="auto" w:fill="DBE5F1" w:themeFill="accent1" w:themeFillTint="33"/>
            <w:noWrap/>
            <w:vAlign w:val="center"/>
            <w:hideMark/>
          </w:tcPr>
          <w:p w14:paraId="0BB1EB42" w14:textId="77777777" w:rsidR="00404D38" w:rsidRPr="00D33C2C" w:rsidRDefault="00404D38" w:rsidP="00AC13C1">
            <w:pPr>
              <w:pStyle w:val="Tabletext"/>
              <w:keepNext/>
              <w:keepLines/>
              <w:jc w:val="center"/>
              <w:rPr>
                <w:szCs w:val="20"/>
              </w:rPr>
            </w:pPr>
            <w:r w:rsidRPr="00D33C2C">
              <w:rPr>
                <w:szCs w:val="20"/>
              </w:rPr>
              <w:t>0.0019</w:t>
            </w:r>
          </w:p>
        </w:tc>
      </w:tr>
      <w:tr w:rsidR="00404D38" w:rsidRPr="00D33C2C" w14:paraId="656538F3" w14:textId="77777777" w:rsidTr="00AC13C1">
        <w:trPr>
          <w:cantSplit/>
          <w:trHeight w:val="227"/>
        </w:trPr>
        <w:tc>
          <w:tcPr>
            <w:tcW w:w="90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A359A17" w14:textId="77777777" w:rsidR="00404D38" w:rsidRPr="00D33C2C" w:rsidRDefault="00404D38" w:rsidP="00AC13C1">
            <w:pPr>
              <w:pStyle w:val="Tabletext"/>
              <w:keepNext/>
              <w:keepLines/>
              <w:rPr>
                <w:b/>
                <w:bCs/>
                <w:szCs w:val="20"/>
              </w:rPr>
            </w:pPr>
            <w:r w:rsidRPr="00D33C2C">
              <w:rPr>
                <w:b/>
                <w:bCs/>
                <w:szCs w:val="20"/>
              </w:rPr>
              <w:t>Proportion of positive pruritus assessments for ≥50% of the time (secondary)</w:t>
            </w:r>
          </w:p>
        </w:tc>
      </w:tr>
      <w:tr w:rsidR="00404D38" w:rsidRPr="00D33C2C" w14:paraId="471EEA69" w14:textId="77777777" w:rsidTr="00AC13C1">
        <w:trPr>
          <w:cantSplit/>
          <w:trHeight w:val="227"/>
        </w:trPr>
        <w:tc>
          <w:tcPr>
            <w:tcW w:w="3681" w:type="dxa"/>
            <w:tcBorders>
              <w:top w:val="single" w:sz="4" w:space="0" w:color="auto"/>
            </w:tcBorders>
            <w:shd w:val="clear" w:color="auto" w:fill="DBE5F1" w:themeFill="accent1" w:themeFillTint="33"/>
            <w:noWrap/>
            <w:vAlign w:val="center"/>
            <w:hideMark/>
          </w:tcPr>
          <w:p w14:paraId="77469EE3" w14:textId="77777777" w:rsidR="00404D38" w:rsidRPr="00D33C2C" w:rsidRDefault="00404D38" w:rsidP="00AC13C1">
            <w:pPr>
              <w:pStyle w:val="Tabletext"/>
              <w:keepNext/>
              <w:keepLines/>
              <w:rPr>
                <w:szCs w:val="20"/>
              </w:rPr>
            </w:pPr>
            <w:r w:rsidRPr="00D33C2C">
              <w:rPr>
                <w:szCs w:val="20"/>
              </w:rPr>
              <w:t>Responders, n (%)</w:t>
            </w:r>
          </w:p>
        </w:tc>
        <w:tc>
          <w:tcPr>
            <w:tcW w:w="1334" w:type="dxa"/>
            <w:tcBorders>
              <w:top w:val="single" w:sz="4" w:space="0" w:color="auto"/>
            </w:tcBorders>
            <w:shd w:val="clear" w:color="auto" w:fill="DBE5F1" w:themeFill="accent1" w:themeFillTint="33"/>
            <w:noWrap/>
            <w:vAlign w:val="center"/>
            <w:hideMark/>
          </w:tcPr>
          <w:p w14:paraId="6B4A57C8" w14:textId="77777777" w:rsidR="00404D38" w:rsidRPr="00D33C2C" w:rsidRDefault="00404D38" w:rsidP="00AC13C1">
            <w:pPr>
              <w:pStyle w:val="Tabletext"/>
              <w:keepNext/>
              <w:keepLines/>
              <w:jc w:val="center"/>
              <w:rPr>
                <w:szCs w:val="20"/>
              </w:rPr>
            </w:pPr>
            <w:r w:rsidRPr="00D33C2C">
              <w:rPr>
                <w:szCs w:val="20"/>
              </w:rPr>
              <w:t>4 (20.0)</w:t>
            </w:r>
          </w:p>
        </w:tc>
        <w:tc>
          <w:tcPr>
            <w:tcW w:w="1334" w:type="dxa"/>
            <w:tcBorders>
              <w:top w:val="single" w:sz="4" w:space="0" w:color="auto"/>
            </w:tcBorders>
            <w:shd w:val="clear" w:color="auto" w:fill="DBE5F1" w:themeFill="accent1" w:themeFillTint="33"/>
            <w:noWrap/>
            <w:vAlign w:val="center"/>
            <w:hideMark/>
          </w:tcPr>
          <w:p w14:paraId="1E169476" w14:textId="77777777" w:rsidR="00404D38" w:rsidRPr="00D33C2C" w:rsidRDefault="00404D38" w:rsidP="00AC13C1">
            <w:pPr>
              <w:pStyle w:val="Tabletext"/>
              <w:keepNext/>
              <w:keepLines/>
              <w:jc w:val="center"/>
              <w:rPr>
                <w:szCs w:val="20"/>
              </w:rPr>
            </w:pPr>
            <w:r w:rsidRPr="00D33C2C">
              <w:rPr>
                <w:szCs w:val="20"/>
              </w:rPr>
              <w:t>17 (73.9)</w:t>
            </w:r>
          </w:p>
        </w:tc>
        <w:tc>
          <w:tcPr>
            <w:tcW w:w="1334" w:type="dxa"/>
            <w:tcBorders>
              <w:top w:val="single" w:sz="4" w:space="0" w:color="auto"/>
            </w:tcBorders>
            <w:shd w:val="clear" w:color="auto" w:fill="DBE5F1" w:themeFill="accent1" w:themeFillTint="33"/>
            <w:noWrap/>
            <w:vAlign w:val="center"/>
            <w:hideMark/>
          </w:tcPr>
          <w:p w14:paraId="634A2FA2" w14:textId="77777777" w:rsidR="00404D38" w:rsidRPr="00D33C2C" w:rsidRDefault="00404D38" w:rsidP="00AC13C1">
            <w:pPr>
              <w:pStyle w:val="Tabletext"/>
              <w:keepNext/>
              <w:keepLines/>
              <w:jc w:val="center"/>
              <w:rPr>
                <w:szCs w:val="20"/>
              </w:rPr>
            </w:pPr>
            <w:r w:rsidRPr="00D33C2C">
              <w:rPr>
                <w:szCs w:val="20"/>
              </w:rPr>
              <w:t>9 (47.4)</w:t>
            </w:r>
          </w:p>
        </w:tc>
        <w:tc>
          <w:tcPr>
            <w:tcW w:w="1334" w:type="dxa"/>
            <w:tcBorders>
              <w:top w:val="single" w:sz="4" w:space="0" w:color="auto"/>
            </w:tcBorders>
            <w:shd w:val="clear" w:color="auto" w:fill="DBE5F1" w:themeFill="accent1" w:themeFillTint="33"/>
            <w:noWrap/>
            <w:vAlign w:val="center"/>
            <w:hideMark/>
          </w:tcPr>
          <w:p w14:paraId="30123F9B" w14:textId="77777777" w:rsidR="00404D38" w:rsidRPr="00D33C2C" w:rsidRDefault="00404D38" w:rsidP="00AC13C1">
            <w:pPr>
              <w:pStyle w:val="Tabletext"/>
              <w:keepNext/>
              <w:keepLines/>
              <w:jc w:val="center"/>
              <w:rPr>
                <w:szCs w:val="20"/>
              </w:rPr>
            </w:pPr>
            <w:r w:rsidRPr="00D33C2C">
              <w:rPr>
                <w:szCs w:val="20"/>
              </w:rPr>
              <w:t>26 (61.9)</w:t>
            </w:r>
          </w:p>
        </w:tc>
      </w:tr>
      <w:tr w:rsidR="00404D38" w:rsidRPr="00D33C2C" w14:paraId="162B447C" w14:textId="77777777" w:rsidTr="00AC13C1">
        <w:trPr>
          <w:cantSplit/>
          <w:trHeight w:val="227"/>
        </w:trPr>
        <w:tc>
          <w:tcPr>
            <w:tcW w:w="3681" w:type="dxa"/>
            <w:shd w:val="clear" w:color="auto" w:fill="DBE5F1" w:themeFill="accent1" w:themeFillTint="33"/>
            <w:noWrap/>
            <w:vAlign w:val="center"/>
            <w:hideMark/>
          </w:tcPr>
          <w:p w14:paraId="08139477" w14:textId="77777777" w:rsidR="00404D38" w:rsidRPr="00D33C2C" w:rsidRDefault="00404D38" w:rsidP="00AC13C1">
            <w:pPr>
              <w:pStyle w:val="Tabletext"/>
              <w:keepNext/>
              <w:keepLines/>
              <w:rPr>
                <w:szCs w:val="20"/>
              </w:rPr>
            </w:pPr>
            <w:r w:rsidRPr="00D33C2C">
              <w:rPr>
                <w:szCs w:val="20"/>
              </w:rPr>
              <w:t>95% CI</w:t>
            </w:r>
          </w:p>
        </w:tc>
        <w:tc>
          <w:tcPr>
            <w:tcW w:w="1334" w:type="dxa"/>
            <w:shd w:val="clear" w:color="auto" w:fill="DBE5F1" w:themeFill="accent1" w:themeFillTint="33"/>
            <w:noWrap/>
            <w:vAlign w:val="center"/>
            <w:hideMark/>
          </w:tcPr>
          <w:p w14:paraId="7233564B" w14:textId="77777777" w:rsidR="00404D38" w:rsidRPr="00D33C2C" w:rsidRDefault="00404D38" w:rsidP="00AC13C1">
            <w:pPr>
              <w:pStyle w:val="Tabletext"/>
              <w:keepNext/>
              <w:keepLines/>
              <w:jc w:val="center"/>
              <w:rPr>
                <w:szCs w:val="20"/>
              </w:rPr>
            </w:pPr>
            <w:r w:rsidRPr="00D33C2C">
              <w:rPr>
                <w:szCs w:val="20"/>
              </w:rPr>
              <w:t>(5.73, 43.66)</w:t>
            </w:r>
          </w:p>
        </w:tc>
        <w:tc>
          <w:tcPr>
            <w:tcW w:w="1334" w:type="dxa"/>
            <w:shd w:val="clear" w:color="auto" w:fill="DBE5F1" w:themeFill="accent1" w:themeFillTint="33"/>
            <w:noWrap/>
            <w:vAlign w:val="center"/>
            <w:hideMark/>
          </w:tcPr>
          <w:p w14:paraId="36827CDF" w14:textId="77777777" w:rsidR="00404D38" w:rsidRPr="00D33C2C" w:rsidRDefault="00404D38" w:rsidP="00AC13C1">
            <w:pPr>
              <w:pStyle w:val="Tabletext"/>
              <w:keepNext/>
              <w:keepLines/>
              <w:jc w:val="center"/>
              <w:rPr>
                <w:szCs w:val="20"/>
              </w:rPr>
            </w:pPr>
            <w:r w:rsidRPr="00D33C2C">
              <w:rPr>
                <w:szCs w:val="20"/>
              </w:rPr>
              <w:t>(51.59, 89.77)</w:t>
            </w:r>
          </w:p>
        </w:tc>
        <w:tc>
          <w:tcPr>
            <w:tcW w:w="1334" w:type="dxa"/>
            <w:shd w:val="clear" w:color="auto" w:fill="DBE5F1" w:themeFill="accent1" w:themeFillTint="33"/>
            <w:noWrap/>
            <w:vAlign w:val="center"/>
            <w:hideMark/>
          </w:tcPr>
          <w:p w14:paraId="46FD5A24" w14:textId="77777777" w:rsidR="00404D38" w:rsidRPr="00D33C2C" w:rsidRDefault="00404D38" w:rsidP="00AC13C1">
            <w:pPr>
              <w:pStyle w:val="Tabletext"/>
              <w:keepNext/>
              <w:keepLines/>
              <w:jc w:val="center"/>
              <w:rPr>
                <w:szCs w:val="20"/>
              </w:rPr>
            </w:pPr>
            <w:r w:rsidRPr="00D33C2C">
              <w:rPr>
                <w:szCs w:val="20"/>
              </w:rPr>
              <w:t>(24.45, 71.14)</w:t>
            </w:r>
          </w:p>
        </w:tc>
        <w:tc>
          <w:tcPr>
            <w:tcW w:w="1334" w:type="dxa"/>
            <w:shd w:val="clear" w:color="auto" w:fill="DBE5F1" w:themeFill="accent1" w:themeFillTint="33"/>
            <w:noWrap/>
            <w:vAlign w:val="center"/>
            <w:hideMark/>
          </w:tcPr>
          <w:p w14:paraId="0077FCD6" w14:textId="77777777" w:rsidR="00404D38" w:rsidRPr="00D33C2C" w:rsidRDefault="00404D38" w:rsidP="00AC13C1">
            <w:pPr>
              <w:pStyle w:val="Tabletext"/>
              <w:keepNext/>
              <w:keepLines/>
              <w:jc w:val="center"/>
              <w:rPr>
                <w:szCs w:val="20"/>
              </w:rPr>
            </w:pPr>
            <w:r w:rsidRPr="00D33C2C">
              <w:rPr>
                <w:szCs w:val="20"/>
              </w:rPr>
              <w:t>(45.64, 76.43)</w:t>
            </w:r>
          </w:p>
        </w:tc>
      </w:tr>
      <w:tr w:rsidR="00404D38" w:rsidRPr="00D33C2C" w14:paraId="14C7E6F4" w14:textId="77777777" w:rsidTr="00AC13C1">
        <w:trPr>
          <w:cantSplit/>
          <w:trHeight w:val="227"/>
        </w:trPr>
        <w:tc>
          <w:tcPr>
            <w:tcW w:w="3681" w:type="dxa"/>
            <w:shd w:val="clear" w:color="auto" w:fill="DBE5F1" w:themeFill="accent1" w:themeFillTint="33"/>
            <w:noWrap/>
            <w:vAlign w:val="center"/>
            <w:hideMark/>
          </w:tcPr>
          <w:p w14:paraId="14EEF901" w14:textId="77777777" w:rsidR="00404D38" w:rsidRPr="00D33C2C" w:rsidRDefault="00404D38" w:rsidP="00AC13C1">
            <w:pPr>
              <w:pStyle w:val="Tabletext"/>
              <w:keepNext/>
              <w:keepLines/>
              <w:rPr>
                <w:szCs w:val="20"/>
              </w:rPr>
            </w:pPr>
            <w:r w:rsidRPr="00D33C2C">
              <w:rPr>
                <w:szCs w:val="20"/>
              </w:rPr>
              <w:t>Odds Ratio (95% CI) (Odevixibat/Placebo)</w:t>
            </w:r>
          </w:p>
        </w:tc>
        <w:tc>
          <w:tcPr>
            <w:tcW w:w="1334" w:type="dxa"/>
            <w:shd w:val="clear" w:color="auto" w:fill="DBE5F1" w:themeFill="accent1" w:themeFillTint="33"/>
            <w:noWrap/>
            <w:vAlign w:val="center"/>
            <w:hideMark/>
          </w:tcPr>
          <w:p w14:paraId="2ED363EF" w14:textId="77777777" w:rsidR="00404D38" w:rsidRPr="00D33C2C" w:rsidRDefault="00404D38" w:rsidP="00AC13C1">
            <w:pPr>
              <w:pStyle w:val="Tabletext"/>
              <w:keepNext/>
              <w:keepLines/>
              <w:jc w:val="center"/>
              <w:rPr>
                <w:szCs w:val="20"/>
              </w:rPr>
            </w:pPr>
            <w:r w:rsidRPr="00D33C2C">
              <w:rPr>
                <w:szCs w:val="20"/>
              </w:rPr>
              <w:t>-</w:t>
            </w:r>
          </w:p>
        </w:tc>
        <w:tc>
          <w:tcPr>
            <w:tcW w:w="1334" w:type="dxa"/>
            <w:shd w:val="clear" w:color="auto" w:fill="DBE5F1" w:themeFill="accent1" w:themeFillTint="33"/>
            <w:noWrap/>
            <w:vAlign w:val="center"/>
            <w:hideMark/>
          </w:tcPr>
          <w:p w14:paraId="7EAD8B5E" w14:textId="77777777" w:rsidR="00404D38" w:rsidRPr="00AF2925" w:rsidRDefault="00404D38" w:rsidP="00AC13C1">
            <w:pPr>
              <w:pStyle w:val="Tabletext"/>
              <w:keepNext/>
              <w:keepLines/>
              <w:jc w:val="center"/>
              <w:rPr>
                <w:szCs w:val="20"/>
              </w:rPr>
            </w:pPr>
            <w:r w:rsidRPr="00AF2925">
              <w:rPr>
                <w:szCs w:val="20"/>
              </w:rPr>
              <w:t>16.22</w:t>
            </w:r>
          </w:p>
          <w:p w14:paraId="62C89EE7" w14:textId="77777777" w:rsidR="00404D38" w:rsidRPr="00D33C2C" w:rsidRDefault="00404D38" w:rsidP="00AC13C1">
            <w:pPr>
              <w:pStyle w:val="Tabletext"/>
              <w:keepNext/>
              <w:keepLines/>
              <w:jc w:val="center"/>
              <w:rPr>
                <w:szCs w:val="20"/>
              </w:rPr>
            </w:pPr>
            <w:r w:rsidRPr="00AF2925">
              <w:rPr>
                <w:szCs w:val="20"/>
              </w:rPr>
              <w:t>(2.54, 106.32)</w:t>
            </w:r>
          </w:p>
        </w:tc>
        <w:tc>
          <w:tcPr>
            <w:tcW w:w="1334" w:type="dxa"/>
            <w:shd w:val="clear" w:color="auto" w:fill="DBE5F1" w:themeFill="accent1" w:themeFillTint="33"/>
            <w:noWrap/>
            <w:vAlign w:val="center"/>
            <w:hideMark/>
          </w:tcPr>
          <w:p w14:paraId="4584EEFE" w14:textId="77777777" w:rsidR="00404D38" w:rsidRPr="00AF2925" w:rsidRDefault="00404D38" w:rsidP="00AC13C1">
            <w:pPr>
              <w:pStyle w:val="Tabletext"/>
              <w:keepNext/>
              <w:keepLines/>
              <w:jc w:val="center"/>
              <w:rPr>
                <w:szCs w:val="20"/>
              </w:rPr>
            </w:pPr>
            <w:r w:rsidRPr="00AF2925">
              <w:rPr>
                <w:szCs w:val="20"/>
              </w:rPr>
              <w:t>3.14</w:t>
            </w:r>
          </w:p>
          <w:p w14:paraId="17D14F68" w14:textId="77777777" w:rsidR="00404D38" w:rsidRPr="00D33C2C" w:rsidRDefault="00404D38" w:rsidP="00AC13C1">
            <w:pPr>
              <w:pStyle w:val="Tabletext"/>
              <w:keepNext/>
              <w:keepLines/>
              <w:jc w:val="center"/>
              <w:rPr>
                <w:szCs w:val="20"/>
              </w:rPr>
            </w:pPr>
            <w:r w:rsidRPr="00AF2925">
              <w:rPr>
                <w:szCs w:val="20"/>
              </w:rPr>
              <w:t>(0.72, 18.70)</w:t>
            </w:r>
          </w:p>
        </w:tc>
        <w:tc>
          <w:tcPr>
            <w:tcW w:w="1334" w:type="dxa"/>
            <w:shd w:val="clear" w:color="auto" w:fill="DBE5F1" w:themeFill="accent1" w:themeFillTint="33"/>
            <w:noWrap/>
            <w:vAlign w:val="center"/>
            <w:hideMark/>
          </w:tcPr>
          <w:p w14:paraId="53E0070C" w14:textId="77777777" w:rsidR="00404D38" w:rsidRPr="00AF2925" w:rsidRDefault="00404D38" w:rsidP="00AC13C1">
            <w:pPr>
              <w:pStyle w:val="Tabletext"/>
              <w:keepNext/>
              <w:keepLines/>
              <w:jc w:val="center"/>
              <w:rPr>
                <w:szCs w:val="20"/>
              </w:rPr>
            </w:pPr>
            <w:r w:rsidRPr="00AF2925">
              <w:rPr>
                <w:szCs w:val="20"/>
              </w:rPr>
              <w:t>6.21</w:t>
            </w:r>
          </w:p>
          <w:p w14:paraId="547B2F06" w14:textId="77777777" w:rsidR="00404D38" w:rsidRPr="00D33C2C" w:rsidRDefault="00404D38" w:rsidP="00AC13C1">
            <w:pPr>
              <w:pStyle w:val="Tabletext"/>
              <w:keepNext/>
              <w:keepLines/>
              <w:jc w:val="center"/>
              <w:rPr>
                <w:szCs w:val="20"/>
              </w:rPr>
            </w:pPr>
            <w:r w:rsidRPr="00AF2925">
              <w:rPr>
                <w:szCs w:val="20"/>
              </w:rPr>
              <w:t>(1.54, 27.43)</w:t>
            </w:r>
          </w:p>
        </w:tc>
      </w:tr>
      <w:tr w:rsidR="00404D38" w:rsidRPr="00D33C2C" w14:paraId="0FF63CB2" w14:textId="77777777" w:rsidTr="00AC13C1">
        <w:trPr>
          <w:cantSplit/>
          <w:trHeight w:val="227"/>
        </w:trPr>
        <w:tc>
          <w:tcPr>
            <w:tcW w:w="3681" w:type="dxa"/>
            <w:shd w:val="clear" w:color="auto" w:fill="DBE5F1" w:themeFill="accent1" w:themeFillTint="33"/>
            <w:noWrap/>
            <w:vAlign w:val="center"/>
            <w:hideMark/>
          </w:tcPr>
          <w:p w14:paraId="53F3D616" w14:textId="77777777" w:rsidR="00404D38" w:rsidRPr="00D33C2C" w:rsidRDefault="00404D38" w:rsidP="00AC13C1">
            <w:pPr>
              <w:pStyle w:val="Tabletext"/>
              <w:keepNext/>
              <w:keepLines/>
              <w:rPr>
                <w:szCs w:val="20"/>
              </w:rPr>
            </w:pPr>
            <w:r w:rsidRPr="00D33C2C">
              <w:rPr>
                <w:szCs w:val="20"/>
              </w:rPr>
              <w:t>One-Sided Unadjusted p-valued</w:t>
            </w:r>
          </w:p>
        </w:tc>
        <w:tc>
          <w:tcPr>
            <w:tcW w:w="1334" w:type="dxa"/>
            <w:shd w:val="clear" w:color="auto" w:fill="DBE5F1" w:themeFill="accent1" w:themeFillTint="33"/>
            <w:noWrap/>
            <w:vAlign w:val="center"/>
            <w:hideMark/>
          </w:tcPr>
          <w:p w14:paraId="4C68F3B7" w14:textId="77777777" w:rsidR="00404D38" w:rsidRPr="00D33C2C" w:rsidRDefault="00404D38" w:rsidP="00AC13C1">
            <w:pPr>
              <w:pStyle w:val="Tabletext"/>
              <w:keepNext/>
              <w:keepLines/>
              <w:jc w:val="center"/>
              <w:rPr>
                <w:szCs w:val="20"/>
              </w:rPr>
            </w:pPr>
            <w:r w:rsidRPr="00D33C2C">
              <w:rPr>
                <w:szCs w:val="20"/>
              </w:rPr>
              <w:t>-</w:t>
            </w:r>
          </w:p>
        </w:tc>
        <w:tc>
          <w:tcPr>
            <w:tcW w:w="1334" w:type="dxa"/>
            <w:shd w:val="clear" w:color="auto" w:fill="DBE5F1" w:themeFill="accent1" w:themeFillTint="33"/>
            <w:noWrap/>
            <w:vAlign w:val="center"/>
            <w:hideMark/>
          </w:tcPr>
          <w:p w14:paraId="715A98A2" w14:textId="77777777" w:rsidR="00404D38" w:rsidRPr="00D33C2C" w:rsidRDefault="00404D38" w:rsidP="00AC13C1">
            <w:pPr>
              <w:pStyle w:val="Tabletext"/>
              <w:keepNext/>
              <w:keepLines/>
              <w:jc w:val="center"/>
              <w:rPr>
                <w:szCs w:val="20"/>
              </w:rPr>
            </w:pPr>
            <w:r w:rsidRPr="00D33C2C">
              <w:rPr>
                <w:szCs w:val="20"/>
              </w:rPr>
              <w:t>0.0002</w:t>
            </w:r>
          </w:p>
        </w:tc>
        <w:tc>
          <w:tcPr>
            <w:tcW w:w="1334" w:type="dxa"/>
            <w:shd w:val="clear" w:color="auto" w:fill="DBE5F1" w:themeFill="accent1" w:themeFillTint="33"/>
            <w:noWrap/>
            <w:vAlign w:val="center"/>
            <w:hideMark/>
          </w:tcPr>
          <w:p w14:paraId="3B9E60EF" w14:textId="77777777" w:rsidR="00404D38" w:rsidRPr="00D33C2C" w:rsidRDefault="00404D38" w:rsidP="00AC13C1">
            <w:pPr>
              <w:pStyle w:val="Tabletext"/>
              <w:keepNext/>
              <w:keepLines/>
              <w:jc w:val="center"/>
              <w:rPr>
                <w:szCs w:val="20"/>
              </w:rPr>
            </w:pPr>
            <w:r w:rsidRPr="00D33C2C">
              <w:rPr>
                <w:szCs w:val="20"/>
              </w:rPr>
              <w:t>0.0391</w:t>
            </w:r>
          </w:p>
        </w:tc>
        <w:tc>
          <w:tcPr>
            <w:tcW w:w="1334" w:type="dxa"/>
            <w:shd w:val="clear" w:color="auto" w:fill="DBE5F1" w:themeFill="accent1" w:themeFillTint="33"/>
            <w:noWrap/>
            <w:vAlign w:val="center"/>
            <w:hideMark/>
          </w:tcPr>
          <w:p w14:paraId="45F981D2" w14:textId="77777777" w:rsidR="00404D38" w:rsidRPr="00D33C2C" w:rsidRDefault="00404D38" w:rsidP="00AC13C1">
            <w:pPr>
              <w:pStyle w:val="Tabletext"/>
              <w:keepNext/>
              <w:keepLines/>
              <w:jc w:val="center"/>
              <w:rPr>
                <w:szCs w:val="20"/>
              </w:rPr>
            </w:pPr>
            <w:r w:rsidRPr="00D33C2C">
              <w:rPr>
                <w:szCs w:val="20"/>
              </w:rPr>
              <w:t>0.0016</w:t>
            </w:r>
          </w:p>
        </w:tc>
      </w:tr>
    </w:tbl>
    <w:p w14:paraId="74831F40" w14:textId="77777777" w:rsidR="00404D38" w:rsidRPr="00CB3FB5" w:rsidRDefault="00404D38" w:rsidP="00CB3FB5">
      <w:pPr>
        <w:pStyle w:val="Tabletext"/>
        <w:rPr>
          <w:sz w:val="18"/>
          <w:szCs w:val="22"/>
        </w:rPr>
      </w:pPr>
      <w:r w:rsidRPr="00CB3FB5">
        <w:rPr>
          <w:sz w:val="18"/>
          <w:szCs w:val="22"/>
        </w:rPr>
        <w:t>Source: Table 5, odevixibat PSD, July 2024 PBAC meeting</w:t>
      </w:r>
    </w:p>
    <w:p w14:paraId="6552C8FE" w14:textId="35EC1E6B" w:rsidR="00404D38" w:rsidRPr="00CB3FB5" w:rsidRDefault="00404D38" w:rsidP="00CB3FB5">
      <w:pPr>
        <w:pStyle w:val="Tabletext"/>
        <w:rPr>
          <w:sz w:val="18"/>
          <w:szCs w:val="22"/>
        </w:rPr>
      </w:pPr>
      <w:r w:rsidRPr="00CB3FB5">
        <w:rPr>
          <w:sz w:val="18"/>
          <w:szCs w:val="22"/>
        </w:rPr>
        <w:t>Abbreviations: CI = confidence interval; FAS = full analysis set; n = number; sBA = serum bile acid; SE = standard error</w:t>
      </w:r>
      <w:r w:rsidRPr="00CB3FB5">
        <w:rPr>
          <w:sz w:val="18"/>
          <w:szCs w:val="22"/>
        </w:rPr>
        <w:br/>
      </w:r>
      <w:r w:rsidRPr="00CB3FB5">
        <w:rPr>
          <w:b/>
          <w:sz w:val="18"/>
          <w:szCs w:val="22"/>
        </w:rPr>
        <w:t>Bold</w:t>
      </w:r>
      <w:r w:rsidRPr="00CB3FB5">
        <w:rPr>
          <w:sz w:val="18"/>
          <w:szCs w:val="22"/>
        </w:rPr>
        <w:t xml:space="preserve"> text indicates a statistically significant difference vs placebo. It was assumed that the overall Type 1 error of 0.025 was adjusted for the two comparisons of 40</w:t>
      </w:r>
      <w:r w:rsidR="0017081E">
        <w:rPr>
          <w:sz w:val="18"/>
          <w:szCs w:val="22"/>
        </w:rPr>
        <w:t> mcg</w:t>
      </w:r>
      <w:r w:rsidRPr="00CB3FB5">
        <w:rPr>
          <w:sz w:val="18"/>
          <w:szCs w:val="22"/>
        </w:rPr>
        <w:t>/kg/day vs placebo and 120</w:t>
      </w:r>
      <w:r w:rsidR="0017081E">
        <w:rPr>
          <w:sz w:val="18"/>
          <w:szCs w:val="22"/>
        </w:rPr>
        <w:t> mcg</w:t>
      </w:r>
      <w:r w:rsidRPr="00CB3FB5">
        <w:rPr>
          <w:sz w:val="18"/>
          <w:szCs w:val="22"/>
        </w:rPr>
        <w:t>/kg/day vs placebo (i.e., p&lt;0.0125 for each)</w:t>
      </w:r>
    </w:p>
    <w:p w14:paraId="33F5A419" w14:textId="77777777" w:rsidR="00404D38" w:rsidRPr="00CB3FB5" w:rsidRDefault="00404D38" w:rsidP="00F63AE2">
      <w:pPr>
        <w:pStyle w:val="Tabletext"/>
        <w:spacing w:after="120"/>
        <w:rPr>
          <w:rStyle w:val="CommentReference"/>
          <w:b w:val="0"/>
          <w:sz w:val="16"/>
          <w:szCs w:val="20"/>
        </w:rPr>
      </w:pPr>
      <w:r w:rsidRPr="00CB3FB5">
        <w:rPr>
          <w:sz w:val="18"/>
          <w:szCs w:val="22"/>
        </w:rPr>
        <w:t>Blue shaded cells indicate data previously considered by the PBAC at the July 2024 PBAC meeting</w:t>
      </w:r>
    </w:p>
    <w:p w14:paraId="1A870BCE" w14:textId="2084FF33" w:rsidR="00404D38" w:rsidRDefault="00404D38" w:rsidP="00AC13C1">
      <w:pPr>
        <w:pStyle w:val="3-BodyText"/>
        <w:numPr>
          <w:ilvl w:val="1"/>
          <w:numId w:val="1"/>
        </w:numPr>
        <w:spacing w:before="0"/>
      </w:pPr>
      <w:r w:rsidRPr="009A1976">
        <w:t xml:space="preserve">The PBAC has previously considered that odevixibat was superior in terms of effectiveness compared to placebo for patients with PFIC1 and PFIC2 (based on the results from PEDFIC 1) but noted that the patient numbers were </w:t>
      </w:r>
      <w:r w:rsidR="00451022" w:rsidRPr="009A1976">
        <w:t>small,</w:t>
      </w:r>
      <w:r w:rsidRPr="009A1976">
        <w:t xml:space="preserve"> and the trial was of a short duration, only providing 24 weeks of comparative data (paragraph 7.12, odevixibat PSD, July 2024 PBAC meeting)</w:t>
      </w:r>
      <w:r w:rsidR="0016166D">
        <w:t xml:space="preserve"> and that there was a high placebo response rate in prurit</w:t>
      </w:r>
      <w:r w:rsidR="00DD53C6">
        <w:t>u</w:t>
      </w:r>
      <w:r w:rsidR="0015326A">
        <w:t>s</w:t>
      </w:r>
      <w:r w:rsidR="0016166D">
        <w:t xml:space="preserve"> assessment</w:t>
      </w:r>
      <w:r w:rsidRPr="009A1976">
        <w:t>. Further, placebo was not the nominated comparator and therefore results of PEDFIC 1 may not be sufficient to support a clinical claim compared to</w:t>
      </w:r>
      <w:r w:rsidR="00E440C8">
        <w:t xml:space="preserve"> </w:t>
      </w:r>
      <w:r w:rsidRPr="009A1976">
        <w:t xml:space="preserve">the nominated comparator of </w:t>
      </w:r>
      <w:proofErr w:type="spellStart"/>
      <w:r w:rsidRPr="009A1976">
        <w:t>SoC.</w:t>
      </w:r>
      <w:proofErr w:type="spellEnd"/>
    </w:p>
    <w:p w14:paraId="49DCA94A" w14:textId="450FCA14" w:rsidR="00404D38" w:rsidRPr="009A1976" w:rsidRDefault="00404D38" w:rsidP="00F63AE2">
      <w:pPr>
        <w:pStyle w:val="3-BodyText"/>
        <w:numPr>
          <w:ilvl w:val="1"/>
          <w:numId w:val="1"/>
        </w:numPr>
        <w:spacing w:before="0"/>
      </w:pPr>
      <w:r>
        <w:t>Results for the c</w:t>
      </w:r>
      <w:r w:rsidRPr="00FD06FD">
        <w:t xml:space="preserve">hange from baseline in </w:t>
      </w:r>
      <w:r w:rsidR="00953530">
        <w:t>sBA</w:t>
      </w:r>
      <w:r w:rsidRPr="00FD06FD">
        <w:t xml:space="preserve"> concentration </w:t>
      </w:r>
      <w:r>
        <w:t xml:space="preserve">and the </w:t>
      </w:r>
      <w:r w:rsidRPr="00FD06FD">
        <w:t xml:space="preserve">proportion of positive pruritus assessments </w:t>
      </w:r>
      <w:r>
        <w:t xml:space="preserve">from PEDFIC 2 </w:t>
      </w:r>
      <w:r w:rsidRPr="00FD06FD">
        <w:t>is presented</w:t>
      </w:r>
      <w:r>
        <w:t xml:space="preserve"> in </w:t>
      </w:r>
      <w:r w:rsidRPr="00FD06FD">
        <w:fldChar w:fldCharType="begin" w:fldLock="1"/>
      </w:r>
      <w:r w:rsidRPr="00FD06FD">
        <w:instrText xml:space="preserve"> REF _Ref184913885 \h </w:instrText>
      </w:r>
      <w:r>
        <w:instrText xml:space="preserve"> \* MERGEFORMAT </w:instrText>
      </w:r>
      <w:r w:rsidRPr="00FD06FD">
        <w:fldChar w:fldCharType="separate"/>
      </w:r>
      <w:r w:rsidR="00382EF0" w:rsidRPr="00382EF0">
        <w:t>Table 7</w:t>
      </w:r>
      <w:r w:rsidRPr="00FD06FD">
        <w:fldChar w:fldCharType="end"/>
      </w:r>
      <w:r w:rsidRPr="00FD06FD">
        <w:t>.</w:t>
      </w:r>
      <w:r w:rsidR="00953530">
        <w:t xml:space="preserve"> All patients in PEDFIC 2 were treated with odevixibat 120</w:t>
      </w:r>
      <w:r w:rsidR="0017081E">
        <w:t> mcg</w:t>
      </w:r>
      <w:r w:rsidR="00953530">
        <w:t>/kg/day.</w:t>
      </w:r>
    </w:p>
    <w:p w14:paraId="7DFF11B2" w14:textId="7FF2B215" w:rsidR="00404D38" w:rsidRPr="0098262F" w:rsidRDefault="00404D38" w:rsidP="007D00DA">
      <w:pPr>
        <w:pStyle w:val="Caption"/>
        <w:rPr>
          <w:rStyle w:val="CommentReference"/>
          <w:rFonts w:eastAsiaTheme="majorEastAsia" w:cstheme="majorBidi"/>
          <w:b/>
          <w:szCs w:val="24"/>
        </w:rPr>
      </w:pPr>
      <w:bookmarkStart w:id="51" w:name="_Ref184913885"/>
      <w:bookmarkStart w:id="52" w:name="_Hlk184919100"/>
      <w:r w:rsidRPr="0098262F">
        <w:rPr>
          <w:rStyle w:val="CommentReference"/>
          <w:rFonts w:eastAsiaTheme="majorEastAsia" w:cstheme="majorBidi"/>
          <w:b/>
          <w:szCs w:val="24"/>
        </w:rPr>
        <w:lastRenderedPageBreak/>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382EF0">
        <w:rPr>
          <w:rStyle w:val="CommentReference"/>
          <w:rFonts w:eastAsiaTheme="majorEastAsia" w:cstheme="majorBidi"/>
          <w:b/>
          <w:noProof/>
          <w:szCs w:val="24"/>
        </w:rPr>
        <w:t>7</w:t>
      </w:r>
      <w:r w:rsidRPr="0098262F">
        <w:rPr>
          <w:rStyle w:val="CommentReference"/>
          <w:rFonts w:eastAsiaTheme="majorEastAsia" w:cstheme="majorBidi"/>
          <w:b/>
          <w:szCs w:val="24"/>
        </w:rPr>
        <w:fldChar w:fldCharType="end"/>
      </w:r>
      <w:bookmarkEnd w:id="51"/>
      <w:r w:rsidRPr="0098262F">
        <w:rPr>
          <w:rStyle w:val="CommentReference"/>
          <w:rFonts w:eastAsiaTheme="majorEastAsia" w:cstheme="majorBidi"/>
          <w:b/>
          <w:szCs w:val="24"/>
        </w:rPr>
        <w:t xml:space="preserve">: Summary of </w:t>
      </w:r>
      <w:r w:rsidRPr="00E93A07">
        <w:rPr>
          <w:rStyle w:val="CommentReference"/>
          <w:rFonts w:eastAsiaTheme="majorEastAsia" w:cstheme="majorBidi"/>
          <w:b/>
          <w:szCs w:val="24"/>
        </w:rPr>
        <w:t xml:space="preserve">change from baseline in </w:t>
      </w:r>
      <w:r>
        <w:rPr>
          <w:rStyle w:val="CommentReference"/>
          <w:rFonts w:eastAsiaTheme="majorEastAsia" w:cstheme="majorBidi"/>
          <w:b/>
          <w:szCs w:val="24"/>
        </w:rPr>
        <w:t>sBA</w:t>
      </w:r>
      <w:r w:rsidRPr="00E93A07">
        <w:rPr>
          <w:rStyle w:val="CommentReference"/>
          <w:rFonts w:eastAsiaTheme="majorEastAsia" w:cstheme="majorBidi"/>
          <w:b/>
          <w:szCs w:val="24"/>
        </w:rPr>
        <w:t xml:space="preserve"> concentration after 72 weeks of treatment, and the proportion of positive pruritus assessments</w:t>
      </w:r>
      <w:r>
        <w:rPr>
          <w:rStyle w:val="CommentReference"/>
          <w:rFonts w:eastAsiaTheme="majorEastAsia" w:cstheme="majorBidi"/>
          <w:b/>
          <w:szCs w:val="24"/>
        </w:rPr>
        <w:t xml:space="preserve"> in PEDFIC 2</w:t>
      </w:r>
    </w:p>
    <w:bookmarkEnd w:id="52"/>
    <w:tbl>
      <w:tblPr>
        <w:tblStyle w:val="TableGrid"/>
        <w:tblW w:w="5000" w:type="pct"/>
        <w:tblLook w:val="04A0" w:firstRow="1" w:lastRow="0" w:firstColumn="1" w:lastColumn="0" w:noHBand="0" w:noVBand="1"/>
        <w:tblCaption w:val="Table 7: Summary of change from baseline in sBA concentration after 72 weeks of treatment, and the proportion of positive pruritus assessments in PEDFIC 2"/>
        <w:tblDescription w:val="Table compares Cohort 1 (subgroups placebo/odevixibat n=19 and odexivibat/odevixibat n=37) and Cohort 2. They are compared across changes in serum bile concentration at baseline, week 22/24 and week 70/72 of PEDFIC 2. They are also compared across the proportion of positive pruritus assessments at Week 22-24 and Week 0-72."/>
      </w:tblPr>
      <w:tblGrid>
        <w:gridCol w:w="2972"/>
        <w:gridCol w:w="1985"/>
        <w:gridCol w:w="1842"/>
        <w:gridCol w:w="2218"/>
      </w:tblGrid>
      <w:tr w:rsidR="00860E77" w14:paraId="4577F05D" w14:textId="77777777" w:rsidTr="00E75D15">
        <w:trPr>
          <w:cantSplit/>
          <w:tblHeader/>
        </w:trPr>
        <w:tc>
          <w:tcPr>
            <w:tcW w:w="2972" w:type="dxa"/>
            <w:tcBorders>
              <w:bottom w:val="single" w:sz="4" w:space="0" w:color="FFFFFF" w:themeColor="background1"/>
            </w:tcBorders>
            <w:shd w:val="clear" w:color="auto" w:fill="FFFFFF" w:themeFill="background1"/>
            <w:vAlign w:val="center"/>
          </w:tcPr>
          <w:p w14:paraId="3D56D30C" w14:textId="77777777" w:rsidR="00860E77" w:rsidRDefault="00860E77" w:rsidP="007D00DA">
            <w:pPr>
              <w:pStyle w:val="TableFigureHeading"/>
              <w:keepLines/>
              <w:jc w:val="center"/>
            </w:pPr>
          </w:p>
        </w:tc>
        <w:tc>
          <w:tcPr>
            <w:tcW w:w="3827" w:type="dxa"/>
            <w:gridSpan w:val="2"/>
          </w:tcPr>
          <w:p w14:paraId="46EB5717" w14:textId="77777777" w:rsidR="00860E77" w:rsidRDefault="00860E77" w:rsidP="007D00DA">
            <w:pPr>
              <w:pStyle w:val="TableFigureHeading"/>
              <w:keepLines/>
              <w:jc w:val="center"/>
            </w:pPr>
            <w:r>
              <w:t>Cohort 1</w:t>
            </w:r>
          </w:p>
        </w:tc>
        <w:tc>
          <w:tcPr>
            <w:tcW w:w="2218" w:type="dxa"/>
            <w:vMerge w:val="restart"/>
            <w:vAlign w:val="center"/>
          </w:tcPr>
          <w:p w14:paraId="4D78DE21" w14:textId="77777777" w:rsidR="00860E77" w:rsidRDefault="00860E77" w:rsidP="007D00DA">
            <w:pPr>
              <w:pStyle w:val="TableFigureHeading"/>
              <w:keepLines/>
              <w:jc w:val="center"/>
            </w:pPr>
            <w:r>
              <w:t>Cohort 2</w:t>
            </w:r>
          </w:p>
          <w:p w14:paraId="30EE6A7C" w14:textId="77777777" w:rsidR="00860E77" w:rsidRPr="00C841F4" w:rsidRDefault="00860E77" w:rsidP="007D00DA">
            <w:pPr>
              <w:pStyle w:val="TableFigureHeading"/>
              <w:keepLines/>
              <w:jc w:val="center"/>
              <w:rPr>
                <w:vertAlign w:val="superscript"/>
              </w:rPr>
            </w:pPr>
            <w:r>
              <w:t xml:space="preserve">(N=60) </w:t>
            </w:r>
            <w:r>
              <w:rPr>
                <w:vertAlign w:val="superscript"/>
              </w:rPr>
              <w:t>c</w:t>
            </w:r>
          </w:p>
        </w:tc>
      </w:tr>
      <w:tr w:rsidR="00860E77" w14:paraId="4F2F4291" w14:textId="77777777" w:rsidTr="00E75D15">
        <w:trPr>
          <w:cantSplit/>
          <w:tblHeader/>
        </w:trPr>
        <w:tc>
          <w:tcPr>
            <w:tcW w:w="2972" w:type="dxa"/>
            <w:tcBorders>
              <w:top w:val="single" w:sz="4" w:space="0" w:color="FFFFFF" w:themeColor="background1"/>
              <w:bottom w:val="single" w:sz="4" w:space="0" w:color="auto"/>
            </w:tcBorders>
            <w:shd w:val="clear" w:color="auto" w:fill="FFFFFF" w:themeFill="background1"/>
          </w:tcPr>
          <w:p w14:paraId="254CE70B" w14:textId="77777777" w:rsidR="00860E77" w:rsidRDefault="00860E77" w:rsidP="007D00DA">
            <w:pPr>
              <w:pStyle w:val="TableFigureHeading"/>
              <w:keepLines/>
            </w:pPr>
          </w:p>
        </w:tc>
        <w:tc>
          <w:tcPr>
            <w:tcW w:w="1985" w:type="dxa"/>
            <w:vAlign w:val="center"/>
          </w:tcPr>
          <w:p w14:paraId="124860DF" w14:textId="77777777" w:rsidR="00860E77" w:rsidRDefault="00860E77" w:rsidP="007D00DA">
            <w:pPr>
              <w:pStyle w:val="TableFigureHeading"/>
              <w:keepLines/>
              <w:jc w:val="center"/>
            </w:pPr>
            <w:r>
              <w:t>Placebo/</w:t>
            </w:r>
          </w:p>
          <w:p w14:paraId="7DB9169C" w14:textId="77777777" w:rsidR="00860E77" w:rsidRPr="00C841F4" w:rsidRDefault="00860E77" w:rsidP="007D00DA">
            <w:pPr>
              <w:pStyle w:val="TableFigureHeading"/>
              <w:keepLines/>
              <w:jc w:val="center"/>
              <w:rPr>
                <w:vertAlign w:val="superscript"/>
              </w:rPr>
            </w:pPr>
            <w:r>
              <w:t xml:space="preserve">Odevixibat (N=19) </w:t>
            </w:r>
            <w:r>
              <w:rPr>
                <w:vertAlign w:val="superscript"/>
              </w:rPr>
              <w:t>a</w:t>
            </w:r>
          </w:p>
        </w:tc>
        <w:tc>
          <w:tcPr>
            <w:tcW w:w="1842" w:type="dxa"/>
            <w:vAlign w:val="center"/>
          </w:tcPr>
          <w:p w14:paraId="40A56970" w14:textId="77777777" w:rsidR="00860E77" w:rsidRDefault="00860E77" w:rsidP="007D00DA">
            <w:pPr>
              <w:pStyle w:val="TableFigureHeading"/>
              <w:keepLines/>
              <w:jc w:val="center"/>
            </w:pPr>
            <w:r>
              <w:t>Odevixibat/</w:t>
            </w:r>
          </w:p>
          <w:p w14:paraId="24CAD6D0" w14:textId="77777777" w:rsidR="00860E77" w:rsidRPr="00C841F4" w:rsidRDefault="00860E77" w:rsidP="007D00DA">
            <w:pPr>
              <w:pStyle w:val="TableFigureHeading"/>
              <w:keepLines/>
              <w:jc w:val="center"/>
              <w:rPr>
                <w:vertAlign w:val="superscript"/>
              </w:rPr>
            </w:pPr>
            <w:r>
              <w:t xml:space="preserve">Odevixibat (N=37) </w:t>
            </w:r>
            <w:r>
              <w:rPr>
                <w:vertAlign w:val="superscript"/>
              </w:rPr>
              <w:t>b</w:t>
            </w:r>
          </w:p>
        </w:tc>
        <w:tc>
          <w:tcPr>
            <w:tcW w:w="2218" w:type="dxa"/>
            <w:vMerge/>
          </w:tcPr>
          <w:p w14:paraId="149FBD56" w14:textId="77777777" w:rsidR="00860E77" w:rsidRDefault="00860E77" w:rsidP="007D00DA">
            <w:pPr>
              <w:pStyle w:val="TableFigureHeading"/>
              <w:keepLines/>
            </w:pPr>
          </w:p>
        </w:tc>
      </w:tr>
      <w:tr w:rsidR="00404D38" w:rsidRPr="00442940" w14:paraId="64B42430" w14:textId="77777777" w:rsidTr="00AC13C1">
        <w:tc>
          <w:tcPr>
            <w:tcW w:w="9017" w:type="dxa"/>
            <w:gridSpan w:val="4"/>
          </w:tcPr>
          <w:p w14:paraId="63198299" w14:textId="77777777" w:rsidR="00404D38" w:rsidRPr="00C841F4" w:rsidRDefault="00404D38" w:rsidP="007D00DA">
            <w:pPr>
              <w:pStyle w:val="TableFigureHeading"/>
              <w:keepLines/>
            </w:pPr>
            <w:r w:rsidRPr="00C841F4">
              <w:t>Change in serum bile acid</w:t>
            </w:r>
            <w:r>
              <w:t xml:space="preserve"> concentration (</w:t>
            </w:r>
            <w:r w:rsidRPr="00C841F4">
              <w:t>µmol/L</w:t>
            </w:r>
            <w:r>
              <w:t>)</w:t>
            </w:r>
          </w:p>
        </w:tc>
      </w:tr>
      <w:tr w:rsidR="00EA10E6" w:rsidRPr="00442940" w14:paraId="54144478" w14:textId="77777777" w:rsidTr="00AC13C1">
        <w:tc>
          <w:tcPr>
            <w:tcW w:w="9017" w:type="dxa"/>
            <w:gridSpan w:val="4"/>
          </w:tcPr>
          <w:p w14:paraId="4AE526F4" w14:textId="52A99BDF" w:rsidR="00EA10E6" w:rsidRPr="00442940" w:rsidRDefault="00EA10E6" w:rsidP="007D00DA">
            <w:pPr>
              <w:pStyle w:val="TableFigureHeading"/>
              <w:keepLines/>
              <w:rPr>
                <w:b w:val="0"/>
                <w:bCs w:val="0"/>
              </w:rPr>
            </w:pPr>
            <w:r w:rsidRPr="00B236EB">
              <w:t>Baseline</w:t>
            </w:r>
            <w:r>
              <w:t xml:space="preserve"> </w:t>
            </w:r>
            <w:r w:rsidRPr="00B236EB">
              <w:rPr>
                <w:vertAlign w:val="superscript"/>
              </w:rPr>
              <w:t>d</w:t>
            </w:r>
          </w:p>
        </w:tc>
      </w:tr>
      <w:tr w:rsidR="00404D38" w:rsidRPr="00442940" w14:paraId="6C1263E7" w14:textId="77777777" w:rsidTr="00AC13C1">
        <w:tc>
          <w:tcPr>
            <w:tcW w:w="2972" w:type="dxa"/>
          </w:tcPr>
          <w:p w14:paraId="289383AA" w14:textId="77777777" w:rsidR="00404D38" w:rsidRPr="00442940" w:rsidRDefault="00404D38" w:rsidP="007D00DA">
            <w:pPr>
              <w:pStyle w:val="TableFigureHeading"/>
              <w:keepLines/>
              <w:ind w:left="175"/>
              <w:rPr>
                <w:b w:val="0"/>
                <w:bCs w:val="0"/>
              </w:rPr>
            </w:pPr>
            <w:r w:rsidRPr="00B236EB">
              <w:rPr>
                <w:b w:val="0"/>
                <w:bCs w:val="0"/>
              </w:rPr>
              <w:t>n</w:t>
            </w:r>
          </w:p>
        </w:tc>
        <w:tc>
          <w:tcPr>
            <w:tcW w:w="1985" w:type="dxa"/>
          </w:tcPr>
          <w:p w14:paraId="3E2EE2F4" w14:textId="77777777" w:rsidR="00404D38" w:rsidRPr="00442940" w:rsidRDefault="00404D38" w:rsidP="007D00DA">
            <w:pPr>
              <w:pStyle w:val="TableFigureHeading"/>
              <w:keepLines/>
              <w:jc w:val="center"/>
              <w:rPr>
                <w:b w:val="0"/>
                <w:bCs w:val="0"/>
              </w:rPr>
            </w:pPr>
            <w:r>
              <w:rPr>
                <w:b w:val="0"/>
                <w:bCs w:val="0"/>
              </w:rPr>
              <w:t>19</w:t>
            </w:r>
          </w:p>
        </w:tc>
        <w:tc>
          <w:tcPr>
            <w:tcW w:w="1842" w:type="dxa"/>
          </w:tcPr>
          <w:p w14:paraId="27C58E72" w14:textId="77777777" w:rsidR="00404D38" w:rsidRPr="00442940" w:rsidRDefault="00404D38" w:rsidP="007D00DA">
            <w:pPr>
              <w:pStyle w:val="TableFigureHeading"/>
              <w:keepLines/>
              <w:jc w:val="center"/>
              <w:rPr>
                <w:b w:val="0"/>
                <w:bCs w:val="0"/>
              </w:rPr>
            </w:pPr>
            <w:r>
              <w:rPr>
                <w:b w:val="0"/>
                <w:bCs w:val="0"/>
              </w:rPr>
              <w:t>37</w:t>
            </w:r>
          </w:p>
        </w:tc>
        <w:tc>
          <w:tcPr>
            <w:tcW w:w="2218" w:type="dxa"/>
          </w:tcPr>
          <w:p w14:paraId="60F68327" w14:textId="77777777" w:rsidR="00404D38" w:rsidRPr="00442940" w:rsidRDefault="00404D38" w:rsidP="007D00DA">
            <w:pPr>
              <w:pStyle w:val="TableFigureHeading"/>
              <w:keepLines/>
              <w:jc w:val="center"/>
              <w:rPr>
                <w:b w:val="0"/>
                <w:bCs w:val="0"/>
              </w:rPr>
            </w:pPr>
            <w:r>
              <w:rPr>
                <w:b w:val="0"/>
                <w:bCs w:val="0"/>
              </w:rPr>
              <w:t>60</w:t>
            </w:r>
          </w:p>
        </w:tc>
      </w:tr>
      <w:tr w:rsidR="00404D38" w:rsidRPr="00442940" w14:paraId="03F7277A" w14:textId="77777777" w:rsidTr="00AC13C1">
        <w:tc>
          <w:tcPr>
            <w:tcW w:w="2972" w:type="dxa"/>
          </w:tcPr>
          <w:p w14:paraId="188F94F9" w14:textId="77777777" w:rsidR="00404D38" w:rsidRPr="00442940" w:rsidRDefault="00404D38" w:rsidP="007D00DA">
            <w:pPr>
              <w:pStyle w:val="TableFigureHeading"/>
              <w:keepLines/>
              <w:ind w:left="175"/>
              <w:rPr>
                <w:b w:val="0"/>
                <w:bCs w:val="0"/>
              </w:rPr>
            </w:pPr>
            <w:r w:rsidRPr="00B236EB">
              <w:rPr>
                <w:b w:val="0"/>
                <w:bCs w:val="0"/>
              </w:rPr>
              <w:t>Mean (SD)</w:t>
            </w:r>
          </w:p>
        </w:tc>
        <w:tc>
          <w:tcPr>
            <w:tcW w:w="1985" w:type="dxa"/>
          </w:tcPr>
          <w:p w14:paraId="5752D844" w14:textId="77777777" w:rsidR="00404D38" w:rsidRPr="00442940" w:rsidRDefault="00404D38" w:rsidP="007D00DA">
            <w:pPr>
              <w:pStyle w:val="TableFigureHeading"/>
              <w:keepLines/>
              <w:jc w:val="center"/>
              <w:rPr>
                <w:b w:val="0"/>
                <w:bCs w:val="0"/>
              </w:rPr>
            </w:pPr>
            <w:r w:rsidRPr="00B236EB">
              <w:rPr>
                <w:b w:val="0"/>
                <w:bCs w:val="0"/>
              </w:rPr>
              <w:t>280.58 (131.874)</w:t>
            </w:r>
          </w:p>
        </w:tc>
        <w:tc>
          <w:tcPr>
            <w:tcW w:w="1842" w:type="dxa"/>
          </w:tcPr>
          <w:p w14:paraId="203F914E" w14:textId="77777777" w:rsidR="00404D38" w:rsidRPr="00442940" w:rsidRDefault="00404D38" w:rsidP="007D00DA">
            <w:pPr>
              <w:pStyle w:val="TableFigureHeading"/>
              <w:keepLines/>
              <w:jc w:val="center"/>
              <w:rPr>
                <w:b w:val="0"/>
                <w:bCs w:val="0"/>
              </w:rPr>
            </w:pPr>
            <w:r w:rsidRPr="00B236EB">
              <w:rPr>
                <w:b w:val="0"/>
                <w:bCs w:val="0"/>
              </w:rPr>
              <w:t>248.11 (129.721)</w:t>
            </w:r>
          </w:p>
        </w:tc>
        <w:tc>
          <w:tcPr>
            <w:tcW w:w="2218" w:type="dxa"/>
          </w:tcPr>
          <w:p w14:paraId="41B626B1" w14:textId="77777777" w:rsidR="00404D38" w:rsidRPr="00442940" w:rsidRDefault="00404D38" w:rsidP="007D00DA">
            <w:pPr>
              <w:pStyle w:val="TableFigureHeading"/>
              <w:keepLines/>
              <w:jc w:val="center"/>
              <w:rPr>
                <w:b w:val="0"/>
                <w:bCs w:val="0"/>
              </w:rPr>
            </w:pPr>
            <w:r w:rsidRPr="00B236EB">
              <w:rPr>
                <w:b w:val="0"/>
                <w:bCs w:val="0"/>
              </w:rPr>
              <w:t>220.93 (121.015)</w:t>
            </w:r>
          </w:p>
        </w:tc>
      </w:tr>
      <w:tr w:rsidR="00404D38" w:rsidRPr="00442940" w14:paraId="63FED9A8" w14:textId="77777777" w:rsidTr="00AC13C1">
        <w:tc>
          <w:tcPr>
            <w:tcW w:w="2972" w:type="dxa"/>
          </w:tcPr>
          <w:p w14:paraId="3BB21843" w14:textId="77777777" w:rsidR="00404D38" w:rsidRPr="00442940" w:rsidRDefault="00404D38" w:rsidP="007D00DA">
            <w:pPr>
              <w:pStyle w:val="TableFigureHeading"/>
              <w:keepLines/>
              <w:ind w:left="175"/>
              <w:rPr>
                <w:b w:val="0"/>
                <w:bCs w:val="0"/>
              </w:rPr>
            </w:pPr>
            <w:r w:rsidRPr="00B236EB">
              <w:rPr>
                <w:b w:val="0"/>
                <w:bCs w:val="0"/>
              </w:rPr>
              <w:t>Median</w:t>
            </w:r>
          </w:p>
        </w:tc>
        <w:tc>
          <w:tcPr>
            <w:tcW w:w="1985" w:type="dxa"/>
          </w:tcPr>
          <w:p w14:paraId="3A598ADF" w14:textId="77777777" w:rsidR="00404D38" w:rsidRPr="00442940" w:rsidRDefault="00404D38" w:rsidP="007D00DA">
            <w:pPr>
              <w:pStyle w:val="TableFigureHeading"/>
              <w:keepLines/>
              <w:jc w:val="center"/>
              <w:rPr>
                <w:b w:val="0"/>
                <w:bCs w:val="0"/>
              </w:rPr>
            </w:pPr>
            <w:r w:rsidRPr="00B236EB">
              <w:rPr>
                <w:b w:val="0"/>
                <w:bCs w:val="0"/>
              </w:rPr>
              <w:t>277.00</w:t>
            </w:r>
          </w:p>
        </w:tc>
        <w:tc>
          <w:tcPr>
            <w:tcW w:w="1842" w:type="dxa"/>
          </w:tcPr>
          <w:p w14:paraId="18316043" w14:textId="77777777" w:rsidR="00404D38" w:rsidRPr="00442940" w:rsidRDefault="00404D38" w:rsidP="007D00DA">
            <w:pPr>
              <w:pStyle w:val="TableFigureHeading"/>
              <w:keepLines/>
              <w:jc w:val="center"/>
              <w:rPr>
                <w:b w:val="0"/>
                <w:bCs w:val="0"/>
              </w:rPr>
            </w:pPr>
            <w:r w:rsidRPr="00B236EB">
              <w:rPr>
                <w:b w:val="0"/>
                <w:bCs w:val="0"/>
              </w:rPr>
              <w:t>208.00</w:t>
            </w:r>
          </w:p>
        </w:tc>
        <w:tc>
          <w:tcPr>
            <w:tcW w:w="2218" w:type="dxa"/>
          </w:tcPr>
          <w:p w14:paraId="39469640" w14:textId="77777777" w:rsidR="00404D38" w:rsidRPr="00442940" w:rsidRDefault="00404D38" w:rsidP="007D00DA">
            <w:pPr>
              <w:pStyle w:val="TableFigureHeading"/>
              <w:keepLines/>
              <w:jc w:val="center"/>
              <w:rPr>
                <w:b w:val="0"/>
                <w:bCs w:val="0"/>
              </w:rPr>
            </w:pPr>
            <w:r w:rsidRPr="00B236EB">
              <w:rPr>
                <w:b w:val="0"/>
                <w:bCs w:val="0"/>
              </w:rPr>
              <w:t>213.25</w:t>
            </w:r>
          </w:p>
        </w:tc>
      </w:tr>
      <w:tr w:rsidR="00E75D15" w:rsidRPr="00442940" w14:paraId="7870C083" w14:textId="77777777" w:rsidTr="004D28AD">
        <w:tc>
          <w:tcPr>
            <w:tcW w:w="2972" w:type="dxa"/>
            <w:tcBorders>
              <w:top w:val="single" w:sz="4" w:space="0" w:color="DBE5F1" w:themeColor="accent1" w:themeTint="33"/>
              <w:right w:val="single" w:sz="4" w:space="0" w:color="DBE5F1"/>
            </w:tcBorders>
            <w:shd w:val="clear" w:color="auto" w:fill="DBE5F1" w:themeFill="accent1" w:themeFillTint="33"/>
          </w:tcPr>
          <w:p w14:paraId="3D4567E0" w14:textId="77777777" w:rsidR="00E75D15" w:rsidRDefault="00E75D15" w:rsidP="007D00DA">
            <w:pPr>
              <w:pStyle w:val="TableFigureHeading"/>
              <w:keepLines/>
              <w:rPr>
                <w:b w:val="0"/>
                <w:bCs w:val="0"/>
              </w:rPr>
            </w:pPr>
            <w:r>
              <w:t>Week 22/24</w:t>
            </w:r>
          </w:p>
        </w:tc>
        <w:tc>
          <w:tcPr>
            <w:tcW w:w="1985" w:type="dxa"/>
            <w:tcBorders>
              <w:top w:val="single" w:sz="4" w:space="0" w:color="DBE5F1" w:themeColor="accent1" w:themeTint="33"/>
              <w:left w:val="single" w:sz="4" w:space="0" w:color="DBE5F1"/>
              <w:right w:val="single" w:sz="4" w:space="0" w:color="DBE5F1"/>
            </w:tcBorders>
            <w:shd w:val="clear" w:color="auto" w:fill="DBE5F1" w:themeFill="accent1" w:themeFillTint="33"/>
          </w:tcPr>
          <w:p w14:paraId="2AAEC894" w14:textId="77777777" w:rsidR="00E75D15" w:rsidRDefault="00E75D15" w:rsidP="007D00DA">
            <w:pPr>
              <w:pStyle w:val="TableFigureHeading"/>
              <w:keepLines/>
              <w:rPr>
                <w:b w:val="0"/>
                <w:bCs w:val="0"/>
              </w:rPr>
            </w:pPr>
          </w:p>
        </w:tc>
        <w:tc>
          <w:tcPr>
            <w:tcW w:w="1842" w:type="dxa"/>
            <w:tcBorders>
              <w:top w:val="single" w:sz="4" w:space="0" w:color="DBE5F1" w:themeColor="accent1" w:themeTint="33"/>
              <w:left w:val="single" w:sz="4" w:space="0" w:color="DBE5F1"/>
              <w:right w:val="single" w:sz="4" w:space="0" w:color="DBE5F1" w:themeColor="accent1" w:themeTint="33"/>
            </w:tcBorders>
            <w:shd w:val="clear" w:color="auto" w:fill="DBE5F1" w:themeFill="accent1" w:themeFillTint="33"/>
          </w:tcPr>
          <w:p w14:paraId="0E51A531" w14:textId="77777777" w:rsidR="00E75D15" w:rsidRDefault="00E75D15" w:rsidP="007D00DA">
            <w:pPr>
              <w:pStyle w:val="TableFigureHeading"/>
              <w:keepLines/>
              <w:rPr>
                <w:b w:val="0"/>
                <w:bCs w:val="0"/>
              </w:rPr>
            </w:pPr>
          </w:p>
        </w:tc>
        <w:tc>
          <w:tcPr>
            <w:tcW w:w="2218" w:type="dxa"/>
            <w:tcBorders>
              <w:top w:val="single" w:sz="4" w:space="0" w:color="DBE5F1" w:themeColor="accent1" w:themeTint="33"/>
              <w:left w:val="single" w:sz="4" w:space="0" w:color="DBE5F1" w:themeColor="accent1" w:themeTint="33"/>
            </w:tcBorders>
            <w:shd w:val="clear" w:color="auto" w:fill="DBE5F1" w:themeFill="accent1" w:themeFillTint="33"/>
          </w:tcPr>
          <w:p w14:paraId="063D4AF1" w14:textId="4CB0FF77" w:rsidR="00E75D15" w:rsidRDefault="00E75D15" w:rsidP="007D00DA">
            <w:pPr>
              <w:pStyle w:val="TableFigureHeading"/>
              <w:keepLines/>
              <w:rPr>
                <w:b w:val="0"/>
                <w:bCs w:val="0"/>
              </w:rPr>
            </w:pPr>
          </w:p>
        </w:tc>
      </w:tr>
      <w:tr w:rsidR="00404D38" w:rsidRPr="00442940" w14:paraId="056C8221" w14:textId="77777777" w:rsidTr="00E75D15">
        <w:tc>
          <w:tcPr>
            <w:tcW w:w="2972" w:type="dxa"/>
            <w:tcBorders>
              <w:right w:val="single" w:sz="4" w:space="0" w:color="DBE5F1"/>
            </w:tcBorders>
            <w:shd w:val="clear" w:color="auto" w:fill="DBE5F1" w:themeFill="accent1" w:themeFillTint="33"/>
          </w:tcPr>
          <w:p w14:paraId="18964DF0" w14:textId="77777777" w:rsidR="00404D38" w:rsidRPr="00C841F4" w:rsidRDefault="00404D38" w:rsidP="007D00DA">
            <w:pPr>
              <w:pStyle w:val="TableFigureHeading"/>
              <w:keepLines/>
              <w:ind w:left="174"/>
              <w:rPr>
                <w:b w:val="0"/>
                <w:bCs w:val="0"/>
              </w:rPr>
            </w:pPr>
            <w:r>
              <w:rPr>
                <w:b w:val="0"/>
                <w:bCs w:val="0"/>
              </w:rPr>
              <w:t>n patients with data (n/N)</w:t>
            </w:r>
          </w:p>
        </w:tc>
        <w:tc>
          <w:tcPr>
            <w:tcW w:w="1985" w:type="dxa"/>
            <w:tcBorders>
              <w:left w:val="single" w:sz="4" w:space="0" w:color="DBE5F1"/>
            </w:tcBorders>
            <w:shd w:val="clear" w:color="auto" w:fill="DBE5F1" w:themeFill="accent1" w:themeFillTint="33"/>
          </w:tcPr>
          <w:p w14:paraId="5938BCD7" w14:textId="77777777" w:rsidR="00404D38" w:rsidRPr="009972B7" w:rsidRDefault="00404D38" w:rsidP="007D00DA">
            <w:pPr>
              <w:pStyle w:val="TableFigureHeading"/>
              <w:keepLines/>
              <w:jc w:val="center"/>
              <w:rPr>
                <w:b w:val="0"/>
                <w:bCs w:val="0"/>
              </w:rPr>
            </w:pPr>
            <w:r w:rsidRPr="009972B7">
              <w:rPr>
                <w:b w:val="0"/>
                <w:bCs w:val="0"/>
              </w:rPr>
              <w:t>11/19</w:t>
            </w:r>
          </w:p>
        </w:tc>
        <w:tc>
          <w:tcPr>
            <w:tcW w:w="1842" w:type="dxa"/>
            <w:shd w:val="clear" w:color="auto" w:fill="DBE5F1" w:themeFill="accent1" w:themeFillTint="33"/>
          </w:tcPr>
          <w:p w14:paraId="70B156F9" w14:textId="77777777" w:rsidR="00404D38" w:rsidRPr="009972B7" w:rsidRDefault="00404D38" w:rsidP="007D00DA">
            <w:pPr>
              <w:pStyle w:val="TableFigureHeading"/>
              <w:keepLines/>
              <w:jc w:val="center"/>
              <w:rPr>
                <w:b w:val="0"/>
                <w:bCs w:val="0"/>
              </w:rPr>
            </w:pPr>
            <w:r w:rsidRPr="009972B7">
              <w:rPr>
                <w:b w:val="0"/>
                <w:bCs w:val="0"/>
              </w:rPr>
              <w:t>21/34</w:t>
            </w:r>
          </w:p>
        </w:tc>
        <w:tc>
          <w:tcPr>
            <w:tcW w:w="2218" w:type="dxa"/>
            <w:tcBorders>
              <w:top w:val="single" w:sz="4" w:space="0" w:color="DBE5F1"/>
            </w:tcBorders>
            <w:shd w:val="clear" w:color="auto" w:fill="DBE5F1" w:themeFill="accent1" w:themeFillTint="33"/>
          </w:tcPr>
          <w:p w14:paraId="5E628A9D" w14:textId="77777777" w:rsidR="00404D38" w:rsidRPr="009972B7" w:rsidRDefault="00404D38" w:rsidP="007D00DA">
            <w:pPr>
              <w:pStyle w:val="TableFigureHeading"/>
              <w:keepLines/>
              <w:jc w:val="center"/>
              <w:rPr>
                <w:b w:val="0"/>
                <w:bCs w:val="0"/>
              </w:rPr>
            </w:pPr>
            <w:r w:rsidRPr="009972B7">
              <w:rPr>
                <w:b w:val="0"/>
                <w:bCs w:val="0"/>
              </w:rPr>
              <w:t>5/16</w:t>
            </w:r>
          </w:p>
        </w:tc>
      </w:tr>
      <w:tr w:rsidR="00404D38" w:rsidRPr="00442940" w14:paraId="1334C122" w14:textId="77777777" w:rsidTr="00AC13C1">
        <w:tc>
          <w:tcPr>
            <w:tcW w:w="2972" w:type="dxa"/>
            <w:shd w:val="clear" w:color="auto" w:fill="DBE5F1" w:themeFill="accent1" w:themeFillTint="33"/>
          </w:tcPr>
          <w:p w14:paraId="2EC8DE57" w14:textId="77777777" w:rsidR="00404D38" w:rsidRPr="00B236EB" w:rsidRDefault="00404D38" w:rsidP="007D00DA">
            <w:pPr>
              <w:pStyle w:val="TableFigureHeading"/>
              <w:keepLines/>
              <w:ind w:firstLine="176"/>
            </w:pPr>
            <w:r w:rsidRPr="00B236EB">
              <w:rPr>
                <w:b w:val="0"/>
                <w:bCs w:val="0"/>
              </w:rPr>
              <w:t>Mean (S</w:t>
            </w:r>
            <w:r>
              <w:rPr>
                <w:b w:val="0"/>
                <w:bCs w:val="0"/>
              </w:rPr>
              <w:t>E</w:t>
            </w:r>
            <w:r w:rsidRPr="00B236EB">
              <w:rPr>
                <w:b w:val="0"/>
                <w:bCs w:val="0"/>
              </w:rPr>
              <w:t>)</w:t>
            </w:r>
          </w:p>
        </w:tc>
        <w:tc>
          <w:tcPr>
            <w:tcW w:w="1985" w:type="dxa"/>
            <w:shd w:val="clear" w:color="auto" w:fill="DBE5F1" w:themeFill="accent1" w:themeFillTint="33"/>
            <w:vAlign w:val="center"/>
          </w:tcPr>
          <w:p w14:paraId="6B068BD7" w14:textId="77777777" w:rsidR="00404D38" w:rsidRPr="009972B7" w:rsidRDefault="00404D38" w:rsidP="007D00DA">
            <w:pPr>
              <w:pStyle w:val="TableFigureHeading"/>
              <w:keepLines/>
              <w:jc w:val="center"/>
              <w:rPr>
                <w:b w:val="0"/>
                <w:bCs w:val="0"/>
              </w:rPr>
            </w:pPr>
            <w:r w:rsidRPr="009972B7">
              <w:rPr>
                <w:b w:val="0"/>
                <w:bCs w:val="0"/>
              </w:rPr>
              <w:t>155.59 (26.810)</w:t>
            </w:r>
          </w:p>
        </w:tc>
        <w:tc>
          <w:tcPr>
            <w:tcW w:w="1842" w:type="dxa"/>
            <w:shd w:val="clear" w:color="auto" w:fill="DBE5F1" w:themeFill="accent1" w:themeFillTint="33"/>
            <w:vAlign w:val="center"/>
          </w:tcPr>
          <w:p w14:paraId="752FA7F2" w14:textId="77777777" w:rsidR="00404D38" w:rsidRPr="009972B7" w:rsidRDefault="00404D38" w:rsidP="007D00DA">
            <w:pPr>
              <w:pStyle w:val="TableFigureHeading"/>
              <w:keepLines/>
              <w:jc w:val="center"/>
              <w:rPr>
                <w:b w:val="0"/>
                <w:bCs w:val="0"/>
              </w:rPr>
            </w:pPr>
            <w:r w:rsidRPr="009972B7">
              <w:rPr>
                <w:b w:val="0"/>
                <w:bCs w:val="0"/>
              </w:rPr>
              <w:t>85.10 (25.123)</w:t>
            </w:r>
          </w:p>
        </w:tc>
        <w:tc>
          <w:tcPr>
            <w:tcW w:w="2218" w:type="dxa"/>
            <w:shd w:val="clear" w:color="auto" w:fill="DBE5F1" w:themeFill="accent1" w:themeFillTint="33"/>
            <w:vAlign w:val="center"/>
          </w:tcPr>
          <w:p w14:paraId="404ADE08" w14:textId="77777777" w:rsidR="00404D38" w:rsidRPr="009972B7" w:rsidRDefault="00404D38" w:rsidP="007D00DA">
            <w:pPr>
              <w:pStyle w:val="TableFigureHeading"/>
              <w:keepLines/>
              <w:jc w:val="center"/>
              <w:rPr>
                <w:b w:val="0"/>
                <w:bCs w:val="0"/>
              </w:rPr>
            </w:pPr>
            <w:r w:rsidRPr="009972B7">
              <w:rPr>
                <w:b w:val="0"/>
                <w:bCs w:val="0"/>
              </w:rPr>
              <w:t>213.20 (85.683)</w:t>
            </w:r>
          </w:p>
        </w:tc>
      </w:tr>
      <w:tr w:rsidR="00404D38" w:rsidRPr="00442940" w14:paraId="21EDE1DE" w14:textId="77777777" w:rsidTr="00AC13C1">
        <w:tc>
          <w:tcPr>
            <w:tcW w:w="2972" w:type="dxa"/>
            <w:shd w:val="clear" w:color="auto" w:fill="DBE5F1" w:themeFill="accent1" w:themeFillTint="33"/>
          </w:tcPr>
          <w:p w14:paraId="69E2023A" w14:textId="77777777" w:rsidR="00404D38" w:rsidRPr="00B236EB" w:rsidRDefault="00404D38" w:rsidP="007D00DA">
            <w:pPr>
              <w:pStyle w:val="TableFigureHeading"/>
              <w:keepLines/>
            </w:pPr>
            <w:r w:rsidRPr="00B236EB">
              <w:rPr>
                <w:b w:val="0"/>
                <w:bCs w:val="0"/>
              </w:rPr>
              <w:t xml:space="preserve">Change from baseline, </w:t>
            </w:r>
            <w:r>
              <w:rPr>
                <w:b w:val="0"/>
                <w:bCs w:val="0"/>
              </w:rPr>
              <w:t>mean (SE)</w:t>
            </w:r>
          </w:p>
        </w:tc>
        <w:tc>
          <w:tcPr>
            <w:tcW w:w="1985" w:type="dxa"/>
            <w:shd w:val="clear" w:color="auto" w:fill="DBE5F1" w:themeFill="accent1" w:themeFillTint="33"/>
            <w:vAlign w:val="center"/>
          </w:tcPr>
          <w:p w14:paraId="1E7C52D9" w14:textId="77777777" w:rsidR="00404D38" w:rsidRPr="009972B7" w:rsidRDefault="00404D38" w:rsidP="007D00DA">
            <w:pPr>
              <w:pStyle w:val="TableFigureHeading"/>
              <w:keepLines/>
              <w:jc w:val="center"/>
              <w:rPr>
                <w:b w:val="0"/>
                <w:bCs w:val="0"/>
                <w:vertAlign w:val="superscript"/>
              </w:rPr>
            </w:pPr>
            <w:r w:rsidRPr="009972B7">
              <w:rPr>
                <w:b w:val="0"/>
                <w:bCs w:val="0"/>
              </w:rPr>
              <w:t xml:space="preserve">-143.73 (48.601) </w:t>
            </w:r>
            <w:r w:rsidRPr="009972B7">
              <w:rPr>
                <w:b w:val="0"/>
                <w:bCs w:val="0"/>
                <w:vertAlign w:val="superscript"/>
              </w:rPr>
              <w:t>e</w:t>
            </w:r>
          </w:p>
        </w:tc>
        <w:tc>
          <w:tcPr>
            <w:tcW w:w="1842" w:type="dxa"/>
            <w:shd w:val="clear" w:color="auto" w:fill="DBE5F1" w:themeFill="accent1" w:themeFillTint="33"/>
            <w:vAlign w:val="center"/>
          </w:tcPr>
          <w:p w14:paraId="22831844" w14:textId="77777777" w:rsidR="00404D38" w:rsidRPr="009972B7" w:rsidRDefault="00404D38" w:rsidP="007D00DA">
            <w:pPr>
              <w:pStyle w:val="TableFigureHeading"/>
              <w:keepLines/>
              <w:jc w:val="center"/>
              <w:rPr>
                <w:b w:val="0"/>
                <w:bCs w:val="0"/>
                <w:vertAlign w:val="superscript"/>
              </w:rPr>
            </w:pPr>
            <w:r w:rsidRPr="009972B7">
              <w:rPr>
                <w:b w:val="0"/>
                <w:bCs w:val="0"/>
              </w:rPr>
              <w:t xml:space="preserve">-18.02 (11.892) </w:t>
            </w:r>
            <w:r w:rsidRPr="009972B7">
              <w:rPr>
                <w:b w:val="0"/>
                <w:bCs w:val="0"/>
                <w:vertAlign w:val="superscript"/>
              </w:rPr>
              <w:t>f</w:t>
            </w:r>
          </w:p>
        </w:tc>
        <w:tc>
          <w:tcPr>
            <w:tcW w:w="2218" w:type="dxa"/>
            <w:shd w:val="clear" w:color="auto" w:fill="DBE5F1" w:themeFill="accent1" w:themeFillTint="33"/>
            <w:vAlign w:val="center"/>
          </w:tcPr>
          <w:p w14:paraId="1A469C7B" w14:textId="77777777" w:rsidR="00404D38" w:rsidRPr="009972B7" w:rsidRDefault="00404D38" w:rsidP="007D00DA">
            <w:pPr>
              <w:pStyle w:val="TableFigureHeading"/>
              <w:keepLines/>
              <w:jc w:val="center"/>
              <w:rPr>
                <w:b w:val="0"/>
                <w:bCs w:val="0"/>
              </w:rPr>
            </w:pPr>
            <w:r w:rsidRPr="009972B7">
              <w:rPr>
                <w:b w:val="0"/>
                <w:bCs w:val="0"/>
              </w:rPr>
              <w:t>-104.10 (38.770)</w:t>
            </w:r>
          </w:p>
        </w:tc>
      </w:tr>
      <w:tr w:rsidR="00404D38" w:rsidRPr="00442940" w14:paraId="53D9893A" w14:textId="77777777" w:rsidTr="00AC13C1">
        <w:tc>
          <w:tcPr>
            <w:tcW w:w="2972" w:type="dxa"/>
            <w:shd w:val="clear" w:color="auto" w:fill="DBE5F1" w:themeFill="accent1" w:themeFillTint="33"/>
          </w:tcPr>
          <w:p w14:paraId="3DFECA8E" w14:textId="77777777" w:rsidR="00404D38" w:rsidRPr="00B236EB" w:rsidRDefault="00404D38" w:rsidP="007D00DA">
            <w:pPr>
              <w:pStyle w:val="TableFigureHeading"/>
              <w:keepLines/>
            </w:pPr>
            <w:r>
              <w:rPr>
                <w:b w:val="0"/>
                <w:bCs w:val="0"/>
              </w:rPr>
              <w:t>% change from baseline, mean (SE)</w:t>
            </w:r>
          </w:p>
        </w:tc>
        <w:tc>
          <w:tcPr>
            <w:tcW w:w="1985" w:type="dxa"/>
            <w:shd w:val="clear" w:color="auto" w:fill="DBE5F1" w:themeFill="accent1" w:themeFillTint="33"/>
            <w:vAlign w:val="center"/>
          </w:tcPr>
          <w:p w14:paraId="72AD794F" w14:textId="77777777" w:rsidR="00404D38" w:rsidRPr="009972B7" w:rsidRDefault="00404D38" w:rsidP="007D00DA">
            <w:pPr>
              <w:pStyle w:val="TableFigureHeading"/>
              <w:keepLines/>
              <w:jc w:val="center"/>
              <w:rPr>
                <w:b w:val="0"/>
                <w:bCs w:val="0"/>
              </w:rPr>
            </w:pPr>
            <w:r w:rsidRPr="009972B7">
              <w:rPr>
                <w:b w:val="0"/>
                <w:bCs w:val="0"/>
              </w:rPr>
              <w:t>-36.78 (13.966)</w:t>
            </w:r>
          </w:p>
        </w:tc>
        <w:tc>
          <w:tcPr>
            <w:tcW w:w="1842" w:type="dxa"/>
            <w:shd w:val="clear" w:color="auto" w:fill="DBE5F1" w:themeFill="accent1" w:themeFillTint="33"/>
            <w:vAlign w:val="center"/>
          </w:tcPr>
          <w:p w14:paraId="0413AFBC" w14:textId="77777777" w:rsidR="00404D38" w:rsidRPr="009972B7" w:rsidRDefault="00404D38" w:rsidP="007D00DA">
            <w:pPr>
              <w:pStyle w:val="TableFigureHeading"/>
              <w:keepLines/>
              <w:jc w:val="center"/>
              <w:rPr>
                <w:b w:val="0"/>
                <w:bCs w:val="0"/>
              </w:rPr>
            </w:pPr>
            <w:r w:rsidRPr="009972B7">
              <w:rPr>
                <w:b w:val="0"/>
                <w:bCs w:val="0"/>
              </w:rPr>
              <w:t>-9.62 (18.429)</w:t>
            </w:r>
          </w:p>
        </w:tc>
        <w:tc>
          <w:tcPr>
            <w:tcW w:w="2218" w:type="dxa"/>
            <w:shd w:val="clear" w:color="auto" w:fill="DBE5F1" w:themeFill="accent1" w:themeFillTint="33"/>
            <w:vAlign w:val="center"/>
          </w:tcPr>
          <w:p w14:paraId="02495F4C" w14:textId="77777777" w:rsidR="00404D38" w:rsidRPr="009972B7" w:rsidRDefault="00404D38" w:rsidP="007D00DA">
            <w:pPr>
              <w:pStyle w:val="TableFigureHeading"/>
              <w:keepLines/>
              <w:jc w:val="center"/>
              <w:rPr>
                <w:b w:val="0"/>
                <w:bCs w:val="0"/>
              </w:rPr>
            </w:pPr>
            <w:r w:rsidRPr="009972B7">
              <w:rPr>
                <w:b w:val="0"/>
                <w:bCs w:val="0"/>
              </w:rPr>
              <w:t>-48.20 (18.416)</w:t>
            </w:r>
          </w:p>
        </w:tc>
      </w:tr>
      <w:tr w:rsidR="00392F43" w:rsidRPr="00442940" w14:paraId="6E8F23AB" w14:textId="77777777" w:rsidTr="00622289">
        <w:tc>
          <w:tcPr>
            <w:tcW w:w="2972" w:type="dxa"/>
            <w:tcBorders>
              <w:right w:val="single" w:sz="4" w:space="0" w:color="FFFFFF" w:themeColor="background1"/>
            </w:tcBorders>
          </w:tcPr>
          <w:p w14:paraId="622E2AA9" w14:textId="77777777" w:rsidR="00392F43" w:rsidRPr="00442940" w:rsidRDefault="00392F43" w:rsidP="00EA10E6">
            <w:pPr>
              <w:pStyle w:val="TableFigureHeading"/>
              <w:keepNext w:val="0"/>
              <w:rPr>
                <w:b w:val="0"/>
                <w:bCs w:val="0"/>
              </w:rPr>
            </w:pPr>
            <w:r w:rsidRPr="00B236EB">
              <w:t xml:space="preserve">Week 70/72 of </w:t>
            </w:r>
            <w:r>
              <w:t>PEDFIC 2</w:t>
            </w:r>
            <w:r w:rsidRPr="00B236EB">
              <w:t>, n</w:t>
            </w:r>
            <w:r>
              <w:t>/N</w:t>
            </w:r>
          </w:p>
        </w:tc>
        <w:tc>
          <w:tcPr>
            <w:tcW w:w="1985" w:type="dxa"/>
            <w:tcBorders>
              <w:left w:val="single" w:sz="4" w:space="0" w:color="FFFFFF" w:themeColor="background1"/>
              <w:right w:val="single" w:sz="4" w:space="0" w:color="FFFFFF" w:themeColor="background1"/>
            </w:tcBorders>
          </w:tcPr>
          <w:p w14:paraId="20277023" w14:textId="77777777" w:rsidR="00392F43" w:rsidRPr="00442940" w:rsidRDefault="00392F43" w:rsidP="00EA10E6">
            <w:pPr>
              <w:pStyle w:val="TableFigureHeading"/>
              <w:keepNext w:val="0"/>
              <w:rPr>
                <w:b w:val="0"/>
                <w:bCs w:val="0"/>
              </w:rPr>
            </w:pPr>
          </w:p>
        </w:tc>
        <w:tc>
          <w:tcPr>
            <w:tcW w:w="1842" w:type="dxa"/>
            <w:tcBorders>
              <w:left w:val="single" w:sz="4" w:space="0" w:color="FFFFFF" w:themeColor="background1"/>
              <w:right w:val="single" w:sz="4" w:space="0" w:color="FFFFFF" w:themeColor="background1"/>
            </w:tcBorders>
          </w:tcPr>
          <w:p w14:paraId="2405A0EB" w14:textId="77777777" w:rsidR="00392F43" w:rsidRPr="00442940" w:rsidRDefault="00392F43" w:rsidP="00EA10E6">
            <w:pPr>
              <w:pStyle w:val="TableFigureHeading"/>
              <w:keepNext w:val="0"/>
              <w:rPr>
                <w:b w:val="0"/>
                <w:bCs w:val="0"/>
              </w:rPr>
            </w:pPr>
          </w:p>
        </w:tc>
        <w:tc>
          <w:tcPr>
            <w:tcW w:w="2218" w:type="dxa"/>
            <w:tcBorders>
              <w:left w:val="single" w:sz="4" w:space="0" w:color="FFFFFF" w:themeColor="background1"/>
            </w:tcBorders>
          </w:tcPr>
          <w:p w14:paraId="6ACDA711" w14:textId="6FE292FF" w:rsidR="00392F43" w:rsidRPr="00442940" w:rsidRDefault="00392F43" w:rsidP="00EA10E6">
            <w:pPr>
              <w:pStyle w:val="TableFigureHeading"/>
              <w:keepNext w:val="0"/>
              <w:rPr>
                <w:b w:val="0"/>
                <w:bCs w:val="0"/>
              </w:rPr>
            </w:pPr>
          </w:p>
        </w:tc>
      </w:tr>
      <w:tr w:rsidR="00404D38" w:rsidRPr="00442940" w14:paraId="4BC9099D" w14:textId="77777777" w:rsidTr="00AC13C1">
        <w:tc>
          <w:tcPr>
            <w:tcW w:w="2972" w:type="dxa"/>
          </w:tcPr>
          <w:p w14:paraId="045857ED" w14:textId="77777777" w:rsidR="00404D38" w:rsidRPr="00C841F4" w:rsidRDefault="00404D38" w:rsidP="009546A6">
            <w:pPr>
              <w:pStyle w:val="TableFigureHeading"/>
              <w:keepNext w:val="0"/>
              <w:ind w:left="174"/>
              <w:rPr>
                <w:b w:val="0"/>
                <w:bCs w:val="0"/>
              </w:rPr>
            </w:pPr>
            <w:r w:rsidRPr="00C841F4">
              <w:rPr>
                <w:b w:val="0"/>
                <w:bCs w:val="0"/>
              </w:rPr>
              <w:t>n patients with data (n/N)</w:t>
            </w:r>
          </w:p>
        </w:tc>
        <w:tc>
          <w:tcPr>
            <w:tcW w:w="1985" w:type="dxa"/>
          </w:tcPr>
          <w:p w14:paraId="4C31DBDD" w14:textId="77777777" w:rsidR="00404D38" w:rsidRDefault="00404D38" w:rsidP="009546A6">
            <w:pPr>
              <w:pStyle w:val="TableFigureHeading"/>
              <w:keepNext w:val="0"/>
              <w:jc w:val="center"/>
              <w:rPr>
                <w:b w:val="0"/>
                <w:bCs w:val="0"/>
              </w:rPr>
            </w:pPr>
            <w:r>
              <w:rPr>
                <w:b w:val="0"/>
                <w:bCs w:val="0"/>
              </w:rPr>
              <w:t>15/19</w:t>
            </w:r>
          </w:p>
        </w:tc>
        <w:tc>
          <w:tcPr>
            <w:tcW w:w="1842" w:type="dxa"/>
          </w:tcPr>
          <w:p w14:paraId="2FCC930A" w14:textId="77777777" w:rsidR="00404D38" w:rsidRDefault="00404D38" w:rsidP="009546A6">
            <w:pPr>
              <w:pStyle w:val="TableFigureHeading"/>
              <w:keepNext w:val="0"/>
              <w:jc w:val="center"/>
              <w:rPr>
                <w:b w:val="0"/>
                <w:bCs w:val="0"/>
              </w:rPr>
            </w:pPr>
            <w:r>
              <w:rPr>
                <w:b w:val="0"/>
                <w:bCs w:val="0"/>
              </w:rPr>
              <w:t>28/37</w:t>
            </w:r>
          </w:p>
        </w:tc>
        <w:tc>
          <w:tcPr>
            <w:tcW w:w="2218" w:type="dxa"/>
          </w:tcPr>
          <w:p w14:paraId="5631B3BC" w14:textId="77777777" w:rsidR="00404D38" w:rsidRDefault="00404D38" w:rsidP="009546A6">
            <w:pPr>
              <w:pStyle w:val="TableFigureHeading"/>
              <w:keepNext w:val="0"/>
              <w:jc w:val="center"/>
              <w:rPr>
                <w:b w:val="0"/>
                <w:bCs w:val="0"/>
              </w:rPr>
            </w:pPr>
            <w:r>
              <w:rPr>
                <w:b w:val="0"/>
                <w:bCs w:val="0"/>
              </w:rPr>
              <w:t>43/60</w:t>
            </w:r>
          </w:p>
        </w:tc>
      </w:tr>
      <w:tr w:rsidR="00404D38" w:rsidRPr="00442940" w14:paraId="0EB37498" w14:textId="77777777" w:rsidTr="00AC13C1">
        <w:tc>
          <w:tcPr>
            <w:tcW w:w="2972" w:type="dxa"/>
          </w:tcPr>
          <w:p w14:paraId="7A82AF76" w14:textId="77777777" w:rsidR="00404D38" w:rsidRPr="00442940" w:rsidRDefault="00404D38" w:rsidP="009546A6">
            <w:pPr>
              <w:pStyle w:val="TableFigureHeading"/>
              <w:keepNext w:val="0"/>
              <w:ind w:left="175"/>
              <w:rPr>
                <w:b w:val="0"/>
                <w:bCs w:val="0"/>
              </w:rPr>
            </w:pPr>
            <w:r w:rsidRPr="00B236EB">
              <w:rPr>
                <w:b w:val="0"/>
                <w:bCs w:val="0"/>
              </w:rPr>
              <w:t>Mean (SD)</w:t>
            </w:r>
          </w:p>
        </w:tc>
        <w:tc>
          <w:tcPr>
            <w:tcW w:w="1985" w:type="dxa"/>
          </w:tcPr>
          <w:p w14:paraId="0292437F" w14:textId="77777777" w:rsidR="00404D38" w:rsidRPr="00442940" w:rsidRDefault="00404D38" w:rsidP="009546A6">
            <w:pPr>
              <w:pStyle w:val="TableFigureHeading"/>
              <w:keepNext w:val="0"/>
              <w:jc w:val="center"/>
              <w:rPr>
                <w:b w:val="0"/>
                <w:bCs w:val="0"/>
              </w:rPr>
            </w:pPr>
            <w:r w:rsidRPr="00B236EB">
              <w:rPr>
                <w:b w:val="0"/>
                <w:bCs w:val="0"/>
              </w:rPr>
              <w:t>164.73 (124.647)</w:t>
            </w:r>
          </w:p>
        </w:tc>
        <w:tc>
          <w:tcPr>
            <w:tcW w:w="1842" w:type="dxa"/>
          </w:tcPr>
          <w:p w14:paraId="40341BE7" w14:textId="77777777" w:rsidR="00404D38" w:rsidRPr="00442940" w:rsidRDefault="00404D38" w:rsidP="009546A6">
            <w:pPr>
              <w:pStyle w:val="TableFigureHeading"/>
              <w:keepNext w:val="0"/>
              <w:jc w:val="center"/>
              <w:rPr>
                <w:b w:val="0"/>
                <w:bCs w:val="0"/>
              </w:rPr>
            </w:pPr>
            <w:r w:rsidRPr="00B236EB">
              <w:rPr>
                <w:b w:val="0"/>
                <w:bCs w:val="0"/>
              </w:rPr>
              <w:t>127.73 (131.868)</w:t>
            </w:r>
          </w:p>
        </w:tc>
        <w:tc>
          <w:tcPr>
            <w:tcW w:w="2218" w:type="dxa"/>
          </w:tcPr>
          <w:p w14:paraId="2A1F52AD" w14:textId="77777777" w:rsidR="00404D38" w:rsidRPr="00442940" w:rsidRDefault="00404D38" w:rsidP="009546A6">
            <w:pPr>
              <w:pStyle w:val="TableFigureHeading"/>
              <w:keepNext w:val="0"/>
              <w:jc w:val="center"/>
              <w:rPr>
                <w:b w:val="0"/>
                <w:bCs w:val="0"/>
              </w:rPr>
            </w:pPr>
            <w:r w:rsidRPr="00B236EB">
              <w:rPr>
                <w:b w:val="0"/>
                <w:bCs w:val="0"/>
              </w:rPr>
              <w:t>148.88 (147.416)</w:t>
            </w:r>
          </w:p>
        </w:tc>
      </w:tr>
      <w:tr w:rsidR="00404D38" w:rsidRPr="00442940" w14:paraId="51AE2607" w14:textId="77777777" w:rsidTr="00AC13C1">
        <w:tc>
          <w:tcPr>
            <w:tcW w:w="2972" w:type="dxa"/>
          </w:tcPr>
          <w:p w14:paraId="158C921C" w14:textId="77777777" w:rsidR="00404D38" w:rsidRPr="00442940" w:rsidRDefault="00404D38" w:rsidP="009546A6">
            <w:pPr>
              <w:pStyle w:val="TableFigureHeading"/>
              <w:keepNext w:val="0"/>
              <w:ind w:left="175"/>
              <w:rPr>
                <w:b w:val="0"/>
                <w:bCs w:val="0"/>
              </w:rPr>
            </w:pPr>
            <w:r w:rsidRPr="00B236EB">
              <w:rPr>
                <w:b w:val="0"/>
                <w:bCs w:val="0"/>
              </w:rPr>
              <w:t>Median</w:t>
            </w:r>
          </w:p>
        </w:tc>
        <w:tc>
          <w:tcPr>
            <w:tcW w:w="1985" w:type="dxa"/>
          </w:tcPr>
          <w:p w14:paraId="4CCDFA10" w14:textId="77777777" w:rsidR="00404D38" w:rsidRPr="00442940" w:rsidRDefault="00404D38" w:rsidP="009546A6">
            <w:pPr>
              <w:pStyle w:val="TableFigureHeading"/>
              <w:keepNext w:val="0"/>
              <w:jc w:val="center"/>
              <w:rPr>
                <w:b w:val="0"/>
                <w:bCs w:val="0"/>
              </w:rPr>
            </w:pPr>
            <w:r w:rsidRPr="00B236EB">
              <w:rPr>
                <w:b w:val="0"/>
                <w:bCs w:val="0"/>
              </w:rPr>
              <w:t>171.00</w:t>
            </w:r>
          </w:p>
        </w:tc>
        <w:tc>
          <w:tcPr>
            <w:tcW w:w="1842" w:type="dxa"/>
          </w:tcPr>
          <w:p w14:paraId="14FF1301" w14:textId="77777777" w:rsidR="00404D38" w:rsidRPr="00442940" w:rsidRDefault="00404D38" w:rsidP="009546A6">
            <w:pPr>
              <w:pStyle w:val="TableFigureHeading"/>
              <w:keepNext w:val="0"/>
              <w:jc w:val="center"/>
              <w:rPr>
                <w:b w:val="0"/>
                <w:bCs w:val="0"/>
              </w:rPr>
            </w:pPr>
            <w:r w:rsidRPr="00B236EB">
              <w:rPr>
                <w:b w:val="0"/>
                <w:bCs w:val="0"/>
              </w:rPr>
              <w:t>82.50</w:t>
            </w:r>
          </w:p>
        </w:tc>
        <w:tc>
          <w:tcPr>
            <w:tcW w:w="2218" w:type="dxa"/>
          </w:tcPr>
          <w:p w14:paraId="1888C304" w14:textId="77777777" w:rsidR="00404D38" w:rsidRPr="00442940" w:rsidRDefault="00404D38" w:rsidP="009546A6">
            <w:pPr>
              <w:pStyle w:val="TableFigureHeading"/>
              <w:keepNext w:val="0"/>
              <w:jc w:val="center"/>
              <w:rPr>
                <w:b w:val="0"/>
                <w:bCs w:val="0"/>
              </w:rPr>
            </w:pPr>
            <w:r w:rsidRPr="00B236EB">
              <w:rPr>
                <w:b w:val="0"/>
                <w:bCs w:val="0"/>
              </w:rPr>
              <w:t>105.00</w:t>
            </w:r>
          </w:p>
        </w:tc>
      </w:tr>
      <w:tr w:rsidR="00404D38" w:rsidRPr="00442940" w14:paraId="6A18ADA0" w14:textId="77777777" w:rsidTr="00AC13C1">
        <w:tc>
          <w:tcPr>
            <w:tcW w:w="2972" w:type="dxa"/>
          </w:tcPr>
          <w:p w14:paraId="6BF0EECF" w14:textId="77777777" w:rsidR="00404D38" w:rsidRPr="00442940" w:rsidRDefault="00404D38" w:rsidP="002569AD">
            <w:pPr>
              <w:pStyle w:val="TableFigureHeading"/>
              <w:keepNext w:val="0"/>
              <w:rPr>
                <w:b w:val="0"/>
                <w:bCs w:val="0"/>
              </w:rPr>
            </w:pPr>
            <w:r w:rsidRPr="00B236EB">
              <w:rPr>
                <w:b w:val="0"/>
                <w:bCs w:val="0"/>
              </w:rPr>
              <w:t>Change from baseline</w:t>
            </w:r>
            <w:r>
              <w:rPr>
                <w:b w:val="0"/>
                <w:bCs w:val="0"/>
              </w:rPr>
              <w:t xml:space="preserve"> </w:t>
            </w:r>
            <w:r w:rsidRPr="00B236EB">
              <w:rPr>
                <w:b w:val="0"/>
                <w:bCs w:val="0"/>
                <w:vertAlign w:val="superscript"/>
              </w:rPr>
              <w:t>d</w:t>
            </w:r>
            <w:r w:rsidRPr="00B236EB">
              <w:rPr>
                <w:b w:val="0"/>
                <w:bCs w:val="0"/>
              </w:rPr>
              <w:t>, n</w:t>
            </w:r>
          </w:p>
        </w:tc>
        <w:tc>
          <w:tcPr>
            <w:tcW w:w="1985" w:type="dxa"/>
          </w:tcPr>
          <w:p w14:paraId="15067BC7" w14:textId="77777777" w:rsidR="00404D38" w:rsidRPr="00442940" w:rsidRDefault="00404D38" w:rsidP="002569AD">
            <w:pPr>
              <w:pStyle w:val="TableFigureHeading"/>
              <w:keepNext w:val="0"/>
              <w:jc w:val="center"/>
              <w:rPr>
                <w:b w:val="0"/>
                <w:bCs w:val="0"/>
              </w:rPr>
            </w:pPr>
            <w:r>
              <w:rPr>
                <w:b w:val="0"/>
                <w:bCs w:val="0"/>
              </w:rPr>
              <w:t>15</w:t>
            </w:r>
          </w:p>
        </w:tc>
        <w:tc>
          <w:tcPr>
            <w:tcW w:w="1842" w:type="dxa"/>
          </w:tcPr>
          <w:p w14:paraId="34C74F72" w14:textId="77777777" w:rsidR="00404D38" w:rsidRPr="00442940" w:rsidRDefault="00404D38" w:rsidP="002569AD">
            <w:pPr>
              <w:pStyle w:val="TableFigureHeading"/>
              <w:keepNext w:val="0"/>
              <w:jc w:val="center"/>
              <w:rPr>
                <w:b w:val="0"/>
                <w:bCs w:val="0"/>
              </w:rPr>
            </w:pPr>
            <w:r>
              <w:rPr>
                <w:b w:val="0"/>
                <w:bCs w:val="0"/>
              </w:rPr>
              <w:t>28</w:t>
            </w:r>
          </w:p>
        </w:tc>
        <w:tc>
          <w:tcPr>
            <w:tcW w:w="2218" w:type="dxa"/>
          </w:tcPr>
          <w:p w14:paraId="5D3F8D32" w14:textId="77777777" w:rsidR="00404D38" w:rsidRPr="00442940" w:rsidRDefault="00404D38" w:rsidP="002569AD">
            <w:pPr>
              <w:pStyle w:val="TableFigureHeading"/>
              <w:keepNext w:val="0"/>
              <w:jc w:val="center"/>
              <w:rPr>
                <w:b w:val="0"/>
                <w:bCs w:val="0"/>
              </w:rPr>
            </w:pPr>
            <w:r>
              <w:rPr>
                <w:b w:val="0"/>
                <w:bCs w:val="0"/>
              </w:rPr>
              <w:t>43</w:t>
            </w:r>
          </w:p>
        </w:tc>
      </w:tr>
      <w:tr w:rsidR="00404D38" w:rsidRPr="00442940" w14:paraId="78DCC530" w14:textId="77777777" w:rsidTr="00AC13C1">
        <w:tc>
          <w:tcPr>
            <w:tcW w:w="2972" w:type="dxa"/>
          </w:tcPr>
          <w:p w14:paraId="4FC9B3A2" w14:textId="77777777" w:rsidR="00404D38" w:rsidRPr="00442940" w:rsidRDefault="00404D38" w:rsidP="002569AD">
            <w:pPr>
              <w:pStyle w:val="TableFigureHeading"/>
              <w:keepNext w:val="0"/>
              <w:ind w:left="175"/>
              <w:rPr>
                <w:b w:val="0"/>
                <w:bCs w:val="0"/>
              </w:rPr>
            </w:pPr>
            <w:r w:rsidRPr="00B236EB">
              <w:rPr>
                <w:b w:val="0"/>
                <w:bCs w:val="0"/>
              </w:rPr>
              <w:t>Mean (SD)</w:t>
            </w:r>
          </w:p>
        </w:tc>
        <w:tc>
          <w:tcPr>
            <w:tcW w:w="1985" w:type="dxa"/>
          </w:tcPr>
          <w:p w14:paraId="07FD25E5" w14:textId="77777777" w:rsidR="00404D38" w:rsidRPr="00442940" w:rsidRDefault="00404D38" w:rsidP="002569AD">
            <w:pPr>
              <w:pStyle w:val="TableFigureHeading"/>
              <w:keepNext w:val="0"/>
              <w:jc w:val="center"/>
              <w:rPr>
                <w:b w:val="0"/>
                <w:bCs w:val="0"/>
              </w:rPr>
            </w:pPr>
            <w:r w:rsidRPr="00B236EB">
              <w:rPr>
                <w:b w:val="0"/>
                <w:bCs w:val="0"/>
              </w:rPr>
              <w:t>-104.00 (167.318)</w:t>
            </w:r>
          </w:p>
        </w:tc>
        <w:tc>
          <w:tcPr>
            <w:tcW w:w="1842" w:type="dxa"/>
          </w:tcPr>
          <w:p w14:paraId="15A38614" w14:textId="77777777" w:rsidR="00404D38" w:rsidRPr="00442940" w:rsidRDefault="00404D38" w:rsidP="002569AD">
            <w:pPr>
              <w:pStyle w:val="TableFigureHeading"/>
              <w:keepNext w:val="0"/>
              <w:jc w:val="center"/>
              <w:rPr>
                <w:b w:val="0"/>
                <w:bCs w:val="0"/>
              </w:rPr>
            </w:pPr>
            <w:r w:rsidRPr="00B236EB">
              <w:rPr>
                <w:b w:val="0"/>
                <w:bCs w:val="0"/>
              </w:rPr>
              <w:t>-139.84 (172.070)</w:t>
            </w:r>
          </w:p>
        </w:tc>
        <w:tc>
          <w:tcPr>
            <w:tcW w:w="2218" w:type="dxa"/>
          </w:tcPr>
          <w:p w14:paraId="3D5B7679" w14:textId="77777777" w:rsidR="00404D38" w:rsidRPr="00442940" w:rsidRDefault="00404D38" w:rsidP="002569AD">
            <w:pPr>
              <w:pStyle w:val="TableFigureHeading"/>
              <w:keepNext w:val="0"/>
              <w:jc w:val="center"/>
              <w:rPr>
                <w:b w:val="0"/>
                <w:bCs w:val="0"/>
              </w:rPr>
            </w:pPr>
            <w:r w:rsidRPr="00B236EB">
              <w:rPr>
                <w:b w:val="0"/>
                <w:bCs w:val="0"/>
              </w:rPr>
              <w:t>-57.97 (137.990)</w:t>
            </w:r>
          </w:p>
        </w:tc>
      </w:tr>
      <w:tr w:rsidR="00404D38" w:rsidRPr="00442940" w14:paraId="03DDD7CD" w14:textId="77777777" w:rsidTr="00AC13C1">
        <w:tc>
          <w:tcPr>
            <w:tcW w:w="2972" w:type="dxa"/>
          </w:tcPr>
          <w:p w14:paraId="4885BC58" w14:textId="77777777" w:rsidR="00404D38" w:rsidRPr="00442940" w:rsidRDefault="00404D38" w:rsidP="002569AD">
            <w:pPr>
              <w:pStyle w:val="TableFigureHeading"/>
              <w:keepNext w:val="0"/>
              <w:ind w:left="175"/>
              <w:rPr>
                <w:b w:val="0"/>
                <w:bCs w:val="0"/>
              </w:rPr>
            </w:pPr>
            <w:r w:rsidRPr="00B236EB">
              <w:rPr>
                <w:b w:val="0"/>
                <w:bCs w:val="0"/>
              </w:rPr>
              <w:t>Median</w:t>
            </w:r>
          </w:p>
        </w:tc>
        <w:tc>
          <w:tcPr>
            <w:tcW w:w="1985" w:type="dxa"/>
          </w:tcPr>
          <w:p w14:paraId="4D976A30" w14:textId="77777777" w:rsidR="00404D38" w:rsidRPr="00442940" w:rsidRDefault="00404D38" w:rsidP="002569AD">
            <w:pPr>
              <w:pStyle w:val="TableFigureHeading"/>
              <w:keepNext w:val="0"/>
              <w:jc w:val="center"/>
              <w:rPr>
                <w:b w:val="0"/>
                <w:bCs w:val="0"/>
              </w:rPr>
            </w:pPr>
            <w:r w:rsidRPr="00B236EB">
              <w:rPr>
                <w:b w:val="0"/>
                <w:bCs w:val="0"/>
              </w:rPr>
              <w:t>-61.00</w:t>
            </w:r>
          </w:p>
        </w:tc>
        <w:tc>
          <w:tcPr>
            <w:tcW w:w="1842" w:type="dxa"/>
          </w:tcPr>
          <w:p w14:paraId="44D194B2" w14:textId="77777777" w:rsidR="00404D38" w:rsidRPr="00442940" w:rsidRDefault="00404D38" w:rsidP="002569AD">
            <w:pPr>
              <w:pStyle w:val="TableFigureHeading"/>
              <w:keepNext w:val="0"/>
              <w:jc w:val="center"/>
              <w:rPr>
                <w:b w:val="0"/>
                <w:bCs w:val="0"/>
              </w:rPr>
            </w:pPr>
            <w:r w:rsidRPr="00B236EB">
              <w:rPr>
                <w:b w:val="0"/>
                <w:bCs w:val="0"/>
              </w:rPr>
              <w:t>-121.00</w:t>
            </w:r>
          </w:p>
        </w:tc>
        <w:tc>
          <w:tcPr>
            <w:tcW w:w="2218" w:type="dxa"/>
          </w:tcPr>
          <w:p w14:paraId="374241AA" w14:textId="77777777" w:rsidR="00404D38" w:rsidRPr="00442940" w:rsidRDefault="00404D38" w:rsidP="002569AD">
            <w:pPr>
              <w:pStyle w:val="TableFigureHeading"/>
              <w:keepNext w:val="0"/>
              <w:jc w:val="center"/>
              <w:rPr>
                <w:b w:val="0"/>
                <w:bCs w:val="0"/>
              </w:rPr>
            </w:pPr>
            <w:r w:rsidRPr="00B236EB">
              <w:rPr>
                <w:b w:val="0"/>
                <w:bCs w:val="0"/>
              </w:rPr>
              <w:t>-46.00</w:t>
            </w:r>
          </w:p>
        </w:tc>
      </w:tr>
      <w:tr w:rsidR="00404D38" w:rsidRPr="00442940" w14:paraId="3EA53925" w14:textId="77777777" w:rsidTr="00AC13C1">
        <w:tc>
          <w:tcPr>
            <w:tcW w:w="2972" w:type="dxa"/>
          </w:tcPr>
          <w:p w14:paraId="2E3D0478" w14:textId="77777777" w:rsidR="00404D38" w:rsidRPr="00B236EB" w:rsidRDefault="00404D38" w:rsidP="002569AD">
            <w:pPr>
              <w:pStyle w:val="TableFigureHeading"/>
              <w:keepNext w:val="0"/>
              <w:rPr>
                <w:b w:val="0"/>
                <w:bCs w:val="0"/>
              </w:rPr>
            </w:pPr>
            <w:r>
              <w:rPr>
                <w:b w:val="0"/>
                <w:bCs w:val="0"/>
              </w:rPr>
              <w:t xml:space="preserve">% </w:t>
            </w:r>
            <w:r w:rsidRPr="00B236EB">
              <w:rPr>
                <w:b w:val="0"/>
                <w:bCs w:val="0"/>
              </w:rPr>
              <w:t>Change from baseline</w:t>
            </w:r>
            <w:r>
              <w:rPr>
                <w:b w:val="0"/>
                <w:bCs w:val="0"/>
              </w:rPr>
              <w:t xml:space="preserve"> </w:t>
            </w:r>
            <w:r w:rsidRPr="00B236EB">
              <w:rPr>
                <w:b w:val="0"/>
                <w:bCs w:val="0"/>
                <w:vertAlign w:val="superscript"/>
              </w:rPr>
              <w:t>d</w:t>
            </w:r>
            <w:r w:rsidRPr="00B236EB">
              <w:rPr>
                <w:b w:val="0"/>
                <w:bCs w:val="0"/>
              </w:rPr>
              <w:t>, n</w:t>
            </w:r>
          </w:p>
        </w:tc>
        <w:tc>
          <w:tcPr>
            <w:tcW w:w="1985" w:type="dxa"/>
          </w:tcPr>
          <w:p w14:paraId="75E13A25" w14:textId="77777777" w:rsidR="00404D38" w:rsidRPr="00442940" w:rsidRDefault="00404D38" w:rsidP="002569AD">
            <w:pPr>
              <w:pStyle w:val="TableFigureHeading"/>
              <w:keepNext w:val="0"/>
              <w:jc w:val="center"/>
              <w:rPr>
                <w:b w:val="0"/>
                <w:bCs w:val="0"/>
              </w:rPr>
            </w:pPr>
            <w:r>
              <w:rPr>
                <w:b w:val="0"/>
                <w:bCs w:val="0"/>
              </w:rPr>
              <w:t>15</w:t>
            </w:r>
          </w:p>
        </w:tc>
        <w:tc>
          <w:tcPr>
            <w:tcW w:w="1842" w:type="dxa"/>
          </w:tcPr>
          <w:p w14:paraId="5C809361" w14:textId="77777777" w:rsidR="00404D38" w:rsidRPr="00442940" w:rsidRDefault="00404D38" w:rsidP="002569AD">
            <w:pPr>
              <w:pStyle w:val="TableFigureHeading"/>
              <w:keepNext w:val="0"/>
              <w:jc w:val="center"/>
              <w:rPr>
                <w:b w:val="0"/>
                <w:bCs w:val="0"/>
              </w:rPr>
            </w:pPr>
            <w:r>
              <w:rPr>
                <w:b w:val="0"/>
                <w:bCs w:val="0"/>
              </w:rPr>
              <w:t>28</w:t>
            </w:r>
          </w:p>
        </w:tc>
        <w:tc>
          <w:tcPr>
            <w:tcW w:w="2218" w:type="dxa"/>
          </w:tcPr>
          <w:p w14:paraId="4BA2C67B" w14:textId="77777777" w:rsidR="00404D38" w:rsidRPr="00442940" w:rsidRDefault="00404D38" w:rsidP="002569AD">
            <w:pPr>
              <w:pStyle w:val="TableFigureHeading"/>
              <w:keepNext w:val="0"/>
              <w:jc w:val="center"/>
              <w:rPr>
                <w:b w:val="0"/>
                <w:bCs w:val="0"/>
              </w:rPr>
            </w:pPr>
            <w:r>
              <w:rPr>
                <w:b w:val="0"/>
                <w:bCs w:val="0"/>
              </w:rPr>
              <w:t>43</w:t>
            </w:r>
          </w:p>
        </w:tc>
      </w:tr>
      <w:tr w:rsidR="00404D38" w:rsidRPr="00442940" w14:paraId="2B68FCC9" w14:textId="77777777" w:rsidTr="00AC13C1">
        <w:tc>
          <w:tcPr>
            <w:tcW w:w="2972" w:type="dxa"/>
          </w:tcPr>
          <w:p w14:paraId="638E1FD3" w14:textId="7293E6DE" w:rsidR="00404D38" w:rsidRPr="00CB3FB5" w:rsidRDefault="00404D38" w:rsidP="009546A6">
            <w:pPr>
              <w:pStyle w:val="TableFigureHeading"/>
              <w:keepNext w:val="0"/>
              <w:ind w:left="175"/>
              <w:rPr>
                <w:b w:val="0"/>
                <w:bCs w:val="0"/>
                <w:vertAlign w:val="superscript"/>
              </w:rPr>
            </w:pPr>
            <w:r w:rsidRPr="00B236EB">
              <w:rPr>
                <w:b w:val="0"/>
                <w:bCs w:val="0"/>
              </w:rPr>
              <w:t>Mean (SD)</w:t>
            </w:r>
            <w:r w:rsidR="00CB3FB5">
              <w:rPr>
                <w:b w:val="0"/>
                <w:bCs w:val="0"/>
              </w:rPr>
              <w:t xml:space="preserve"> </w:t>
            </w:r>
            <w:r w:rsidR="00CB3FB5">
              <w:rPr>
                <w:b w:val="0"/>
                <w:bCs w:val="0"/>
                <w:vertAlign w:val="superscript"/>
              </w:rPr>
              <w:t>g</w:t>
            </w:r>
          </w:p>
        </w:tc>
        <w:tc>
          <w:tcPr>
            <w:tcW w:w="1985" w:type="dxa"/>
          </w:tcPr>
          <w:p w14:paraId="5E67C442" w14:textId="1A88E0F1" w:rsidR="00404D38" w:rsidRPr="00CB3FB5" w:rsidRDefault="00404D38" w:rsidP="009546A6">
            <w:pPr>
              <w:pStyle w:val="TableFigureHeading"/>
              <w:keepNext w:val="0"/>
              <w:jc w:val="center"/>
              <w:rPr>
                <w:b w:val="0"/>
                <w:bCs w:val="0"/>
                <w:vertAlign w:val="superscript"/>
              </w:rPr>
            </w:pPr>
            <w:r w:rsidRPr="00B236EB">
              <w:rPr>
                <w:b w:val="0"/>
                <w:bCs w:val="0"/>
              </w:rPr>
              <w:t>-16.62 (69.127)</w:t>
            </w:r>
            <w:r w:rsidR="00CB3FB5">
              <w:rPr>
                <w:b w:val="0"/>
                <w:bCs w:val="0"/>
              </w:rPr>
              <w:t xml:space="preserve"> </w:t>
            </w:r>
            <w:r w:rsidR="00CB3FB5">
              <w:rPr>
                <w:b w:val="0"/>
                <w:bCs w:val="0"/>
                <w:vertAlign w:val="superscript"/>
              </w:rPr>
              <w:t>g</w:t>
            </w:r>
          </w:p>
        </w:tc>
        <w:tc>
          <w:tcPr>
            <w:tcW w:w="1842" w:type="dxa"/>
          </w:tcPr>
          <w:p w14:paraId="4DE0F350" w14:textId="77777777" w:rsidR="00404D38" w:rsidRPr="00442940" w:rsidRDefault="00404D38" w:rsidP="009546A6">
            <w:pPr>
              <w:pStyle w:val="TableFigureHeading"/>
              <w:keepNext w:val="0"/>
              <w:jc w:val="center"/>
              <w:rPr>
                <w:b w:val="0"/>
                <w:bCs w:val="0"/>
              </w:rPr>
            </w:pPr>
            <w:r w:rsidRPr="00B10D40">
              <w:rPr>
                <w:b w:val="0"/>
                <w:bCs w:val="0"/>
              </w:rPr>
              <w:t>-50.29 (50.342)</w:t>
            </w:r>
          </w:p>
        </w:tc>
        <w:tc>
          <w:tcPr>
            <w:tcW w:w="2218" w:type="dxa"/>
          </w:tcPr>
          <w:p w14:paraId="49E32E03" w14:textId="77777777" w:rsidR="00404D38" w:rsidRPr="00442940" w:rsidRDefault="00404D38" w:rsidP="009546A6">
            <w:pPr>
              <w:pStyle w:val="TableFigureHeading"/>
              <w:keepNext w:val="0"/>
              <w:jc w:val="center"/>
              <w:rPr>
                <w:b w:val="0"/>
                <w:bCs w:val="0"/>
              </w:rPr>
            </w:pPr>
            <w:r w:rsidRPr="00B10D40">
              <w:rPr>
                <w:b w:val="0"/>
                <w:bCs w:val="0"/>
              </w:rPr>
              <w:t>-20.07 (105.278)</w:t>
            </w:r>
          </w:p>
        </w:tc>
      </w:tr>
      <w:tr w:rsidR="00404D38" w:rsidRPr="00442940" w14:paraId="55064EC6" w14:textId="77777777" w:rsidTr="00AC13C1">
        <w:tc>
          <w:tcPr>
            <w:tcW w:w="2972" w:type="dxa"/>
          </w:tcPr>
          <w:p w14:paraId="75B680BC" w14:textId="77777777" w:rsidR="00404D38" w:rsidRPr="00B236EB" w:rsidRDefault="00404D38" w:rsidP="009546A6">
            <w:pPr>
              <w:pStyle w:val="TableFigureHeading"/>
              <w:keepNext w:val="0"/>
              <w:ind w:left="175"/>
              <w:rPr>
                <w:b w:val="0"/>
                <w:bCs w:val="0"/>
              </w:rPr>
            </w:pPr>
            <w:r w:rsidRPr="00B236EB">
              <w:rPr>
                <w:b w:val="0"/>
                <w:bCs w:val="0"/>
              </w:rPr>
              <w:t>Median</w:t>
            </w:r>
          </w:p>
        </w:tc>
        <w:tc>
          <w:tcPr>
            <w:tcW w:w="1985" w:type="dxa"/>
          </w:tcPr>
          <w:p w14:paraId="7575A4B4" w14:textId="77777777" w:rsidR="00404D38" w:rsidRPr="00442940" w:rsidRDefault="00404D38" w:rsidP="009546A6">
            <w:pPr>
              <w:pStyle w:val="TableFigureHeading"/>
              <w:keepNext w:val="0"/>
              <w:jc w:val="center"/>
              <w:rPr>
                <w:b w:val="0"/>
                <w:bCs w:val="0"/>
              </w:rPr>
            </w:pPr>
            <w:r w:rsidRPr="00B236EB">
              <w:rPr>
                <w:b w:val="0"/>
                <w:bCs w:val="0"/>
              </w:rPr>
              <w:t>-18.04</w:t>
            </w:r>
          </w:p>
        </w:tc>
        <w:tc>
          <w:tcPr>
            <w:tcW w:w="1842" w:type="dxa"/>
          </w:tcPr>
          <w:p w14:paraId="3D3C89B2" w14:textId="77777777" w:rsidR="00404D38" w:rsidRPr="00442940" w:rsidRDefault="00404D38" w:rsidP="009546A6">
            <w:pPr>
              <w:pStyle w:val="TableFigureHeading"/>
              <w:keepNext w:val="0"/>
              <w:jc w:val="center"/>
              <w:rPr>
                <w:b w:val="0"/>
                <w:bCs w:val="0"/>
              </w:rPr>
            </w:pPr>
            <w:r w:rsidRPr="00B10D40">
              <w:rPr>
                <w:b w:val="0"/>
                <w:bCs w:val="0"/>
              </w:rPr>
              <w:t>-58.47</w:t>
            </w:r>
          </w:p>
        </w:tc>
        <w:tc>
          <w:tcPr>
            <w:tcW w:w="2218" w:type="dxa"/>
          </w:tcPr>
          <w:p w14:paraId="567B58B0" w14:textId="77777777" w:rsidR="00404D38" w:rsidRPr="00442940" w:rsidRDefault="00404D38" w:rsidP="009546A6">
            <w:pPr>
              <w:pStyle w:val="TableFigureHeading"/>
              <w:keepNext w:val="0"/>
              <w:jc w:val="center"/>
              <w:rPr>
                <w:b w:val="0"/>
                <w:bCs w:val="0"/>
              </w:rPr>
            </w:pPr>
            <w:r w:rsidRPr="00B10D40">
              <w:rPr>
                <w:b w:val="0"/>
                <w:bCs w:val="0"/>
              </w:rPr>
              <w:t>-24.83</w:t>
            </w:r>
          </w:p>
        </w:tc>
      </w:tr>
      <w:tr w:rsidR="004D28AD" w:rsidRPr="00442940" w14:paraId="780114F8" w14:textId="77777777" w:rsidTr="00622289">
        <w:tc>
          <w:tcPr>
            <w:tcW w:w="2972" w:type="dxa"/>
            <w:tcBorders>
              <w:right w:val="single" w:sz="4" w:space="0" w:color="FFFFFF" w:themeColor="background1"/>
            </w:tcBorders>
          </w:tcPr>
          <w:p w14:paraId="66207420" w14:textId="77777777" w:rsidR="004D28AD" w:rsidRPr="00CB3FB5" w:rsidRDefault="004D28AD" w:rsidP="009546A6">
            <w:pPr>
              <w:pStyle w:val="TableFigureHeading"/>
              <w:keepNext w:val="0"/>
              <w:rPr>
                <w:vertAlign w:val="superscript"/>
              </w:rPr>
            </w:pPr>
            <w:r w:rsidRPr="00C841F4">
              <w:t xml:space="preserve">Proportion of Positive Pruritus Assessments </w:t>
            </w:r>
            <w:r>
              <w:rPr>
                <w:vertAlign w:val="superscript"/>
              </w:rPr>
              <w:t>h</w:t>
            </w:r>
          </w:p>
        </w:tc>
        <w:tc>
          <w:tcPr>
            <w:tcW w:w="1985" w:type="dxa"/>
            <w:tcBorders>
              <w:left w:val="single" w:sz="4" w:space="0" w:color="FFFFFF" w:themeColor="background1"/>
              <w:right w:val="single" w:sz="4" w:space="0" w:color="FFFFFF" w:themeColor="background1"/>
            </w:tcBorders>
          </w:tcPr>
          <w:p w14:paraId="0613EA96" w14:textId="77777777" w:rsidR="004D28AD" w:rsidRPr="00CB3FB5" w:rsidRDefault="004D28AD" w:rsidP="009546A6">
            <w:pPr>
              <w:pStyle w:val="TableFigureHeading"/>
              <w:keepNext w:val="0"/>
              <w:rPr>
                <w:vertAlign w:val="superscript"/>
              </w:rPr>
            </w:pPr>
          </w:p>
        </w:tc>
        <w:tc>
          <w:tcPr>
            <w:tcW w:w="1842" w:type="dxa"/>
            <w:tcBorders>
              <w:left w:val="single" w:sz="4" w:space="0" w:color="FFFFFF" w:themeColor="background1"/>
              <w:right w:val="single" w:sz="4" w:space="0" w:color="FFFFFF" w:themeColor="background1"/>
            </w:tcBorders>
          </w:tcPr>
          <w:p w14:paraId="451B32BE" w14:textId="77777777" w:rsidR="004D28AD" w:rsidRPr="00CB3FB5" w:rsidRDefault="004D28AD" w:rsidP="009546A6">
            <w:pPr>
              <w:pStyle w:val="TableFigureHeading"/>
              <w:keepNext w:val="0"/>
              <w:rPr>
                <w:vertAlign w:val="superscript"/>
              </w:rPr>
            </w:pPr>
          </w:p>
        </w:tc>
        <w:tc>
          <w:tcPr>
            <w:tcW w:w="2218" w:type="dxa"/>
            <w:tcBorders>
              <w:left w:val="single" w:sz="4" w:space="0" w:color="FFFFFF" w:themeColor="background1"/>
            </w:tcBorders>
          </w:tcPr>
          <w:p w14:paraId="02A11075" w14:textId="3A623F3A" w:rsidR="004D28AD" w:rsidRPr="00CB3FB5" w:rsidRDefault="004D28AD" w:rsidP="009546A6">
            <w:pPr>
              <w:pStyle w:val="TableFigureHeading"/>
              <w:keepNext w:val="0"/>
              <w:rPr>
                <w:vertAlign w:val="superscript"/>
              </w:rPr>
            </w:pPr>
          </w:p>
        </w:tc>
      </w:tr>
      <w:tr w:rsidR="00622289" w:rsidRPr="00442940" w14:paraId="027A3B9B" w14:textId="77777777" w:rsidTr="00622289">
        <w:tc>
          <w:tcPr>
            <w:tcW w:w="2972" w:type="dxa"/>
            <w:tcBorders>
              <w:right w:val="single" w:sz="4" w:space="0" w:color="DBE5F1" w:themeColor="accent1" w:themeTint="33"/>
            </w:tcBorders>
            <w:shd w:val="clear" w:color="auto" w:fill="DBE5F1" w:themeFill="accent1" w:themeFillTint="33"/>
          </w:tcPr>
          <w:p w14:paraId="22C42D20" w14:textId="77777777" w:rsidR="00622289" w:rsidRPr="00B10D40" w:rsidRDefault="00622289" w:rsidP="00EA10E6">
            <w:pPr>
              <w:pStyle w:val="TableFigureHeading"/>
              <w:keepNext w:val="0"/>
              <w:rPr>
                <w:b w:val="0"/>
                <w:bCs w:val="0"/>
              </w:rPr>
            </w:pPr>
            <w:r>
              <w:t>Week 22-24</w:t>
            </w:r>
          </w:p>
        </w:tc>
        <w:tc>
          <w:tcPr>
            <w:tcW w:w="1985" w:type="dxa"/>
            <w:tcBorders>
              <w:left w:val="single" w:sz="4" w:space="0" w:color="DBE5F1" w:themeColor="accent1" w:themeTint="33"/>
              <w:right w:val="single" w:sz="4" w:space="0" w:color="DBE5F1" w:themeColor="accent1" w:themeTint="33"/>
            </w:tcBorders>
            <w:shd w:val="clear" w:color="auto" w:fill="DBE5F1" w:themeFill="accent1" w:themeFillTint="33"/>
          </w:tcPr>
          <w:p w14:paraId="5B03E716" w14:textId="77777777" w:rsidR="00622289" w:rsidRPr="00B10D40" w:rsidRDefault="00622289" w:rsidP="00EA10E6">
            <w:pPr>
              <w:pStyle w:val="TableFigureHeading"/>
              <w:keepNext w:val="0"/>
              <w:rPr>
                <w:b w:val="0"/>
                <w:bCs w:val="0"/>
              </w:rPr>
            </w:pPr>
          </w:p>
        </w:tc>
        <w:tc>
          <w:tcPr>
            <w:tcW w:w="1842" w:type="dxa"/>
            <w:tcBorders>
              <w:left w:val="single" w:sz="4" w:space="0" w:color="DBE5F1" w:themeColor="accent1" w:themeTint="33"/>
              <w:right w:val="single" w:sz="4" w:space="0" w:color="DBE5F1" w:themeColor="accent1" w:themeTint="33"/>
            </w:tcBorders>
            <w:shd w:val="clear" w:color="auto" w:fill="DBE5F1" w:themeFill="accent1" w:themeFillTint="33"/>
          </w:tcPr>
          <w:p w14:paraId="3FC51541" w14:textId="77777777" w:rsidR="00622289" w:rsidRPr="00B10D40" w:rsidRDefault="00622289" w:rsidP="00EA10E6">
            <w:pPr>
              <w:pStyle w:val="TableFigureHeading"/>
              <w:keepNext w:val="0"/>
              <w:rPr>
                <w:b w:val="0"/>
                <w:bCs w:val="0"/>
              </w:rPr>
            </w:pPr>
          </w:p>
        </w:tc>
        <w:tc>
          <w:tcPr>
            <w:tcW w:w="2218" w:type="dxa"/>
            <w:tcBorders>
              <w:left w:val="single" w:sz="4" w:space="0" w:color="DBE5F1" w:themeColor="accent1" w:themeTint="33"/>
            </w:tcBorders>
            <w:shd w:val="clear" w:color="auto" w:fill="DBE5F1" w:themeFill="accent1" w:themeFillTint="33"/>
          </w:tcPr>
          <w:p w14:paraId="51FD6E38" w14:textId="7E15BB6C" w:rsidR="00622289" w:rsidRPr="00B10D40" w:rsidRDefault="00622289" w:rsidP="00EA10E6">
            <w:pPr>
              <w:pStyle w:val="TableFigureHeading"/>
              <w:keepNext w:val="0"/>
              <w:rPr>
                <w:b w:val="0"/>
                <w:bCs w:val="0"/>
              </w:rPr>
            </w:pPr>
          </w:p>
        </w:tc>
      </w:tr>
      <w:tr w:rsidR="00404D38" w:rsidRPr="00442940" w14:paraId="0BC5646F" w14:textId="77777777" w:rsidTr="00AC13C1">
        <w:tc>
          <w:tcPr>
            <w:tcW w:w="2972" w:type="dxa"/>
            <w:shd w:val="clear" w:color="auto" w:fill="DBE5F1" w:themeFill="accent1" w:themeFillTint="33"/>
          </w:tcPr>
          <w:p w14:paraId="264D53F2" w14:textId="77777777" w:rsidR="00404D38" w:rsidRPr="00B236EB" w:rsidRDefault="00404D38" w:rsidP="009546A6">
            <w:pPr>
              <w:pStyle w:val="TableFigureHeading"/>
              <w:keepNext w:val="0"/>
              <w:ind w:left="175"/>
              <w:rPr>
                <w:b w:val="0"/>
                <w:bCs w:val="0"/>
              </w:rPr>
            </w:pPr>
            <w:r>
              <w:rPr>
                <w:b w:val="0"/>
                <w:bCs w:val="0"/>
              </w:rPr>
              <w:t>n patients with data (n/N)</w:t>
            </w:r>
          </w:p>
        </w:tc>
        <w:tc>
          <w:tcPr>
            <w:tcW w:w="1985" w:type="dxa"/>
            <w:shd w:val="clear" w:color="auto" w:fill="DBE5F1" w:themeFill="accent1" w:themeFillTint="33"/>
          </w:tcPr>
          <w:p w14:paraId="7F9A2BF3" w14:textId="77777777" w:rsidR="00404D38" w:rsidRPr="009972B7" w:rsidRDefault="00404D38" w:rsidP="009546A6">
            <w:pPr>
              <w:pStyle w:val="TableFigureHeading"/>
              <w:keepNext w:val="0"/>
              <w:jc w:val="center"/>
              <w:rPr>
                <w:b w:val="0"/>
                <w:bCs w:val="0"/>
              </w:rPr>
            </w:pPr>
            <w:r w:rsidRPr="009972B7">
              <w:rPr>
                <w:b w:val="0"/>
                <w:bCs w:val="0"/>
              </w:rPr>
              <w:t>11/19</w:t>
            </w:r>
          </w:p>
        </w:tc>
        <w:tc>
          <w:tcPr>
            <w:tcW w:w="1842" w:type="dxa"/>
            <w:shd w:val="clear" w:color="auto" w:fill="DBE5F1" w:themeFill="accent1" w:themeFillTint="33"/>
          </w:tcPr>
          <w:p w14:paraId="58951398" w14:textId="77777777" w:rsidR="00404D38" w:rsidRPr="009972B7" w:rsidRDefault="00404D38" w:rsidP="009546A6">
            <w:pPr>
              <w:pStyle w:val="TableFigureHeading"/>
              <w:keepNext w:val="0"/>
              <w:jc w:val="center"/>
              <w:rPr>
                <w:b w:val="0"/>
                <w:bCs w:val="0"/>
              </w:rPr>
            </w:pPr>
            <w:r w:rsidRPr="009972B7">
              <w:rPr>
                <w:b w:val="0"/>
                <w:bCs w:val="0"/>
              </w:rPr>
              <w:t>26/34</w:t>
            </w:r>
          </w:p>
        </w:tc>
        <w:tc>
          <w:tcPr>
            <w:tcW w:w="2218" w:type="dxa"/>
            <w:shd w:val="clear" w:color="auto" w:fill="DBE5F1" w:themeFill="accent1" w:themeFillTint="33"/>
          </w:tcPr>
          <w:p w14:paraId="6A1D940B" w14:textId="77777777" w:rsidR="00404D38" w:rsidRPr="009972B7" w:rsidRDefault="00404D38" w:rsidP="009546A6">
            <w:pPr>
              <w:pStyle w:val="TableFigureHeading"/>
              <w:keepNext w:val="0"/>
              <w:jc w:val="center"/>
              <w:rPr>
                <w:b w:val="0"/>
                <w:bCs w:val="0"/>
              </w:rPr>
            </w:pPr>
            <w:r w:rsidRPr="009972B7">
              <w:rPr>
                <w:b w:val="0"/>
                <w:bCs w:val="0"/>
              </w:rPr>
              <w:t>5/16</w:t>
            </w:r>
          </w:p>
        </w:tc>
      </w:tr>
      <w:tr w:rsidR="00404D38" w:rsidRPr="00442940" w14:paraId="18049A6D" w14:textId="77777777" w:rsidTr="00AC13C1">
        <w:tc>
          <w:tcPr>
            <w:tcW w:w="2972" w:type="dxa"/>
            <w:shd w:val="clear" w:color="auto" w:fill="DBE5F1" w:themeFill="accent1" w:themeFillTint="33"/>
          </w:tcPr>
          <w:p w14:paraId="2EAAA229" w14:textId="77777777" w:rsidR="00404D38" w:rsidRPr="00B236EB" w:rsidRDefault="00404D38" w:rsidP="009546A6">
            <w:pPr>
              <w:pStyle w:val="TableFigureHeading"/>
              <w:keepNext w:val="0"/>
              <w:ind w:left="175"/>
              <w:rPr>
                <w:b w:val="0"/>
                <w:bCs w:val="0"/>
              </w:rPr>
            </w:pPr>
            <w:r>
              <w:rPr>
                <w:b w:val="0"/>
                <w:bCs w:val="0"/>
              </w:rPr>
              <w:t xml:space="preserve">% </w:t>
            </w:r>
            <w:r w:rsidRPr="00B236EB">
              <w:rPr>
                <w:b w:val="0"/>
                <w:bCs w:val="0"/>
              </w:rPr>
              <w:t>Mean (S</w:t>
            </w:r>
            <w:r>
              <w:rPr>
                <w:b w:val="0"/>
                <w:bCs w:val="0"/>
              </w:rPr>
              <w:t>E</w:t>
            </w:r>
            <w:r w:rsidRPr="00B236EB">
              <w:rPr>
                <w:b w:val="0"/>
                <w:bCs w:val="0"/>
              </w:rPr>
              <w:t>)</w:t>
            </w:r>
          </w:p>
        </w:tc>
        <w:tc>
          <w:tcPr>
            <w:tcW w:w="1985" w:type="dxa"/>
            <w:shd w:val="clear" w:color="auto" w:fill="DBE5F1" w:themeFill="accent1" w:themeFillTint="33"/>
          </w:tcPr>
          <w:p w14:paraId="631BBC55" w14:textId="77777777" w:rsidR="00404D38" w:rsidRPr="009972B7" w:rsidRDefault="00404D38" w:rsidP="009546A6">
            <w:pPr>
              <w:pStyle w:val="TableFigureHeading"/>
              <w:keepNext w:val="0"/>
              <w:jc w:val="center"/>
              <w:rPr>
                <w:b w:val="0"/>
                <w:bCs w:val="0"/>
              </w:rPr>
            </w:pPr>
            <w:r w:rsidRPr="009972B7">
              <w:rPr>
                <w:b w:val="0"/>
                <w:bCs w:val="0"/>
              </w:rPr>
              <w:t>56.26 (10.869)</w:t>
            </w:r>
          </w:p>
        </w:tc>
        <w:tc>
          <w:tcPr>
            <w:tcW w:w="1842" w:type="dxa"/>
            <w:shd w:val="clear" w:color="auto" w:fill="DBE5F1" w:themeFill="accent1" w:themeFillTint="33"/>
          </w:tcPr>
          <w:p w14:paraId="3A1506FC" w14:textId="77777777" w:rsidR="00404D38" w:rsidRPr="009972B7" w:rsidRDefault="00404D38" w:rsidP="009546A6">
            <w:pPr>
              <w:pStyle w:val="TableFigureHeading"/>
              <w:keepNext w:val="0"/>
              <w:jc w:val="center"/>
              <w:rPr>
                <w:b w:val="0"/>
                <w:bCs w:val="0"/>
              </w:rPr>
            </w:pPr>
            <w:r w:rsidRPr="009972B7">
              <w:rPr>
                <w:b w:val="0"/>
                <w:bCs w:val="0"/>
              </w:rPr>
              <w:t>32.62 (6.510)</w:t>
            </w:r>
          </w:p>
        </w:tc>
        <w:tc>
          <w:tcPr>
            <w:tcW w:w="2218" w:type="dxa"/>
            <w:shd w:val="clear" w:color="auto" w:fill="DBE5F1" w:themeFill="accent1" w:themeFillTint="33"/>
          </w:tcPr>
          <w:p w14:paraId="53B9BFEC" w14:textId="77777777" w:rsidR="00404D38" w:rsidRPr="009972B7" w:rsidRDefault="00404D38" w:rsidP="009546A6">
            <w:pPr>
              <w:pStyle w:val="TableFigureHeading"/>
              <w:keepNext w:val="0"/>
              <w:jc w:val="center"/>
              <w:rPr>
                <w:b w:val="0"/>
                <w:bCs w:val="0"/>
              </w:rPr>
            </w:pPr>
            <w:r w:rsidRPr="009972B7">
              <w:rPr>
                <w:b w:val="0"/>
                <w:bCs w:val="0"/>
              </w:rPr>
              <w:t>61.63 (19.866)</w:t>
            </w:r>
          </w:p>
        </w:tc>
      </w:tr>
      <w:tr w:rsidR="00622289" w:rsidRPr="00442940" w14:paraId="4D463D06" w14:textId="77777777" w:rsidTr="00622289">
        <w:tc>
          <w:tcPr>
            <w:tcW w:w="2972" w:type="dxa"/>
            <w:tcBorders>
              <w:right w:val="single" w:sz="4" w:space="0" w:color="FFFFFF" w:themeColor="background1"/>
            </w:tcBorders>
          </w:tcPr>
          <w:p w14:paraId="1241BC68" w14:textId="77777777" w:rsidR="00622289" w:rsidRPr="00B10D40" w:rsidRDefault="00622289" w:rsidP="00EA10E6">
            <w:pPr>
              <w:pStyle w:val="TableFigureHeading"/>
              <w:keepNext w:val="0"/>
              <w:rPr>
                <w:b w:val="0"/>
                <w:bCs w:val="0"/>
              </w:rPr>
            </w:pPr>
            <w:r>
              <w:t>Week 0-72</w:t>
            </w:r>
          </w:p>
        </w:tc>
        <w:tc>
          <w:tcPr>
            <w:tcW w:w="1985" w:type="dxa"/>
            <w:tcBorders>
              <w:left w:val="single" w:sz="4" w:space="0" w:color="FFFFFF" w:themeColor="background1"/>
              <w:right w:val="single" w:sz="4" w:space="0" w:color="FFFFFF" w:themeColor="background1"/>
            </w:tcBorders>
          </w:tcPr>
          <w:p w14:paraId="7EE58E96" w14:textId="77777777" w:rsidR="00622289" w:rsidRPr="00B10D40" w:rsidRDefault="00622289" w:rsidP="00EA10E6">
            <w:pPr>
              <w:pStyle w:val="TableFigureHeading"/>
              <w:keepNext w:val="0"/>
              <w:rPr>
                <w:b w:val="0"/>
                <w:bCs w:val="0"/>
              </w:rPr>
            </w:pPr>
          </w:p>
        </w:tc>
        <w:tc>
          <w:tcPr>
            <w:tcW w:w="1842" w:type="dxa"/>
            <w:tcBorders>
              <w:left w:val="single" w:sz="4" w:space="0" w:color="FFFFFF" w:themeColor="background1"/>
            </w:tcBorders>
          </w:tcPr>
          <w:p w14:paraId="479C0229" w14:textId="77777777" w:rsidR="00622289" w:rsidRPr="00B10D40" w:rsidRDefault="00622289" w:rsidP="00EA10E6">
            <w:pPr>
              <w:pStyle w:val="TableFigureHeading"/>
              <w:keepNext w:val="0"/>
              <w:rPr>
                <w:b w:val="0"/>
                <w:bCs w:val="0"/>
              </w:rPr>
            </w:pPr>
          </w:p>
        </w:tc>
        <w:tc>
          <w:tcPr>
            <w:tcW w:w="2218" w:type="dxa"/>
          </w:tcPr>
          <w:p w14:paraId="6CE5F71E" w14:textId="4D09F67B" w:rsidR="00622289" w:rsidRPr="00B10D40" w:rsidRDefault="00622289" w:rsidP="00EA10E6">
            <w:pPr>
              <w:pStyle w:val="TableFigureHeading"/>
              <w:keepNext w:val="0"/>
              <w:rPr>
                <w:b w:val="0"/>
                <w:bCs w:val="0"/>
              </w:rPr>
            </w:pPr>
          </w:p>
        </w:tc>
      </w:tr>
      <w:tr w:rsidR="00404D38" w:rsidRPr="00442940" w14:paraId="268CCE2B" w14:textId="77777777" w:rsidTr="00AC13C1">
        <w:tc>
          <w:tcPr>
            <w:tcW w:w="2972" w:type="dxa"/>
          </w:tcPr>
          <w:p w14:paraId="1A9FE43A" w14:textId="77777777" w:rsidR="00404D38" w:rsidRPr="00B236EB" w:rsidRDefault="00404D38" w:rsidP="009546A6">
            <w:pPr>
              <w:pStyle w:val="TableFigureHeading"/>
              <w:keepNext w:val="0"/>
              <w:ind w:left="175"/>
              <w:rPr>
                <w:b w:val="0"/>
                <w:bCs w:val="0"/>
              </w:rPr>
            </w:pPr>
            <w:r>
              <w:rPr>
                <w:b w:val="0"/>
                <w:bCs w:val="0"/>
              </w:rPr>
              <w:t>n patients with data n/N (%)</w:t>
            </w:r>
          </w:p>
        </w:tc>
        <w:tc>
          <w:tcPr>
            <w:tcW w:w="1985" w:type="dxa"/>
          </w:tcPr>
          <w:p w14:paraId="03033EC5" w14:textId="77777777" w:rsidR="00404D38" w:rsidRPr="00916E8F" w:rsidRDefault="00404D38" w:rsidP="009546A6">
            <w:pPr>
              <w:pStyle w:val="TableFigureHeading"/>
              <w:keepNext w:val="0"/>
              <w:jc w:val="center"/>
              <w:rPr>
                <w:b w:val="0"/>
                <w:bCs w:val="0"/>
              </w:rPr>
            </w:pPr>
            <w:r w:rsidRPr="00916E8F">
              <w:rPr>
                <w:b w:val="0"/>
                <w:bCs w:val="0"/>
              </w:rPr>
              <w:t>12/19 (63.2)</w:t>
            </w:r>
          </w:p>
        </w:tc>
        <w:tc>
          <w:tcPr>
            <w:tcW w:w="1842" w:type="dxa"/>
          </w:tcPr>
          <w:p w14:paraId="2E8BB9CC" w14:textId="77777777" w:rsidR="00404D38" w:rsidRPr="00916E8F" w:rsidRDefault="00404D38" w:rsidP="009546A6">
            <w:pPr>
              <w:pStyle w:val="TableFigureHeading"/>
              <w:keepNext w:val="0"/>
              <w:jc w:val="center"/>
              <w:rPr>
                <w:b w:val="0"/>
                <w:bCs w:val="0"/>
              </w:rPr>
            </w:pPr>
            <w:r w:rsidRPr="00916E8F">
              <w:rPr>
                <w:b w:val="0"/>
                <w:bCs w:val="0"/>
              </w:rPr>
              <w:t>26/37 (70.3)</w:t>
            </w:r>
          </w:p>
        </w:tc>
        <w:tc>
          <w:tcPr>
            <w:tcW w:w="2218" w:type="dxa"/>
          </w:tcPr>
          <w:p w14:paraId="4163A3B9" w14:textId="77777777" w:rsidR="00404D38" w:rsidRPr="00916E8F" w:rsidRDefault="00404D38" w:rsidP="009546A6">
            <w:pPr>
              <w:pStyle w:val="TableFigureHeading"/>
              <w:keepNext w:val="0"/>
              <w:jc w:val="center"/>
              <w:rPr>
                <w:b w:val="0"/>
                <w:bCs w:val="0"/>
              </w:rPr>
            </w:pPr>
            <w:r w:rsidRPr="00916E8F">
              <w:rPr>
                <w:b w:val="0"/>
                <w:bCs w:val="0"/>
              </w:rPr>
              <w:t>31/60 (51.7)</w:t>
            </w:r>
          </w:p>
        </w:tc>
      </w:tr>
      <w:tr w:rsidR="00404D38" w:rsidRPr="00442940" w14:paraId="63A6AA43" w14:textId="77777777" w:rsidTr="00AC13C1">
        <w:tc>
          <w:tcPr>
            <w:tcW w:w="2972" w:type="dxa"/>
          </w:tcPr>
          <w:p w14:paraId="02CE18EC" w14:textId="5115296D" w:rsidR="00404D38" w:rsidRPr="00CB3FB5" w:rsidRDefault="00404D38" w:rsidP="009546A6">
            <w:pPr>
              <w:pStyle w:val="TableFigureHeading"/>
              <w:keepNext w:val="0"/>
              <w:ind w:left="175"/>
              <w:rPr>
                <w:b w:val="0"/>
                <w:bCs w:val="0"/>
                <w:vertAlign w:val="superscript"/>
              </w:rPr>
            </w:pPr>
            <w:r w:rsidRPr="00B236EB">
              <w:rPr>
                <w:b w:val="0"/>
                <w:bCs w:val="0"/>
              </w:rPr>
              <w:t>Mean (SD)</w:t>
            </w:r>
            <w:r w:rsidR="00CB3FB5">
              <w:rPr>
                <w:b w:val="0"/>
                <w:bCs w:val="0"/>
              </w:rPr>
              <w:t xml:space="preserve"> </w:t>
            </w:r>
          </w:p>
        </w:tc>
        <w:tc>
          <w:tcPr>
            <w:tcW w:w="1985" w:type="dxa"/>
          </w:tcPr>
          <w:p w14:paraId="379ECC48" w14:textId="77777777" w:rsidR="00404D38" w:rsidRPr="00B10D40" w:rsidRDefault="00404D38" w:rsidP="009546A6">
            <w:pPr>
              <w:pStyle w:val="TableFigureHeading"/>
              <w:keepNext w:val="0"/>
              <w:jc w:val="center"/>
              <w:rPr>
                <w:b w:val="0"/>
                <w:bCs w:val="0"/>
              </w:rPr>
            </w:pPr>
            <w:r>
              <w:rPr>
                <w:b w:val="0"/>
                <w:bCs w:val="0"/>
              </w:rPr>
              <w:t>55.20 (38.733)</w:t>
            </w:r>
          </w:p>
        </w:tc>
        <w:tc>
          <w:tcPr>
            <w:tcW w:w="1842" w:type="dxa"/>
          </w:tcPr>
          <w:p w14:paraId="620FC8FD" w14:textId="77777777" w:rsidR="00404D38" w:rsidRPr="00B10D40" w:rsidRDefault="00404D38" w:rsidP="009546A6">
            <w:pPr>
              <w:pStyle w:val="TableFigureHeading"/>
              <w:keepNext w:val="0"/>
              <w:jc w:val="center"/>
              <w:rPr>
                <w:b w:val="0"/>
                <w:bCs w:val="0"/>
              </w:rPr>
            </w:pPr>
            <w:r>
              <w:rPr>
                <w:b w:val="0"/>
                <w:bCs w:val="0"/>
              </w:rPr>
              <w:t>38.58 (34.877)</w:t>
            </w:r>
          </w:p>
        </w:tc>
        <w:tc>
          <w:tcPr>
            <w:tcW w:w="2218" w:type="dxa"/>
          </w:tcPr>
          <w:p w14:paraId="129E72CC" w14:textId="77777777" w:rsidR="00404D38" w:rsidRPr="00B10D40" w:rsidRDefault="00404D38" w:rsidP="009546A6">
            <w:pPr>
              <w:pStyle w:val="TableFigureHeading"/>
              <w:keepNext w:val="0"/>
              <w:jc w:val="center"/>
              <w:rPr>
                <w:b w:val="0"/>
                <w:bCs w:val="0"/>
              </w:rPr>
            </w:pPr>
            <w:r>
              <w:rPr>
                <w:b w:val="0"/>
                <w:bCs w:val="0"/>
              </w:rPr>
              <w:t>77.28 (28.084)</w:t>
            </w:r>
          </w:p>
        </w:tc>
      </w:tr>
      <w:tr w:rsidR="00404D38" w:rsidRPr="00442940" w14:paraId="6138FC62" w14:textId="77777777" w:rsidTr="00AC13C1">
        <w:tc>
          <w:tcPr>
            <w:tcW w:w="2972" w:type="dxa"/>
          </w:tcPr>
          <w:p w14:paraId="0BDEC85A" w14:textId="77777777" w:rsidR="00404D38" w:rsidRPr="00B236EB" w:rsidRDefault="00404D38" w:rsidP="009546A6">
            <w:pPr>
              <w:pStyle w:val="TableFigureHeading"/>
              <w:keepNext w:val="0"/>
              <w:ind w:left="175"/>
              <w:rPr>
                <w:b w:val="0"/>
                <w:bCs w:val="0"/>
              </w:rPr>
            </w:pPr>
            <w:r w:rsidRPr="00B236EB">
              <w:rPr>
                <w:b w:val="0"/>
                <w:bCs w:val="0"/>
              </w:rPr>
              <w:t>Median</w:t>
            </w:r>
          </w:p>
        </w:tc>
        <w:tc>
          <w:tcPr>
            <w:tcW w:w="1985" w:type="dxa"/>
          </w:tcPr>
          <w:p w14:paraId="7CB8C968" w14:textId="77777777" w:rsidR="00404D38" w:rsidRPr="00B10D40" w:rsidRDefault="00404D38" w:rsidP="009546A6">
            <w:pPr>
              <w:pStyle w:val="TableFigureHeading"/>
              <w:keepNext w:val="0"/>
              <w:jc w:val="center"/>
              <w:rPr>
                <w:b w:val="0"/>
                <w:bCs w:val="0"/>
              </w:rPr>
            </w:pPr>
            <w:r>
              <w:rPr>
                <w:b w:val="0"/>
                <w:bCs w:val="0"/>
              </w:rPr>
              <w:t>62.84</w:t>
            </w:r>
          </w:p>
        </w:tc>
        <w:tc>
          <w:tcPr>
            <w:tcW w:w="1842" w:type="dxa"/>
          </w:tcPr>
          <w:p w14:paraId="58139B22" w14:textId="77777777" w:rsidR="00404D38" w:rsidRPr="00B10D40" w:rsidRDefault="00404D38" w:rsidP="009546A6">
            <w:pPr>
              <w:pStyle w:val="TableFigureHeading"/>
              <w:keepNext w:val="0"/>
              <w:jc w:val="center"/>
              <w:rPr>
                <w:b w:val="0"/>
                <w:bCs w:val="0"/>
              </w:rPr>
            </w:pPr>
            <w:r>
              <w:rPr>
                <w:b w:val="0"/>
                <w:bCs w:val="0"/>
              </w:rPr>
              <w:t>36.88</w:t>
            </w:r>
          </w:p>
        </w:tc>
        <w:tc>
          <w:tcPr>
            <w:tcW w:w="2218" w:type="dxa"/>
          </w:tcPr>
          <w:p w14:paraId="0333470A" w14:textId="77777777" w:rsidR="00404D38" w:rsidRPr="00B10D40" w:rsidRDefault="00404D38" w:rsidP="009546A6">
            <w:pPr>
              <w:pStyle w:val="TableFigureHeading"/>
              <w:keepNext w:val="0"/>
              <w:jc w:val="center"/>
              <w:rPr>
                <w:b w:val="0"/>
                <w:bCs w:val="0"/>
              </w:rPr>
            </w:pPr>
            <w:r>
              <w:rPr>
                <w:b w:val="0"/>
                <w:bCs w:val="0"/>
              </w:rPr>
              <w:t>88.35</w:t>
            </w:r>
          </w:p>
        </w:tc>
      </w:tr>
    </w:tbl>
    <w:p w14:paraId="316B9BB6" w14:textId="77777777" w:rsidR="00404D38" w:rsidRPr="00C841F4" w:rsidRDefault="00404D38" w:rsidP="00C3075D">
      <w:pPr>
        <w:pStyle w:val="Tabletext"/>
        <w:rPr>
          <w:rStyle w:val="CommentReference"/>
          <w:b w:val="0"/>
          <w:sz w:val="18"/>
          <w:szCs w:val="18"/>
        </w:rPr>
      </w:pPr>
      <w:r w:rsidRPr="00C841F4">
        <w:rPr>
          <w:rStyle w:val="CommentReference"/>
          <w:b w:val="0"/>
          <w:sz w:val="18"/>
          <w:szCs w:val="18"/>
        </w:rPr>
        <w:t>Source: Table 2-1</w:t>
      </w:r>
      <w:r>
        <w:rPr>
          <w:rStyle w:val="CommentReference"/>
          <w:b w:val="0"/>
          <w:sz w:val="18"/>
          <w:szCs w:val="18"/>
        </w:rPr>
        <w:t xml:space="preserve"> and 2-2</w:t>
      </w:r>
      <w:r w:rsidRPr="00C841F4">
        <w:rPr>
          <w:rStyle w:val="CommentReference"/>
          <w:b w:val="0"/>
          <w:sz w:val="18"/>
          <w:szCs w:val="18"/>
        </w:rPr>
        <w:t xml:space="preserve"> p39</w:t>
      </w:r>
      <w:r>
        <w:rPr>
          <w:rStyle w:val="CommentReference"/>
          <w:b w:val="0"/>
          <w:sz w:val="18"/>
          <w:szCs w:val="18"/>
        </w:rPr>
        <w:t>, p49</w:t>
      </w:r>
      <w:r w:rsidRPr="00C841F4">
        <w:rPr>
          <w:rStyle w:val="CommentReference"/>
          <w:b w:val="0"/>
          <w:sz w:val="18"/>
          <w:szCs w:val="18"/>
        </w:rPr>
        <w:t xml:space="preserve"> of the </w:t>
      </w:r>
      <w:r>
        <w:rPr>
          <w:rStyle w:val="CommentReference"/>
          <w:b w:val="0"/>
          <w:sz w:val="18"/>
          <w:szCs w:val="18"/>
        </w:rPr>
        <w:t>re</w:t>
      </w:r>
      <w:r w:rsidRPr="00C841F4">
        <w:rPr>
          <w:rStyle w:val="CommentReference"/>
          <w:b w:val="0"/>
          <w:sz w:val="18"/>
          <w:szCs w:val="18"/>
        </w:rPr>
        <w:t xml:space="preserve">submission, </w:t>
      </w:r>
      <w:r w:rsidRPr="00E93A07">
        <w:rPr>
          <w:rStyle w:val="CommentReference"/>
          <w:b w:val="0"/>
          <w:sz w:val="18"/>
          <w:szCs w:val="18"/>
        </w:rPr>
        <w:t xml:space="preserve">Table 2-18, p83 of the July 2024 submission </w:t>
      </w:r>
    </w:p>
    <w:p w14:paraId="08415CC1" w14:textId="77777777" w:rsidR="00404D38" w:rsidRPr="00C841F4" w:rsidRDefault="00404D38" w:rsidP="00C3075D">
      <w:pPr>
        <w:pStyle w:val="Tabletext"/>
        <w:rPr>
          <w:rStyle w:val="CommentReference"/>
          <w:b w:val="0"/>
          <w:sz w:val="18"/>
          <w:szCs w:val="18"/>
        </w:rPr>
      </w:pPr>
      <w:r w:rsidRPr="00C841F4">
        <w:rPr>
          <w:rStyle w:val="CommentReference"/>
          <w:b w:val="0"/>
          <w:sz w:val="18"/>
          <w:szCs w:val="18"/>
        </w:rPr>
        <w:t>Abbreviations: Max: maximum; min: minimum; SD: standard deviation; SE = standard error</w:t>
      </w:r>
    </w:p>
    <w:p w14:paraId="4E900BBD" w14:textId="77777777" w:rsidR="00404D38" w:rsidRPr="00C841F4" w:rsidRDefault="00404D38" w:rsidP="00C3075D">
      <w:pPr>
        <w:pStyle w:val="Tabletext"/>
        <w:rPr>
          <w:rStyle w:val="CommentReference"/>
          <w:b w:val="0"/>
          <w:sz w:val="18"/>
          <w:szCs w:val="18"/>
        </w:rPr>
      </w:pPr>
      <w:r w:rsidRPr="00C841F4">
        <w:rPr>
          <w:rStyle w:val="CommentReference"/>
          <w:b w:val="0"/>
          <w:sz w:val="18"/>
          <w:szCs w:val="18"/>
          <w:vertAlign w:val="superscript"/>
        </w:rPr>
        <w:t>a</w:t>
      </w:r>
      <w:r w:rsidRPr="00C841F4">
        <w:rPr>
          <w:rStyle w:val="CommentReference"/>
          <w:b w:val="0"/>
          <w:sz w:val="18"/>
          <w:szCs w:val="18"/>
        </w:rPr>
        <w:t xml:space="preserve"> Includes patients who received placebo in PEDFIC 1 and transitioned to odevixibat in PEDFIC 2.</w:t>
      </w:r>
    </w:p>
    <w:p w14:paraId="071F3146" w14:textId="77777777" w:rsidR="00404D38" w:rsidRPr="00C841F4" w:rsidRDefault="00404D38" w:rsidP="00C3075D">
      <w:pPr>
        <w:pStyle w:val="Tabletext"/>
        <w:rPr>
          <w:rStyle w:val="CommentReference"/>
          <w:b w:val="0"/>
          <w:sz w:val="18"/>
          <w:szCs w:val="18"/>
        </w:rPr>
      </w:pPr>
      <w:r w:rsidRPr="00C841F4">
        <w:rPr>
          <w:rStyle w:val="CommentReference"/>
          <w:b w:val="0"/>
          <w:sz w:val="18"/>
          <w:szCs w:val="18"/>
          <w:vertAlign w:val="superscript"/>
        </w:rPr>
        <w:t>b</w:t>
      </w:r>
      <w:r w:rsidRPr="00C841F4">
        <w:rPr>
          <w:rStyle w:val="CommentReference"/>
          <w:b w:val="0"/>
          <w:sz w:val="18"/>
          <w:szCs w:val="18"/>
        </w:rPr>
        <w:t xml:space="preserve"> Includes patients who received odevixibat 40 or 120 µg/kg/day in PEDFIC 1 and transitioned to odevixibat in in PEDFIC 2</w:t>
      </w:r>
    </w:p>
    <w:p w14:paraId="52B1F537" w14:textId="3D631F15" w:rsidR="00404D38" w:rsidRPr="00C841F4" w:rsidRDefault="00404D38" w:rsidP="00C3075D">
      <w:pPr>
        <w:pStyle w:val="Tabletext"/>
        <w:rPr>
          <w:rStyle w:val="CommentReference"/>
          <w:b w:val="0"/>
          <w:sz w:val="18"/>
          <w:szCs w:val="18"/>
        </w:rPr>
      </w:pPr>
      <w:r w:rsidRPr="00C841F4">
        <w:rPr>
          <w:rStyle w:val="CommentReference"/>
          <w:b w:val="0"/>
          <w:sz w:val="18"/>
          <w:szCs w:val="18"/>
          <w:vertAlign w:val="superscript"/>
        </w:rPr>
        <w:t>c</w:t>
      </w:r>
      <w:r w:rsidRPr="00C841F4">
        <w:rPr>
          <w:rStyle w:val="CommentReference"/>
          <w:b w:val="0"/>
          <w:sz w:val="18"/>
          <w:szCs w:val="18"/>
        </w:rPr>
        <w:t xml:space="preserve"> Includes </w:t>
      </w:r>
      <w:r w:rsidR="00704D74">
        <w:rPr>
          <w:rStyle w:val="CommentReference"/>
          <w:b w:val="0"/>
          <w:sz w:val="18"/>
          <w:szCs w:val="18"/>
        </w:rPr>
        <w:t xml:space="preserve">new </w:t>
      </w:r>
      <w:r w:rsidRPr="00C841F4">
        <w:rPr>
          <w:rStyle w:val="CommentReference"/>
          <w:b w:val="0"/>
          <w:sz w:val="18"/>
          <w:szCs w:val="18"/>
        </w:rPr>
        <w:t>patients who</w:t>
      </w:r>
      <w:r w:rsidR="00704D74">
        <w:rPr>
          <w:rStyle w:val="CommentReference"/>
          <w:b w:val="0"/>
          <w:sz w:val="18"/>
          <w:szCs w:val="18"/>
        </w:rPr>
        <w:t xml:space="preserve"> were not eligible for PEDFIC 1, that</w:t>
      </w:r>
      <w:r w:rsidRPr="00C841F4">
        <w:rPr>
          <w:rStyle w:val="CommentReference"/>
          <w:b w:val="0"/>
          <w:sz w:val="18"/>
          <w:szCs w:val="18"/>
        </w:rPr>
        <w:t xml:space="preserve"> received odevixibat in Cohort 2 in PEDFIC 2</w:t>
      </w:r>
    </w:p>
    <w:p w14:paraId="10190DF5" w14:textId="77777777" w:rsidR="00404D38" w:rsidRPr="00C841F4" w:rsidRDefault="00404D38" w:rsidP="00C3075D">
      <w:pPr>
        <w:pStyle w:val="Tabletext"/>
        <w:rPr>
          <w:rStyle w:val="CommentReference"/>
          <w:b w:val="0"/>
          <w:sz w:val="18"/>
          <w:szCs w:val="18"/>
        </w:rPr>
      </w:pPr>
      <w:r w:rsidRPr="00C841F4">
        <w:rPr>
          <w:rStyle w:val="CommentReference"/>
          <w:b w:val="0"/>
          <w:sz w:val="18"/>
          <w:szCs w:val="18"/>
          <w:vertAlign w:val="superscript"/>
        </w:rPr>
        <w:t>d</w:t>
      </w:r>
      <w:r w:rsidRPr="00C841F4">
        <w:rPr>
          <w:rStyle w:val="CommentReference"/>
          <w:b w:val="0"/>
          <w:sz w:val="18"/>
          <w:szCs w:val="18"/>
        </w:rPr>
        <w:t xml:space="preserve"> For the Cohort 1 placebo/odevixibat and Cohort 2 groups, baseline is calculated as the average of last 2 values before the first dose of study drug in PEDFIC 2 (Baseline 2); Baseline 2 is used for the change from baseline analysis. For the Cohort 1 odevixibat/odevixibat group, baseline is calculated as the average of last 2 values before the first dose of study drug in PEDFIC 1 (Baseline 1); Baseline 1 is used for the change from baseline analysis.</w:t>
      </w:r>
    </w:p>
    <w:p w14:paraId="2C3934B7" w14:textId="77777777" w:rsidR="00404D38" w:rsidRPr="00C841F4" w:rsidRDefault="00404D38" w:rsidP="00C3075D">
      <w:pPr>
        <w:pStyle w:val="Tabletext"/>
        <w:rPr>
          <w:rStyle w:val="CommentReference"/>
          <w:b w:val="0"/>
          <w:sz w:val="18"/>
          <w:szCs w:val="18"/>
        </w:rPr>
      </w:pPr>
      <w:r w:rsidRPr="00C841F4">
        <w:rPr>
          <w:rStyle w:val="CommentReference"/>
          <w:b w:val="0"/>
          <w:sz w:val="18"/>
          <w:szCs w:val="18"/>
          <w:vertAlign w:val="superscript"/>
        </w:rPr>
        <w:t>e</w:t>
      </w:r>
      <w:r w:rsidRPr="00C841F4">
        <w:rPr>
          <w:rStyle w:val="CommentReference"/>
          <w:b w:val="0"/>
          <w:sz w:val="18"/>
          <w:szCs w:val="18"/>
        </w:rPr>
        <w:t xml:space="preserve"> The mean (SE) baseline sBA level reported in the PEDFIC 2 24-week analysis for placebo patients enrolled from PEDFIC 1 was 270.79 (29.034), which differed to the PEDFIC 2 72-week analysis. It was unclear why there would be any differences as it should be the same 19 patients at both time points. </w:t>
      </w:r>
    </w:p>
    <w:p w14:paraId="29A8199D" w14:textId="41A5876C" w:rsidR="00404D38" w:rsidRPr="00E93A07" w:rsidRDefault="00404D38" w:rsidP="00C3075D">
      <w:pPr>
        <w:pStyle w:val="Tabletext"/>
        <w:rPr>
          <w:rStyle w:val="CommentReference"/>
          <w:b w:val="0"/>
          <w:sz w:val="18"/>
          <w:szCs w:val="18"/>
        </w:rPr>
      </w:pPr>
      <w:r w:rsidRPr="00E93A07">
        <w:rPr>
          <w:rStyle w:val="CommentReference"/>
          <w:b w:val="0"/>
          <w:sz w:val="18"/>
          <w:szCs w:val="18"/>
          <w:vertAlign w:val="superscript"/>
        </w:rPr>
        <w:t>f</w:t>
      </w:r>
      <w:r w:rsidRPr="00C841F4">
        <w:rPr>
          <w:rStyle w:val="CommentReference"/>
          <w:b w:val="0"/>
          <w:sz w:val="18"/>
          <w:szCs w:val="18"/>
        </w:rPr>
        <w:t xml:space="preserve"> A different baseline (mean 127.38) to the data presented in the resubmission was used in the July 2024 submission. This appeared to have been the sBA level at the end of PEDFIC 1, prior to entry into PEDFIC 2, and may not be comparable with the 72-week results which used sBA levels from prior to entry into PEDFIC 1. </w:t>
      </w:r>
      <w:r w:rsidR="00CB3FB5">
        <w:rPr>
          <w:rStyle w:val="CommentReference"/>
          <w:b w:val="0"/>
          <w:sz w:val="18"/>
          <w:szCs w:val="18"/>
        </w:rPr>
        <w:br/>
      </w:r>
      <w:r w:rsidR="00CB3FB5">
        <w:rPr>
          <w:rStyle w:val="CommentReference"/>
          <w:b w:val="0"/>
          <w:sz w:val="18"/>
          <w:szCs w:val="18"/>
          <w:vertAlign w:val="superscript"/>
        </w:rPr>
        <w:t xml:space="preserve">g </w:t>
      </w:r>
      <w:r w:rsidR="00CB3FB5" w:rsidRPr="00CB3FB5">
        <w:rPr>
          <w:rStyle w:val="CommentReference"/>
          <w:b w:val="0"/>
          <w:sz w:val="18"/>
          <w:szCs w:val="18"/>
        </w:rPr>
        <w:t>This is as reported in the CSR but could not be independently verified. For example, in placebo/odevixibat patients in Cohort 1, a mean % change from baseline of -16% was reported even though the mean change from baseline was -104 with a baseline of 280, suggesting a change of around -37% (before adjustments).</w:t>
      </w:r>
      <w:r>
        <w:rPr>
          <w:rStyle w:val="CommentReference"/>
          <w:b w:val="0"/>
          <w:sz w:val="18"/>
          <w:szCs w:val="18"/>
        </w:rPr>
        <w:br/>
      </w:r>
      <w:r w:rsidR="00CB3FB5">
        <w:rPr>
          <w:rStyle w:val="CommentReference"/>
          <w:b w:val="0"/>
          <w:sz w:val="18"/>
          <w:szCs w:val="18"/>
          <w:vertAlign w:val="superscript"/>
        </w:rPr>
        <w:t>h</w:t>
      </w:r>
      <w:r>
        <w:rPr>
          <w:rStyle w:val="CommentReference"/>
          <w:b w:val="0"/>
          <w:sz w:val="18"/>
          <w:szCs w:val="18"/>
          <w:vertAlign w:val="superscript"/>
        </w:rPr>
        <w:t xml:space="preserve"> </w:t>
      </w:r>
      <w:r w:rsidRPr="00E93A07">
        <w:rPr>
          <w:rStyle w:val="CommentReference"/>
          <w:b w:val="0"/>
          <w:sz w:val="18"/>
          <w:szCs w:val="18"/>
        </w:rPr>
        <w:t>A positive pruritus assessment was defined as a scratching score of ≤ 1 or at least a 1-point</w:t>
      </w:r>
      <w:r>
        <w:rPr>
          <w:rStyle w:val="CommentReference"/>
          <w:b w:val="0"/>
          <w:sz w:val="18"/>
          <w:szCs w:val="18"/>
        </w:rPr>
        <w:t xml:space="preserve"> </w:t>
      </w:r>
      <w:r w:rsidRPr="00E93A07">
        <w:rPr>
          <w:rStyle w:val="CommentReference"/>
          <w:b w:val="0"/>
          <w:sz w:val="18"/>
          <w:szCs w:val="18"/>
        </w:rPr>
        <w:t>decrease from baseline on the ObsRO instrument.</w:t>
      </w:r>
    </w:p>
    <w:p w14:paraId="30EB5A4D" w14:textId="77777777" w:rsidR="00404D38" w:rsidRPr="008B3C84" w:rsidRDefault="00404D38" w:rsidP="00C3075D">
      <w:pPr>
        <w:pStyle w:val="Tabletext"/>
        <w:spacing w:after="120"/>
        <w:rPr>
          <w:rStyle w:val="CommentReference"/>
          <w:b w:val="0"/>
          <w:sz w:val="18"/>
          <w:szCs w:val="18"/>
        </w:rPr>
      </w:pPr>
      <w:r w:rsidRPr="00C841F4">
        <w:rPr>
          <w:rStyle w:val="CommentReference"/>
          <w:b w:val="0"/>
          <w:sz w:val="18"/>
          <w:szCs w:val="18"/>
        </w:rPr>
        <w:t>Blue shaded cells indicate values previously considered by the PBAC at the July 2024 meeting</w:t>
      </w:r>
    </w:p>
    <w:p w14:paraId="4FF413A3" w14:textId="6C0DB172" w:rsidR="00404D38" w:rsidRPr="00471170" w:rsidRDefault="00404D38" w:rsidP="00D06F7F">
      <w:pPr>
        <w:pStyle w:val="3-BodyText"/>
        <w:numPr>
          <w:ilvl w:val="1"/>
          <w:numId w:val="1"/>
        </w:numPr>
        <w:spacing w:before="0"/>
        <w:rPr>
          <w:rFonts w:cstheme="minorHAnsi"/>
          <w:color w:val="000000" w:themeColor="text1"/>
          <w:szCs w:val="24"/>
        </w:rPr>
      </w:pPr>
      <w:r w:rsidRPr="00471170">
        <w:rPr>
          <w:rFonts w:cstheme="minorHAnsi"/>
          <w:color w:val="000000" w:themeColor="text1"/>
          <w:szCs w:val="24"/>
        </w:rPr>
        <w:lastRenderedPageBreak/>
        <w:t xml:space="preserve">Patients in PEDFIC 2 with available data were observed at week 70/72 to have a mean reduction </w:t>
      </w:r>
      <w:r w:rsidR="00DA38D4" w:rsidRPr="00471170">
        <w:rPr>
          <w:rFonts w:cstheme="minorHAnsi"/>
          <w:color w:val="000000" w:themeColor="text1"/>
          <w:szCs w:val="24"/>
        </w:rPr>
        <w:t xml:space="preserve">from baseline </w:t>
      </w:r>
      <w:r w:rsidRPr="00471170">
        <w:rPr>
          <w:rFonts w:cstheme="minorHAnsi"/>
          <w:color w:val="000000" w:themeColor="text1"/>
          <w:szCs w:val="24"/>
        </w:rPr>
        <w:t>in sBA levels of -104.00</w:t>
      </w:r>
      <w:r w:rsidR="00653440">
        <w:rPr>
          <w:rFonts w:cstheme="minorHAnsi"/>
          <w:color w:val="000000" w:themeColor="text1"/>
          <w:szCs w:val="24"/>
        </w:rPr>
        <w:t> </w:t>
      </w:r>
      <w:r w:rsidRPr="00471170">
        <w:rPr>
          <w:rFonts w:cstheme="minorHAnsi"/>
          <w:color w:val="000000" w:themeColor="text1"/>
          <w:szCs w:val="24"/>
        </w:rPr>
        <w:t>µmol/L (standard deviation [SD]: 167.32) for the odevixibat naïve patients in Cohort 1; -139.84</w:t>
      </w:r>
      <w:r w:rsidR="00653440">
        <w:rPr>
          <w:rFonts w:cstheme="minorHAnsi"/>
          <w:color w:val="000000" w:themeColor="text1"/>
          <w:szCs w:val="24"/>
        </w:rPr>
        <w:t> </w:t>
      </w:r>
      <w:r w:rsidRPr="00471170">
        <w:rPr>
          <w:rFonts w:cstheme="minorHAnsi"/>
          <w:color w:val="000000" w:themeColor="text1"/>
          <w:szCs w:val="24"/>
        </w:rPr>
        <w:t>µmol/L (SD: 172.10) for the odevixibat experienced patients in Cohort 1; and -57.97</w:t>
      </w:r>
      <w:r w:rsidR="00653440">
        <w:rPr>
          <w:rFonts w:cstheme="minorHAnsi"/>
          <w:color w:val="000000" w:themeColor="text1"/>
          <w:szCs w:val="24"/>
        </w:rPr>
        <w:t> </w:t>
      </w:r>
      <w:r w:rsidRPr="00471170">
        <w:rPr>
          <w:rFonts w:cstheme="minorHAnsi"/>
          <w:color w:val="000000" w:themeColor="text1"/>
          <w:szCs w:val="24"/>
        </w:rPr>
        <w:t>µmol/L (SD: 137.99) for Cohort 2.</w:t>
      </w:r>
    </w:p>
    <w:p w14:paraId="61A241FC" w14:textId="029FB610" w:rsidR="00404D38" w:rsidRPr="00471170" w:rsidRDefault="00404D38" w:rsidP="00E21C33">
      <w:pPr>
        <w:pStyle w:val="3-BodyText"/>
        <w:numPr>
          <w:ilvl w:val="1"/>
          <w:numId w:val="1"/>
        </w:numPr>
        <w:spacing w:before="0"/>
        <w:rPr>
          <w:rFonts w:cstheme="minorHAnsi"/>
          <w:color w:val="000000" w:themeColor="text1"/>
          <w:szCs w:val="24"/>
        </w:rPr>
      </w:pPr>
      <w:r w:rsidRPr="00471170">
        <w:rPr>
          <w:rFonts w:cstheme="minorHAnsi"/>
          <w:color w:val="000000" w:themeColor="text1"/>
          <w:szCs w:val="24"/>
        </w:rPr>
        <w:t xml:space="preserve">Not all patients experienced a reduction in sBA, as the maximum values for change from baseline indicate some patients experienced worsening of sBA at week 70/72 despite odevixibat treatment. </w:t>
      </w:r>
      <w:r w:rsidR="00451022" w:rsidRPr="00471170">
        <w:rPr>
          <w:rFonts w:cstheme="minorHAnsi"/>
          <w:color w:val="000000" w:themeColor="text1"/>
          <w:szCs w:val="24"/>
        </w:rPr>
        <w:t>However,</w:t>
      </w:r>
      <w:r w:rsidRPr="00471170">
        <w:rPr>
          <w:rFonts w:cstheme="minorHAnsi"/>
          <w:color w:val="000000" w:themeColor="text1"/>
          <w:szCs w:val="24"/>
        </w:rPr>
        <w:t xml:space="preserve"> it was unclear how this compares to SoC as there was no comparator arm data in PEDFIC 2. </w:t>
      </w:r>
    </w:p>
    <w:p w14:paraId="28CA3E5C" w14:textId="2BE8BDF2" w:rsidR="00404D38" w:rsidRPr="00471170" w:rsidRDefault="00E21C33" w:rsidP="00E21C33">
      <w:pPr>
        <w:pStyle w:val="3-BodyText"/>
        <w:numPr>
          <w:ilvl w:val="1"/>
          <w:numId w:val="1"/>
        </w:numPr>
        <w:spacing w:before="0"/>
        <w:rPr>
          <w:rFonts w:cstheme="minorHAnsi"/>
          <w:color w:val="000000" w:themeColor="text1"/>
          <w:szCs w:val="24"/>
        </w:rPr>
      </w:pPr>
      <w:r w:rsidRPr="00471170">
        <w:rPr>
          <w:rFonts w:cstheme="minorHAnsi"/>
          <w:color w:val="000000" w:themeColor="text1"/>
          <w:szCs w:val="24"/>
        </w:rPr>
        <w:t>O</w:t>
      </w:r>
      <w:r w:rsidR="00404D38" w:rsidRPr="00471170">
        <w:rPr>
          <w:rFonts w:cstheme="minorHAnsi"/>
          <w:color w:val="000000" w:themeColor="text1"/>
          <w:szCs w:val="24"/>
        </w:rPr>
        <w:t>nly 63.2% (12/19), 70.3% (26/37) and 51.7% (31/60) of patients in Cohort 1 (odevixibat naïve</w:t>
      </w:r>
      <w:r w:rsidR="00160F75" w:rsidRPr="00471170">
        <w:rPr>
          <w:rFonts w:cstheme="minorHAnsi"/>
          <w:color w:val="000000" w:themeColor="text1"/>
          <w:szCs w:val="24"/>
        </w:rPr>
        <w:t xml:space="preserve"> from placebo arm of PEDFIC 1</w:t>
      </w:r>
      <w:r w:rsidR="00404D38" w:rsidRPr="00471170">
        <w:rPr>
          <w:rFonts w:cstheme="minorHAnsi"/>
          <w:color w:val="000000" w:themeColor="text1"/>
          <w:szCs w:val="24"/>
        </w:rPr>
        <w:t>), Cohort 1 (odevixibat experienced</w:t>
      </w:r>
      <w:r w:rsidR="00160F75" w:rsidRPr="00471170">
        <w:rPr>
          <w:rFonts w:cstheme="minorHAnsi"/>
          <w:color w:val="000000" w:themeColor="text1"/>
          <w:szCs w:val="24"/>
        </w:rPr>
        <w:t xml:space="preserve"> from active treatment arm of PEDFIC </w:t>
      </w:r>
      <w:r w:rsidR="007A42A7" w:rsidRPr="00471170">
        <w:rPr>
          <w:rFonts w:cstheme="minorHAnsi"/>
          <w:color w:val="000000" w:themeColor="text1"/>
          <w:szCs w:val="24"/>
        </w:rPr>
        <w:t>1</w:t>
      </w:r>
      <w:r w:rsidR="00404D38" w:rsidRPr="00471170">
        <w:rPr>
          <w:rFonts w:cstheme="minorHAnsi"/>
          <w:color w:val="000000" w:themeColor="text1"/>
          <w:szCs w:val="24"/>
        </w:rPr>
        <w:t xml:space="preserve">) and Cohort 2 </w:t>
      </w:r>
      <w:r w:rsidR="00160F75" w:rsidRPr="00471170">
        <w:rPr>
          <w:rFonts w:cstheme="minorHAnsi"/>
          <w:color w:val="000000" w:themeColor="text1"/>
          <w:szCs w:val="24"/>
        </w:rPr>
        <w:t xml:space="preserve">(PFIC patients ineligible for PEDFIC 1) </w:t>
      </w:r>
      <w:r w:rsidR="00404D38" w:rsidRPr="00471170">
        <w:rPr>
          <w:rFonts w:cstheme="minorHAnsi"/>
          <w:color w:val="000000" w:themeColor="text1"/>
          <w:szCs w:val="24"/>
        </w:rPr>
        <w:t xml:space="preserve">respectively had pruritus data available for the </w:t>
      </w:r>
      <w:r w:rsidR="00451022" w:rsidRPr="00471170">
        <w:rPr>
          <w:rFonts w:cstheme="minorHAnsi"/>
          <w:color w:val="000000" w:themeColor="text1"/>
          <w:szCs w:val="24"/>
        </w:rPr>
        <w:t>72-week</w:t>
      </w:r>
      <w:r w:rsidR="00404D38" w:rsidRPr="00471170">
        <w:rPr>
          <w:rFonts w:cstheme="minorHAnsi"/>
          <w:color w:val="000000" w:themeColor="text1"/>
          <w:szCs w:val="24"/>
        </w:rPr>
        <w:t xml:space="preserve"> analysis</w:t>
      </w:r>
      <w:r w:rsidR="00A755DB" w:rsidRPr="00471170">
        <w:rPr>
          <w:rFonts w:cstheme="minorHAnsi"/>
          <w:color w:val="000000" w:themeColor="text1"/>
          <w:szCs w:val="24"/>
        </w:rPr>
        <w:t xml:space="preserve"> (i.e. </w:t>
      </w:r>
      <w:r w:rsidR="006D4424" w:rsidRPr="00471170">
        <w:rPr>
          <w:rFonts w:cstheme="minorHAnsi"/>
          <w:color w:val="000000" w:themeColor="text1"/>
          <w:szCs w:val="24"/>
        </w:rPr>
        <w:t>59.5% (69/116) of patients in PEDFIC 2)</w:t>
      </w:r>
      <w:r w:rsidR="00404D38" w:rsidRPr="00471170">
        <w:rPr>
          <w:rFonts w:cstheme="minorHAnsi"/>
          <w:color w:val="000000" w:themeColor="text1"/>
          <w:szCs w:val="24"/>
        </w:rPr>
        <w:t>. As such, there was a substantial risk of attrition bias. Carers of patients noticing a reduction in scratching may be more likely to record symptoms than those with persistent symptoms or who had worsening of symptoms.</w:t>
      </w:r>
      <w:r w:rsidR="00404D38" w:rsidRPr="00471170">
        <w:t xml:space="preserve"> </w:t>
      </w:r>
      <w:r w:rsidR="00404D38" w:rsidRPr="00471170">
        <w:rPr>
          <w:rFonts w:cstheme="minorHAnsi"/>
          <w:color w:val="000000" w:themeColor="text1"/>
          <w:szCs w:val="24"/>
        </w:rPr>
        <w:t>Cohort 2, which had the lowest number of patients with available data (n=31) was recorded as having a substantially higher proportion of positive pruritus scores than either group in Cohort 1</w:t>
      </w:r>
      <w:r w:rsidR="00ED39D4" w:rsidRPr="00471170">
        <w:rPr>
          <w:rFonts w:cstheme="minorHAnsi"/>
          <w:color w:val="000000" w:themeColor="text1"/>
          <w:szCs w:val="24"/>
        </w:rPr>
        <w:t>,</w:t>
      </w:r>
      <w:r w:rsidR="00404D38" w:rsidRPr="00471170">
        <w:rPr>
          <w:rFonts w:cstheme="minorHAnsi"/>
          <w:color w:val="000000" w:themeColor="text1"/>
          <w:szCs w:val="24"/>
        </w:rPr>
        <w:t xml:space="preserve"> despite Cohort 2 being observed to have the smaller reduction in mean sBA levels.</w:t>
      </w:r>
    </w:p>
    <w:p w14:paraId="71C712C8" w14:textId="3175A148" w:rsidR="00404D38" w:rsidRPr="00471170" w:rsidRDefault="00404D38" w:rsidP="00E21C33">
      <w:pPr>
        <w:pStyle w:val="3-BodyText"/>
        <w:numPr>
          <w:ilvl w:val="1"/>
          <w:numId w:val="1"/>
        </w:numPr>
        <w:spacing w:before="0"/>
        <w:rPr>
          <w:rFonts w:cstheme="minorHAnsi"/>
          <w:color w:val="000000" w:themeColor="text1"/>
          <w:szCs w:val="24"/>
        </w:rPr>
      </w:pPr>
      <w:r w:rsidRPr="00471170">
        <w:rPr>
          <w:rFonts w:cstheme="minorHAnsi"/>
          <w:color w:val="000000" w:themeColor="text1"/>
          <w:szCs w:val="24"/>
        </w:rPr>
        <w:t>The event free survival (EFS), native liver survival</w:t>
      </w:r>
      <w:r w:rsidR="004971F6" w:rsidRPr="00471170">
        <w:rPr>
          <w:rFonts w:cstheme="minorHAnsi"/>
          <w:color w:val="000000" w:themeColor="text1"/>
          <w:szCs w:val="24"/>
        </w:rPr>
        <w:t xml:space="preserve"> (NLS)</w:t>
      </w:r>
      <w:r w:rsidRPr="00471170">
        <w:rPr>
          <w:rFonts w:cstheme="minorHAnsi"/>
          <w:color w:val="000000" w:themeColor="text1"/>
          <w:szCs w:val="24"/>
        </w:rPr>
        <w:t xml:space="preserve">, </w:t>
      </w:r>
      <w:r w:rsidR="004971F6" w:rsidRPr="00471170">
        <w:rPr>
          <w:rFonts w:cstheme="minorHAnsi"/>
          <w:color w:val="000000" w:themeColor="text1"/>
          <w:szCs w:val="24"/>
        </w:rPr>
        <w:t>SBD</w:t>
      </w:r>
      <w:r w:rsidRPr="00471170">
        <w:rPr>
          <w:rFonts w:cstheme="minorHAnsi"/>
          <w:color w:val="000000" w:themeColor="text1"/>
          <w:szCs w:val="24"/>
        </w:rPr>
        <w:t xml:space="preserve">-free survival (defined as time to first SBD or death), and overall survival (OS) results for OvEC Part A and Part B are presented in </w:t>
      </w:r>
      <w:r w:rsidRPr="00471170">
        <w:rPr>
          <w:rFonts w:cstheme="minorHAnsi"/>
          <w:color w:val="000000" w:themeColor="text1"/>
          <w:szCs w:val="24"/>
        </w:rPr>
        <w:fldChar w:fldCharType="begin" w:fldLock="1"/>
      </w:r>
      <w:r w:rsidRPr="00471170">
        <w:rPr>
          <w:rFonts w:cstheme="minorHAnsi"/>
          <w:color w:val="000000" w:themeColor="text1"/>
          <w:szCs w:val="24"/>
        </w:rPr>
        <w:instrText xml:space="preserve"> REF _Ref184919183 \h </w:instrText>
      </w:r>
      <w:r w:rsidR="00471170" w:rsidRPr="00471170">
        <w:rPr>
          <w:rFonts w:cstheme="minorHAnsi"/>
          <w:color w:val="000000" w:themeColor="text1"/>
          <w:szCs w:val="24"/>
        </w:rPr>
        <w:instrText xml:space="preserve"> \* MERGEFORMAT </w:instrText>
      </w:r>
      <w:r w:rsidRPr="00471170">
        <w:rPr>
          <w:rFonts w:cstheme="minorHAnsi"/>
          <w:color w:val="000000" w:themeColor="text1"/>
          <w:szCs w:val="24"/>
        </w:rPr>
      </w:r>
      <w:r w:rsidRPr="00471170">
        <w:rPr>
          <w:rFonts w:cstheme="minorHAnsi"/>
          <w:color w:val="000000" w:themeColor="text1"/>
          <w:szCs w:val="24"/>
        </w:rPr>
        <w:fldChar w:fldCharType="separate"/>
      </w:r>
      <w:r w:rsidR="00382EF0" w:rsidRPr="00471170">
        <w:t xml:space="preserve">Table </w:t>
      </w:r>
      <w:r w:rsidR="00382EF0" w:rsidRPr="00471170">
        <w:rPr>
          <w:noProof/>
        </w:rPr>
        <w:t>8</w:t>
      </w:r>
      <w:r w:rsidRPr="00471170">
        <w:rPr>
          <w:rFonts w:cstheme="minorHAnsi"/>
          <w:color w:val="000000" w:themeColor="text1"/>
          <w:szCs w:val="24"/>
        </w:rPr>
        <w:fldChar w:fldCharType="end"/>
      </w:r>
      <w:r w:rsidRPr="00471170">
        <w:rPr>
          <w:rFonts w:cstheme="minorHAnsi"/>
          <w:color w:val="000000" w:themeColor="text1"/>
          <w:szCs w:val="24"/>
        </w:rPr>
        <w:t xml:space="preserve">. </w:t>
      </w:r>
    </w:p>
    <w:p w14:paraId="7D2867CE" w14:textId="530BEAB6" w:rsidR="00404D38" w:rsidRDefault="00404D38" w:rsidP="00F11957">
      <w:pPr>
        <w:pStyle w:val="Caption"/>
        <w:rPr>
          <w:rFonts w:cstheme="minorHAnsi"/>
          <w:i/>
          <w:iCs/>
          <w:color w:val="000000" w:themeColor="text1"/>
          <w:szCs w:val="24"/>
        </w:rPr>
      </w:pPr>
      <w:bookmarkStart w:id="53" w:name="_Ref184919183"/>
      <w:r>
        <w:lastRenderedPageBreak/>
        <w:t xml:space="preserve">Table </w:t>
      </w:r>
      <w:r w:rsidR="00382EF0">
        <w:fldChar w:fldCharType="begin" w:fldLock="1"/>
      </w:r>
      <w:r w:rsidR="00382EF0">
        <w:instrText xml:space="preserve"> SEQ Table \* ARABIC </w:instrText>
      </w:r>
      <w:r w:rsidR="00382EF0">
        <w:fldChar w:fldCharType="separate"/>
      </w:r>
      <w:r w:rsidR="00382EF0">
        <w:rPr>
          <w:noProof/>
        </w:rPr>
        <w:t>8</w:t>
      </w:r>
      <w:r w:rsidR="00382EF0">
        <w:rPr>
          <w:noProof/>
        </w:rPr>
        <w:fldChar w:fldCharType="end"/>
      </w:r>
      <w:bookmarkEnd w:id="53"/>
      <w:r>
        <w:t xml:space="preserve">: </w:t>
      </w:r>
      <w:r w:rsidRPr="008B3C84">
        <w:t>Survival outcomes in odevixibat-treated patients and external controls in OvEC – Part A and Part B</w:t>
      </w:r>
    </w:p>
    <w:tbl>
      <w:tblPr>
        <w:tblStyle w:val="TableGrid"/>
        <w:tblW w:w="5000" w:type="pct"/>
        <w:shd w:val="clear" w:color="auto" w:fill="DBE5F1" w:themeFill="accent1" w:themeFillTint="33"/>
        <w:tblLayout w:type="fixed"/>
        <w:tblLook w:val="04A0" w:firstRow="1" w:lastRow="0" w:firstColumn="1" w:lastColumn="0" w:noHBand="0" w:noVBand="1"/>
        <w:tblCaption w:val="Table 8: Survival outcomes in odevixibat-treated patients and external controls in OvEC – Part A and Part B"/>
        <w:tblDescription w:val="Table compares odevisibat-treated patients (n=69) to part A control (n=80) and part B control (n=24) across event-free survival, native liver survival, diversion-free survival and overall survival. Odevixibat treated patients had 6 events (9%) compared to 44 in part A control (55%), p value 0.0016, HR 0.20 95% CI (0.09, 0.45)"/>
      </w:tblPr>
      <w:tblGrid>
        <w:gridCol w:w="2544"/>
        <w:gridCol w:w="1843"/>
        <w:gridCol w:w="2371"/>
        <w:gridCol w:w="2253"/>
      </w:tblGrid>
      <w:tr w:rsidR="00404D38" w:rsidRPr="00D33C2C" w14:paraId="38E06C82" w14:textId="77777777" w:rsidTr="00AC13C1">
        <w:trPr>
          <w:trHeight w:val="113"/>
        </w:trPr>
        <w:tc>
          <w:tcPr>
            <w:tcW w:w="2544" w:type="dxa"/>
            <w:tcBorders>
              <w:left w:val="single" w:sz="6" w:space="0" w:color="auto"/>
              <w:bottom w:val="single" w:sz="4" w:space="0" w:color="auto"/>
            </w:tcBorders>
            <w:shd w:val="clear" w:color="auto" w:fill="DBE5F1" w:themeFill="accent1" w:themeFillTint="33"/>
          </w:tcPr>
          <w:p w14:paraId="1223526F" w14:textId="77777777" w:rsidR="00404D38" w:rsidRPr="00D33C2C" w:rsidRDefault="00404D38" w:rsidP="00F11957">
            <w:pPr>
              <w:pStyle w:val="Tabletext"/>
              <w:keepNext/>
              <w:keepLines/>
              <w:rPr>
                <w:rFonts w:eastAsia="Arial"/>
              </w:rPr>
            </w:pPr>
          </w:p>
        </w:tc>
        <w:tc>
          <w:tcPr>
            <w:tcW w:w="1843" w:type="dxa"/>
            <w:tcBorders>
              <w:bottom w:val="single" w:sz="4" w:space="0" w:color="auto"/>
            </w:tcBorders>
            <w:shd w:val="clear" w:color="auto" w:fill="DBE5F1" w:themeFill="accent1" w:themeFillTint="33"/>
          </w:tcPr>
          <w:p w14:paraId="701E24E4" w14:textId="77777777" w:rsidR="00404D38" w:rsidRPr="00D33C2C" w:rsidRDefault="00404D38" w:rsidP="00F11957">
            <w:pPr>
              <w:pStyle w:val="Tabletext"/>
              <w:keepNext/>
              <w:keepLines/>
              <w:jc w:val="center"/>
              <w:rPr>
                <w:rFonts w:eastAsia="Arial"/>
                <w:b/>
                <w:bCs/>
              </w:rPr>
            </w:pPr>
            <w:r w:rsidRPr="00D33C2C">
              <w:rPr>
                <w:rFonts w:eastAsia="Arial"/>
                <w:b/>
                <w:bCs/>
              </w:rPr>
              <w:t>Odevixibat-</w:t>
            </w:r>
            <w:r>
              <w:rPr>
                <w:rFonts w:eastAsia="Arial"/>
                <w:b/>
                <w:bCs/>
              </w:rPr>
              <w:t>t</w:t>
            </w:r>
            <w:r w:rsidRPr="00D33C2C">
              <w:rPr>
                <w:rFonts w:eastAsia="Arial"/>
                <w:b/>
                <w:bCs/>
              </w:rPr>
              <w:t>reated</w:t>
            </w:r>
          </w:p>
          <w:p w14:paraId="4F7A445A" w14:textId="77777777" w:rsidR="00404D38" w:rsidRPr="00D33C2C" w:rsidRDefault="00404D38" w:rsidP="00F11957">
            <w:pPr>
              <w:pStyle w:val="Tabletext"/>
              <w:keepNext/>
              <w:keepLines/>
              <w:jc w:val="center"/>
              <w:rPr>
                <w:rFonts w:eastAsia="Arial"/>
                <w:b/>
                <w:bCs/>
              </w:rPr>
            </w:pPr>
            <w:r w:rsidRPr="00D33C2C">
              <w:rPr>
                <w:rFonts w:eastAsia="Arial"/>
                <w:b/>
                <w:bCs/>
              </w:rPr>
              <w:t>n = 69</w:t>
            </w:r>
          </w:p>
        </w:tc>
        <w:tc>
          <w:tcPr>
            <w:tcW w:w="2371" w:type="dxa"/>
            <w:tcBorders>
              <w:bottom w:val="single" w:sz="4" w:space="0" w:color="auto"/>
              <w:right w:val="single" w:sz="6" w:space="0" w:color="auto"/>
            </w:tcBorders>
            <w:shd w:val="clear" w:color="auto" w:fill="DBE5F1" w:themeFill="accent1" w:themeFillTint="33"/>
          </w:tcPr>
          <w:p w14:paraId="209CFE8C" w14:textId="77777777" w:rsidR="00404D38" w:rsidRPr="00D33C2C" w:rsidRDefault="00404D38" w:rsidP="00F11957">
            <w:pPr>
              <w:pStyle w:val="Tabletext"/>
              <w:keepNext/>
              <w:keepLines/>
              <w:jc w:val="center"/>
              <w:rPr>
                <w:rFonts w:eastAsia="Arial"/>
                <w:b/>
                <w:bCs/>
              </w:rPr>
            </w:pPr>
            <w:r w:rsidRPr="00D33C2C">
              <w:rPr>
                <w:rFonts w:eastAsia="Arial"/>
                <w:b/>
                <w:bCs/>
              </w:rPr>
              <w:t>Part A control</w:t>
            </w:r>
          </w:p>
          <w:p w14:paraId="41DE1022" w14:textId="77777777" w:rsidR="00404D38" w:rsidRPr="00D33C2C" w:rsidRDefault="00404D38" w:rsidP="00F11957">
            <w:pPr>
              <w:pStyle w:val="Tabletext"/>
              <w:keepNext/>
              <w:keepLines/>
              <w:jc w:val="center"/>
              <w:rPr>
                <w:rFonts w:eastAsia="Arial"/>
                <w:b/>
                <w:bCs/>
              </w:rPr>
            </w:pPr>
            <w:r w:rsidRPr="00D33C2C">
              <w:rPr>
                <w:rFonts w:eastAsia="Arial"/>
                <w:b/>
                <w:bCs/>
              </w:rPr>
              <w:t>n = 80</w:t>
            </w:r>
          </w:p>
        </w:tc>
        <w:tc>
          <w:tcPr>
            <w:tcW w:w="2253" w:type="dxa"/>
            <w:tcBorders>
              <w:bottom w:val="single" w:sz="4" w:space="0" w:color="auto"/>
              <w:right w:val="single" w:sz="6" w:space="0" w:color="auto"/>
            </w:tcBorders>
            <w:shd w:val="clear" w:color="auto" w:fill="DBE5F1" w:themeFill="accent1" w:themeFillTint="33"/>
          </w:tcPr>
          <w:p w14:paraId="7F1DC8EE" w14:textId="77777777" w:rsidR="00404D38" w:rsidRPr="00D33C2C" w:rsidRDefault="00404D38" w:rsidP="00F11957">
            <w:pPr>
              <w:pStyle w:val="Tabletext"/>
              <w:keepNext/>
              <w:keepLines/>
              <w:jc w:val="center"/>
              <w:rPr>
                <w:rFonts w:eastAsia="Arial"/>
                <w:b/>
                <w:bCs/>
              </w:rPr>
            </w:pPr>
            <w:r w:rsidRPr="00D33C2C">
              <w:rPr>
                <w:rFonts w:eastAsia="Arial"/>
                <w:b/>
                <w:bCs/>
              </w:rPr>
              <w:t>Part B control</w:t>
            </w:r>
          </w:p>
          <w:p w14:paraId="34B257D6" w14:textId="77777777" w:rsidR="00404D38" w:rsidRPr="00D33C2C" w:rsidRDefault="00404D38" w:rsidP="00F11957">
            <w:pPr>
              <w:pStyle w:val="Tabletext"/>
              <w:keepNext/>
              <w:keepLines/>
              <w:jc w:val="center"/>
              <w:rPr>
                <w:rFonts w:eastAsia="Arial"/>
                <w:b/>
                <w:bCs/>
              </w:rPr>
            </w:pPr>
            <w:r w:rsidRPr="00D33C2C">
              <w:rPr>
                <w:rFonts w:eastAsia="Arial"/>
                <w:b/>
                <w:bCs/>
              </w:rPr>
              <w:t>n = 24</w:t>
            </w:r>
          </w:p>
        </w:tc>
      </w:tr>
      <w:tr w:rsidR="00404D38" w:rsidRPr="00D33C2C" w14:paraId="4B510581" w14:textId="77777777" w:rsidTr="00AC13C1">
        <w:trPr>
          <w:trHeight w:val="113"/>
        </w:trPr>
        <w:tc>
          <w:tcPr>
            <w:tcW w:w="2544" w:type="dxa"/>
            <w:tcBorders>
              <w:top w:val="single" w:sz="4" w:space="0" w:color="auto"/>
              <w:left w:val="single" w:sz="4" w:space="0" w:color="auto"/>
              <w:bottom w:val="single" w:sz="4" w:space="0" w:color="auto"/>
              <w:right w:val="nil"/>
            </w:tcBorders>
            <w:shd w:val="clear" w:color="auto" w:fill="DBE5F1" w:themeFill="accent1" w:themeFillTint="33"/>
          </w:tcPr>
          <w:p w14:paraId="14AF80CF" w14:textId="77777777" w:rsidR="00404D38" w:rsidRPr="00D33C2C" w:rsidRDefault="00404D38" w:rsidP="00F11957">
            <w:pPr>
              <w:pStyle w:val="Tabletext"/>
              <w:keepNext/>
              <w:keepLines/>
              <w:rPr>
                <w:rFonts w:eastAsia="Arial"/>
                <w:b/>
                <w:bCs/>
              </w:rPr>
            </w:pPr>
            <w:r w:rsidRPr="00D33C2C">
              <w:rPr>
                <w:rFonts w:eastAsia="Arial"/>
                <w:b/>
                <w:bCs/>
              </w:rPr>
              <w:t xml:space="preserve">Event-Free Survival </w:t>
            </w:r>
            <w:r>
              <w:rPr>
                <w:rFonts w:eastAsia="Arial"/>
                <w:b/>
                <w:bCs/>
                <w:vertAlign w:val="superscript"/>
              </w:rPr>
              <w:t>a</w:t>
            </w:r>
          </w:p>
        </w:tc>
        <w:tc>
          <w:tcPr>
            <w:tcW w:w="1843" w:type="dxa"/>
            <w:tcBorders>
              <w:top w:val="single" w:sz="4" w:space="0" w:color="auto"/>
              <w:left w:val="nil"/>
              <w:bottom w:val="single" w:sz="4" w:space="0" w:color="auto"/>
              <w:right w:val="nil"/>
            </w:tcBorders>
            <w:shd w:val="clear" w:color="auto" w:fill="DBE5F1" w:themeFill="accent1" w:themeFillTint="33"/>
          </w:tcPr>
          <w:p w14:paraId="2BED46EA" w14:textId="77777777" w:rsidR="00404D38" w:rsidRPr="00D33C2C" w:rsidRDefault="00404D38" w:rsidP="00F11957">
            <w:pPr>
              <w:pStyle w:val="Tabletext"/>
              <w:keepNext/>
              <w:keepLines/>
              <w:jc w:val="center"/>
              <w:rPr>
                <w:rFonts w:eastAsia="Arial"/>
              </w:rPr>
            </w:pPr>
          </w:p>
        </w:tc>
        <w:tc>
          <w:tcPr>
            <w:tcW w:w="2371" w:type="dxa"/>
            <w:tcBorders>
              <w:top w:val="single" w:sz="4" w:space="0" w:color="auto"/>
              <w:left w:val="nil"/>
              <w:bottom w:val="single" w:sz="4" w:space="0" w:color="auto"/>
              <w:right w:val="nil"/>
            </w:tcBorders>
            <w:shd w:val="clear" w:color="auto" w:fill="DBE5F1" w:themeFill="accent1" w:themeFillTint="33"/>
          </w:tcPr>
          <w:p w14:paraId="48C63DF3" w14:textId="77777777" w:rsidR="00404D38" w:rsidRPr="00D33C2C" w:rsidRDefault="00404D38" w:rsidP="00F11957">
            <w:pPr>
              <w:pStyle w:val="Tabletext"/>
              <w:keepNext/>
              <w:keepLines/>
              <w:jc w:val="center"/>
              <w:rPr>
                <w:rFonts w:eastAsia="Arial"/>
              </w:rPr>
            </w:pPr>
          </w:p>
        </w:tc>
        <w:tc>
          <w:tcPr>
            <w:tcW w:w="2253" w:type="dxa"/>
            <w:tcBorders>
              <w:top w:val="single" w:sz="4" w:space="0" w:color="auto"/>
              <w:left w:val="nil"/>
              <w:bottom w:val="single" w:sz="4" w:space="0" w:color="auto"/>
              <w:right w:val="single" w:sz="4" w:space="0" w:color="auto"/>
            </w:tcBorders>
            <w:shd w:val="clear" w:color="auto" w:fill="DBE5F1" w:themeFill="accent1" w:themeFillTint="33"/>
          </w:tcPr>
          <w:p w14:paraId="78435CEE" w14:textId="77777777" w:rsidR="00404D38" w:rsidRPr="00D33C2C" w:rsidRDefault="00404D38" w:rsidP="00F11957">
            <w:pPr>
              <w:pStyle w:val="Tabletext"/>
              <w:keepNext/>
              <w:keepLines/>
              <w:jc w:val="center"/>
              <w:rPr>
                <w:rFonts w:eastAsia="Arial"/>
              </w:rPr>
            </w:pPr>
          </w:p>
        </w:tc>
      </w:tr>
      <w:tr w:rsidR="00404D38" w:rsidRPr="00D33C2C" w14:paraId="5BF65133" w14:textId="77777777" w:rsidTr="00AC13C1">
        <w:trPr>
          <w:trHeight w:val="113"/>
        </w:trPr>
        <w:tc>
          <w:tcPr>
            <w:tcW w:w="2544" w:type="dxa"/>
            <w:tcBorders>
              <w:top w:val="single" w:sz="4" w:space="0" w:color="auto"/>
              <w:left w:val="single" w:sz="6" w:space="0" w:color="auto"/>
            </w:tcBorders>
            <w:shd w:val="clear" w:color="auto" w:fill="DBE5F1" w:themeFill="accent1" w:themeFillTint="33"/>
          </w:tcPr>
          <w:p w14:paraId="7E4D0731" w14:textId="77777777" w:rsidR="00404D38" w:rsidRPr="00D33C2C" w:rsidRDefault="00404D38" w:rsidP="00F11957">
            <w:pPr>
              <w:pStyle w:val="Tabletext"/>
              <w:keepNext/>
              <w:keepLines/>
              <w:rPr>
                <w:rFonts w:eastAsia="Arial"/>
              </w:rPr>
            </w:pPr>
            <w:r w:rsidRPr="00D33C2C">
              <w:rPr>
                <w:rFonts w:eastAsia="Arial"/>
              </w:rPr>
              <w:t>Events, n (%)</w:t>
            </w:r>
          </w:p>
        </w:tc>
        <w:tc>
          <w:tcPr>
            <w:tcW w:w="1843" w:type="dxa"/>
            <w:tcBorders>
              <w:top w:val="single" w:sz="4" w:space="0" w:color="auto"/>
            </w:tcBorders>
            <w:shd w:val="clear" w:color="auto" w:fill="DBE5F1" w:themeFill="accent1" w:themeFillTint="33"/>
          </w:tcPr>
          <w:p w14:paraId="6C19E121" w14:textId="77777777" w:rsidR="00404D38" w:rsidRPr="00D33C2C" w:rsidRDefault="00404D38" w:rsidP="00F11957">
            <w:pPr>
              <w:pStyle w:val="Tabletext"/>
              <w:keepNext/>
              <w:keepLines/>
              <w:jc w:val="center"/>
              <w:rPr>
                <w:rFonts w:eastAsia="Arial"/>
              </w:rPr>
            </w:pPr>
            <w:r w:rsidRPr="00D33C2C">
              <w:rPr>
                <w:rFonts w:eastAsia="Arial"/>
              </w:rPr>
              <w:t>6 (9%)</w:t>
            </w:r>
          </w:p>
        </w:tc>
        <w:tc>
          <w:tcPr>
            <w:tcW w:w="2371" w:type="dxa"/>
            <w:tcBorders>
              <w:top w:val="single" w:sz="4" w:space="0" w:color="auto"/>
              <w:right w:val="single" w:sz="6" w:space="0" w:color="auto"/>
            </w:tcBorders>
            <w:shd w:val="clear" w:color="auto" w:fill="DBE5F1" w:themeFill="accent1" w:themeFillTint="33"/>
          </w:tcPr>
          <w:p w14:paraId="37DE926B" w14:textId="77777777" w:rsidR="00404D38" w:rsidRPr="00D33C2C" w:rsidRDefault="00404D38" w:rsidP="00F11957">
            <w:pPr>
              <w:pStyle w:val="Tabletext"/>
              <w:keepNext/>
              <w:keepLines/>
              <w:jc w:val="center"/>
              <w:rPr>
                <w:rFonts w:eastAsia="Arial"/>
              </w:rPr>
            </w:pPr>
            <w:r w:rsidRPr="00D33C2C">
              <w:rPr>
                <w:rFonts w:eastAsia="Arial"/>
              </w:rPr>
              <w:t>44 (55%)</w:t>
            </w:r>
          </w:p>
        </w:tc>
        <w:tc>
          <w:tcPr>
            <w:tcW w:w="2253" w:type="dxa"/>
            <w:tcBorders>
              <w:top w:val="single" w:sz="4" w:space="0" w:color="auto"/>
              <w:right w:val="single" w:sz="6" w:space="0" w:color="auto"/>
            </w:tcBorders>
            <w:shd w:val="clear" w:color="auto" w:fill="DBE5F1" w:themeFill="accent1" w:themeFillTint="33"/>
          </w:tcPr>
          <w:p w14:paraId="70A3EE35" w14:textId="77777777" w:rsidR="00404D38" w:rsidRPr="00D33C2C" w:rsidRDefault="00404D38" w:rsidP="00F11957">
            <w:pPr>
              <w:pStyle w:val="Tabletext"/>
              <w:keepNext/>
              <w:keepLines/>
              <w:jc w:val="center"/>
              <w:rPr>
                <w:rFonts w:eastAsia="Arial"/>
              </w:rPr>
            </w:pPr>
            <w:r w:rsidRPr="00D33C2C">
              <w:rPr>
                <w:rFonts w:eastAsia="Arial"/>
              </w:rPr>
              <w:t>-</w:t>
            </w:r>
          </w:p>
        </w:tc>
      </w:tr>
      <w:tr w:rsidR="00404D38" w:rsidRPr="00D33C2C" w14:paraId="099A97CC" w14:textId="77777777" w:rsidTr="00AC13C1">
        <w:trPr>
          <w:trHeight w:val="113"/>
        </w:trPr>
        <w:tc>
          <w:tcPr>
            <w:tcW w:w="2544" w:type="dxa"/>
            <w:tcBorders>
              <w:left w:val="single" w:sz="6" w:space="0" w:color="auto"/>
            </w:tcBorders>
            <w:shd w:val="clear" w:color="auto" w:fill="DBE5F1" w:themeFill="accent1" w:themeFillTint="33"/>
          </w:tcPr>
          <w:p w14:paraId="13960BBD" w14:textId="77777777" w:rsidR="00404D38" w:rsidRPr="00D33C2C" w:rsidRDefault="00404D38" w:rsidP="00F11957">
            <w:pPr>
              <w:pStyle w:val="Tabletext"/>
              <w:keepNext/>
              <w:keepLines/>
              <w:rPr>
                <w:rFonts w:eastAsia="Arial"/>
              </w:rPr>
            </w:pPr>
            <w:r w:rsidRPr="00D33C2C">
              <w:rPr>
                <w:rFonts w:eastAsia="Arial"/>
              </w:rPr>
              <w:t>p value</w:t>
            </w:r>
          </w:p>
        </w:tc>
        <w:tc>
          <w:tcPr>
            <w:tcW w:w="1843" w:type="dxa"/>
            <w:tcBorders>
              <w:right w:val="single" w:sz="6" w:space="0" w:color="auto"/>
            </w:tcBorders>
            <w:shd w:val="clear" w:color="auto" w:fill="DBE5F1" w:themeFill="accent1" w:themeFillTint="33"/>
          </w:tcPr>
          <w:p w14:paraId="7E4D0EF3"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right w:val="single" w:sz="6" w:space="0" w:color="auto"/>
            </w:tcBorders>
            <w:shd w:val="clear" w:color="auto" w:fill="DBE5F1" w:themeFill="accent1" w:themeFillTint="33"/>
          </w:tcPr>
          <w:p w14:paraId="6D437071" w14:textId="77777777" w:rsidR="00404D38" w:rsidRPr="00D33C2C" w:rsidRDefault="00404D38" w:rsidP="00F11957">
            <w:pPr>
              <w:pStyle w:val="Tabletext"/>
              <w:keepNext/>
              <w:keepLines/>
              <w:jc w:val="center"/>
              <w:rPr>
                <w:rFonts w:eastAsia="Arial"/>
                <w:b/>
                <w:bCs/>
              </w:rPr>
            </w:pPr>
            <w:r w:rsidRPr="00D33C2C">
              <w:rPr>
                <w:rFonts w:eastAsia="Arial"/>
                <w:b/>
                <w:bCs/>
              </w:rPr>
              <w:t>0.0016</w:t>
            </w:r>
          </w:p>
        </w:tc>
        <w:tc>
          <w:tcPr>
            <w:tcW w:w="2253" w:type="dxa"/>
            <w:tcBorders>
              <w:right w:val="single" w:sz="6" w:space="0" w:color="auto"/>
            </w:tcBorders>
            <w:shd w:val="clear" w:color="auto" w:fill="DBE5F1" w:themeFill="accent1" w:themeFillTint="33"/>
          </w:tcPr>
          <w:p w14:paraId="4F3D9C1B" w14:textId="77777777" w:rsidR="00404D38" w:rsidRPr="00D33C2C" w:rsidRDefault="00404D38" w:rsidP="00F11957">
            <w:pPr>
              <w:pStyle w:val="Tabletext"/>
              <w:keepNext/>
              <w:keepLines/>
              <w:jc w:val="center"/>
              <w:rPr>
                <w:rFonts w:eastAsia="Arial"/>
              </w:rPr>
            </w:pPr>
            <w:r w:rsidRPr="00D33C2C">
              <w:rPr>
                <w:rFonts w:eastAsia="Arial"/>
              </w:rPr>
              <w:t>-</w:t>
            </w:r>
          </w:p>
        </w:tc>
      </w:tr>
      <w:tr w:rsidR="00404D38" w:rsidRPr="00D33C2C" w14:paraId="1A002204" w14:textId="77777777" w:rsidTr="00AC13C1">
        <w:trPr>
          <w:trHeight w:val="113"/>
        </w:trPr>
        <w:tc>
          <w:tcPr>
            <w:tcW w:w="2544" w:type="dxa"/>
            <w:tcBorders>
              <w:left w:val="single" w:sz="6" w:space="0" w:color="auto"/>
              <w:bottom w:val="single" w:sz="4" w:space="0" w:color="auto"/>
            </w:tcBorders>
            <w:shd w:val="clear" w:color="auto" w:fill="DBE5F1" w:themeFill="accent1" w:themeFillTint="33"/>
          </w:tcPr>
          <w:p w14:paraId="0ABE1460" w14:textId="77777777" w:rsidR="00404D38" w:rsidRPr="00D33C2C" w:rsidRDefault="00404D38" w:rsidP="00F11957">
            <w:pPr>
              <w:pStyle w:val="Tabletext"/>
              <w:keepNext/>
              <w:keepLines/>
              <w:rPr>
                <w:rFonts w:eastAsia="Arial"/>
              </w:rPr>
            </w:pPr>
            <w:r w:rsidRPr="00D33C2C">
              <w:rPr>
                <w:rFonts w:eastAsia="Arial"/>
              </w:rPr>
              <w:t>HR (95% CI)</w:t>
            </w:r>
          </w:p>
        </w:tc>
        <w:tc>
          <w:tcPr>
            <w:tcW w:w="1843" w:type="dxa"/>
            <w:tcBorders>
              <w:bottom w:val="single" w:sz="4" w:space="0" w:color="auto"/>
              <w:right w:val="single" w:sz="6" w:space="0" w:color="auto"/>
            </w:tcBorders>
            <w:shd w:val="clear" w:color="auto" w:fill="DBE5F1" w:themeFill="accent1" w:themeFillTint="33"/>
          </w:tcPr>
          <w:p w14:paraId="3920613F"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bottom w:val="single" w:sz="4" w:space="0" w:color="auto"/>
              <w:right w:val="single" w:sz="6" w:space="0" w:color="auto"/>
            </w:tcBorders>
            <w:shd w:val="clear" w:color="auto" w:fill="DBE5F1" w:themeFill="accent1" w:themeFillTint="33"/>
          </w:tcPr>
          <w:p w14:paraId="2A3F7479" w14:textId="77777777" w:rsidR="00404D38" w:rsidRPr="00D33C2C" w:rsidRDefault="00404D38" w:rsidP="00F11957">
            <w:pPr>
              <w:pStyle w:val="Tabletext"/>
              <w:keepNext/>
              <w:keepLines/>
              <w:jc w:val="center"/>
              <w:rPr>
                <w:rFonts w:eastAsia="Arial"/>
                <w:b/>
                <w:bCs/>
              </w:rPr>
            </w:pPr>
            <w:r w:rsidRPr="00D33C2C">
              <w:rPr>
                <w:rFonts w:eastAsia="Arial"/>
                <w:b/>
                <w:bCs/>
              </w:rPr>
              <w:t>0.20 (0.09, 0.45)</w:t>
            </w:r>
          </w:p>
        </w:tc>
        <w:tc>
          <w:tcPr>
            <w:tcW w:w="2253" w:type="dxa"/>
            <w:tcBorders>
              <w:bottom w:val="single" w:sz="4" w:space="0" w:color="auto"/>
              <w:right w:val="single" w:sz="6" w:space="0" w:color="auto"/>
            </w:tcBorders>
            <w:shd w:val="clear" w:color="auto" w:fill="DBE5F1" w:themeFill="accent1" w:themeFillTint="33"/>
          </w:tcPr>
          <w:p w14:paraId="5F63FD7A" w14:textId="77777777" w:rsidR="00404D38" w:rsidRPr="00D33C2C" w:rsidRDefault="00404D38" w:rsidP="00F11957">
            <w:pPr>
              <w:pStyle w:val="Tabletext"/>
              <w:keepNext/>
              <w:keepLines/>
              <w:jc w:val="center"/>
              <w:rPr>
                <w:rFonts w:eastAsia="Arial"/>
              </w:rPr>
            </w:pPr>
            <w:r w:rsidRPr="00D33C2C">
              <w:rPr>
                <w:rFonts w:eastAsia="Arial"/>
              </w:rPr>
              <w:t>-</w:t>
            </w:r>
          </w:p>
        </w:tc>
      </w:tr>
      <w:tr w:rsidR="00404D38" w:rsidRPr="00D33C2C" w14:paraId="384C1C6D" w14:textId="77777777" w:rsidTr="00AC13C1">
        <w:trPr>
          <w:trHeight w:val="113"/>
        </w:trPr>
        <w:tc>
          <w:tcPr>
            <w:tcW w:w="2544" w:type="dxa"/>
            <w:tcBorders>
              <w:top w:val="single" w:sz="4" w:space="0" w:color="auto"/>
              <w:left w:val="single" w:sz="4" w:space="0" w:color="auto"/>
              <w:bottom w:val="single" w:sz="4" w:space="0" w:color="auto"/>
              <w:right w:val="nil"/>
            </w:tcBorders>
            <w:shd w:val="clear" w:color="auto" w:fill="DBE5F1" w:themeFill="accent1" w:themeFillTint="33"/>
          </w:tcPr>
          <w:p w14:paraId="1225AE20" w14:textId="77777777" w:rsidR="00404D38" w:rsidRPr="00D33C2C" w:rsidRDefault="00404D38" w:rsidP="00F11957">
            <w:pPr>
              <w:pStyle w:val="Tabletext"/>
              <w:keepNext/>
              <w:keepLines/>
              <w:rPr>
                <w:rFonts w:eastAsia="Arial"/>
                <w:b/>
                <w:bCs/>
              </w:rPr>
            </w:pPr>
            <w:r w:rsidRPr="00D33C2C">
              <w:rPr>
                <w:rFonts w:eastAsia="Arial"/>
                <w:b/>
                <w:bCs/>
              </w:rPr>
              <w:t xml:space="preserve">Native Liver Survival </w:t>
            </w:r>
            <w:r>
              <w:rPr>
                <w:rFonts w:eastAsia="Arial"/>
                <w:b/>
                <w:bCs/>
                <w:vertAlign w:val="superscript"/>
              </w:rPr>
              <w:t>b</w:t>
            </w:r>
          </w:p>
        </w:tc>
        <w:tc>
          <w:tcPr>
            <w:tcW w:w="1843" w:type="dxa"/>
            <w:tcBorders>
              <w:top w:val="single" w:sz="4" w:space="0" w:color="auto"/>
              <w:left w:val="nil"/>
              <w:bottom w:val="single" w:sz="4" w:space="0" w:color="auto"/>
              <w:right w:val="nil"/>
            </w:tcBorders>
            <w:shd w:val="clear" w:color="auto" w:fill="DBE5F1" w:themeFill="accent1" w:themeFillTint="33"/>
          </w:tcPr>
          <w:p w14:paraId="4A95BDB8" w14:textId="77777777" w:rsidR="00404D38" w:rsidRPr="00D33C2C" w:rsidRDefault="00404D38" w:rsidP="00F11957">
            <w:pPr>
              <w:pStyle w:val="Tabletext"/>
              <w:keepNext/>
              <w:keepLines/>
              <w:jc w:val="center"/>
              <w:rPr>
                <w:rFonts w:eastAsia="Arial"/>
              </w:rPr>
            </w:pPr>
          </w:p>
        </w:tc>
        <w:tc>
          <w:tcPr>
            <w:tcW w:w="2371" w:type="dxa"/>
            <w:tcBorders>
              <w:top w:val="single" w:sz="4" w:space="0" w:color="auto"/>
              <w:left w:val="nil"/>
              <w:bottom w:val="single" w:sz="4" w:space="0" w:color="auto"/>
              <w:right w:val="nil"/>
            </w:tcBorders>
            <w:shd w:val="clear" w:color="auto" w:fill="DBE5F1" w:themeFill="accent1" w:themeFillTint="33"/>
          </w:tcPr>
          <w:p w14:paraId="6D9C093E" w14:textId="77777777" w:rsidR="00404D38" w:rsidRPr="00D33C2C" w:rsidRDefault="00404D38" w:rsidP="00F11957">
            <w:pPr>
              <w:pStyle w:val="Tabletext"/>
              <w:keepNext/>
              <w:keepLines/>
              <w:jc w:val="center"/>
              <w:rPr>
                <w:rFonts w:eastAsia="Arial"/>
              </w:rPr>
            </w:pPr>
          </w:p>
        </w:tc>
        <w:tc>
          <w:tcPr>
            <w:tcW w:w="2253" w:type="dxa"/>
            <w:tcBorders>
              <w:top w:val="single" w:sz="4" w:space="0" w:color="auto"/>
              <w:left w:val="nil"/>
              <w:bottom w:val="single" w:sz="4" w:space="0" w:color="auto"/>
              <w:right w:val="single" w:sz="4" w:space="0" w:color="auto"/>
            </w:tcBorders>
            <w:shd w:val="clear" w:color="auto" w:fill="DBE5F1" w:themeFill="accent1" w:themeFillTint="33"/>
          </w:tcPr>
          <w:p w14:paraId="161B81B8" w14:textId="77777777" w:rsidR="00404D38" w:rsidRPr="00D33C2C" w:rsidRDefault="00404D38" w:rsidP="00F11957">
            <w:pPr>
              <w:pStyle w:val="Tabletext"/>
              <w:keepNext/>
              <w:keepLines/>
              <w:jc w:val="center"/>
              <w:rPr>
                <w:rFonts w:eastAsia="Arial"/>
              </w:rPr>
            </w:pPr>
          </w:p>
        </w:tc>
      </w:tr>
      <w:tr w:rsidR="00404D38" w:rsidRPr="00D33C2C" w14:paraId="34C4D487" w14:textId="77777777" w:rsidTr="00AC13C1">
        <w:trPr>
          <w:trHeight w:val="113"/>
        </w:trPr>
        <w:tc>
          <w:tcPr>
            <w:tcW w:w="2544" w:type="dxa"/>
            <w:tcBorders>
              <w:top w:val="single" w:sz="4" w:space="0" w:color="auto"/>
              <w:left w:val="single" w:sz="6" w:space="0" w:color="auto"/>
            </w:tcBorders>
            <w:shd w:val="clear" w:color="auto" w:fill="DBE5F1" w:themeFill="accent1" w:themeFillTint="33"/>
          </w:tcPr>
          <w:p w14:paraId="5AEB5E5C" w14:textId="77777777" w:rsidR="00404D38" w:rsidRPr="00D33C2C" w:rsidRDefault="00404D38" w:rsidP="00F11957">
            <w:pPr>
              <w:pStyle w:val="Tabletext"/>
              <w:keepNext/>
              <w:keepLines/>
              <w:rPr>
                <w:rFonts w:eastAsia="Arial"/>
              </w:rPr>
            </w:pPr>
            <w:r w:rsidRPr="00D33C2C">
              <w:rPr>
                <w:rFonts w:eastAsia="Arial"/>
              </w:rPr>
              <w:t>Events, n (%)</w:t>
            </w:r>
          </w:p>
        </w:tc>
        <w:tc>
          <w:tcPr>
            <w:tcW w:w="1843" w:type="dxa"/>
            <w:tcBorders>
              <w:top w:val="single" w:sz="4" w:space="0" w:color="auto"/>
            </w:tcBorders>
            <w:shd w:val="clear" w:color="auto" w:fill="DBE5F1" w:themeFill="accent1" w:themeFillTint="33"/>
          </w:tcPr>
          <w:p w14:paraId="128FC452" w14:textId="77777777" w:rsidR="00404D38" w:rsidRPr="00D33C2C" w:rsidRDefault="00404D38" w:rsidP="00F11957">
            <w:pPr>
              <w:pStyle w:val="Tabletext"/>
              <w:keepNext/>
              <w:keepLines/>
              <w:jc w:val="center"/>
              <w:rPr>
                <w:rFonts w:eastAsia="Arial"/>
              </w:rPr>
            </w:pPr>
            <w:r w:rsidRPr="00D33C2C">
              <w:rPr>
                <w:rFonts w:eastAsia="Arial"/>
              </w:rPr>
              <w:t>4 (6%)</w:t>
            </w:r>
          </w:p>
        </w:tc>
        <w:tc>
          <w:tcPr>
            <w:tcW w:w="2371" w:type="dxa"/>
            <w:tcBorders>
              <w:top w:val="single" w:sz="4" w:space="0" w:color="auto"/>
              <w:right w:val="single" w:sz="6" w:space="0" w:color="auto"/>
            </w:tcBorders>
            <w:shd w:val="clear" w:color="auto" w:fill="DBE5F1" w:themeFill="accent1" w:themeFillTint="33"/>
          </w:tcPr>
          <w:p w14:paraId="306B298C" w14:textId="77777777" w:rsidR="00404D38" w:rsidRPr="00D33C2C" w:rsidRDefault="00404D38" w:rsidP="00F11957">
            <w:pPr>
              <w:pStyle w:val="Tabletext"/>
              <w:keepNext/>
              <w:keepLines/>
              <w:jc w:val="center"/>
              <w:rPr>
                <w:rFonts w:eastAsia="Arial"/>
              </w:rPr>
            </w:pPr>
            <w:r w:rsidRPr="00D33C2C">
              <w:rPr>
                <w:rFonts w:eastAsia="Arial"/>
              </w:rPr>
              <w:t>21 (26%)</w:t>
            </w:r>
          </w:p>
        </w:tc>
        <w:tc>
          <w:tcPr>
            <w:tcW w:w="2253" w:type="dxa"/>
            <w:tcBorders>
              <w:top w:val="single" w:sz="4" w:space="0" w:color="auto"/>
              <w:right w:val="single" w:sz="6" w:space="0" w:color="auto"/>
            </w:tcBorders>
            <w:shd w:val="clear" w:color="auto" w:fill="DBE5F1" w:themeFill="accent1" w:themeFillTint="33"/>
          </w:tcPr>
          <w:p w14:paraId="1A25BCB3" w14:textId="77777777" w:rsidR="00404D38" w:rsidRPr="00D33C2C" w:rsidRDefault="00404D38" w:rsidP="00F11957">
            <w:pPr>
              <w:pStyle w:val="Tabletext"/>
              <w:keepNext/>
              <w:keepLines/>
              <w:jc w:val="center"/>
              <w:rPr>
                <w:rFonts w:eastAsia="Arial"/>
              </w:rPr>
            </w:pPr>
            <w:r w:rsidRPr="00D33C2C">
              <w:rPr>
                <w:rFonts w:eastAsia="Arial" w:cs="Arial"/>
                <w:szCs w:val="20"/>
              </w:rPr>
              <w:t>6 (25%)</w:t>
            </w:r>
          </w:p>
        </w:tc>
      </w:tr>
      <w:tr w:rsidR="00404D38" w:rsidRPr="00D33C2C" w14:paraId="39A0A0E8" w14:textId="77777777" w:rsidTr="00AC13C1">
        <w:trPr>
          <w:trHeight w:val="113"/>
        </w:trPr>
        <w:tc>
          <w:tcPr>
            <w:tcW w:w="2544" w:type="dxa"/>
            <w:tcBorders>
              <w:left w:val="single" w:sz="6" w:space="0" w:color="auto"/>
            </w:tcBorders>
            <w:shd w:val="clear" w:color="auto" w:fill="DBE5F1" w:themeFill="accent1" w:themeFillTint="33"/>
          </w:tcPr>
          <w:p w14:paraId="7E1A0D0A" w14:textId="77777777" w:rsidR="00404D38" w:rsidRPr="00D33C2C" w:rsidRDefault="00404D38" w:rsidP="00F11957">
            <w:pPr>
              <w:pStyle w:val="Tabletext"/>
              <w:keepNext/>
              <w:keepLines/>
              <w:rPr>
                <w:rFonts w:eastAsia="Arial"/>
              </w:rPr>
            </w:pPr>
            <w:r w:rsidRPr="00D33C2C">
              <w:rPr>
                <w:rFonts w:eastAsia="Arial"/>
              </w:rPr>
              <w:t>p value</w:t>
            </w:r>
          </w:p>
        </w:tc>
        <w:tc>
          <w:tcPr>
            <w:tcW w:w="1843" w:type="dxa"/>
            <w:tcBorders>
              <w:right w:val="single" w:sz="6" w:space="0" w:color="auto"/>
            </w:tcBorders>
            <w:shd w:val="clear" w:color="auto" w:fill="DBE5F1" w:themeFill="accent1" w:themeFillTint="33"/>
          </w:tcPr>
          <w:p w14:paraId="48733C35"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right w:val="single" w:sz="6" w:space="0" w:color="auto"/>
            </w:tcBorders>
            <w:shd w:val="clear" w:color="auto" w:fill="DBE5F1" w:themeFill="accent1" w:themeFillTint="33"/>
          </w:tcPr>
          <w:p w14:paraId="07D99599" w14:textId="77777777" w:rsidR="00404D38" w:rsidRPr="00D33C2C" w:rsidRDefault="00404D38" w:rsidP="00F11957">
            <w:pPr>
              <w:pStyle w:val="Tabletext"/>
              <w:keepNext/>
              <w:keepLines/>
              <w:jc w:val="center"/>
              <w:rPr>
                <w:rFonts w:eastAsia="Arial"/>
              </w:rPr>
            </w:pPr>
            <w:r w:rsidRPr="00D33C2C">
              <w:rPr>
                <w:rFonts w:eastAsia="Arial"/>
              </w:rPr>
              <w:t>0.0900</w:t>
            </w:r>
          </w:p>
        </w:tc>
        <w:tc>
          <w:tcPr>
            <w:tcW w:w="2253" w:type="dxa"/>
            <w:tcBorders>
              <w:right w:val="single" w:sz="6" w:space="0" w:color="auto"/>
            </w:tcBorders>
            <w:shd w:val="clear" w:color="auto" w:fill="DBE5F1" w:themeFill="accent1" w:themeFillTint="33"/>
          </w:tcPr>
          <w:p w14:paraId="414CC7FA" w14:textId="77777777" w:rsidR="00404D38" w:rsidRPr="00D33C2C" w:rsidRDefault="00404D38" w:rsidP="00F11957">
            <w:pPr>
              <w:pStyle w:val="Tabletext"/>
              <w:keepNext/>
              <w:keepLines/>
              <w:jc w:val="center"/>
              <w:rPr>
                <w:rFonts w:eastAsia="Arial"/>
              </w:rPr>
            </w:pPr>
            <w:r w:rsidRPr="00D33C2C">
              <w:rPr>
                <w:rFonts w:eastAsia="Arial" w:cs="Arial"/>
                <w:szCs w:val="20"/>
              </w:rPr>
              <w:t>0.5069</w:t>
            </w:r>
          </w:p>
        </w:tc>
      </w:tr>
      <w:tr w:rsidR="00404D38" w:rsidRPr="00D33C2C" w14:paraId="2B3077EA" w14:textId="77777777" w:rsidTr="00AC13C1">
        <w:trPr>
          <w:trHeight w:val="113"/>
        </w:trPr>
        <w:tc>
          <w:tcPr>
            <w:tcW w:w="2544" w:type="dxa"/>
            <w:tcBorders>
              <w:left w:val="single" w:sz="6" w:space="0" w:color="auto"/>
              <w:bottom w:val="single" w:sz="4" w:space="0" w:color="auto"/>
            </w:tcBorders>
            <w:shd w:val="clear" w:color="auto" w:fill="DBE5F1" w:themeFill="accent1" w:themeFillTint="33"/>
          </w:tcPr>
          <w:p w14:paraId="6249AB03" w14:textId="77777777" w:rsidR="00404D38" w:rsidRPr="00D33C2C" w:rsidRDefault="00404D38" w:rsidP="00F11957">
            <w:pPr>
              <w:pStyle w:val="Tabletext"/>
              <w:keepNext/>
              <w:keepLines/>
              <w:rPr>
                <w:rFonts w:eastAsia="Arial"/>
              </w:rPr>
            </w:pPr>
            <w:r w:rsidRPr="00D33C2C">
              <w:rPr>
                <w:rFonts w:eastAsia="Arial"/>
              </w:rPr>
              <w:t>HR (95% CI)</w:t>
            </w:r>
          </w:p>
        </w:tc>
        <w:tc>
          <w:tcPr>
            <w:tcW w:w="1843" w:type="dxa"/>
            <w:tcBorders>
              <w:bottom w:val="single" w:sz="4" w:space="0" w:color="auto"/>
              <w:right w:val="single" w:sz="6" w:space="0" w:color="auto"/>
            </w:tcBorders>
            <w:shd w:val="clear" w:color="auto" w:fill="DBE5F1" w:themeFill="accent1" w:themeFillTint="33"/>
          </w:tcPr>
          <w:p w14:paraId="3F327DE9"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bottom w:val="single" w:sz="4" w:space="0" w:color="auto"/>
              <w:right w:val="single" w:sz="6" w:space="0" w:color="auto"/>
            </w:tcBorders>
            <w:shd w:val="clear" w:color="auto" w:fill="DBE5F1" w:themeFill="accent1" w:themeFillTint="33"/>
          </w:tcPr>
          <w:p w14:paraId="0F153C19" w14:textId="77777777" w:rsidR="00404D38" w:rsidRPr="00D33C2C" w:rsidRDefault="00404D38" w:rsidP="00F11957">
            <w:pPr>
              <w:pStyle w:val="Tabletext"/>
              <w:keepNext/>
              <w:keepLines/>
              <w:jc w:val="center"/>
              <w:rPr>
                <w:rFonts w:eastAsia="Arial"/>
              </w:rPr>
            </w:pPr>
            <w:r w:rsidRPr="00D33C2C">
              <w:rPr>
                <w:rFonts w:eastAsia="Arial"/>
              </w:rPr>
              <w:t>0.33 (0.11, 1.03)</w:t>
            </w:r>
          </w:p>
        </w:tc>
        <w:tc>
          <w:tcPr>
            <w:tcW w:w="2253" w:type="dxa"/>
            <w:tcBorders>
              <w:bottom w:val="single" w:sz="4" w:space="0" w:color="auto"/>
              <w:right w:val="single" w:sz="6" w:space="0" w:color="auto"/>
            </w:tcBorders>
            <w:shd w:val="clear" w:color="auto" w:fill="DBE5F1" w:themeFill="accent1" w:themeFillTint="33"/>
          </w:tcPr>
          <w:p w14:paraId="3CAF4680" w14:textId="77777777" w:rsidR="00404D38" w:rsidRPr="00D33C2C" w:rsidRDefault="00404D38" w:rsidP="00F11957">
            <w:pPr>
              <w:pStyle w:val="Tabletext"/>
              <w:keepNext/>
              <w:keepLines/>
              <w:jc w:val="center"/>
              <w:rPr>
                <w:rFonts w:eastAsia="Arial"/>
              </w:rPr>
            </w:pPr>
            <w:r w:rsidRPr="00D33C2C">
              <w:rPr>
                <w:rFonts w:eastAsia="Arial" w:cs="Arial"/>
                <w:szCs w:val="20"/>
              </w:rPr>
              <w:t>0.66 (0.17, 2.57)</w:t>
            </w:r>
          </w:p>
        </w:tc>
      </w:tr>
      <w:tr w:rsidR="00404D38" w:rsidRPr="00D33C2C" w14:paraId="4333B884" w14:textId="77777777" w:rsidTr="00AC13C1">
        <w:trPr>
          <w:trHeight w:val="113"/>
        </w:trPr>
        <w:tc>
          <w:tcPr>
            <w:tcW w:w="2544" w:type="dxa"/>
            <w:tcBorders>
              <w:top w:val="single" w:sz="4" w:space="0" w:color="auto"/>
              <w:left w:val="single" w:sz="4" w:space="0" w:color="auto"/>
              <w:bottom w:val="single" w:sz="4" w:space="0" w:color="auto"/>
              <w:right w:val="nil"/>
            </w:tcBorders>
            <w:shd w:val="clear" w:color="auto" w:fill="DBE5F1" w:themeFill="accent1" w:themeFillTint="33"/>
          </w:tcPr>
          <w:p w14:paraId="7D75168F" w14:textId="77777777" w:rsidR="00404D38" w:rsidRPr="00577672" w:rsidRDefault="00404D38" w:rsidP="00F11957">
            <w:pPr>
              <w:pStyle w:val="Tabletext"/>
              <w:keepNext/>
              <w:keepLines/>
              <w:rPr>
                <w:rFonts w:eastAsia="Arial"/>
                <w:b/>
                <w:bCs/>
                <w:vertAlign w:val="superscript"/>
              </w:rPr>
            </w:pPr>
            <w:r w:rsidRPr="00D33C2C">
              <w:rPr>
                <w:rFonts w:eastAsia="Arial"/>
                <w:b/>
                <w:bCs/>
              </w:rPr>
              <w:t xml:space="preserve">Diversion-Free Survival </w:t>
            </w:r>
            <w:r>
              <w:rPr>
                <w:rFonts w:eastAsia="Arial"/>
                <w:b/>
                <w:bCs/>
                <w:vertAlign w:val="superscript"/>
              </w:rPr>
              <w:t>c</w:t>
            </w:r>
          </w:p>
        </w:tc>
        <w:tc>
          <w:tcPr>
            <w:tcW w:w="1843" w:type="dxa"/>
            <w:tcBorders>
              <w:top w:val="single" w:sz="4" w:space="0" w:color="auto"/>
              <w:left w:val="nil"/>
              <w:bottom w:val="single" w:sz="4" w:space="0" w:color="auto"/>
              <w:right w:val="nil"/>
            </w:tcBorders>
            <w:shd w:val="clear" w:color="auto" w:fill="DBE5F1" w:themeFill="accent1" w:themeFillTint="33"/>
          </w:tcPr>
          <w:p w14:paraId="0FEF61E4" w14:textId="77777777" w:rsidR="00404D38" w:rsidRPr="00D33C2C" w:rsidRDefault="00404D38" w:rsidP="00F11957">
            <w:pPr>
              <w:pStyle w:val="Tabletext"/>
              <w:keepNext/>
              <w:keepLines/>
              <w:jc w:val="center"/>
              <w:rPr>
                <w:rFonts w:eastAsia="Arial"/>
              </w:rPr>
            </w:pPr>
          </w:p>
        </w:tc>
        <w:tc>
          <w:tcPr>
            <w:tcW w:w="2371" w:type="dxa"/>
            <w:tcBorders>
              <w:top w:val="single" w:sz="4" w:space="0" w:color="auto"/>
              <w:left w:val="nil"/>
              <w:bottom w:val="single" w:sz="4" w:space="0" w:color="auto"/>
              <w:right w:val="nil"/>
            </w:tcBorders>
            <w:shd w:val="clear" w:color="auto" w:fill="DBE5F1" w:themeFill="accent1" w:themeFillTint="33"/>
          </w:tcPr>
          <w:p w14:paraId="6D8B17B4" w14:textId="77777777" w:rsidR="00404D38" w:rsidRPr="00D33C2C" w:rsidRDefault="00404D38" w:rsidP="00F11957">
            <w:pPr>
              <w:pStyle w:val="Tabletext"/>
              <w:keepNext/>
              <w:keepLines/>
              <w:jc w:val="center"/>
              <w:rPr>
                <w:rFonts w:eastAsia="Arial"/>
              </w:rPr>
            </w:pPr>
          </w:p>
        </w:tc>
        <w:tc>
          <w:tcPr>
            <w:tcW w:w="2253" w:type="dxa"/>
            <w:tcBorders>
              <w:top w:val="single" w:sz="4" w:space="0" w:color="auto"/>
              <w:left w:val="nil"/>
              <w:bottom w:val="single" w:sz="4" w:space="0" w:color="auto"/>
              <w:right w:val="single" w:sz="4" w:space="0" w:color="auto"/>
            </w:tcBorders>
            <w:shd w:val="clear" w:color="auto" w:fill="DBE5F1" w:themeFill="accent1" w:themeFillTint="33"/>
          </w:tcPr>
          <w:p w14:paraId="0C195738" w14:textId="77777777" w:rsidR="00404D38" w:rsidRPr="00D33C2C" w:rsidRDefault="00404D38" w:rsidP="00F11957">
            <w:pPr>
              <w:pStyle w:val="Tabletext"/>
              <w:keepNext/>
              <w:keepLines/>
              <w:jc w:val="center"/>
              <w:rPr>
                <w:rFonts w:eastAsia="Arial"/>
              </w:rPr>
            </w:pPr>
          </w:p>
        </w:tc>
      </w:tr>
      <w:tr w:rsidR="00404D38" w:rsidRPr="00D33C2C" w14:paraId="66A2964E" w14:textId="77777777" w:rsidTr="00AC13C1">
        <w:trPr>
          <w:trHeight w:val="113"/>
        </w:trPr>
        <w:tc>
          <w:tcPr>
            <w:tcW w:w="2544" w:type="dxa"/>
            <w:tcBorders>
              <w:top w:val="single" w:sz="4" w:space="0" w:color="auto"/>
              <w:left w:val="single" w:sz="6" w:space="0" w:color="auto"/>
            </w:tcBorders>
            <w:shd w:val="clear" w:color="auto" w:fill="DBE5F1" w:themeFill="accent1" w:themeFillTint="33"/>
          </w:tcPr>
          <w:p w14:paraId="323A6A22" w14:textId="77777777" w:rsidR="00404D38" w:rsidRPr="00D33C2C" w:rsidRDefault="00404D38" w:rsidP="00F11957">
            <w:pPr>
              <w:pStyle w:val="Tabletext"/>
              <w:keepNext/>
              <w:keepLines/>
              <w:rPr>
                <w:rFonts w:eastAsia="Arial"/>
              </w:rPr>
            </w:pPr>
            <w:r w:rsidRPr="00D33C2C">
              <w:rPr>
                <w:rFonts w:eastAsia="Arial"/>
              </w:rPr>
              <w:t>Events, n (%)</w:t>
            </w:r>
          </w:p>
        </w:tc>
        <w:tc>
          <w:tcPr>
            <w:tcW w:w="1843" w:type="dxa"/>
            <w:tcBorders>
              <w:top w:val="single" w:sz="4" w:space="0" w:color="auto"/>
            </w:tcBorders>
            <w:shd w:val="clear" w:color="auto" w:fill="DBE5F1" w:themeFill="accent1" w:themeFillTint="33"/>
          </w:tcPr>
          <w:p w14:paraId="06066D73" w14:textId="77777777" w:rsidR="00404D38" w:rsidRPr="00D33C2C" w:rsidRDefault="00404D38" w:rsidP="00F11957">
            <w:pPr>
              <w:pStyle w:val="Tabletext"/>
              <w:keepNext/>
              <w:keepLines/>
              <w:jc w:val="center"/>
              <w:rPr>
                <w:rFonts w:eastAsia="Arial"/>
              </w:rPr>
            </w:pPr>
            <w:r w:rsidRPr="00D33C2C">
              <w:rPr>
                <w:rFonts w:eastAsia="Arial"/>
              </w:rPr>
              <w:t>2 (3%)</w:t>
            </w:r>
          </w:p>
        </w:tc>
        <w:tc>
          <w:tcPr>
            <w:tcW w:w="2371" w:type="dxa"/>
            <w:tcBorders>
              <w:top w:val="single" w:sz="4" w:space="0" w:color="auto"/>
              <w:right w:val="single" w:sz="6" w:space="0" w:color="auto"/>
            </w:tcBorders>
            <w:shd w:val="clear" w:color="auto" w:fill="DBE5F1" w:themeFill="accent1" w:themeFillTint="33"/>
          </w:tcPr>
          <w:p w14:paraId="3FA1991D" w14:textId="77777777" w:rsidR="00404D38" w:rsidRPr="00D33C2C" w:rsidRDefault="00404D38" w:rsidP="00F11957">
            <w:pPr>
              <w:pStyle w:val="Tabletext"/>
              <w:keepNext/>
              <w:keepLines/>
              <w:jc w:val="center"/>
              <w:rPr>
                <w:rFonts w:eastAsia="Arial"/>
              </w:rPr>
            </w:pPr>
            <w:r w:rsidRPr="00D33C2C">
              <w:rPr>
                <w:rFonts w:eastAsia="Arial"/>
              </w:rPr>
              <w:t>31 (39%)</w:t>
            </w:r>
          </w:p>
        </w:tc>
        <w:tc>
          <w:tcPr>
            <w:tcW w:w="2253" w:type="dxa"/>
            <w:tcBorders>
              <w:top w:val="single" w:sz="4" w:space="0" w:color="auto"/>
              <w:right w:val="single" w:sz="6" w:space="0" w:color="auto"/>
            </w:tcBorders>
            <w:shd w:val="clear" w:color="auto" w:fill="DBE5F1" w:themeFill="accent1" w:themeFillTint="33"/>
          </w:tcPr>
          <w:p w14:paraId="357BBA30" w14:textId="77777777" w:rsidR="00404D38" w:rsidRPr="00D33C2C" w:rsidRDefault="00404D38" w:rsidP="00F11957">
            <w:pPr>
              <w:pStyle w:val="Tabletext"/>
              <w:keepNext/>
              <w:keepLines/>
              <w:jc w:val="center"/>
              <w:rPr>
                <w:rFonts w:eastAsia="Arial"/>
              </w:rPr>
            </w:pPr>
            <w:r w:rsidRPr="00D33C2C">
              <w:rPr>
                <w:rFonts w:eastAsia="Arial"/>
              </w:rPr>
              <w:t>-</w:t>
            </w:r>
          </w:p>
        </w:tc>
      </w:tr>
      <w:tr w:rsidR="00404D38" w:rsidRPr="00D33C2C" w14:paraId="6D83656F" w14:textId="77777777" w:rsidTr="00AC13C1">
        <w:trPr>
          <w:trHeight w:val="113"/>
        </w:trPr>
        <w:tc>
          <w:tcPr>
            <w:tcW w:w="2544" w:type="dxa"/>
            <w:tcBorders>
              <w:left w:val="single" w:sz="6" w:space="0" w:color="auto"/>
            </w:tcBorders>
            <w:shd w:val="clear" w:color="auto" w:fill="DBE5F1" w:themeFill="accent1" w:themeFillTint="33"/>
          </w:tcPr>
          <w:p w14:paraId="066D2A7F" w14:textId="77777777" w:rsidR="00404D38" w:rsidRPr="00D33C2C" w:rsidRDefault="00404D38" w:rsidP="00F11957">
            <w:pPr>
              <w:pStyle w:val="Tabletext"/>
              <w:keepNext/>
              <w:keepLines/>
              <w:rPr>
                <w:rFonts w:eastAsia="Arial"/>
              </w:rPr>
            </w:pPr>
            <w:r w:rsidRPr="00D33C2C">
              <w:rPr>
                <w:rFonts w:eastAsia="Arial"/>
              </w:rPr>
              <w:t>p value</w:t>
            </w:r>
          </w:p>
        </w:tc>
        <w:tc>
          <w:tcPr>
            <w:tcW w:w="1843" w:type="dxa"/>
            <w:tcBorders>
              <w:right w:val="single" w:sz="6" w:space="0" w:color="auto"/>
            </w:tcBorders>
            <w:shd w:val="clear" w:color="auto" w:fill="DBE5F1" w:themeFill="accent1" w:themeFillTint="33"/>
          </w:tcPr>
          <w:p w14:paraId="2503FCCA"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right w:val="single" w:sz="6" w:space="0" w:color="auto"/>
            </w:tcBorders>
            <w:shd w:val="clear" w:color="auto" w:fill="DBE5F1" w:themeFill="accent1" w:themeFillTint="33"/>
          </w:tcPr>
          <w:p w14:paraId="2505A322" w14:textId="77777777" w:rsidR="00404D38" w:rsidRPr="00D33C2C" w:rsidRDefault="00404D38" w:rsidP="00F11957">
            <w:pPr>
              <w:pStyle w:val="Tabletext"/>
              <w:keepNext/>
              <w:keepLines/>
              <w:jc w:val="center"/>
              <w:rPr>
                <w:rFonts w:eastAsia="Arial"/>
              </w:rPr>
            </w:pPr>
            <w:r w:rsidRPr="00D33C2C">
              <w:rPr>
                <w:rFonts w:eastAsia="Arial"/>
              </w:rPr>
              <w:t>0.0023</w:t>
            </w:r>
          </w:p>
        </w:tc>
        <w:tc>
          <w:tcPr>
            <w:tcW w:w="2253" w:type="dxa"/>
            <w:tcBorders>
              <w:right w:val="single" w:sz="6" w:space="0" w:color="auto"/>
            </w:tcBorders>
            <w:shd w:val="clear" w:color="auto" w:fill="DBE5F1" w:themeFill="accent1" w:themeFillTint="33"/>
          </w:tcPr>
          <w:p w14:paraId="64500958" w14:textId="77777777" w:rsidR="00404D38" w:rsidRPr="00D33C2C" w:rsidRDefault="00404D38" w:rsidP="00F11957">
            <w:pPr>
              <w:pStyle w:val="Tabletext"/>
              <w:keepNext/>
              <w:keepLines/>
              <w:jc w:val="center"/>
              <w:rPr>
                <w:rFonts w:eastAsia="Arial"/>
              </w:rPr>
            </w:pPr>
            <w:r w:rsidRPr="00D33C2C">
              <w:rPr>
                <w:rFonts w:eastAsia="Arial"/>
              </w:rPr>
              <w:t>-</w:t>
            </w:r>
          </w:p>
        </w:tc>
      </w:tr>
      <w:tr w:rsidR="00404D38" w:rsidRPr="00D33C2C" w14:paraId="3620DC63" w14:textId="77777777" w:rsidTr="00AC13C1">
        <w:trPr>
          <w:trHeight w:val="113"/>
        </w:trPr>
        <w:tc>
          <w:tcPr>
            <w:tcW w:w="2544" w:type="dxa"/>
            <w:tcBorders>
              <w:left w:val="single" w:sz="6" w:space="0" w:color="auto"/>
              <w:bottom w:val="single" w:sz="4" w:space="0" w:color="auto"/>
            </w:tcBorders>
            <w:shd w:val="clear" w:color="auto" w:fill="DBE5F1" w:themeFill="accent1" w:themeFillTint="33"/>
          </w:tcPr>
          <w:p w14:paraId="64D745D0" w14:textId="77777777" w:rsidR="00404D38" w:rsidRPr="00D33C2C" w:rsidRDefault="00404D38" w:rsidP="00F11957">
            <w:pPr>
              <w:pStyle w:val="Tabletext"/>
              <w:keepNext/>
              <w:keepLines/>
              <w:rPr>
                <w:rFonts w:eastAsia="Arial"/>
              </w:rPr>
            </w:pPr>
            <w:r w:rsidRPr="00D33C2C">
              <w:rPr>
                <w:rFonts w:eastAsia="Arial"/>
              </w:rPr>
              <w:t>HR (95% CI)</w:t>
            </w:r>
          </w:p>
        </w:tc>
        <w:tc>
          <w:tcPr>
            <w:tcW w:w="1843" w:type="dxa"/>
            <w:tcBorders>
              <w:bottom w:val="single" w:sz="4" w:space="0" w:color="auto"/>
              <w:right w:val="single" w:sz="6" w:space="0" w:color="auto"/>
            </w:tcBorders>
            <w:shd w:val="clear" w:color="auto" w:fill="DBE5F1" w:themeFill="accent1" w:themeFillTint="33"/>
          </w:tcPr>
          <w:p w14:paraId="319E2B62"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bottom w:val="single" w:sz="4" w:space="0" w:color="auto"/>
              <w:right w:val="single" w:sz="6" w:space="0" w:color="auto"/>
            </w:tcBorders>
            <w:shd w:val="clear" w:color="auto" w:fill="DBE5F1" w:themeFill="accent1" w:themeFillTint="33"/>
          </w:tcPr>
          <w:p w14:paraId="1BF31AE2" w14:textId="77777777" w:rsidR="00404D38" w:rsidRPr="00D33C2C" w:rsidRDefault="00404D38" w:rsidP="00F11957">
            <w:pPr>
              <w:pStyle w:val="Tabletext"/>
              <w:keepNext/>
              <w:keepLines/>
              <w:jc w:val="center"/>
              <w:rPr>
                <w:rFonts w:eastAsia="Arial"/>
              </w:rPr>
            </w:pPr>
            <w:r w:rsidRPr="00D33C2C">
              <w:rPr>
                <w:rFonts w:eastAsia="Arial"/>
              </w:rPr>
              <w:t>0.13 (0.04, 0.39)</w:t>
            </w:r>
          </w:p>
        </w:tc>
        <w:tc>
          <w:tcPr>
            <w:tcW w:w="2253" w:type="dxa"/>
            <w:tcBorders>
              <w:bottom w:val="single" w:sz="4" w:space="0" w:color="auto"/>
              <w:right w:val="single" w:sz="6" w:space="0" w:color="auto"/>
            </w:tcBorders>
            <w:shd w:val="clear" w:color="auto" w:fill="DBE5F1" w:themeFill="accent1" w:themeFillTint="33"/>
          </w:tcPr>
          <w:p w14:paraId="585B0021" w14:textId="77777777" w:rsidR="00404D38" w:rsidRPr="00D33C2C" w:rsidRDefault="00404D38" w:rsidP="00F11957">
            <w:pPr>
              <w:pStyle w:val="Tabletext"/>
              <w:keepNext/>
              <w:keepLines/>
              <w:jc w:val="center"/>
              <w:rPr>
                <w:rFonts w:eastAsia="Arial"/>
              </w:rPr>
            </w:pPr>
            <w:r w:rsidRPr="00D33C2C">
              <w:rPr>
                <w:rFonts w:eastAsia="Arial"/>
              </w:rPr>
              <w:t>-</w:t>
            </w:r>
          </w:p>
        </w:tc>
      </w:tr>
      <w:tr w:rsidR="00404D38" w:rsidRPr="00D33C2C" w14:paraId="6DCAFA76" w14:textId="77777777" w:rsidTr="00AC13C1">
        <w:trPr>
          <w:trHeight w:val="113"/>
        </w:trPr>
        <w:tc>
          <w:tcPr>
            <w:tcW w:w="2544" w:type="dxa"/>
            <w:tcBorders>
              <w:top w:val="single" w:sz="4" w:space="0" w:color="auto"/>
              <w:left w:val="single" w:sz="4" w:space="0" w:color="auto"/>
              <w:bottom w:val="single" w:sz="4" w:space="0" w:color="auto"/>
              <w:right w:val="nil"/>
            </w:tcBorders>
            <w:shd w:val="clear" w:color="auto" w:fill="DBE5F1" w:themeFill="accent1" w:themeFillTint="33"/>
          </w:tcPr>
          <w:p w14:paraId="25B3991C" w14:textId="77777777" w:rsidR="00404D38" w:rsidRPr="00D33C2C" w:rsidRDefault="00404D38" w:rsidP="00F11957">
            <w:pPr>
              <w:pStyle w:val="Tabletext"/>
              <w:keepNext/>
              <w:keepLines/>
              <w:rPr>
                <w:rFonts w:eastAsia="Arial"/>
                <w:b/>
                <w:bCs/>
              </w:rPr>
            </w:pPr>
            <w:r w:rsidRPr="00D33C2C">
              <w:rPr>
                <w:rFonts w:eastAsia="Arial"/>
                <w:b/>
                <w:bCs/>
              </w:rPr>
              <w:t>Overall Survival</w:t>
            </w:r>
            <w:r>
              <w:rPr>
                <w:rFonts w:eastAsia="Arial"/>
                <w:b/>
                <w:bCs/>
              </w:rPr>
              <w:t xml:space="preserve"> </w:t>
            </w:r>
            <w:r>
              <w:rPr>
                <w:rFonts w:eastAsia="Arial"/>
                <w:b/>
                <w:bCs/>
                <w:vertAlign w:val="superscript"/>
              </w:rPr>
              <w:t>d</w:t>
            </w:r>
          </w:p>
        </w:tc>
        <w:tc>
          <w:tcPr>
            <w:tcW w:w="1843" w:type="dxa"/>
            <w:tcBorders>
              <w:top w:val="single" w:sz="4" w:space="0" w:color="auto"/>
              <w:left w:val="nil"/>
              <w:bottom w:val="single" w:sz="4" w:space="0" w:color="auto"/>
              <w:right w:val="nil"/>
            </w:tcBorders>
            <w:shd w:val="clear" w:color="auto" w:fill="DBE5F1" w:themeFill="accent1" w:themeFillTint="33"/>
          </w:tcPr>
          <w:p w14:paraId="76058429" w14:textId="77777777" w:rsidR="00404D38" w:rsidRPr="00D33C2C" w:rsidRDefault="00404D38" w:rsidP="00F11957">
            <w:pPr>
              <w:pStyle w:val="Tabletext"/>
              <w:keepNext/>
              <w:keepLines/>
              <w:jc w:val="center"/>
              <w:rPr>
                <w:rFonts w:eastAsia="Arial"/>
              </w:rPr>
            </w:pPr>
          </w:p>
        </w:tc>
        <w:tc>
          <w:tcPr>
            <w:tcW w:w="2371" w:type="dxa"/>
            <w:tcBorders>
              <w:top w:val="single" w:sz="4" w:space="0" w:color="auto"/>
              <w:left w:val="nil"/>
              <w:bottom w:val="single" w:sz="4" w:space="0" w:color="auto"/>
              <w:right w:val="nil"/>
            </w:tcBorders>
            <w:shd w:val="clear" w:color="auto" w:fill="DBE5F1" w:themeFill="accent1" w:themeFillTint="33"/>
          </w:tcPr>
          <w:p w14:paraId="4CAC138D" w14:textId="77777777" w:rsidR="00404D38" w:rsidRPr="00D33C2C" w:rsidRDefault="00404D38" w:rsidP="00F11957">
            <w:pPr>
              <w:pStyle w:val="Tabletext"/>
              <w:keepNext/>
              <w:keepLines/>
              <w:jc w:val="center"/>
              <w:rPr>
                <w:rFonts w:eastAsia="Arial"/>
              </w:rPr>
            </w:pPr>
          </w:p>
        </w:tc>
        <w:tc>
          <w:tcPr>
            <w:tcW w:w="2253" w:type="dxa"/>
            <w:tcBorders>
              <w:top w:val="single" w:sz="4" w:space="0" w:color="auto"/>
              <w:left w:val="nil"/>
              <w:bottom w:val="single" w:sz="4" w:space="0" w:color="auto"/>
              <w:right w:val="single" w:sz="4" w:space="0" w:color="auto"/>
            </w:tcBorders>
            <w:shd w:val="clear" w:color="auto" w:fill="DBE5F1" w:themeFill="accent1" w:themeFillTint="33"/>
          </w:tcPr>
          <w:p w14:paraId="0076EF67" w14:textId="77777777" w:rsidR="00404D38" w:rsidRPr="00D33C2C" w:rsidRDefault="00404D38" w:rsidP="00F11957">
            <w:pPr>
              <w:pStyle w:val="Tabletext"/>
              <w:keepNext/>
              <w:keepLines/>
              <w:jc w:val="center"/>
              <w:rPr>
                <w:rFonts w:eastAsia="Arial"/>
              </w:rPr>
            </w:pPr>
          </w:p>
        </w:tc>
      </w:tr>
      <w:tr w:rsidR="00404D38" w:rsidRPr="00D33C2C" w14:paraId="150E46BC" w14:textId="77777777" w:rsidTr="00AC13C1">
        <w:trPr>
          <w:trHeight w:val="113"/>
        </w:trPr>
        <w:tc>
          <w:tcPr>
            <w:tcW w:w="2544" w:type="dxa"/>
            <w:tcBorders>
              <w:top w:val="single" w:sz="4" w:space="0" w:color="auto"/>
              <w:left w:val="single" w:sz="6" w:space="0" w:color="auto"/>
            </w:tcBorders>
            <w:shd w:val="clear" w:color="auto" w:fill="DBE5F1" w:themeFill="accent1" w:themeFillTint="33"/>
          </w:tcPr>
          <w:p w14:paraId="1EF77BFA" w14:textId="77777777" w:rsidR="00404D38" w:rsidRPr="00D33C2C" w:rsidRDefault="00404D38" w:rsidP="00F11957">
            <w:pPr>
              <w:pStyle w:val="Tabletext"/>
              <w:keepNext/>
              <w:keepLines/>
              <w:rPr>
                <w:rFonts w:eastAsia="Arial"/>
              </w:rPr>
            </w:pPr>
            <w:r w:rsidRPr="00D33C2C">
              <w:rPr>
                <w:rFonts w:eastAsia="Arial"/>
              </w:rPr>
              <w:t>Events, n (%)</w:t>
            </w:r>
          </w:p>
        </w:tc>
        <w:tc>
          <w:tcPr>
            <w:tcW w:w="1843" w:type="dxa"/>
            <w:tcBorders>
              <w:top w:val="single" w:sz="4" w:space="0" w:color="auto"/>
            </w:tcBorders>
            <w:shd w:val="clear" w:color="auto" w:fill="DBE5F1" w:themeFill="accent1" w:themeFillTint="33"/>
          </w:tcPr>
          <w:p w14:paraId="175BF59F" w14:textId="77777777" w:rsidR="00404D38" w:rsidRPr="00D33C2C" w:rsidRDefault="00404D38" w:rsidP="00F11957">
            <w:pPr>
              <w:pStyle w:val="Tabletext"/>
              <w:keepNext/>
              <w:keepLines/>
              <w:jc w:val="center"/>
              <w:rPr>
                <w:rFonts w:eastAsia="Arial"/>
              </w:rPr>
            </w:pPr>
            <w:r w:rsidRPr="00D33C2C">
              <w:rPr>
                <w:rFonts w:eastAsia="Arial"/>
              </w:rPr>
              <w:t>0 (0%)</w:t>
            </w:r>
          </w:p>
        </w:tc>
        <w:tc>
          <w:tcPr>
            <w:tcW w:w="2371" w:type="dxa"/>
            <w:tcBorders>
              <w:top w:val="single" w:sz="4" w:space="0" w:color="auto"/>
              <w:right w:val="single" w:sz="6" w:space="0" w:color="auto"/>
            </w:tcBorders>
            <w:shd w:val="clear" w:color="auto" w:fill="DBE5F1" w:themeFill="accent1" w:themeFillTint="33"/>
          </w:tcPr>
          <w:p w14:paraId="3DEA9966" w14:textId="77777777" w:rsidR="00404D38" w:rsidRPr="00D33C2C" w:rsidRDefault="00404D38" w:rsidP="00F11957">
            <w:pPr>
              <w:pStyle w:val="Tabletext"/>
              <w:keepNext/>
              <w:keepLines/>
              <w:jc w:val="center"/>
              <w:rPr>
                <w:rFonts w:eastAsia="Arial"/>
              </w:rPr>
            </w:pPr>
            <w:r w:rsidRPr="00D33C2C">
              <w:rPr>
                <w:rFonts w:eastAsia="Arial"/>
              </w:rPr>
              <w:t>4 (5%)</w:t>
            </w:r>
          </w:p>
        </w:tc>
        <w:tc>
          <w:tcPr>
            <w:tcW w:w="2253" w:type="dxa"/>
            <w:tcBorders>
              <w:top w:val="single" w:sz="4" w:space="0" w:color="auto"/>
              <w:right w:val="single" w:sz="6" w:space="0" w:color="auto"/>
            </w:tcBorders>
            <w:shd w:val="clear" w:color="auto" w:fill="DBE5F1" w:themeFill="accent1" w:themeFillTint="33"/>
          </w:tcPr>
          <w:p w14:paraId="6C0BA037" w14:textId="77777777" w:rsidR="00404D38" w:rsidRPr="00D33C2C" w:rsidRDefault="00404D38" w:rsidP="00F11957">
            <w:pPr>
              <w:pStyle w:val="Tabletext"/>
              <w:keepNext/>
              <w:keepLines/>
              <w:jc w:val="center"/>
              <w:rPr>
                <w:rFonts w:eastAsia="Arial"/>
              </w:rPr>
            </w:pPr>
            <w:r w:rsidRPr="00D33C2C">
              <w:rPr>
                <w:rFonts w:eastAsia="Arial" w:cs="Arial"/>
                <w:szCs w:val="20"/>
              </w:rPr>
              <w:t>2 (8%)</w:t>
            </w:r>
          </w:p>
        </w:tc>
      </w:tr>
      <w:tr w:rsidR="00404D38" w:rsidRPr="00D33C2C" w14:paraId="63FF8B89" w14:textId="77777777" w:rsidTr="00AC13C1">
        <w:trPr>
          <w:trHeight w:val="113"/>
        </w:trPr>
        <w:tc>
          <w:tcPr>
            <w:tcW w:w="2544" w:type="dxa"/>
            <w:tcBorders>
              <w:left w:val="single" w:sz="6" w:space="0" w:color="auto"/>
            </w:tcBorders>
            <w:shd w:val="clear" w:color="auto" w:fill="DBE5F1" w:themeFill="accent1" w:themeFillTint="33"/>
          </w:tcPr>
          <w:p w14:paraId="5FBC4B60" w14:textId="77777777" w:rsidR="00404D38" w:rsidRPr="00D33C2C" w:rsidRDefault="00404D38" w:rsidP="00F11957">
            <w:pPr>
              <w:pStyle w:val="Tabletext"/>
              <w:keepNext/>
              <w:keepLines/>
              <w:rPr>
                <w:rFonts w:eastAsia="Arial"/>
              </w:rPr>
            </w:pPr>
            <w:r w:rsidRPr="00D33C2C">
              <w:rPr>
                <w:rFonts w:eastAsia="Arial"/>
              </w:rPr>
              <w:t>p value</w:t>
            </w:r>
          </w:p>
        </w:tc>
        <w:tc>
          <w:tcPr>
            <w:tcW w:w="1843" w:type="dxa"/>
            <w:tcBorders>
              <w:right w:val="single" w:sz="6" w:space="0" w:color="auto"/>
            </w:tcBorders>
            <w:shd w:val="clear" w:color="auto" w:fill="DBE5F1" w:themeFill="accent1" w:themeFillTint="33"/>
          </w:tcPr>
          <w:p w14:paraId="55A47ABD"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right w:val="single" w:sz="6" w:space="0" w:color="auto"/>
            </w:tcBorders>
            <w:shd w:val="clear" w:color="auto" w:fill="DBE5F1" w:themeFill="accent1" w:themeFillTint="33"/>
          </w:tcPr>
          <w:p w14:paraId="22058ED6" w14:textId="77777777" w:rsidR="00404D38" w:rsidRPr="00D33C2C" w:rsidRDefault="00404D38" w:rsidP="00F11957">
            <w:pPr>
              <w:pStyle w:val="Tabletext"/>
              <w:keepNext/>
              <w:keepLines/>
              <w:jc w:val="center"/>
              <w:rPr>
                <w:rFonts w:eastAsia="Arial"/>
              </w:rPr>
            </w:pPr>
            <w:r w:rsidRPr="00D33C2C">
              <w:rPr>
                <w:rFonts w:eastAsia="Arial"/>
              </w:rPr>
              <w:t>0.0845</w:t>
            </w:r>
          </w:p>
        </w:tc>
        <w:tc>
          <w:tcPr>
            <w:tcW w:w="2253" w:type="dxa"/>
            <w:tcBorders>
              <w:right w:val="single" w:sz="6" w:space="0" w:color="auto"/>
            </w:tcBorders>
            <w:shd w:val="clear" w:color="auto" w:fill="DBE5F1" w:themeFill="accent1" w:themeFillTint="33"/>
          </w:tcPr>
          <w:p w14:paraId="4A4569FA" w14:textId="77777777" w:rsidR="00404D38" w:rsidRPr="00D33C2C" w:rsidRDefault="00404D38" w:rsidP="00F11957">
            <w:pPr>
              <w:pStyle w:val="Tabletext"/>
              <w:keepNext/>
              <w:keepLines/>
              <w:jc w:val="center"/>
              <w:rPr>
                <w:rFonts w:eastAsia="Arial"/>
              </w:rPr>
            </w:pPr>
            <w:r w:rsidRPr="00D33C2C">
              <w:rPr>
                <w:rFonts w:eastAsia="Arial" w:cs="Arial"/>
                <w:szCs w:val="20"/>
              </w:rPr>
              <w:t>0.0445</w:t>
            </w:r>
          </w:p>
        </w:tc>
      </w:tr>
      <w:tr w:rsidR="00404D38" w:rsidRPr="00D33C2C" w14:paraId="01C64F26" w14:textId="77777777" w:rsidTr="00AC13C1">
        <w:trPr>
          <w:trHeight w:val="113"/>
        </w:trPr>
        <w:tc>
          <w:tcPr>
            <w:tcW w:w="2544" w:type="dxa"/>
            <w:tcBorders>
              <w:left w:val="single" w:sz="6" w:space="0" w:color="auto"/>
            </w:tcBorders>
            <w:shd w:val="clear" w:color="auto" w:fill="DBE5F1" w:themeFill="accent1" w:themeFillTint="33"/>
          </w:tcPr>
          <w:p w14:paraId="5D99004D" w14:textId="77777777" w:rsidR="00404D38" w:rsidRPr="00D33C2C" w:rsidRDefault="00404D38" w:rsidP="00F11957">
            <w:pPr>
              <w:pStyle w:val="Tabletext"/>
              <w:keepNext/>
              <w:keepLines/>
              <w:rPr>
                <w:rFonts w:eastAsia="Arial"/>
              </w:rPr>
            </w:pPr>
            <w:r w:rsidRPr="00D33C2C">
              <w:rPr>
                <w:rFonts w:eastAsia="Arial"/>
              </w:rPr>
              <w:t>HR (95% CI)</w:t>
            </w:r>
          </w:p>
        </w:tc>
        <w:tc>
          <w:tcPr>
            <w:tcW w:w="1843" w:type="dxa"/>
            <w:tcBorders>
              <w:right w:val="single" w:sz="6" w:space="0" w:color="auto"/>
            </w:tcBorders>
            <w:shd w:val="clear" w:color="auto" w:fill="DBE5F1" w:themeFill="accent1" w:themeFillTint="33"/>
          </w:tcPr>
          <w:p w14:paraId="51AD7BA3" w14:textId="77777777" w:rsidR="00404D38" w:rsidRPr="00D33C2C" w:rsidRDefault="00404D38" w:rsidP="00F11957">
            <w:pPr>
              <w:pStyle w:val="Tabletext"/>
              <w:keepNext/>
              <w:keepLines/>
              <w:jc w:val="center"/>
              <w:rPr>
                <w:rFonts w:eastAsia="Arial"/>
              </w:rPr>
            </w:pPr>
            <w:r w:rsidRPr="00D33C2C">
              <w:rPr>
                <w:rFonts w:eastAsia="Arial"/>
              </w:rPr>
              <w:t>-</w:t>
            </w:r>
          </w:p>
        </w:tc>
        <w:tc>
          <w:tcPr>
            <w:tcW w:w="2371" w:type="dxa"/>
            <w:tcBorders>
              <w:right w:val="single" w:sz="6" w:space="0" w:color="auto"/>
            </w:tcBorders>
            <w:shd w:val="clear" w:color="auto" w:fill="DBE5F1" w:themeFill="accent1" w:themeFillTint="33"/>
          </w:tcPr>
          <w:p w14:paraId="076D0B1D" w14:textId="77777777" w:rsidR="00404D38" w:rsidRPr="00D33C2C" w:rsidRDefault="00404D38" w:rsidP="00F11957">
            <w:pPr>
              <w:pStyle w:val="Tabletext"/>
              <w:keepNext/>
              <w:keepLines/>
              <w:jc w:val="center"/>
              <w:rPr>
                <w:rFonts w:eastAsia="Arial"/>
              </w:rPr>
            </w:pPr>
            <w:r w:rsidRPr="00D33C2C">
              <w:rPr>
                <w:rFonts w:eastAsia="Arial"/>
              </w:rPr>
              <w:t>0 (0, NE)</w:t>
            </w:r>
          </w:p>
        </w:tc>
        <w:tc>
          <w:tcPr>
            <w:tcW w:w="2253" w:type="dxa"/>
            <w:tcBorders>
              <w:right w:val="single" w:sz="6" w:space="0" w:color="auto"/>
            </w:tcBorders>
            <w:shd w:val="clear" w:color="auto" w:fill="DBE5F1" w:themeFill="accent1" w:themeFillTint="33"/>
          </w:tcPr>
          <w:p w14:paraId="7D50046A" w14:textId="77777777" w:rsidR="00404D38" w:rsidRPr="00D33C2C" w:rsidRDefault="00404D38" w:rsidP="00F11957">
            <w:pPr>
              <w:pStyle w:val="Tabletext"/>
              <w:keepNext/>
              <w:keepLines/>
              <w:jc w:val="center"/>
              <w:rPr>
                <w:rFonts w:eastAsia="Arial"/>
              </w:rPr>
            </w:pPr>
            <w:r w:rsidRPr="00D33C2C">
              <w:rPr>
                <w:rFonts w:eastAsia="Arial" w:cs="Arial"/>
                <w:szCs w:val="20"/>
              </w:rPr>
              <w:t>0 (0, NE)</w:t>
            </w:r>
          </w:p>
        </w:tc>
      </w:tr>
    </w:tbl>
    <w:p w14:paraId="2FD70301" w14:textId="77777777" w:rsidR="00404D38" w:rsidRPr="008250C3" w:rsidRDefault="00404D38" w:rsidP="00F11957">
      <w:pPr>
        <w:pStyle w:val="Tabletext"/>
        <w:keepNext/>
        <w:keepLines/>
        <w:rPr>
          <w:sz w:val="18"/>
          <w:szCs w:val="22"/>
        </w:rPr>
      </w:pPr>
      <w:r w:rsidRPr="008250C3">
        <w:rPr>
          <w:sz w:val="18"/>
          <w:szCs w:val="22"/>
        </w:rPr>
        <w:t>Source: Table 26, odevixibat PSD, July 2024 PBAC Meeting</w:t>
      </w:r>
    </w:p>
    <w:p w14:paraId="669AF88F" w14:textId="77777777" w:rsidR="00404D38" w:rsidRPr="008250C3" w:rsidRDefault="00404D38" w:rsidP="00F11957">
      <w:pPr>
        <w:pStyle w:val="Tabletext"/>
        <w:keepNext/>
        <w:keepLines/>
        <w:rPr>
          <w:sz w:val="18"/>
          <w:szCs w:val="22"/>
        </w:rPr>
      </w:pPr>
      <w:r w:rsidRPr="008250C3">
        <w:rPr>
          <w:sz w:val="18"/>
          <w:szCs w:val="22"/>
        </w:rPr>
        <w:t>CI = confidence interval; HR = hazard ratio; n = number of patients experiencing event; NE = not evaluable</w:t>
      </w:r>
    </w:p>
    <w:p w14:paraId="623E6375" w14:textId="77777777" w:rsidR="00404D38" w:rsidRPr="008250C3" w:rsidRDefault="00404D38" w:rsidP="00F11957">
      <w:pPr>
        <w:pStyle w:val="Tabletext"/>
        <w:keepNext/>
        <w:keepLines/>
        <w:rPr>
          <w:sz w:val="18"/>
          <w:szCs w:val="22"/>
        </w:rPr>
      </w:pPr>
      <w:r w:rsidRPr="008250C3">
        <w:rPr>
          <w:b/>
          <w:sz w:val="18"/>
          <w:szCs w:val="22"/>
        </w:rPr>
        <w:t>Bold text</w:t>
      </w:r>
      <w:r w:rsidRPr="008250C3">
        <w:rPr>
          <w:sz w:val="18"/>
          <w:szCs w:val="22"/>
        </w:rPr>
        <w:t xml:space="preserve"> indicates statistically significant difference (p&lt;0.05). Sample sizes and events are unweighted. HRs and p values for odevixibat vs control cohorts are weighted. Secondary endpoints (native liver survival, diversion-free survival, and overall survival) were not adjusted for multiplicity.</w:t>
      </w:r>
    </w:p>
    <w:p w14:paraId="0E7A73B9" w14:textId="77777777" w:rsidR="00404D38" w:rsidRPr="008250C3" w:rsidRDefault="00404D38" w:rsidP="00F11957">
      <w:pPr>
        <w:pStyle w:val="Tabletext"/>
        <w:keepNext/>
        <w:keepLines/>
        <w:rPr>
          <w:sz w:val="18"/>
          <w:szCs w:val="22"/>
        </w:rPr>
      </w:pPr>
      <w:proofErr w:type="spellStart"/>
      <w:r w:rsidRPr="008250C3">
        <w:rPr>
          <w:sz w:val="18"/>
          <w:szCs w:val="22"/>
          <w:vertAlign w:val="superscript"/>
        </w:rPr>
        <w:t>a</w:t>
      </w:r>
      <w:proofErr w:type="spellEnd"/>
      <w:r w:rsidRPr="008250C3">
        <w:rPr>
          <w:sz w:val="18"/>
          <w:szCs w:val="22"/>
          <w:vertAlign w:val="superscript"/>
        </w:rPr>
        <w:t xml:space="preserve"> </w:t>
      </w:r>
      <w:r w:rsidRPr="008250C3">
        <w:rPr>
          <w:sz w:val="18"/>
          <w:szCs w:val="22"/>
        </w:rPr>
        <w:t>Event free survival defined as time to first surgical biliary diversion, liver transplant, or death</w:t>
      </w:r>
    </w:p>
    <w:p w14:paraId="0AB6291F" w14:textId="77777777" w:rsidR="00404D38" w:rsidRPr="008250C3" w:rsidRDefault="00404D38" w:rsidP="00F11957">
      <w:pPr>
        <w:pStyle w:val="Tabletext"/>
        <w:keepNext/>
        <w:keepLines/>
        <w:rPr>
          <w:sz w:val="18"/>
          <w:szCs w:val="22"/>
        </w:rPr>
      </w:pPr>
      <w:r w:rsidRPr="008250C3">
        <w:rPr>
          <w:sz w:val="18"/>
          <w:szCs w:val="22"/>
          <w:vertAlign w:val="superscript"/>
        </w:rPr>
        <w:t xml:space="preserve">b </w:t>
      </w:r>
      <w:r w:rsidRPr="008250C3">
        <w:rPr>
          <w:sz w:val="18"/>
          <w:szCs w:val="22"/>
        </w:rPr>
        <w:t>Native liver survival defined as time to first liver transplant or death</w:t>
      </w:r>
    </w:p>
    <w:p w14:paraId="0954447C" w14:textId="77777777" w:rsidR="00404D38" w:rsidRPr="008250C3" w:rsidRDefault="00404D38" w:rsidP="00F11957">
      <w:pPr>
        <w:pStyle w:val="Tabletext"/>
        <w:keepNext/>
        <w:keepLines/>
        <w:rPr>
          <w:sz w:val="18"/>
          <w:szCs w:val="22"/>
        </w:rPr>
      </w:pPr>
      <w:r w:rsidRPr="008250C3">
        <w:rPr>
          <w:sz w:val="18"/>
          <w:szCs w:val="22"/>
          <w:vertAlign w:val="superscript"/>
        </w:rPr>
        <w:t xml:space="preserve">c </w:t>
      </w:r>
      <w:r w:rsidRPr="008250C3">
        <w:rPr>
          <w:sz w:val="18"/>
          <w:szCs w:val="22"/>
        </w:rPr>
        <w:t>Diversion-free survival defined as time to first biliary diversion surgery or death</w:t>
      </w:r>
    </w:p>
    <w:p w14:paraId="00D401B2" w14:textId="77777777" w:rsidR="00404D38" w:rsidRPr="008250C3" w:rsidRDefault="00404D38" w:rsidP="00042DC8">
      <w:pPr>
        <w:pStyle w:val="Tabletext"/>
        <w:spacing w:after="120"/>
        <w:rPr>
          <w:sz w:val="18"/>
          <w:szCs w:val="22"/>
        </w:rPr>
      </w:pPr>
      <w:r w:rsidRPr="008250C3">
        <w:rPr>
          <w:sz w:val="18"/>
          <w:szCs w:val="22"/>
          <w:vertAlign w:val="superscript"/>
        </w:rPr>
        <w:t xml:space="preserve">d </w:t>
      </w:r>
      <w:r w:rsidRPr="008250C3">
        <w:rPr>
          <w:sz w:val="18"/>
          <w:szCs w:val="22"/>
        </w:rPr>
        <w:t xml:space="preserve">Overall survival define as time to death </w:t>
      </w:r>
    </w:p>
    <w:p w14:paraId="46D13AC5" w14:textId="77777777" w:rsidR="00404D38" w:rsidRPr="0098262F" w:rsidRDefault="00404D38" w:rsidP="00404D38">
      <w:pPr>
        <w:pStyle w:val="4-SubsectionHeading"/>
      </w:pPr>
      <w:bookmarkStart w:id="54" w:name="_Toc22897642"/>
      <w:bookmarkStart w:id="55" w:name="_Toc184822914"/>
      <w:bookmarkStart w:id="56" w:name="_Toc188451877"/>
      <w:r w:rsidRPr="0098262F">
        <w:t>Comparative harms</w:t>
      </w:r>
      <w:bookmarkEnd w:id="54"/>
      <w:bookmarkEnd w:id="55"/>
      <w:bookmarkEnd w:id="56"/>
    </w:p>
    <w:p w14:paraId="63C876E0" w14:textId="097E0B3C" w:rsidR="00404D38" w:rsidRPr="00D66C82" w:rsidRDefault="00ED5151" w:rsidP="00404D38">
      <w:pPr>
        <w:pStyle w:val="3-BodyText"/>
        <w:numPr>
          <w:ilvl w:val="1"/>
          <w:numId w:val="1"/>
        </w:numPr>
        <w:rPr>
          <w:color w:val="000000" w:themeColor="text1"/>
        </w:rPr>
      </w:pPr>
      <w:r>
        <w:rPr>
          <w:color w:val="000000" w:themeColor="text1"/>
        </w:rPr>
        <w:t xml:space="preserve">No new comparative harms data between odevixibat and SoC was reported in the resubmission. </w:t>
      </w:r>
      <w:r w:rsidR="00404D38" w:rsidRPr="00D66C82">
        <w:rPr>
          <w:color w:val="000000" w:themeColor="text1"/>
        </w:rPr>
        <w:t>Safety data for the PEDFIC 1 trial remained unchanged from the July</w:t>
      </w:r>
      <w:r w:rsidR="00F11957">
        <w:rPr>
          <w:color w:val="000000" w:themeColor="text1"/>
        </w:rPr>
        <w:t> </w:t>
      </w:r>
      <w:r w:rsidR="00404D38" w:rsidRPr="00D66C82">
        <w:rPr>
          <w:color w:val="000000" w:themeColor="text1"/>
        </w:rPr>
        <w:t xml:space="preserve">2024 submission, presented in </w:t>
      </w:r>
      <w:r w:rsidR="00404D38" w:rsidRPr="00D66C82">
        <w:rPr>
          <w:color w:val="000000" w:themeColor="text1"/>
        </w:rPr>
        <w:fldChar w:fldCharType="begin" w:fldLock="1"/>
      </w:r>
      <w:r w:rsidR="00404D38" w:rsidRPr="00D66C82">
        <w:rPr>
          <w:color w:val="000000" w:themeColor="text1"/>
        </w:rPr>
        <w:instrText xml:space="preserve"> REF _Ref184919599 \h </w:instrText>
      </w:r>
      <w:r w:rsidR="00404D38" w:rsidRPr="00D66C82">
        <w:rPr>
          <w:color w:val="000000" w:themeColor="text1"/>
        </w:rPr>
      </w:r>
      <w:r w:rsidR="00404D38" w:rsidRPr="00D66C82">
        <w:rPr>
          <w:color w:val="000000" w:themeColor="text1"/>
        </w:rPr>
        <w:fldChar w:fldCharType="separate"/>
      </w:r>
      <w:r w:rsidR="00382EF0" w:rsidRPr="0098262F">
        <w:t xml:space="preserve">Table </w:t>
      </w:r>
      <w:r w:rsidR="00382EF0">
        <w:rPr>
          <w:noProof/>
        </w:rPr>
        <w:t>9</w:t>
      </w:r>
      <w:r w:rsidR="00404D38" w:rsidRPr="00D66C82">
        <w:rPr>
          <w:color w:val="000000" w:themeColor="text1"/>
        </w:rPr>
        <w:fldChar w:fldCharType="end"/>
      </w:r>
      <w:r w:rsidR="00404D38" w:rsidRPr="00D66C82">
        <w:rPr>
          <w:color w:val="000000" w:themeColor="text1"/>
        </w:rPr>
        <w:t>.</w:t>
      </w:r>
    </w:p>
    <w:p w14:paraId="1C854B04" w14:textId="2DEBC723" w:rsidR="00404D38" w:rsidRPr="0098262F" w:rsidRDefault="00404D38" w:rsidP="00404D38">
      <w:pPr>
        <w:pStyle w:val="TableFigureHeading"/>
        <w:rPr>
          <w:rStyle w:val="CommentReference"/>
          <w:b/>
          <w:szCs w:val="24"/>
        </w:rPr>
      </w:pPr>
      <w:bookmarkStart w:id="57" w:name="_Ref184919599"/>
      <w:r w:rsidRPr="0098262F">
        <w:t xml:space="preserve">Table </w:t>
      </w:r>
      <w:r w:rsidR="00382EF0">
        <w:fldChar w:fldCharType="begin" w:fldLock="1"/>
      </w:r>
      <w:r w:rsidR="00382EF0">
        <w:instrText xml:space="preserve"> SEQ Table \* ARABIC </w:instrText>
      </w:r>
      <w:r w:rsidR="00382EF0">
        <w:fldChar w:fldCharType="separate"/>
      </w:r>
      <w:r w:rsidR="00382EF0">
        <w:rPr>
          <w:noProof/>
        </w:rPr>
        <w:t>9</w:t>
      </w:r>
      <w:r w:rsidR="00382EF0">
        <w:rPr>
          <w:noProof/>
        </w:rPr>
        <w:fldChar w:fldCharType="end"/>
      </w:r>
      <w:bookmarkEnd w:id="57"/>
      <w:r w:rsidRPr="0098262F">
        <w:t xml:space="preserve">: </w:t>
      </w:r>
      <w:r w:rsidRPr="0098262F">
        <w:rPr>
          <w:rStyle w:val="CommentReference"/>
          <w:b/>
          <w:szCs w:val="24"/>
        </w:rPr>
        <w:t xml:space="preserve">Summary of </w:t>
      </w:r>
      <w:r w:rsidRPr="00D66C82">
        <w:rPr>
          <w:rStyle w:val="CommentReference"/>
          <w:b/>
          <w:szCs w:val="24"/>
        </w:rPr>
        <w:t>safety results – PEDFIC 1</w:t>
      </w:r>
      <w:r>
        <w:rPr>
          <w:rStyle w:val="CommentReference"/>
          <w:b/>
          <w:szCs w:val="24"/>
        </w:rPr>
        <w:t xml:space="preserve"> </w:t>
      </w:r>
      <w:r w:rsidRPr="00D66C82">
        <w:rPr>
          <w:rStyle w:val="CommentReference"/>
          <w:b/>
          <w:szCs w:val="24"/>
        </w:rPr>
        <w:t>- over 24 weeks of treatment</w:t>
      </w:r>
    </w:p>
    <w:tbl>
      <w:tblPr>
        <w:tblStyle w:val="Submissionstandard"/>
        <w:tblW w:w="5000" w:type="pct"/>
        <w:shd w:val="clear" w:color="auto" w:fill="DBE5F1" w:themeFill="accent1" w:themeFillTint="33"/>
        <w:tblLook w:val="04A0" w:firstRow="1" w:lastRow="0" w:firstColumn="1" w:lastColumn="0" w:noHBand="0" w:noVBand="1"/>
        <w:tblCaption w:val="Table 9: Summary of safety results - PEDFIC 1 - over 24 weeks of treatment"/>
      </w:tblPr>
      <w:tblGrid>
        <w:gridCol w:w="2757"/>
        <w:gridCol w:w="1473"/>
        <w:gridCol w:w="1595"/>
        <w:gridCol w:w="1595"/>
        <w:gridCol w:w="1597"/>
      </w:tblGrid>
      <w:tr w:rsidR="00404D38" w:rsidRPr="00D33C2C" w14:paraId="2A7D66AE" w14:textId="77777777" w:rsidTr="00AC13C1">
        <w:trPr>
          <w:cnfStyle w:val="100000000000" w:firstRow="1" w:lastRow="0" w:firstColumn="0" w:lastColumn="0" w:oddVBand="0" w:evenVBand="0" w:oddHBand="0" w:evenHBand="0" w:firstRowFirstColumn="0" w:firstRowLastColumn="0" w:lastRowFirstColumn="0" w:lastRowLastColumn="0"/>
          <w:trHeight w:val="113"/>
        </w:trPr>
        <w:tc>
          <w:tcPr>
            <w:tcW w:w="2757" w:type="dxa"/>
            <w:vMerge w:val="restart"/>
            <w:shd w:val="clear" w:color="auto" w:fill="DBE5F1" w:themeFill="accent1" w:themeFillTint="33"/>
            <w:vAlign w:val="center"/>
          </w:tcPr>
          <w:p w14:paraId="409B918C" w14:textId="77777777" w:rsidR="00404D38" w:rsidRPr="00D33C2C" w:rsidRDefault="00404D38" w:rsidP="00AC13C1">
            <w:pPr>
              <w:pStyle w:val="Tabletext"/>
              <w:keepNext/>
              <w:keepLines/>
              <w:rPr>
                <w:lang w:val="en-AU"/>
              </w:rPr>
            </w:pPr>
            <w:r w:rsidRPr="00D33C2C">
              <w:rPr>
                <w:lang w:val="en-AU"/>
              </w:rPr>
              <w:t>Summary</w:t>
            </w:r>
          </w:p>
        </w:tc>
        <w:tc>
          <w:tcPr>
            <w:tcW w:w="1473" w:type="dxa"/>
            <w:vMerge w:val="restart"/>
            <w:shd w:val="clear" w:color="auto" w:fill="DBE5F1" w:themeFill="accent1" w:themeFillTint="33"/>
            <w:vAlign w:val="center"/>
          </w:tcPr>
          <w:p w14:paraId="2B2B916F" w14:textId="77777777" w:rsidR="00404D38" w:rsidRPr="00D33C2C" w:rsidRDefault="00404D38" w:rsidP="00AC13C1">
            <w:pPr>
              <w:pStyle w:val="Tabletext"/>
              <w:keepNext/>
              <w:keepLines/>
              <w:jc w:val="center"/>
              <w:rPr>
                <w:lang w:val="en-AU"/>
              </w:rPr>
            </w:pPr>
            <w:r w:rsidRPr="00D33C2C">
              <w:rPr>
                <w:lang w:val="en-AU"/>
              </w:rPr>
              <w:t>Placebo</w:t>
            </w:r>
          </w:p>
          <w:p w14:paraId="4177268A" w14:textId="77777777" w:rsidR="00404D38" w:rsidRPr="00D33C2C" w:rsidRDefault="00404D38" w:rsidP="00AC13C1">
            <w:pPr>
              <w:pStyle w:val="Tabletext"/>
              <w:keepNext/>
              <w:keepLines/>
              <w:jc w:val="center"/>
              <w:rPr>
                <w:b w:val="0"/>
                <w:lang w:val="en-AU"/>
              </w:rPr>
            </w:pPr>
            <w:r w:rsidRPr="00D33C2C">
              <w:rPr>
                <w:lang w:val="en-AU"/>
              </w:rPr>
              <w:t>N=20, n (%)</w:t>
            </w:r>
          </w:p>
        </w:tc>
        <w:tc>
          <w:tcPr>
            <w:tcW w:w="4787" w:type="dxa"/>
            <w:gridSpan w:val="3"/>
            <w:shd w:val="clear" w:color="auto" w:fill="DBE5F1" w:themeFill="accent1" w:themeFillTint="33"/>
            <w:vAlign w:val="center"/>
          </w:tcPr>
          <w:p w14:paraId="130E6676" w14:textId="77777777" w:rsidR="00404D38" w:rsidRPr="00D33C2C" w:rsidRDefault="00404D38" w:rsidP="00AC13C1">
            <w:pPr>
              <w:pStyle w:val="Tabletext"/>
              <w:keepNext/>
              <w:keepLines/>
              <w:jc w:val="center"/>
              <w:rPr>
                <w:lang w:val="en-AU"/>
              </w:rPr>
            </w:pPr>
            <w:r w:rsidRPr="00D33C2C">
              <w:rPr>
                <w:lang w:val="en-AU"/>
              </w:rPr>
              <w:t>Odevixibat</w:t>
            </w:r>
          </w:p>
        </w:tc>
      </w:tr>
      <w:tr w:rsidR="00404D38" w:rsidRPr="00D33C2C" w14:paraId="04186678" w14:textId="77777777" w:rsidTr="00AC13C1">
        <w:trPr>
          <w:trHeight w:val="113"/>
        </w:trPr>
        <w:tc>
          <w:tcPr>
            <w:tcW w:w="2757" w:type="dxa"/>
            <w:vMerge/>
            <w:shd w:val="clear" w:color="auto" w:fill="DBE5F1" w:themeFill="accent1" w:themeFillTint="33"/>
            <w:vAlign w:val="center"/>
          </w:tcPr>
          <w:p w14:paraId="27D8E253" w14:textId="77777777" w:rsidR="00404D38" w:rsidRPr="00D33C2C" w:rsidRDefault="00404D38" w:rsidP="00AC13C1">
            <w:pPr>
              <w:pStyle w:val="Tabletext"/>
              <w:keepNext/>
              <w:keepLines/>
              <w:rPr>
                <w:lang w:val="en-AU"/>
              </w:rPr>
            </w:pPr>
          </w:p>
        </w:tc>
        <w:tc>
          <w:tcPr>
            <w:tcW w:w="1473" w:type="dxa"/>
            <w:vMerge/>
            <w:shd w:val="clear" w:color="auto" w:fill="DBE5F1" w:themeFill="accent1" w:themeFillTint="33"/>
            <w:vAlign w:val="center"/>
          </w:tcPr>
          <w:p w14:paraId="466F5E12" w14:textId="77777777" w:rsidR="00404D38" w:rsidRPr="00D33C2C" w:rsidRDefault="00404D38" w:rsidP="00AC13C1">
            <w:pPr>
              <w:pStyle w:val="Tabletext"/>
              <w:keepNext/>
              <w:keepLines/>
              <w:jc w:val="center"/>
              <w:rPr>
                <w:lang w:val="en-AU"/>
              </w:rPr>
            </w:pPr>
          </w:p>
        </w:tc>
        <w:tc>
          <w:tcPr>
            <w:tcW w:w="1595" w:type="dxa"/>
            <w:shd w:val="clear" w:color="auto" w:fill="DBE5F1" w:themeFill="accent1" w:themeFillTint="33"/>
            <w:vAlign w:val="center"/>
          </w:tcPr>
          <w:p w14:paraId="3978C32A" w14:textId="77777777" w:rsidR="00404D38" w:rsidRPr="00D33C2C" w:rsidRDefault="00404D38" w:rsidP="00AC13C1">
            <w:pPr>
              <w:pStyle w:val="Tabletext"/>
              <w:keepNext/>
              <w:keepLines/>
              <w:jc w:val="center"/>
              <w:rPr>
                <w:b/>
                <w:bCs/>
                <w:lang w:val="en-AU"/>
              </w:rPr>
            </w:pPr>
            <w:r w:rsidRPr="00D33C2C">
              <w:rPr>
                <w:b/>
                <w:bCs/>
                <w:lang w:val="en-AU"/>
              </w:rPr>
              <w:t>40 µg/kg</w:t>
            </w:r>
          </w:p>
          <w:p w14:paraId="68E3E7F0" w14:textId="77777777" w:rsidR="00404D38" w:rsidRPr="00D33C2C" w:rsidRDefault="00404D38" w:rsidP="00AC13C1">
            <w:pPr>
              <w:pStyle w:val="Tabletext"/>
              <w:keepNext/>
              <w:keepLines/>
              <w:jc w:val="center"/>
              <w:rPr>
                <w:b/>
                <w:bCs/>
                <w:lang w:val="en-AU"/>
              </w:rPr>
            </w:pPr>
            <w:r w:rsidRPr="00D33C2C">
              <w:rPr>
                <w:b/>
                <w:bCs/>
                <w:lang w:val="en-AU"/>
              </w:rPr>
              <w:t>N=23, n (%)</w:t>
            </w:r>
          </w:p>
        </w:tc>
        <w:tc>
          <w:tcPr>
            <w:tcW w:w="1595" w:type="dxa"/>
            <w:shd w:val="clear" w:color="auto" w:fill="DBE5F1" w:themeFill="accent1" w:themeFillTint="33"/>
            <w:vAlign w:val="center"/>
          </w:tcPr>
          <w:p w14:paraId="0A45DF8C" w14:textId="77777777" w:rsidR="00404D38" w:rsidRPr="00D33C2C" w:rsidRDefault="00404D38" w:rsidP="00AC13C1">
            <w:pPr>
              <w:pStyle w:val="Tabletext"/>
              <w:keepNext/>
              <w:keepLines/>
              <w:jc w:val="center"/>
              <w:rPr>
                <w:b/>
                <w:bCs/>
                <w:lang w:val="en-AU"/>
              </w:rPr>
            </w:pPr>
            <w:r w:rsidRPr="00D33C2C">
              <w:rPr>
                <w:b/>
                <w:bCs/>
                <w:lang w:val="en-AU"/>
              </w:rPr>
              <w:t>120 µg/kg</w:t>
            </w:r>
          </w:p>
          <w:p w14:paraId="359DACEA" w14:textId="77777777" w:rsidR="00404D38" w:rsidRPr="00D33C2C" w:rsidRDefault="00404D38" w:rsidP="00AC13C1">
            <w:pPr>
              <w:pStyle w:val="Tabletext"/>
              <w:keepNext/>
              <w:keepLines/>
              <w:jc w:val="center"/>
              <w:rPr>
                <w:b/>
                <w:bCs/>
                <w:lang w:val="en-AU"/>
              </w:rPr>
            </w:pPr>
            <w:r w:rsidRPr="00D33C2C">
              <w:rPr>
                <w:b/>
                <w:bCs/>
                <w:lang w:val="en-AU"/>
              </w:rPr>
              <w:t>N=19, n (%)</w:t>
            </w:r>
          </w:p>
        </w:tc>
        <w:tc>
          <w:tcPr>
            <w:tcW w:w="1597" w:type="dxa"/>
            <w:shd w:val="clear" w:color="auto" w:fill="DBE5F1" w:themeFill="accent1" w:themeFillTint="33"/>
            <w:vAlign w:val="center"/>
          </w:tcPr>
          <w:p w14:paraId="7CFF698A" w14:textId="77777777" w:rsidR="00404D38" w:rsidRPr="00D33C2C" w:rsidRDefault="00404D38" w:rsidP="00AC13C1">
            <w:pPr>
              <w:pStyle w:val="Tabletext"/>
              <w:keepNext/>
              <w:keepLines/>
              <w:jc w:val="center"/>
              <w:rPr>
                <w:b/>
                <w:bCs/>
                <w:lang w:val="en-AU"/>
              </w:rPr>
            </w:pPr>
            <w:r w:rsidRPr="00D33C2C">
              <w:rPr>
                <w:b/>
                <w:bCs/>
                <w:lang w:val="en-AU"/>
              </w:rPr>
              <w:t>All doses</w:t>
            </w:r>
          </w:p>
          <w:p w14:paraId="6D80DFD8" w14:textId="77777777" w:rsidR="00404D38" w:rsidRPr="00D33C2C" w:rsidRDefault="00404D38" w:rsidP="00AC13C1">
            <w:pPr>
              <w:pStyle w:val="Tabletext"/>
              <w:keepNext/>
              <w:keepLines/>
              <w:jc w:val="center"/>
              <w:rPr>
                <w:b/>
                <w:bCs/>
                <w:lang w:val="en-AU"/>
              </w:rPr>
            </w:pPr>
            <w:r w:rsidRPr="00D33C2C">
              <w:rPr>
                <w:b/>
                <w:bCs/>
                <w:lang w:val="en-AU"/>
              </w:rPr>
              <w:t>N=42, n (%)</w:t>
            </w:r>
          </w:p>
        </w:tc>
      </w:tr>
      <w:tr w:rsidR="00404D38" w:rsidRPr="00D33C2C" w14:paraId="3D829ED6" w14:textId="77777777" w:rsidTr="00AC13C1">
        <w:trPr>
          <w:trHeight w:val="113"/>
        </w:trPr>
        <w:tc>
          <w:tcPr>
            <w:tcW w:w="2757" w:type="dxa"/>
            <w:shd w:val="clear" w:color="auto" w:fill="DBE5F1" w:themeFill="accent1" w:themeFillTint="33"/>
            <w:vAlign w:val="center"/>
          </w:tcPr>
          <w:p w14:paraId="371FCCF5" w14:textId="77777777" w:rsidR="00404D38" w:rsidRPr="00D33C2C" w:rsidRDefault="00404D38" w:rsidP="00AC13C1">
            <w:pPr>
              <w:pStyle w:val="Tabletext"/>
              <w:keepNext/>
              <w:keepLines/>
              <w:rPr>
                <w:lang w:val="en-AU"/>
              </w:rPr>
            </w:pPr>
            <w:r w:rsidRPr="00D33C2C">
              <w:rPr>
                <w:lang w:val="en-AU"/>
              </w:rPr>
              <w:t>TEAE</w:t>
            </w:r>
          </w:p>
        </w:tc>
        <w:tc>
          <w:tcPr>
            <w:tcW w:w="1473" w:type="dxa"/>
            <w:shd w:val="clear" w:color="auto" w:fill="DBE5F1" w:themeFill="accent1" w:themeFillTint="33"/>
            <w:vAlign w:val="center"/>
          </w:tcPr>
          <w:p w14:paraId="5A0691CB" w14:textId="77777777" w:rsidR="00404D38" w:rsidRPr="00D33C2C" w:rsidRDefault="00404D38" w:rsidP="00AC13C1">
            <w:pPr>
              <w:pStyle w:val="Tabletext"/>
              <w:keepNext/>
              <w:keepLines/>
              <w:jc w:val="center"/>
              <w:rPr>
                <w:lang w:val="en-AU"/>
              </w:rPr>
            </w:pPr>
            <w:r w:rsidRPr="00D33C2C">
              <w:rPr>
                <w:lang w:val="en-AU"/>
              </w:rPr>
              <w:t>17 (85.0)</w:t>
            </w:r>
          </w:p>
        </w:tc>
        <w:tc>
          <w:tcPr>
            <w:tcW w:w="1595" w:type="dxa"/>
            <w:shd w:val="clear" w:color="auto" w:fill="DBE5F1" w:themeFill="accent1" w:themeFillTint="33"/>
            <w:vAlign w:val="center"/>
          </w:tcPr>
          <w:p w14:paraId="4913FAD4" w14:textId="77777777" w:rsidR="00404D38" w:rsidRPr="00D33C2C" w:rsidRDefault="00404D38" w:rsidP="00AC13C1">
            <w:pPr>
              <w:pStyle w:val="Tabletext"/>
              <w:keepNext/>
              <w:keepLines/>
              <w:jc w:val="center"/>
              <w:rPr>
                <w:lang w:val="en-AU"/>
              </w:rPr>
            </w:pPr>
            <w:r w:rsidRPr="00D33C2C">
              <w:rPr>
                <w:lang w:val="en-AU"/>
              </w:rPr>
              <w:t>19 (82.6)</w:t>
            </w:r>
          </w:p>
        </w:tc>
        <w:tc>
          <w:tcPr>
            <w:tcW w:w="1595" w:type="dxa"/>
            <w:shd w:val="clear" w:color="auto" w:fill="DBE5F1" w:themeFill="accent1" w:themeFillTint="33"/>
            <w:vAlign w:val="center"/>
          </w:tcPr>
          <w:p w14:paraId="1E8A67F1" w14:textId="77777777" w:rsidR="00404D38" w:rsidRPr="00D33C2C" w:rsidRDefault="00404D38" w:rsidP="00AC13C1">
            <w:pPr>
              <w:pStyle w:val="Tabletext"/>
              <w:keepNext/>
              <w:keepLines/>
              <w:jc w:val="center"/>
              <w:rPr>
                <w:lang w:val="en-AU"/>
              </w:rPr>
            </w:pPr>
            <w:r w:rsidRPr="00D33C2C">
              <w:rPr>
                <w:lang w:val="en-AU"/>
              </w:rPr>
              <w:t>16 (84.2)</w:t>
            </w:r>
          </w:p>
        </w:tc>
        <w:tc>
          <w:tcPr>
            <w:tcW w:w="1597" w:type="dxa"/>
            <w:shd w:val="clear" w:color="auto" w:fill="DBE5F1" w:themeFill="accent1" w:themeFillTint="33"/>
            <w:vAlign w:val="center"/>
          </w:tcPr>
          <w:p w14:paraId="3EC2429F" w14:textId="77777777" w:rsidR="00404D38" w:rsidRPr="00D33C2C" w:rsidRDefault="00404D38" w:rsidP="00AC13C1">
            <w:pPr>
              <w:pStyle w:val="Tabletext"/>
              <w:keepNext/>
              <w:keepLines/>
              <w:jc w:val="center"/>
              <w:rPr>
                <w:lang w:val="en-AU"/>
              </w:rPr>
            </w:pPr>
            <w:r w:rsidRPr="00D33C2C">
              <w:rPr>
                <w:lang w:val="en-AU"/>
              </w:rPr>
              <w:t>35 (83.3)</w:t>
            </w:r>
          </w:p>
        </w:tc>
      </w:tr>
      <w:tr w:rsidR="00404D38" w:rsidRPr="00D33C2C" w14:paraId="604E73F4" w14:textId="77777777" w:rsidTr="00AC13C1">
        <w:trPr>
          <w:trHeight w:val="113"/>
        </w:trPr>
        <w:tc>
          <w:tcPr>
            <w:tcW w:w="2757" w:type="dxa"/>
            <w:shd w:val="clear" w:color="auto" w:fill="DBE5F1" w:themeFill="accent1" w:themeFillTint="33"/>
            <w:vAlign w:val="center"/>
          </w:tcPr>
          <w:p w14:paraId="57143FBF" w14:textId="77777777" w:rsidR="00404D38" w:rsidRPr="00D33C2C" w:rsidRDefault="00404D38" w:rsidP="00AC13C1">
            <w:pPr>
              <w:pStyle w:val="Tabletext"/>
              <w:keepNext/>
              <w:keepLines/>
              <w:rPr>
                <w:lang w:val="en-AU"/>
              </w:rPr>
            </w:pPr>
            <w:r w:rsidRPr="00D33C2C">
              <w:rPr>
                <w:lang w:val="en-AU"/>
              </w:rPr>
              <w:t xml:space="preserve">Drug-related TEAE </w:t>
            </w:r>
            <w:r w:rsidRPr="00D33C2C">
              <w:rPr>
                <w:vertAlign w:val="superscript"/>
                <w:lang w:val="en-AU"/>
              </w:rPr>
              <w:t>a</w:t>
            </w:r>
          </w:p>
        </w:tc>
        <w:tc>
          <w:tcPr>
            <w:tcW w:w="1473" w:type="dxa"/>
            <w:shd w:val="clear" w:color="auto" w:fill="DBE5F1" w:themeFill="accent1" w:themeFillTint="33"/>
            <w:vAlign w:val="center"/>
          </w:tcPr>
          <w:p w14:paraId="3EDE7195" w14:textId="77777777" w:rsidR="00404D38" w:rsidRPr="00D33C2C" w:rsidRDefault="00404D38" w:rsidP="00AC13C1">
            <w:pPr>
              <w:pStyle w:val="Tabletext"/>
              <w:keepNext/>
              <w:keepLines/>
              <w:jc w:val="center"/>
              <w:rPr>
                <w:lang w:val="en-AU"/>
              </w:rPr>
            </w:pPr>
            <w:r w:rsidRPr="00D33C2C">
              <w:rPr>
                <w:lang w:val="en-AU"/>
              </w:rPr>
              <w:t>3 (15.0)</w:t>
            </w:r>
          </w:p>
        </w:tc>
        <w:tc>
          <w:tcPr>
            <w:tcW w:w="1595" w:type="dxa"/>
            <w:shd w:val="clear" w:color="auto" w:fill="DBE5F1" w:themeFill="accent1" w:themeFillTint="33"/>
            <w:vAlign w:val="center"/>
          </w:tcPr>
          <w:p w14:paraId="76B829E2" w14:textId="77777777" w:rsidR="00404D38" w:rsidRPr="00D33C2C" w:rsidRDefault="00404D38" w:rsidP="00AC13C1">
            <w:pPr>
              <w:pStyle w:val="Tabletext"/>
              <w:keepNext/>
              <w:keepLines/>
              <w:jc w:val="center"/>
              <w:rPr>
                <w:lang w:val="en-AU"/>
              </w:rPr>
            </w:pPr>
            <w:r w:rsidRPr="00D33C2C">
              <w:rPr>
                <w:lang w:val="en-AU"/>
              </w:rPr>
              <w:t>7 (30.4)</w:t>
            </w:r>
          </w:p>
        </w:tc>
        <w:tc>
          <w:tcPr>
            <w:tcW w:w="1595" w:type="dxa"/>
            <w:shd w:val="clear" w:color="auto" w:fill="DBE5F1" w:themeFill="accent1" w:themeFillTint="33"/>
            <w:vAlign w:val="center"/>
          </w:tcPr>
          <w:p w14:paraId="122BAB41" w14:textId="77777777" w:rsidR="00404D38" w:rsidRPr="00D33C2C" w:rsidRDefault="00404D38" w:rsidP="00AC13C1">
            <w:pPr>
              <w:pStyle w:val="Tabletext"/>
              <w:keepNext/>
              <w:keepLines/>
              <w:jc w:val="center"/>
              <w:rPr>
                <w:lang w:val="en-AU"/>
              </w:rPr>
            </w:pPr>
            <w:r w:rsidRPr="00D33C2C">
              <w:rPr>
                <w:lang w:val="en-AU"/>
              </w:rPr>
              <w:t>7 (36.8)</w:t>
            </w:r>
          </w:p>
        </w:tc>
        <w:tc>
          <w:tcPr>
            <w:tcW w:w="1597" w:type="dxa"/>
            <w:shd w:val="clear" w:color="auto" w:fill="DBE5F1" w:themeFill="accent1" w:themeFillTint="33"/>
            <w:vAlign w:val="center"/>
          </w:tcPr>
          <w:p w14:paraId="3055A2AC" w14:textId="77777777" w:rsidR="00404D38" w:rsidRPr="00D33C2C" w:rsidRDefault="00404D38" w:rsidP="00AC13C1">
            <w:pPr>
              <w:pStyle w:val="Tabletext"/>
              <w:keepNext/>
              <w:keepLines/>
              <w:jc w:val="center"/>
              <w:rPr>
                <w:lang w:val="en-AU"/>
              </w:rPr>
            </w:pPr>
            <w:r w:rsidRPr="00D33C2C">
              <w:rPr>
                <w:lang w:val="en-AU"/>
              </w:rPr>
              <w:t>14 (33.3)</w:t>
            </w:r>
          </w:p>
        </w:tc>
      </w:tr>
      <w:tr w:rsidR="00404D38" w:rsidRPr="00D33C2C" w14:paraId="2A1B9D39" w14:textId="77777777" w:rsidTr="00AC13C1">
        <w:trPr>
          <w:trHeight w:val="113"/>
        </w:trPr>
        <w:tc>
          <w:tcPr>
            <w:tcW w:w="2757" w:type="dxa"/>
            <w:shd w:val="clear" w:color="auto" w:fill="DBE5F1" w:themeFill="accent1" w:themeFillTint="33"/>
            <w:vAlign w:val="center"/>
          </w:tcPr>
          <w:p w14:paraId="3CC33ED1" w14:textId="77777777" w:rsidR="00404D38" w:rsidRPr="00D33C2C" w:rsidRDefault="00404D38" w:rsidP="00AC13C1">
            <w:pPr>
              <w:pStyle w:val="Tabletext"/>
              <w:keepNext/>
              <w:keepLines/>
              <w:rPr>
                <w:vertAlign w:val="superscript"/>
                <w:lang w:val="en-AU"/>
              </w:rPr>
            </w:pPr>
            <w:r w:rsidRPr="00D33C2C">
              <w:rPr>
                <w:lang w:val="en-AU"/>
              </w:rPr>
              <w:t xml:space="preserve">Severe TEAE </w:t>
            </w:r>
            <w:r w:rsidRPr="00D33C2C">
              <w:rPr>
                <w:vertAlign w:val="superscript"/>
                <w:lang w:val="en-AU"/>
              </w:rPr>
              <w:t>b</w:t>
            </w:r>
          </w:p>
        </w:tc>
        <w:tc>
          <w:tcPr>
            <w:tcW w:w="1473" w:type="dxa"/>
            <w:shd w:val="clear" w:color="auto" w:fill="DBE5F1" w:themeFill="accent1" w:themeFillTint="33"/>
            <w:vAlign w:val="center"/>
          </w:tcPr>
          <w:p w14:paraId="294DB656" w14:textId="77777777" w:rsidR="00404D38" w:rsidRPr="00D33C2C" w:rsidRDefault="00404D38" w:rsidP="00AC13C1">
            <w:pPr>
              <w:pStyle w:val="Tabletext"/>
              <w:keepNext/>
              <w:keepLines/>
              <w:jc w:val="center"/>
              <w:rPr>
                <w:lang w:val="en-AU"/>
              </w:rPr>
            </w:pPr>
            <w:r w:rsidRPr="00D33C2C">
              <w:rPr>
                <w:lang w:val="en-AU"/>
              </w:rPr>
              <w:t>2 (10.0)</w:t>
            </w:r>
          </w:p>
        </w:tc>
        <w:tc>
          <w:tcPr>
            <w:tcW w:w="1595" w:type="dxa"/>
            <w:shd w:val="clear" w:color="auto" w:fill="DBE5F1" w:themeFill="accent1" w:themeFillTint="33"/>
            <w:vAlign w:val="center"/>
          </w:tcPr>
          <w:p w14:paraId="2558D5FD" w14:textId="77777777" w:rsidR="00404D38" w:rsidRPr="00D33C2C" w:rsidRDefault="00404D38" w:rsidP="00AC13C1">
            <w:pPr>
              <w:pStyle w:val="Tabletext"/>
              <w:keepNext/>
              <w:keepLines/>
              <w:jc w:val="center"/>
              <w:rPr>
                <w:lang w:val="en-AU"/>
              </w:rPr>
            </w:pPr>
            <w:r w:rsidRPr="00D33C2C">
              <w:rPr>
                <w:lang w:val="en-AU"/>
              </w:rPr>
              <w:t>1 (4.3)</w:t>
            </w:r>
          </w:p>
        </w:tc>
        <w:tc>
          <w:tcPr>
            <w:tcW w:w="1595" w:type="dxa"/>
            <w:shd w:val="clear" w:color="auto" w:fill="DBE5F1" w:themeFill="accent1" w:themeFillTint="33"/>
            <w:vAlign w:val="center"/>
          </w:tcPr>
          <w:p w14:paraId="5C160F18" w14:textId="77777777" w:rsidR="00404D38" w:rsidRPr="00D33C2C" w:rsidRDefault="00404D38" w:rsidP="00AC13C1">
            <w:pPr>
              <w:pStyle w:val="Tabletext"/>
              <w:keepNext/>
              <w:keepLines/>
              <w:jc w:val="center"/>
              <w:rPr>
                <w:lang w:val="en-AU"/>
              </w:rPr>
            </w:pPr>
            <w:r w:rsidRPr="00D33C2C">
              <w:rPr>
                <w:lang w:val="en-AU"/>
              </w:rPr>
              <w:t>2 (10.5)</w:t>
            </w:r>
          </w:p>
        </w:tc>
        <w:tc>
          <w:tcPr>
            <w:tcW w:w="1597" w:type="dxa"/>
            <w:shd w:val="clear" w:color="auto" w:fill="DBE5F1" w:themeFill="accent1" w:themeFillTint="33"/>
            <w:vAlign w:val="center"/>
          </w:tcPr>
          <w:p w14:paraId="554DF0CC" w14:textId="77777777" w:rsidR="00404D38" w:rsidRPr="00D33C2C" w:rsidRDefault="00404D38" w:rsidP="00AC13C1">
            <w:pPr>
              <w:pStyle w:val="Tabletext"/>
              <w:keepNext/>
              <w:keepLines/>
              <w:jc w:val="center"/>
              <w:rPr>
                <w:lang w:val="en-AU"/>
              </w:rPr>
            </w:pPr>
            <w:r w:rsidRPr="00D33C2C">
              <w:rPr>
                <w:lang w:val="en-AU"/>
              </w:rPr>
              <w:t>3 (7.1)</w:t>
            </w:r>
          </w:p>
        </w:tc>
      </w:tr>
      <w:tr w:rsidR="00404D38" w:rsidRPr="00D33C2C" w14:paraId="2C1183E3" w14:textId="77777777" w:rsidTr="00AC13C1">
        <w:trPr>
          <w:trHeight w:val="113"/>
        </w:trPr>
        <w:tc>
          <w:tcPr>
            <w:tcW w:w="2757" w:type="dxa"/>
            <w:shd w:val="clear" w:color="auto" w:fill="DBE5F1" w:themeFill="accent1" w:themeFillTint="33"/>
            <w:vAlign w:val="center"/>
          </w:tcPr>
          <w:p w14:paraId="006B68C1" w14:textId="77777777" w:rsidR="00404D38" w:rsidRPr="00D33C2C" w:rsidRDefault="00404D38" w:rsidP="00AC13C1">
            <w:pPr>
              <w:pStyle w:val="Tabletext"/>
              <w:keepNext/>
              <w:keepLines/>
              <w:rPr>
                <w:lang w:val="en-AU"/>
              </w:rPr>
            </w:pPr>
            <w:r w:rsidRPr="00D33C2C">
              <w:rPr>
                <w:lang w:val="en-AU"/>
              </w:rPr>
              <w:t>Serious TEAE</w:t>
            </w:r>
          </w:p>
        </w:tc>
        <w:tc>
          <w:tcPr>
            <w:tcW w:w="1473" w:type="dxa"/>
            <w:shd w:val="clear" w:color="auto" w:fill="DBE5F1" w:themeFill="accent1" w:themeFillTint="33"/>
            <w:vAlign w:val="center"/>
          </w:tcPr>
          <w:p w14:paraId="339E6DCF" w14:textId="77777777" w:rsidR="00404D38" w:rsidRPr="00D33C2C" w:rsidRDefault="00404D38" w:rsidP="00AC13C1">
            <w:pPr>
              <w:pStyle w:val="Tabletext"/>
              <w:keepNext/>
              <w:keepLines/>
              <w:jc w:val="center"/>
              <w:rPr>
                <w:lang w:val="en-AU"/>
              </w:rPr>
            </w:pPr>
            <w:r w:rsidRPr="00D33C2C">
              <w:rPr>
                <w:lang w:val="en-AU"/>
              </w:rPr>
              <w:t>5 (25.0)</w:t>
            </w:r>
          </w:p>
        </w:tc>
        <w:tc>
          <w:tcPr>
            <w:tcW w:w="1595" w:type="dxa"/>
            <w:shd w:val="clear" w:color="auto" w:fill="DBE5F1" w:themeFill="accent1" w:themeFillTint="33"/>
            <w:vAlign w:val="center"/>
          </w:tcPr>
          <w:p w14:paraId="5FE772CB" w14:textId="77777777" w:rsidR="00404D38" w:rsidRPr="00D33C2C" w:rsidRDefault="00404D38" w:rsidP="00AC13C1">
            <w:pPr>
              <w:pStyle w:val="Tabletext"/>
              <w:keepNext/>
              <w:keepLines/>
              <w:jc w:val="center"/>
              <w:rPr>
                <w:lang w:val="en-AU"/>
              </w:rPr>
            </w:pPr>
            <w:r w:rsidRPr="00D33C2C">
              <w:rPr>
                <w:lang w:val="en-AU"/>
              </w:rPr>
              <w:t>0</w:t>
            </w:r>
          </w:p>
        </w:tc>
        <w:tc>
          <w:tcPr>
            <w:tcW w:w="1595" w:type="dxa"/>
            <w:shd w:val="clear" w:color="auto" w:fill="DBE5F1" w:themeFill="accent1" w:themeFillTint="33"/>
            <w:vAlign w:val="center"/>
          </w:tcPr>
          <w:p w14:paraId="4D2BBDDC" w14:textId="77777777" w:rsidR="00404D38" w:rsidRPr="00D33C2C" w:rsidRDefault="00404D38" w:rsidP="00AC13C1">
            <w:pPr>
              <w:pStyle w:val="Tabletext"/>
              <w:keepNext/>
              <w:keepLines/>
              <w:jc w:val="center"/>
              <w:rPr>
                <w:lang w:val="en-AU"/>
              </w:rPr>
            </w:pPr>
            <w:r w:rsidRPr="00D33C2C">
              <w:rPr>
                <w:lang w:val="en-AU"/>
              </w:rPr>
              <w:t>3 (15.8)</w:t>
            </w:r>
          </w:p>
        </w:tc>
        <w:tc>
          <w:tcPr>
            <w:tcW w:w="1597" w:type="dxa"/>
            <w:shd w:val="clear" w:color="auto" w:fill="DBE5F1" w:themeFill="accent1" w:themeFillTint="33"/>
            <w:vAlign w:val="center"/>
          </w:tcPr>
          <w:p w14:paraId="221F767E" w14:textId="77777777" w:rsidR="00404D38" w:rsidRPr="00D33C2C" w:rsidRDefault="00404D38" w:rsidP="00AC13C1">
            <w:pPr>
              <w:pStyle w:val="Tabletext"/>
              <w:keepNext/>
              <w:keepLines/>
              <w:jc w:val="center"/>
              <w:rPr>
                <w:lang w:val="en-AU"/>
              </w:rPr>
            </w:pPr>
            <w:r w:rsidRPr="00D33C2C">
              <w:rPr>
                <w:lang w:val="en-AU"/>
              </w:rPr>
              <w:t>3 (7.1)</w:t>
            </w:r>
          </w:p>
        </w:tc>
      </w:tr>
      <w:tr w:rsidR="00404D38" w:rsidRPr="00D33C2C" w14:paraId="4369EBC9" w14:textId="77777777" w:rsidTr="00AC13C1">
        <w:trPr>
          <w:trHeight w:val="113"/>
        </w:trPr>
        <w:tc>
          <w:tcPr>
            <w:tcW w:w="2757" w:type="dxa"/>
            <w:shd w:val="clear" w:color="auto" w:fill="DBE5F1" w:themeFill="accent1" w:themeFillTint="33"/>
            <w:vAlign w:val="center"/>
          </w:tcPr>
          <w:p w14:paraId="36FD5336" w14:textId="77777777" w:rsidR="00404D38" w:rsidRPr="00D33C2C" w:rsidRDefault="00404D38" w:rsidP="00AC13C1">
            <w:pPr>
              <w:pStyle w:val="Tabletext"/>
              <w:keepNext/>
              <w:keepLines/>
              <w:rPr>
                <w:lang w:val="en-AU"/>
              </w:rPr>
            </w:pPr>
            <w:r w:rsidRPr="00D33C2C">
              <w:rPr>
                <w:lang w:val="en-AU"/>
              </w:rPr>
              <w:t>Drug-related serious TEAE</w:t>
            </w:r>
          </w:p>
        </w:tc>
        <w:tc>
          <w:tcPr>
            <w:tcW w:w="1473" w:type="dxa"/>
            <w:shd w:val="clear" w:color="auto" w:fill="DBE5F1" w:themeFill="accent1" w:themeFillTint="33"/>
            <w:vAlign w:val="center"/>
          </w:tcPr>
          <w:p w14:paraId="2F6E1DDA" w14:textId="77777777" w:rsidR="00404D38" w:rsidRPr="00D33C2C" w:rsidRDefault="00404D38" w:rsidP="00AC13C1">
            <w:pPr>
              <w:pStyle w:val="Tabletext"/>
              <w:keepNext/>
              <w:keepLines/>
              <w:jc w:val="center"/>
              <w:rPr>
                <w:lang w:val="en-AU"/>
              </w:rPr>
            </w:pPr>
            <w:r w:rsidRPr="00D33C2C">
              <w:rPr>
                <w:lang w:val="en-AU"/>
              </w:rPr>
              <w:t>0</w:t>
            </w:r>
          </w:p>
        </w:tc>
        <w:tc>
          <w:tcPr>
            <w:tcW w:w="1595" w:type="dxa"/>
            <w:shd w:val="clear" w:color="auto" w:fill="DBE5F1" w:themeFill="accent1" w:themeFillTint="33"/>
            <w:vAlign w:val="center"/>
          </w:tcPr>
          <w:p w14:paraId="2E7C08DE" w14:textId="77777777" w:rsidR="00404D38" w:rsidRPr="00D33C2C" w:rsidRDefault="00404D38" w:rsidP="00AC13C1">
            <w:pPr>
              <w:pStyle w:val="Tabletext"/>
              <w:keepNext/>
              <w:keepLines/>
              <w:jc w:val="center"/>
              <w:rPr>
                <w:lang w:val="en-AU"/>
              </w:rPr>
            </w:pPr>
            <w:r w:rsidRPr="00D33C2C">
              <w:rPr>
                <w:lang w:val="en-AU"/>
              </w:rPr>
              <w:t>0</w:t>
            </w:r>
          </w:p>
        </w:tc>
        <w:tc>
          <w:tcPr>
            <w:tcW w:w="1595" w:type="dxa"/>
            <w:shd w:val="clear" w:color="auto" w:fill="DBE5F1" w:themeFill="accent1" w:themeFillTint="33"/>
            <w:vAlign w:val="center"/>
          </w:tcPr>
          <w:p w14:paraId="676CE9DD" w14:textId="77777777" w:rsidR="00404D38" w:rsidRPr="00D33C2C" w:rsidRDefault="00404D38" w:rsidP="00AC13C1">
            <w:pPr>
              <w:pStyle w:val="Tabletext"/>
              <w:keepNext/>
              <w:keepLines/>
              <w:jc w:val="center"/>
              <w:rPr>
                <w:lang w:val="en-AU"/>
              </w:rPr>
            </w:pPr>
            <w:r w:rsidRPr="00D33C2C">
              <w:rPr>
                <w:lang w:val="en-AU"/>
              </w:rPr>
              <w:t>0</w:t>
            </w:r>
          </w:p>
        </w:tc>
        <w:tc>
          <w:tcPr>
            <w:tcW w:w="1597" w:type="dxa"/>
            <w:shd w:val="clear" w:color="auto" w:fill="DBE5F1" w:themeFill="accent1" w:themeFillTint="33"/>
            <w:vAlign w:val="center"/>
          </w:tcPr>
          <w:p w14:paraId="5854AC7C" w14:textId="77777777" w:rsidR="00404D38" w:rsidRPr="00D33C2C" w:rsidRDefault="00404D38" w:rsidP="00AC13C1">
            <w:pPr>
              <w:pStyle w:val="Tabletext"/>
              <w:keepNext/>
              <w:keepLines/>
              <w:jc w:val="center"/>
              <w:rPr>
                <w:lang w:val="en-AU"/>
              </w:rPr>
            </w:pPr>
            <w:r w:rsidRPr="00D33C2C">
              <w:rPr>
                <w:lang w:val="en-AU"/>
              </w:rPr>
              <w:t>0</w:t>
            </w:r>
          </w:p>
        </w:tc>
      </w:tr>
      <w:tr w:rsidR="00404D38" w:rsidRPr="00D33C2C" w14:paraId="00EB6A45" w14:textId="77777777" w:rsidTr="00AC13C1">
        <w:trPr>
          <w:trHeight w:val="113"/>
        </w:trPr>
        <w:tc>
          <w:tcPr>
            <w:tcW w:w="2757" w:type="dxa"/>
            <w:shd w:val="clear" w:color="auto" w:fill="DBE5F1" w:themeFill="accent1" w:themeFillTint="33"/>
            <w:vAlign w:val="center"/>
          </w:tcPr>
          <w:p w14:paraId="51875696" w14:textId="77777777" w:rsidR="00404D38" w:rsidRPr="00D33C2C" w:rsidRDefault="00404D38" w:rsidP="00AC13C1">
            <w:pPr>
              <w:pStyle w:val="Tabletext"/>
              <w:keepNext/>
              <w:keepLines/>
              <w:rPr>
                <w:lang w:val="en-AU"/>
              </w:rPr>
            </w:pPr>
            <w:r w:rsidRPr="00D33C2C">
              <w:rPr>
                <w:lang w:val="en-AU"/>
              </w:rPr>
              <w:t>TEAE leading to study treatment discontinuation</w:t>
            </w:r>
          </w:p>
        </w:tc>
        <w:tc>
          <w:tcPr>
            <w:tcW w:w="1473" w:type="dxa"/>
            <w:shd w:val="clear" w:color="auto" w:fill="DBE5F1" w:themeFill="accent1" w:themeFillTint="33"/>
            <w:vAlign w:val="center"/>
          </w:tcPr>
          <w:p w14:paraId="501186CB" w14:textId="77777777" w:rsidR="00404D38" w:rsidRPr="00D33C2C" w:rsidRDefault="00404D38" w:rsidP="00AC13C1">
            <w:pPr>
              <w:pStyle w:val="Tabletext"/>
              <w:keepNext/>
              <w:keepLines/>
              <w:jc w:val="center"/>
              <w:rPr>
                <w:lang w:val="en-AU"/>
              </w:rPr>
            </w:pPr>
            <w:r w:rsidRPr="00D33C2C">
              <w:rPr>
                <w:lang w:val="en-AU"/>
              </w:rPr>
              <w:t>0</w:t>
            </w:r>
          </w:p>
        </w:tc>
        <w:tc>
          <w:tcPr>
            <w:tcW w:w="1595" w:type="dxa"/>
            <w:shd w:val="clear" w:color="auto" w:fill="DBE5F1" w:themeFill="accent1" w:themeFillTint="33"/>
            <w:vAlign w:val="center"/>
          </w:tcPr>
          <w:p w14:paraId="4B6CEC77" w14:textId="77777777" w:rsidR="00404D38" w:rsidRPr="00D33C2C" w:rsidRDefault="00404D38" w:rsidP="00AC13C1">
            <w:pPr>
              <w:pStyle w:val="Tabletext"/>
              <w:keepNext/>
              <w:keepLines/>
              <w:jc w:val="center"/>
              <w:rPr>
                <w:lang w:val="en-AU"/>
              </w:rPr>
            </w:pPr>
            <w:r w:rsidRPr="00D33C2C">
              <w:rPr>
                <w:lang w:val="en-AU"/>
              </w:rPr>
              <w:t>0</w:t>
            </w:r>
          </w:p>
        </w:tc>
        <w:tc>
          <w:tcPr>
            <w:tcW w:w="1595" w:type="dxa"/>
            <w:shd w:val="clear" w:color="auto" w:fill="DBE5F1" w:themeFill="accent1" w:themeFillTint="33"/>
            <w:vAlign w:val="center"/>
          </w:tcPr>
          <w:p w14:paraId="2CB87F74" w14:textId="77777777" w:rsidR="00404D38" w:rsidRPr="00D33C2C" w:rsidRDefault="00404D38" w:rsidP="00AC13C1">
            <w:pPr>
              <w:pStyle w:val="Tabletext"/>
              <w:keepNext/>
              <w:keepLines/>
              <w:jc w:val="center"/>
              <w:rPr>
                <w:lang w:val="en-AU"/>
              </w:rPr>
            </w:pPr>
            <w:r w:rsidRPr="00D33C2C">
              <w:rPr>
                <w:lang w:val="en-AU"/>
              </w:rPr>
              <w:t>1 (5.3)</w:t>
            </w:r>
          </w:p>
        </w:tc>
        <w:tc>
          <w:tcPr>
            <w:tcW w:w="1597" w:type="dxa"/>
            <w:shd w:val="clear" w:color="auto" w:fill="DBE5F1" w:themeFill="accent1" w:themeFillTint="33"/>
            <w:vAlign w:val="center"/>
          </w:tcPr>
          <w:p w14:paraId="3CFE4009" w14:textId="77777777" w:rsidR="00404D38" w:rsidRPr="00D33C2C" w:rsidRDefault="00404D38" w:rsidP="00AC13C1">
            <w:pPr>
              <w:pStyle w:val="Tabletext"/>
              <w:keepNext/>
              <w:keepLines/>
              <w:jc w:val="center"/>
              <w:rPr>
                <w:lang w:val="en-AU"/>
              </w:rPr>
            </w:pPr>
            <w:r w:rsidRPr="00D33C2C">
              <w:rPr>
                <w:lang w:val="en-AU"/>
              </w:rPr>
              <w:t>1 (2.4)</w:t>
            </w:r>
          </w:p>
        </w:tc>
      </w:tr>
      <w:tr w:rsidR="00404D38" w:rsidRPr="00D33C2C" w14:paraId="5938AC8A" w14:textId="77777777" w:rsidTr="00AC13C1">
        <w:trPr>
          <w:trHeight w:val="113"/>
        </w:trPr>
        <w:tc>
          <w:tcPr>
            <w:tcW w:w="2757" w:type="dxa"/>
            <w:tcBorders>
              <w:bottom w:val="single" w:sz="4" w:space="0" w:color="auto"/>
            </w:tcBorders>
            <w:shd w:val="clear" w:color="auto" w:fill="DBE5F1" w:themeFill="accent1" w:themeFillTint="33"/>
            <w:vAlign w:val="center"/>
          </w:tcPr>
          <w:p w14:paraId="62589A1A" w14:textId="77777777" w:rsidR="00404D38" w:rsidRPr="00D33C2C" w:rsidRDefault="00404D38" w:rsidP="00AC13C1">
            <w:pPr>
              <w:pStyle w:val="Tabletext"/>
              <w:keepNext/>
              <w:keepLines/>
              <w:rPr>
                <w:lang w:val="en-AU"/>
              </w:rPr>
            </w:pPr>
            <w:r w:rsidRPr="00D33C2C">
              <w:rPr>
                <w:lang w:val="en-AU"/>
              </w:rPr>
              <w:t>TEAE leading to death</w:t>
            </w:r>
          </w:p>
        </w:tc>
        <w:tc>
          <w:tcPr>
            <w:tcW w:w="1473" w:type="dxa"/>
            <w:tcBorders>
              <w:bottom w:val="single" w:sz="4" w:space="0" w:color="auto"/>
            </w:tcBorders>
            <w:shd w:val="clear" w:color="auto" w:fill="DBE5F1" w:themeFill="accent1" w:themeFillTint="33"/>
            <w:vAlign w:val="center"/>
          </w:tcPr>
          <w:p w14:paraId="7C1CCAC2" w14:textId="77777777" w:rsidR="00404D38" w:rsidRPr="00D33C2C" w:rsidRDefault="00404D38" w:rsidP="00AC13C1">
            <w:pPr>
              <w:pStyle w:val="Tabletext"/>
              <w:keepNext/>
              <w:keepLines/>
              <w:jc w:val="center"/>
              <w:rPr>
                <w:lang w:val="en-AU"/>
              </w:rPr>
            </w:pPr>
            <w:r w:rsidRPr="00D33C2C">
              <w:rPr>
                <w:lang w:val="en-AU"/>
              </w:rPr>
              <w:t>0</w:t>
            </w:r>
          </w:p>
        </w:tc>
        <w:tc>
          <w:tcPr>
            <w:tcW w:w="1595" w:type="dxa"/>
            <w:tcBorders>
              <w:bottom w:val="single" w:sz="4" w:space="0" w:color="auto"/>
            </w:tcBorders>
            <w:shd w:val="clear" w:color="auto" w:fill="DBE5F1" w:themeFill="accent1" w:themeFillTint="33"/>
            <w:vAlign w:val="center"/>
          </w:tcPr>
          <w:p w14:paraId="779B6EAE" w14:textId="77777777" w:rsidR="00404D38" w:rsidRPr="00D33C2C" w:rsidRDefault="00404D38" w:rsidP="00AC13C1">
            <w:pPr>
              <w:pStyle w:val="Tabletext"/>
              <w:keepNext/>
              <w:keepLines/>
              <w:jc w:val="center"/>
              <w:rPr>
                <w:lang w:val="en-AU"/>
              </w:rPr>
            </w:pPr>
            <w:r w:rsidRPr="00D33C2C">
              <w:rPr>
                <w:lang w:val="en-AU"/>
              </w:rPr>
              <w:t>0</w:t>
            </w:r>
          </w:p>
        </w:tc>
        <w:tc>
          <w:tcPr>
            <w:tcW w:w="1595" w:type="dxa"/>
            <w:tcBorders>
              <w:bottom w:val="single" w:sz="4" w:space="0" w:color="auto"/>
            </w:tcBorders>
            <w:shd w:val="clear" w:color="auto" w:fill="DBE5F1" w:themeFill="accent1" w:themeFillTint="33"/>
            <w:vAlign w:val="center"/>
          </w:tcPr>
          <w:p w14:paraId="20F2134E" w14:textId="77777777" w:rsidR="00404D38" w:rsidRPr="00D33C2C" w:rsidRDefault="00404D38" w:rsidP="00AC13C1">
            <w:pPr>
              <w:pStyle w:val="Tabletext"/>
              <w:keepNext/>
              <w:keepLines/>
              <w:jc w:val="center"/>
              <w:rPr>
                <w:lang w:val="en-AU"/>
              </w:rPr>
            </w:pPr>
            <w:r w:rsidRPr="00D33C2C">
              <w:rPr>
                <w:lang w:val="en-AU"/>
              </w:rPr>
              <w:t>0</w:t>
            </w:r>
          </w:p>
        </w:tc>
        <w:tc>
          <w:tcPr>
            <w:tcW w:w="1597" w:type="dxa"/>
            <w:tcBorders>
              <w:bottom w:val="single" w:sz="4" w:space="0" w:color="auto"/>
            </w:tcBorders>
            <w:shd w:val="clear" w:color="auto" w:fill="DBE5F1" w:themeFill="accent1" w:themeFillTint="33"/>
            <w:vAlign w:val="center"/>
          </w:tcPr>
          <w:p w14:paraId="01DB6830" w14:textId="77777777" w:rsidR="00404D38" w:rsidRPr="00D33C2C" w:rsidRDefault="00404D38" w:rsidP="00AC13C1">
            <w:pPr>
              <w:pStyle w:val="Tabletext"/>
              <w:keepNext/>
              <w:keepLines/>
              <w:jc w:val="center"/>
              <w:rPr>
                <w:lang w:val="en-AU"/>
              </w:rPr>
            </w:pPr>
            <w:r w:rsidRPr="00D33C2C">
              <w:rPr>
                <w:lang w:val="en-AU"/>
              </w:rPr>
              <w:t>0</w:t>
            </w:r>
          </w:p>
        </w:tc>
      </w:tr>
    </w:tbl>
    <w:p w14:paraId="6E3FFF53" w14:textId="77777777" w:rsidR="00404D38" w:rsidRPr="008250C3" w:rsidRDefault="00404D38" w:rsidP="008250C3">
      <w:pPr>
        <w:pStyle w:val="Tabletext"/>
        <w:rPr>
          <w:sz w:val="18"/>
          <w:szCs w:val="22"/>
        </w:rPr>
      </w:pPr>
      <w:r w:rsidRPr="008250C3">
        <w:rPr>
          <w:sz w:val="18"/>
          <w:szCs w:val="22"/>
        </w:rPr>
        <w:t>Source: Table 7, odevixibat PSD, July 2024 PBAC meeting</w:t>
      </w:r>
    </w:p>
    <w:p w14:paraId="28331827" w14:textId="77777777" w:rsidR="00404D38" w:rsidRPr="008250C3" w:rsidRDefault="00404D38" w:rsidP="008250C3">
      <w:pPr>
        <w:pStyle w:val="Tabletext"/>
        <w:rPr>
          <w:sz w:val="18"/>
          <w:szCs w:val="22"/>
        </w:rPr>
      </w:pPr>
      <w:r w:rsidRPr="008250C3">
        <w:rPr>
          <w:sz w:val="18"/>
          <w:szCs w:val="22"/>
        </w:rPr>
        <w:t>CI = confidence interval; TEAE = treatment emergent adverse event; RD = risk difference; RR = relative risk</w:t>
      </w:r>
    </w:p>
    <w:p w14:paraId="4B325387" w14:textId="77777777" w:rsidR="00404D38" w:rsidRPr="008250C3" w:rsidRDefault="00404D38" w:rsidP="008250C3">
      <w:pPr>
        <w:pStyle w:val="Tabletext"/>
        <w:rPr>
          <w:sz w:val="18"/>
          <w:szCs w:val="22"/>
        </w:rPr>
      </w:pPr>
      <w:r w:rsidRPr="008250C3">
        <w:rPr>
          <w:sz w:val="18"/>
          <w:szCs w:val="22"/>
        </w:rPr>
        <w:t>a Patients reporting more than one event are counted only once at the highest relationship reported</w:t>
      </w:r>
    </w:p>
    <w:p w14:paraId="64BB4732" w14:textId="77777777" w:rsidR="00404D38" w:rsidRPr="008250C3" w:rsidRDefault="00404D38" w:rsidP="008250C3">
      <w:pPr>
        <w:pStyle w:val="Tabletext"/>
        <w:rPr>
          <w:sz w:val="18"/>
          <w:szCs w:val="22"/>
        </w:rPr>
      </w:pPr>
      <w:r w:rsidRPr="008250C3">
        <w:rPr>
          <w:sz w:val="18"/>
          <w:szCs w:val="22"/>
        </w:rPr>
        <w:t>b Patients reporting more than one event are counted only once at the maximum severity reported</w:t>
      </w:r>
    </w:p>
    <w:p w14:paraId="7FA72B3E" w14:textId="77777777" w:rsidR="00404D38" w:rsidRPr="008250C3" w:rsidRDefault="00404D38" w:rsidP="00724118">
      <w:pPr>
        <w:pStyle w:val="Tabletext"/>
        <w:spacing w:after="120"/>
        <w:rPr>
          <w:sz w:val="18"/>
          <w:szCs w:val="22"/>
        </w:rPr>
      </w:pPr>
      <w:r w:rsidRPr="008250C3">
        <w:rPr>
          <w:sz w:val="18"/>
          <w:szCs w:val="22"/>
        </w:rPr>
        <w:t xml:space="preserve">c Comparisons were between all doses odevixibat vs placebo </w:t>
      </w:r>
    </w:p>
    <w:p w14:paraId="4B32E0CF" w14:textId="6604627A" w:rsidR="00404D38" w:rsidRDefault="00404D38" w:rsidP="00404D38">
      <w:pPr>
        <w:pStyle w:val="3-BodyText"/>
        <w:numPr>
          <w:ilvl w:val="1"/>
          <w:numId w:val="1"/>
        </w:numPr>
      </w:pPr>
      <w:r>
        <w:t>The safety results at the interim analysis (data cutoff 31 July 2022</w:t>
      </w:r>
      <w:r w:rsidR="00D04792">
        <w:t>, median follow-up 53.1 weeks</w:t>
      </w:r>
      <w:r>
        <w:t xml:space="preserve">) for PEDFIC 2 from the TGA’s Clinical Evaluation Report for odevixibat, and </w:t>
      </w:r>
      <w:r>
        <w:lastRenderedPageBreak/>
        <w:t xml:space="preserve">the Week-72 CSR </w:t>
      </w:r>
      <w:r w:rsidR="00D04792">
        <w:t>(data cutoff 15 February 2024, median follow-up 98.9 weeks)</w:t>
      </w:r>
      <w:r w:rsidR="00D62161">
        <w:t xml:space="preserve"> </w:t>
      </w:r>
      <w:r>
        <w:t xml:space="preserve">from the resubmission are presented in </w:t>
      </w:r>
      <w:r>
        <w:fldChar w:fldCharType="begin" w:fldLock="1"/>
      </w:r>
      <w:r>
        <w:instrText xml:space="preserve"> REF _Ref184921339 \h </w:instrText>
      </w:r>
      <w:r>
        <w:fldChar w:fldCharType="separate"/>
      </w:r>
      <w:r w:rsidR="00382EF0">
        <w:t xml:space="preserve">Table </w:t>
      </w:r>
      <w:r w:rsidR="00382EF0">
        <w:rPr>
          <w:noProof/>
        </w:rPr>
        <w:t>10</w:t>
      </w:r>
      <w:r>
        <w:fldChar w:fldCharType="end"/>
      </w:r>
      <w:r>
        <w:t xml:space="preserve">. </w:t>
      </w:r>
    </w:p>
    <w:p w14:paraId="79E745A1" w14:textId="649FF5E1" w:rsidR="00404D38" w:rsidRDefault="00404D38" w:rsidP="007D00DA">
      <w:pPr>
        <w:pStyle w:val="Caption"/>
      </w:pPr>
      <w:bookmarkStart w:id="58" w:name="_Ref184921339"/>
      <w:bookmarkStart w:id="59" w:name="_Hlk184922187"/>
      <w:r>
        <w:t xml:space="preserve">Table </w:t>
      </w:r>
      <w:r w:rsidR="00382EF0">
        <w:fldChar w:fldCharType="begin" w:fldLock="1"/>
      </w:r>
      <w:r w:rsidR="00382EF0">
        <w:instrText xml:space="preserve"> SEQ Table \* ARABIC </w:instrText>
      </w:r>
      <w:r w:rsidR="00382EF0">
        <w:fldChar w:fldCharType="separate"/>
      </w:r>
      <w:r w:rsidR="00382EF0">
        <w:rPr>
          <w:noProof/>
        </w:rPr>
        <w:t>10</w:t>
      </w:r>
      <w:r w:rsidR="00382EF0">
        <w:rPr>
          <w:noProof/>
        </w:rPr>
        <w:fldChar w:fldCharType="end"/>
      </w:r>
      <w:bookmarkEnd w:id="58"/>
      <w:r>
        <w:t xml:space="preserve">: </w:t>
      </w:r>
      <w:r w:rsidRPr="00C86EBE">
        <w:t xml:space="preserve">PEDFIC 2 overall summary of TEAEs </w:t>
      </w:r>
    </w:p>
    <w:tbl>
      <w:tblPr>
        <w:tblStyle w:val="Submissionstandard"/>
        <w:tblW w:w="5000" w:type="pct"/>
        <w:tblLayout w:type="fixed"/>
        <w:tblLook w:val="04A0" w:firstRow="1" w:lastRow="0" w:firstColumn="1" w:lastColumn="0" w:noHBand="0" w:noVBand="1"/>
        <w:tblCaption w:val="Table 10: PEDFIC 2 overall summary of TEAEs "/>
      </w:tblPr>
      <w:tblGrid>
        <w:gridCol w:w="2400"/>
        <w:gridCol w:w="959"/>
        <w:gridCol w:w="958"/>
        <w:gridCol w:w="959"/>
        <w:gridCol w:w="849"/>
        <w:gridCol w:w="959"/>
        <w:gridCol w:w="959"/>
        <w:gridCol w:w="974"/>
      </w:tblGrid>
      <w:tr w:rsidR="00173823" w:rsidRPr="00D33C2C" w14:paraId="0B38EC6D" w14:textId="77777777" w:rsidTr="00137251">
        <w:trPr>
          <w:cnfStyle w:val="100000000000" w:firstRow="1" w:lastRow="0" w:firstColumn="0" w:lastColumn="0" w:oddVBand="0" w:evenVBand="0" w:oddHBand="0" w:evenHBand="0" w:firstRowFirstColumn="0" w:firstRowLastColumn="0" w:lastRowFirstColumn="0" w:lastRowLastColumn="0"/>
          <w:trHeight w:val="20"/>
          <w:tblHeader/>
        </w:trPr>
        <w:tc>
          <w:tcPr>
            <w:tcW w:w="1330" w:type="pct"/>
            <w:tcBorders>
              <w:top w:val="single" w:sz="4" w:space="0" w:color="auto"/>
              <w:left w:val="single" w:sz="4" w:space="0" w:color="auto"/>
              <w:bottom w:val="single" w:sz="4" w:space="0" w:color="DBE5F1" w:themeColor="accent1" w:themeTint="33"/>
              <w:right w:val="single" w:sz="4" w:space="0" w:color="auto"/>
            </w:tcBorders>
            <w:shd w:val="clear" w:color="auto" w:fill="DBE5F1" w:themeFill="accent1" w:themeFillTint="33"/>
            <w:tcMar>
              <w:left w:w="20" w:type="dxa"/>
              <w:right w:w="20" w:type="dxa"/>
            </w:tcMar>
            <w:vAlign w:val="center"/>
            <w:hideMark/>
          </w:tcPr>
          <w:p w14:paraId="386728ED" w14:textId="77777777" w:rsidR="00404D38" w:rsidRPr="00D70E38" w:rsidRDefault="00404D38" w:rsidP="007D00DA">
            <w:pPr>
              <w:pStyle w:val="Tabletext"/>
              <w:keepNext/>
              <w:keepLines/>
              <w:rPr>
                <w:lang w:val="en-AU"/>
              </w:rPr>
            </w:pPr>
            <w:bookmarkStart w:id="60" w:name="_Hlk184988015"/>
            <w:r>
              <w:t xml:space="preserve"> </w:t>
            </w:r>
          </w:p>
        </w:tc>
        <w:tc>
          <w:tcPr>
            <w:tcW w:w="2066" w:type="pct"/>
            <w:gridSpan w:val="4"/>
            <w:tcBorders>
              <w:top w:val="single" w:sz="4" w:space="0" w:color="auto"/>
              <w:left w:val="single" w:sz="4" w:space="0" w:color="auto"/>
              <w:bottom w:val="single" w:sz="4" w:space="0" w:color="auto"/>
            </w:tcBorders>
            <w:shd w:val="clear" w:color="auto" w:fill="DBE5F1" w:themeFill="accent1" w:themeFillTint="33"/>
            <w:tcMar>
              <w:left w:w="20" w:type="dxa"/>
              <w:right w:w="20" w:type="dxa"/>
            </w:tcMar>
          </w:tcPr>
          <w:p w14:paraId="6899D440" w14:textId="77777777" w:rsidR="00404D38" w:rsidRPr="00D33C2C" w:rsidRDefault="00404D38" w:rsidP="007D00DA">
            <w:pPr>
              <w:pStyle w:val="Tabletext"/>
              <w:keepNext/>
              <w:keepLines/>
              <w:jc w:val="center"/>
              <w:rPr>
                <w:b w:val="0"/>
                <w:lang w:val="en-AU"/>
              </w:rPr>
            </w:pPr>
            <w:r w:rsidRPr="00D33C2C">
              <w:rPr>
                <w:lang w:val="en-AU"/>
              </w:rPr>
              <w:t>Cohort 1</w:t>
            </w:r>
          </w:p>
        </w:tc>
        <w:tc>
          <w:tcPr>
            <w:tcW w:w="532" w:type="pct"/>
            <w:vMerge w:val="restart"/>
            <w:tcBorders>
              <w:top w:val="single" w:sz="4" w:space="0" w:color="auto"/>
              <w:bottom w:val="single" w:sz="4" w:space="0" w:color="auto"/>
            </w:tcBorders>
            <w:shd w:val="clear" w:color="auto" w:fill="DBE5F1" w:themeFill="accent1" w:themeFillTint="33"/>
            <w:tcMar>
              <w:left w:w="20" w:type="dxa"/>
              <w:right w:w="20" w:type="dxa"/>
            </w:tcMar>
            <w:vAlign w:val="center"/>
            <w:hideMark/>
          </w:tcPr>
          <w:p w14:paraId="70709861" w14:textId="1435F6B1" w:rsidR="00404D38" w:rsidRPr="00D33C2C" w:rsidRDefault="00404D38" w:rsidP="007D00DA">
            <w:pPr>
              <w:pStyle w:val="Tabletext"/>
              <w:keepNext/>
              <w:keepLines/>
              <w:jc w:val="center"/>
              <w:rPr>
                <w:b w:val="0"/>
                <w:lang w:val="en-AU"/>
              </w:rPr>
            </w:pPr>
            <w:r w:rsidRPr="00D33C2C">
              <w:rPr>
                <w:lang w:val="en-AU"/>
              </w:rPr>
              <w:t>Cohort 2</w:t>
            </w:r>
          </w:p>
        </w:tc>
        <w:tc>
          <w:tcPr>
            <w:tcW w:w="532" w:type="pct"/>
            <w:vMerge w:val="restart"/>
            <w:tcBorders>
              <w:top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2A92A81E" w14:textId="734C34AE" w:rsidR="00404D38" w:rsidRPr="00D33C2C" w:rsidRDefault="00404D38" w:rsidP="007D00DA">
            <w:pPr>
              <w:pStyle w:val="Tabletext"/>
              <w:keepNext/>
              <w:keepLines/>
              <w:jc w:val="center"/>
              <w:rPr>
                <w:b w:val="0"/>
                <w:lang w:val="en-AU"/>
              </w:rPr>
            </w:pPr>
            <w:r w:rsidRPr="00D33C2C">
              <w:rPr>
                <w:lang w:val="en-AU"/>
              </w:rPr>
              <w:t>Cohort 2 + placebo</w:t>
            </w:r>
          </w:p>
        </w:tc>
        <w:tc>
          <w:tcPr>
            <w:tcW w:w="540" w:type="pct"/>
            <w:vMerge w:val="restart"/>
            <w:tcBorders>
              <w:top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57484982" w14:textId="29B40F07" w:rsidR="00404D38" w:rsidRPr="00D33C2C" w:rsidRDefault="00404D38" w:rsidP="007D00DA">
            <w:pPr>
              <w:pStyle w:val="Tabletext"/>
              <w:keepNext/>
              <w:keepLines/>
              <w:jc w:val="center"/>
              <w:rPr>
                <w:b w:val="0"/>
              </w:rPr>
            </w:pPr>
            <w:r>
              <w:t>Overall cohort</w:t>
            </w:r>
          </w:p>
        </w:tc>
      </w:tr>
      <w:tr w:rsidR="00173823" w:rsidRPr="00D33C2C" w14:paraId="70309773" w14:textId="77777777" w:rsidTr="00137251">
        <w:trPr>
          <w:trHeight w:val="20"/>
        </w:trPr>
        <w:tc>
          <w:tcPr>
            <w:tcW w:w="1330" w:type="pct"/>
            <w:tcBorders>
              <w:top w:val="single" w:sz="4" w:space="0" w:color="DBE5F1" w:themeColor="accent1" w:themeTint="33"/>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hideMark/>
          </w:tcPr>
          <w:p w14:paraId="21D2D02A" w14:textId="77777777" w:rsidR="00404D38" w:rsidRPr="00D33C2C" w:rsidRDefault="00404D38" w:rsidP="007D00DA">
            <w:pPr>
              <w:pStyle w:val="Tabletext"/>
              <w:keepNext/>
              <w:keepLines/>
              <w:rPr>
                <w:lang w:val="en-AU"/>
              </w:rPr>
            </w:pPr>
          </w:p>
        </w:tc>
        <w:tc>
          <w:tcPr>
            <w:tcW w:w="532" w:type="pct"/>
            <w:tcBorders>
              <w:top w:val="single" w:sz="4" w:space="0" w:color="auto"/>
              <w:left w:val="single" w:sz="4" w:space="0" w:color="auto"/>
            </w:tcBorders>
            <w:shd w:val="clear" w:color="auto" w:fill="DBE5F1" w:themeFill="accent1" w:themeFillTint="33"/>
            <w:tcMar>
              <w:left w:w="20" w:type="dxa"/>
              <w:right w:w="20" w:type="dxa"/>
            </w:tcMar>
            <w:vAlign w:val="center"/>
            <w:hideMark/>
          </w:tcPr>
          <w:p w14:paraId="2F88A86F" w14:textId="04C8114E" w:rsidR="00404D38" w:rsidRPr="00D33C2C" w:rsidRDefault="00404D38" w:rsidP="007D00DA">
            <w:pPr>
              <w:pStyle w:val="Tabletext"/>
              <w:keepNext/>
              <w:keepLines/>
              <w:jc w:val="center"/>
              <w:rPr>
                <w:b/>
                <w:lang w:val="en-AU"/>
              </w:rPr>
            </w:pPr>
            <w:r w:rsidRPr="00D33C2C">
              <w:rPr>
                <w:b/>
                <w:lang w:val="en-AU"/>
              </w:rPr>
              <w:t>40 µg/kg</w:t>
            </w:r>
          </w:p>
        </w:tc>
        <w:tc>
          <w:tcPr>
            <w:tcW w:w="531" w:type="pct"/>
            <w:tcBorders>
              <w:top w:val="single" w:sz="4" w:space="0" w:color="auto"/>
            </w:tcBorders>
            <w:shd w:val="clear" w:color="auto" w:fill="DBE5F1" w:themeFill="accent1" w:themeFillTint="33"/>
            <w:tcMar>
              <w:left w:w="20" w:type="dxa"/>
              <w:right w:w="20" w:type="dxa"/>
            </w:tcMar>
            <w:vAlign w:val="center"/>
            <w:hideMark/>
          </w:tcPr>
          <w:p w14:paraId="28B2879D" w14:textId="6BDBCE53" w:rsidR="00404D38" w:rsidRPr="00D33C2C" w:rsidRDefault="00404D38" w:rsidP="007D00DA">
            <w:pPr>
              <w:pStyle w:val="Tabletext"/>
              <w:keepNext/>
              <w:keepLines/>
              <w:jc w:val="center"/>
              <w:rPr>
                <w:b/>
                <w:lang w:val="en-AU"/>
              </w:rPr>
            </w:pPr>
            <w:r w:rsidRPr="00D33C2C">
              <w:rPr>
                <w:b/>
                <w:lang w:val="en-AU"/>
              </w:rPr>
              <w:t>120 µg/kg</w:t>
            </w:r>
          </w:p>
        </w:tc>
        <w:tc>
          <w:tcPr>
            <w:tcW w:w="532" w:type="pct"/>
            <w:tcBorders>
              <w:top w:val="single" w:sz="4" w:space="0" w:color="auto"/>
            </w:tcBorders>
            <w:shd w:val="clear" w:color="auto" w:fill="DBE5F1" w:themeFill="accent1" w:themeFillTint="33"/>
            <w:tcMar>
              <w:left w:w="20" w:type="dxa"/>
              <w:right w:w="20" w:type="dxa"/>
            </w:tcMar>
            <w:vAlign w:val="center"/>
          </w:tcPr>
          <w:p w14:paraId="64094AFB" w14:textId="44134CB9" w:rsidR="00404D38" w:rsidRPr="00D33C2C" w:rsidRDefault="00404D38" w:rsidP="007D00DA">
            <w:pPr>
              <w:pStyle w:val="Tabletext"/>
              <w:keepNext/>
              <w:keepLines/>
              <w:jc w:val="center"/>
              <w:rPr>
                <w:b/>
                <w:bCs/>
                <w:lang w:val="en-AU"/>
              </w:rPr>
            </w:pPr>
            <w:r w:rsidRPr="00D33C2C">
              <w:rPr>
                <w:b/>
                <w:bCs/>
                <w:lang w:val="en-AU"/>
              </w:rPr>
              <w:t>All doses</w:t>
            </w:r>
          </w:p>
        </w:tc>
        <w:tc>
          <w:tcPr>
            <w:tcW w:w="471" w:type="pct"/>
            <w:tcBorders>
              <w:top w:val="single" w:sz="4" w:space="0" w:color="auto"/>
            </w:tcBorders>
            <w:shd w:val="clear" w:color="auto" w:fill="DBE5F1" w:themeFill="accent1" w:themeFillTint="33"/>
            <w:tcMar>
              <w:left w:w="20" w:type="dxa"/>
              <w:right w:w="20" w:type="dxa"/>
            </w:tcMar>
            <w:vAlign w:val="center"/>
            <w:hideMark/>
          </w:tcPr>
          <w:p w14:paraId="538E5AD2" w14:textId="687D2331" w:rsidR="00404D38" w:rsidRPr="00D33C2C" w:rsidRDefault="00404D38" w:rsidP="007D00DA">
            <w:pPr>
              <w:pStyle w:val="Tabletext"/>
              <w:keepNext/>
              <w:keepLines/>
              <w:jc w:val="center"/>
              <w:rPr>
                <w:b/>
                <w:lang w:val="en-AU"/>
              </w:rPr>
            </w:pPr>
            <w:r w:rsidRPr="00D33C2C">
              <w:rPr>
                <w:b/>
                <w:lang w:val="en-AU"/>
              </w:rPr>
              <w:t xml:space="preserve">Placebo </w:t>
            </w:r>
          </w:p>
        </w:tc>
        <w:tc>
          <w:tcPr>
            <w:tcW w:w="532" w:type="pct"/>
            <w:vMerge/>
            <w:tcBorders>
              <w:top w:val="single" w:sz="4" w:space="0" w:color="auto"/>
            </w:tcBorders>
            <w:shd w:val="clear" w:color="auto" w:fill="auto"/>
            <w:tcMar>
              <w:left w:w="20" w:type="dxa"/>
              <w:right w:w="20" w:type="dxa"/>
            </w:tcMar>
            <w:vAlign w:val="center"/>
            <w:hideMark/>
          </w:tcPr>
          <w:p w14:paraId="173F09C0" w14:textId="77777777" w:rsidR="00404D38" w:rsidRPr="00D33C2C" w:rsidRDefault="00404D38" w:rsidP="007D00DA">
            <w:pPr>
              <w:pStyle w:val="Tabletext"/>
              <w:keepNext/>
              <w:keepLines/>
              <w:jc w:val="center"/>
              <w:rPr>
                <w:b/>
                <w:lang w:val="en-AU"/>
              </w:rPr>
            </w:pPr>
          </w:p>
        </w:tc>
        <w:tc>
          <w:tcPr>
            <w:tcW w:w="532" w:type="pct"/>
            <w:vMerge/>
            <w:tcBorders>
              <w:top w:val="single" w:sz="4" w:space="0" w:color="auto"/>
              <w:right w:val="single" w:sz="4" w:space="0" w:color="auto"/>
            </w:tcBorders>
            <w:tcMar>
              <w:left w:w="20" w:type="dxa"/>
              <w:right w:w="20" w:type="dxa"/>
            </w:tcMar>
            <w:vAlign w:val="center"/>
          </w:tcPr>
          <w:p w14:paraId="6865CDF5" w14:textId="77777777" w:rsidR="00404D38" w:rsidRPr="00D33C2C" w:rsidRDefault="00404D38" w:rsidP="007D00DA">
            <w:pPr>
              <w:pStyle w:val="Tabletext"/>
              <w:keepNext/>
              <w:keepLines/>
              <w:jc w:val="center"/>
              <w:rPr>
                <w:b/>
                <w:lang w:val="en-AU"/>
              </w:rPr>
            </w:pPr>
          </w:p>
        </w:tc>
        <w:tc>
          <w:tcPr>
            <w:tcW w:w="540" w:type="pct"/>
            <w:vMerge/>
            <w:tcBorders>
              <w:top w:val="single" w:sz="4" w:space="0" w:color="auto"/>
              <w:right w:val="single" w:sz="4" w:space="0" w:color="auto"/>
            </w:tcBorders>
            <w:tcMar>
              <w:left w:w="20" w:type="dxa"/>
              <w:right w:w="20" w:type="dxa"/>
            </w:tcMar>
          </w:tcPr>
          <w:p w14:paraId="249B2D96" w14:textId="77777777" w:rsidR="00404D38" w:rsidRPr="00D33C2C" w:rsidRDefault="00404D38" w:rsidP="007D00DA">
            <w:pPr>
              <w:pStyle w:val="Tabletext"/>
              <w:keepNext/>
              <w:keepLines/>
              <w:jc w:val="center"/>
              <w:rPr>
                <w:b/>
              </w:rPr>
            </w:pPr>
          </w:p>
        </w:tc>
      </w:tr>
      <w:tr w:rsidR="00173823" w:rsidRPr="00D33C2C" w14:paraId="35665F0D" w14:textId="77777777" w:rsidTr="00173823">
        <w:trPr>
          <w:trHeight w:val="20"/>
        </w:trPr>
        <w:tc>
          <w:tcPr>
            <w:tcW w:w="1330" w:type="pct"/>
            <w:tcBorders>
              <w:top w:val="single" w:sz="4" w:space="0" w:color="auto"/>
            </w:tcBorders>
            <w:shd w:val="clear" w:color="auto" w:fill="DBE5F1" w:themeFill="accent1" w:themeFillTint="33"/>
            <w:tcMar>
              <w:left w:w="20" w:type="dxa"/>
              <w:right w:w="20" w:type="dxa"/>
            </w:tcMar>
            <w:vAlign w:val="center"/>
          </w:tcPr>
          <w:p w14:paraId="42598D01" w14:textId="23E7CDE6" w:rsidR="00567094" w:rsidRPr="00D33C2C" w:rsidRDefault="00567094" w:rsidP="007D00DA">
            <w:pPr>
              <w:pStyle w:val="Tabletext"/>
              <w:keepNext/>
              <w:keepLines/>
            </w:pPr>
            <w:r w:rsidRPr="00567094">
              <w:rPr>
                <w:b/>
                <w:bCs/>
              </w:rPr>
              <w:t>Data cutoff 31 July 2022</w:t>
            </w:r>
            <w:r w:rsidRPr="00567094">
              <w:rPr>
                <w:b/>
                <w:bCs/>
                <w:vertAlign w:val="superscript"/>
              </w:rPr>
              <w:t>a</w:t>
            </w:r>
          </w:p>
        </w:tc>
        <w:tc>
          <w:tcPr>
            <w:tcW w:w="532" w:type="pct"/>
            <w:shd w:val="clear" w:color="auto" w:fill="DBE5F1" w:themeFill="accent1" w:themeFillTint="33"/>
            <w:tcMar>
              <w:left w:w="20" w:type="dxa"/>
              <w:right w:w="20" w:type="dxa"/>
            </w:tcMar>
            <w:vAlign w:val="center"/>
          </w:tcPr>
          <w:p w14:paraId="00832BA5" w14:textId="43CBD5AE" w:rsidR="00567094" w:rsidRPr="00173823" w:rsidRDefault="00591653" w:rsidP="007D00DA">
            <w:pPr>
              <w:pStyle w:val="Tabletext"/>
              <w:keepNext/>
              <w:keepLines/>
              <w:jc w:val="center"/>
              <w:rPr>
                <w:b/>
                <w:bCs/>
              </w:rPr>
            </w:pPr>
            <w:r w:rsidRPr="00173823">
              <w:rPr>
                <w:b/>
                <w:bCs/>
              </w:rPr>
              <w:t>N=21</w:t>
            </w:r>
          </w:p>
        </w:tc>
        <w:tc>
          <w:tcPr>
            <w:tcW w:w="531" w:type="pct"/>
            <w:shd w:val="clear" w:color="auto" w:fill="DBE5F1" w:themeFill="accent1" w:themeFillTint="33"/>
            <w:tcMar>
              <w:left w:w="20" w:type="dxa"/>
              <w:right w:w="20" w:type="dxa"/>
            </w:tcMar>
            <w:vAlign w:val="center"/>
          </w:tcPr>
          <w:p w14:paraId="432E08F8" w14:textId="469CB63B" w:rsidR="00567094" w:rsidRPr="00173823" w:rsidRDefault="00591653" w:rsidP="007D00DA">
            <w:pPr>
              <w:pStyle w:val="Tabletext"/>
              <w:keepNext/>
              <w:keepLines/>
              <w:jc w:val="center"/>
              <w:rPr>
                <w:b/>
                <w:bCs/>
              </w:rPr>
            </w:pPr>
            <w:r w:rsidRPr="00173823">
              <w:rPr>
                <w:b/>
                <w:bCs/>
              </w:rPr>
              <w:t>N=16</w:t>
            </w:r>
          </w:p>
        </w:tc>
        <w:tc>
          <w:tcPr>
            <w:tcW w:w="532" w:type="pct"/>
            <w:shd w:val="clear" w:color="auto" w:fill="DBE5F1" w:themeFill="accent1" w:themeFillTint="33"/>
            <w:tcMar>
              <w:left w:w="20" w:type="dxa"/>
              <w:right w:w="20" w:type="dxa"/>
            </w:tcMar>
            <w:vAlign w:val="center"/>
          </w:tcPr>
          <w:p w14:paraId="581AFC7E" w14:textId="08083BC3" w:rsidR="00567094" w:rsidRPr="00173823" w:rsidRDefault="00591653" w:rsidP="007D00DA">
            <w:pPr>
              <w:pStyle w:val="Tabletext"/>
              <w:keepNext/>
              <w:keepLines/>
              <w:jc w:val="center"/>
              <w:rPr>
                <w:b/>
                <w:bCs/>
              </w:rPr>
            </w:pPr>
            <w:r w:rsidRPr="00173823">
              <w:rPr>
                <w:b/>
                <w:bCs/>
              </w:rPr>
              <w:t>N=37</w:t>
            </w:r>
          </w:p>
        </w:tc>
        <w:tc>
          <w:tcPr>
            <w:tcW w:w="471" w:type="pct"/>
            <w:shd w:val="clear" w:color="auto" w:fill="DBE5F1" w:themeFill="accent1" w:themeFillTint="33"/>
            <w:tcMar>
              <w:left w:w="20" w:type="dxa"/>
              <w:right w:w="20" w:type="dxa"/>
            </w:tcMar>
            <w:vAlign w:val="center"/>
          </w:tcPr>
          <w:p w14:paraId="1E555062" w14:textId="64DD97E6" w:rsidR="00567094" w:rsidRPr="00173823" w:rsidRDefault="00591653" w:rsidP="007D00DA">
            <w:pPr>
              <w:pStyle w:val="Tabletext"/>
              <w:keepNext/>
              <w:keepLines/>
              <w:jc w:val="center"/>
              <w:rPr>
                <w:b/>
                <w:bCs/>
              </w:rPr>
            </w:pPr>
            <w:r w:rsidRPr="00173823">
              <w:rPr>
                <w:b/>
                <w:bCs/>
              </w:rPr>
              <w:t>N=19</w:t>
            </w:r>
          </w:p>
        </w:tc>
        <w:tc>
          <w:tcPr>
            <w:tcW w:w="532" w:type="pct"/>
            <w:shd w:val="clear" w:color="auto" w:fill="DBE5F1" w:themeFill="accent1" w:themeFillTint="33"/>
            <w:tcMar>
              <w:left w:w="20" w:type="dxa"/>
              <w:right w:w="20" w:type="dxa"/>
            </w:tcMar>
            <w:vAlign w:val="center"/>
          </w:tcPr>
          <w:p w14:paraId="49F97493" w14:textId="263F695B" w:rsidR="00567094" w:rsidRPr="00173823" w:rsidRDefault="00591653" w:rsidP="007D00DA">
            <w:pPr>
              <w:pStyle w:val="Tabletext"/>
              <w:keepNext/>
              <w:keepLines/>
              <w:jc w:val="center"/>
              <w:rPr>
                <w:b/>
                <w:bCs/>
              </w:rPr>
            </w:pPr>
            <w:r w:rsidRPr="00173823">
              <w:rPr>
                <w:b/>
                <w:bCs/>
              </w:rPr>
              <w:t>N=56</w:t>
            </w:r>
          </w:p>
        </w:tc>
        <w:tc>
          <w:tcPr>
            <w:tcW w:w="532" w:type="pct"/>
            <w:shd w:val="clear" w:color="auto" w:fill="DBE5F1" w:themeFill="accent1" w:themeFillTint="33"/>
            <w:tcMar>
              <w:left w:w="20" w:type="dxa"/>
              <w:right w:w="20" w:type="dxa"/>
            </w:tcMar>
            <w:vAlign w:val="center"/>
          </w:tcPr>
          <w:p w14:paraId="01FA155B" w14:textId="298DA2E7" w:rsidR="00567094" w:rsidRPr="00173823" w:rsidRDefault="00591653" w:rsidP="007D00DA">
            <w:pPr>
              <w:pStyle w:val="Tabletext"/>
              <w:keepNext/>
              <w:keepLines/>
              <w:jc w:val="center"/>
              <w:rPr>
                <w:b/>
                <w:bCs/>
              </w:rPr>
            </w:pPr>
            <w:r w:rsidRPr="00173823">
              <w:rPr>
                <w:b/>
                <w:bCs/>
              </w:rPr>
              <w:t>N=75</w:t>
            </w:r>
          </w:p>
        </w:tc>
        <w:tc>
          <w:tcPr>
            <w:tcW w:w="540" w:type="pct"/>
            <w:shd w:val="clear" w:color="auto" w:fill="DBE5F1" w:themeFill="accent1" w:themeFillTint="33"/>
            <w:tcMar>
              <w:left w:w="20" w:type="dxa"/>
              <w:right w:w="20" w:type="dxa"/>
            </w:tcMar>
            <w:vAlign w:val="center"/>
          </w:tcPr>
          <w:p w14:paraId="7211F163" w14:textId="24F29A64" w:rsidR="00567094" w:rsidRPr="00173823" w:rsidRDefault="00591653" w:rsidP="007D00DA">
            <w:pPr>
              <w:pStyle w:val="Tabletext"/>
              <w:keepNext/>
              <w:keepLines/>
              <w:jc w:val="center"/>
              <w:rPr>
                <w:b/>
                <w:bCs/>
              </w:rPr>
            </w:pPr>
            <w:r w:rsidRPr="00173823">
              <w:rPr>
                <w:b/>
                <w:bCs/>
              </w:rPr>
              <w:t>N=112</w:t>
            </w:r>
          </w:p>
        </w:tc>
      </w:tr>
      <w:tr w:rsidR="00173823" w:rsidRPr="00D33C2C" w14:paraId="6B9E8E34" w14:textId="77777777" w:rsidTr="00173823">
        <w:trPr>
          <w:trHeight w:val="20"/>
        </w:trPr>
        <w:tc>
          <w:tcPr>
            <w:tcW w:w="1330" w:type="pct"/>
            <w:tcBorders>
              <w:top w:val="single" w:sz="4" w:space="0" w:color="auto"/>
            </w:tcBorders>
            <w:shd w:val="clear" w:color="auto" w:fill="DBE5F1" w:themeFill="accent1" w:themeFillTint="33"/>
            <w:tcMar>
              <w:left w:w="20" w:type="dxa"/>
              <w:right w:w="20" w:type="dxa"/>
            </w:tcMar>
            <w:vAlign w:val="center"/>
            <w:hideMark/>
          </w:tcPr>
          <w:p w14:paraId="132F0D51" w14:textId="77777777" w:rsidR="00404D38" w:rsidRPr="00D33C2C" w:rsidRDefault="00404D38" w:rsidP="007D00DA">
            <w:pPr>
              <w:pStyle w:val="Tabletext"/>
              <w:keepNext/>
              <w:keepLines/>
              <w:rPr>
                <w:lang w:val="en-AU"/>
              </w:rPr>
            </w:pPr>
            <w:r w:rsidRPr="00D33C2C">
              <w:rPr>
                <w:lang w:val="en-AU"/>
              </w:rPr>
              <w:t>TEAE</w:t>
            </w:r>
          </w:p>
        </w:tc>
        <w:tc>
          <w:tcPr>
            <w:tcW w:w="532" w:type="pct"/>
            <w:shd w:val="clear" w:color="auto" w:fill="DBE5F1" w:themeFill="accent1" w:themeFillTint="33"/>
            <w:tcMar>
              <w:left w:w="20" w:type="dxa"/>
              <w:right w:w="20" w:type="dxa"/>
            </w:tcMar>
            <w:vAlign w:val="center"/>
            <w:hideMark/>
          </w:tcPr>
          <w:p w14:paraId="0F1E9DB1" w14:textId="77777777" w:rsidR="00404D38" w:rsidRPr="00D33C2C" w:rsidRDefault="00404D38" w:rsidP="007D00DA">
            <w:pPr>
              <w:pStyle w:val="Tabletext"/>
              <w:keepNext/>
              <w:keepLines/>
              <w:jc w:val="center"/>
              <w:rPr>
                <w:lang w:val="en-AU"/>
              </w:rPr>
            </w:pPr>
            <w:r w:rsidRPr="002920EA">
              <w:t>21 (100)</w:t>
            </w:r>
          </w:p>
        </w:tc>
        <w:tc>
          <w:tcPr>
            <w:tcW w:w="531" w:type="pct"/>
            <w:shd w:val="clear" w:color="auto" w:fill="DBE5F1" w:themeFill="accent1" w:themeFillTint="33"/>
            <w:tcMar>
              <w:left w:w="20" w:type="dxa"/>
              <w:right w:w="20" w:type="dxa"/>
            </w:tcMar>
            <w:vAlign w:val="center"/>
            <w:hideMark/>
          </w:tcPr>
          <w:p w14:paraId="24944ACC" w14:textId="77777777" w:rsidR="00404D38" w:rsidRPr="00D33C2C" w:rsidRDefault="00404D38" w:rsidP="007D00DA">
            <w:pPr>
              <w:pStyle w:val="Tabletext"/>
              <w:keepNext/>
              <w:keepLines/>
              <w:jc w:val="center"/>
              <w:rPr>
                <w:lang w:val="en-AU"/>
              </w:rPr>
            </w:pPr>
            <w:r w:rsidRPr="002920EA">
              <w:t>16 (100)</w:t>
            </w:r>
          </w:p>
        </w:tc>
        <w:tc>
          <w:tcPr>
            <w:tcW w:w="532" w:type="pct"/>
            <w:shd w:val="clear" w:color="auto" w:fill="DBE5F1" w:themeFill="accent1" w:themeFillTint="33"/>
            <w:tcMar>
              <w:left w:w="20" w:type="dxa"/>
              <w:right w:w="20" w:type="dxa"/>
            </w:tcMar>
            <w:vAlign w:val="center"/>
          </w:tcPr>
          <w:p w14:paraId="68063020" w14:textId="77777777" w:rsidR="00404D38" w:rsidRPr="00D33C2C" w:rsidRDefault="00404D38" w:rsidP="007D00DA">
            <w:pPr>
              <w:pStyle w:val="Tabletext"/>
              <w:keepNext/>
              <w:keepLines/>
              <w:jc w:val="center"/>
              <w:rPr>
                <w:lang w:val="en-AU"/>
              </w:rPr>
            </w:pPr>
            <w:r w:rsidRPr="002920EA">
              <w:t>37 (100)</w:t>
            </w:r>
          </w:p>
        </w:tc>
        <w:tc>
          <w:tcPr>
            <w:tcW w:w="471" w:type="pct"/>
            <w:shd w:val="clear" w:color="auto" w:fill="DBE5F1" w:themeFill="accent1" w:themeFillTint="33"/>
            <w:tcMar>
              <w:left w:w="20" w:type="dxa"/>
              <w:right w:w="20" w:type="dxa"/>
            </w:tcMar>
            <w:vAlign w:val="center"/>
            <w:hideMark/>
          </w:tcPr>
          <w:p w14:paraId="5071286C" w14:textId="77777777" w:rsidR="00404D38" w:rsidRPr="00D33C2C" w:rsidRDefault="00404D38" w:rsidP="007D00DA">
            <w:pPr>
              <w:pStyle w:val="Tabletext"/>
              <w:keepNext/>
              <w:keepLines/>
              <w:jc w:val="center"/>
              <w:rPr>
                <w:lang w:val="en-AU"/>
              </w:rPr>
            </w:pPr>
            <w:r w:rsidRPr="002920EA">
              <w:t>18 (94.7)</w:t>
            </w:r>
          </w:p>
        </w:tc>
        <w:tc>
          <w:tcPr>
            <w:tcW w:w="532" w:type="pct"/>
            <w:shd w:val="clear" w:color="auto" w:fill="DBE5F1" w:themeFill="accent1" w:themeFillTint="33"/>
            <w:tcMar>
              <w:left w:w="20" w:type="dxa"/>
              <w:right w:w="20" w:type="dxa"/>
            </w:tcMar>
            <w:vAlign w:val="center"/>
            <w:hideMark/>
          </w:tcPr>
          <w:p w14:paraId="2028872F" w14:textId="77777777" w:rsidR="00404D38" w:rsidRPr="00D33C2C" w:rsidRDefault="00404D38" w:rsidP="007D00DA">
            <w:pPr>
              <w:pStyle w:val="Tabletext"/>
              <w:keepNext/>
              <w:keepLines/>
              <w:jc w:val="center"/>
              <w:rPr>
                <w:lang w:val="en-AU"/>
              </w:rPr>
            </w:pPr>
            <w:r w:rsidRPr="002920EA">
              <w:t>48 (85.7)</w:t>
            </w:r>
          </w:p>
        </w:tc>
        <w:tc>
          <w:tcPr>
            <w:tcW w:w="532" w:type="pct"/>
            <w:shd w:val="clear" w:color="auto" w:fill="DBE5F1" w:themeFill="accent1" w:themeFillTint="33"/>
            <w:tcMar>
              <w:left w:w="20" w:type="dxa"/>
              <w:right w:w="20" w:type="dxa"/>
            </w:tcMar>
            <w:vAlign w:val="center"/>
          </w:tcPr>
          <w:p w14:paraId="4DD6E8A5" w14:textId="77777777" w:rsidR="00404D38" w:rsidRPr="00D33C2C" w:rsidRDefault="00404D38" w:rsidP="007D00DA">
            <w:pPr>
              <w:pStyle w:val="Tabletext"/>
              <w:keepNext/>
              <w:keepLines/>
              <w:jc w:val="center"/>
              <w:rPr>
                <w:lang w:val="en-AU"/>
              </w:rPr>
            </w:pPr>
            <w:r w:rsidRPr="002920EA">
              <w:t>66 (88)</w:t>
            </w:r>
          </w:p>
        </w:tc>
        <w:tc>
          <w:tcPr>
            <w:tcW w:w="540" w:type="pct"/>
            <w:shd w:val="clear" w:color="auto" w:fill="DBE5F1" w:themeFill="accent1" w:themeFillTint="33"/>
            <w:tcMar>
              <w:left w:w="20" w:type="dxa"/>
              <w:right w:w="20" w:type="dxa"/>
            </w:tcMar>
            <w:vAlign w:val="center"/>
          </w:tcPr>
          <w:p w14:paraId="48A7E239" w14:textId="77777777" w:rsidR="00404D38" w:rsidRPr="002920EA" w:rsidRDefault="00404D38" w:rsidP="007D00DA">
            <w:pPr>
              <w:pStyle w:val="Tabletext"/>
              <w:keepNext/>
              <w:keepLines/>
              <w:jc w:val="center"/>
            </w:pPr>
            <w:r>
              <w:t>103 (92)</w:t>
            </w:r>
          </w:p>
        </w:tc>
      </w:tr>
      <w:tr w:rsidR="00173823" w:rsidRPr="00D33C2C" w14:paraId="6C2ADB51" w14:textId="77777777" w:rsidTr="00173823">
        <w:trPr>
          <w:trHeight w:val="20"/>
        </w:trPr>
        <w:tc>
          <w:tcPr>
            <w:tcW w:w="1330" w:type="pct"/>
            <w:shd w:val="clear" w:color="auto" w:fill="DBE5F1" w:themeFill="accent1" w:themeFillTint="33"/>
            <w:tcMar>
              <w:left w:w="20" w:type="dxa"/>
              <w:right w:w="20" w:type="dxa"/>
            </w:tcMar>
            <w:vAlign w:val="center"/>
            <w:hideMark/>
          </w:tcPr>
          <w:p w14:paraId="3CC25781" w14:textId="77777777" w:rsidR="00404D38" w:rsidRPr="00D33C2C" w:rsidRDefault="00404D38" w:rsidP="007D00DA">
            <w:pPr>
              <w:pStyle w:val="Tabletext"/>
              <w:keepNext/>
              <w:keepLines/>
              <w:rPr>
                <w:lang w:val="en-AU"/>
              </w:rPr>
            </w:pPr>
            <w:r w:rsidRPr="00D33C2C">
              <w:rPr>
                <w:lang w:val="en-AU"/>
              </w:rPr>
              <w:t xml:space="preserve">Drug-related TEAE </w:t>
            </w:r>
          </w:p>
        </w:tc>
        <w:tc>
          <w:tcPr>
            <w:tcW w:w="532" w:type="pct"/>
            <w:shd w:val="clear" w:color="auto" w:fill="DBE5F1" w:themeFill="accent1" w:themeFillTint="33"/>
            <w:tcMar>
              <w:left w:w="20" w:type="dxa"/>
              <w:right w:w="20" w:type="dxa"/>
            </w:tcMar>
            <w:vAlign w:val="center"/>
            <w:hideMark/>
          </w:tcPr>
          <w:p w14:paraId="06A3B806" w14:textId="77777777" w:rsidR="00404D38" w:rsidRPr="00D33C2C" w:rsidRDefault="00404D38" w:rsidP="007D00DA">
            <w:pPr>
              <w:pStyle w:val="Tabletext"/>
              <w:keepNext/>
              <w:keepLines/>
              <w:jc w:val="center"/>
              <w:rPr>
                <w:lang w:val="en-AU"/>
              </w:rPr>
            </w:pPr>
            <w:r w:rsidRPr="002920EA">
              <w:t>10 (47.6)</w:t>
            </w:r>
          </w:p>
        </w:tc>
        <w:tc>
          <w:tcPr>
            <w:tcW w:w="531" w:type="pct"/>
            <w:shd w:val="clear" w:color="auto" w:fill="DBE5F1" w:themeFill="accent1" w:themeFillTint="33"/>
            <w:tcMar>
              <w:left w:w="20" w:type="dxa"/>
              <w:right w:w="20" w:type="dxa"/>
            </w:tcMar>
            <w:vAlign w:val="center"/>
            <w:hideMark/>
          </w:tcPr>
          <w:p w14:paraId="51D76E95" w14:textId="77777777" w:rsidR="00404D38" w:rsidRPr="00D33C2C" w:rsidRDefault="00404D38" w:rsidP="007D00DA">
            <w:pPr>
              <w:pStyle w:val="Tabletext"/>
              <w:keepNext/>
              <w:keepLines/>
              <w:jc w:val="center"/>
              <w:rPr>
                <w:lang w:val="en-AU"/>
              </w:rPr>
            </w:pPr>
            <w:r w:rsidRPr="002920EA">
              <w:t>9 (56.3)</w:t>
            </w:r>
          </w:p>
        </w:tc>
        <w:tc>
          <w:tcPr>
            <w:tcW w:w="532" w:type="pct"/>
            <w:shd w:val="clear" w:color="auto" w:fill="DBE5F1" w:themeFill="accent1" w:themeFillTint="33"/>
            <w:tcMar>
              <w:left w:w="20" w:type="dxa"/>
              <w:right w:w="20" w:type="dxa"/>
            </w:tcMar>
            <w:vAlign w:val="center"/>
          </w:tcPr>
          <w:p w14:paraId="50BA3101" w14:textId="77777777" w:rsidR="00404D38" w:rsidRPr="00D33C2C" w:rsidRDefault="00404D38" w:rsidP="007D00DA">
            <w:pPr>
              <w:pStyle w:val="Tabletext"/>
              <w:keepNext/>
              <w:keepLines/>
              <w:jc w:val="center"/>
              <w:rPr>
                <w:lang w:val="en-AU"/>
              </w:rPr>
            </w:pPr>
            <w:r w:rsidRPr="002920EA">
              <w:t>19 (51.4)</w:t>
            </w:r>
          </w:p>
        </w:tc>
        <w:tc>
          <w:tcPr>
            <w:tcW w:w="471" w:type="pct"/>
            <w:shd w:val="clear" w:color="auto" w:fill="DBE5F1" w:themeFill="accent1" w:themeFillTint="33"/>
            <w:tcMar>
              <w:left w:w="20" w:type="dxa"/>
              <w:right w:w="20" w:type="dxa"/>
            </w:tcMar>
            <w:vAlign w:val="center"/>
            <w:hideMark/>
          </w:tcPr>
          <w:p w14:paraId="11F6DC44" w14:textId="77777777" w:rsidR="00404D38" w:rsidRPr="00D33C2C" w:rsidRDefault="00404D38" w:rsidP="007D00DA">
            <w:pPr>
              <w:pStyle w:val="Tabletext"/>
              <w:keepNext/>
              <w:keepLines/>
              <w:jc w:val="center"/>
              <w:rPr>
                <w:lang w:val="en-AU"/>
              </w:rPr>
            </w:pPr>
            <w:r w:rsidRPr="002920EA">
              <w:t>7 (36.8)</w:t>
            </w:r>
          </w:p>
        </w:tc>
        <w:tc>
          <w:tcPr>
            <w:tcW w:w="532" w:type="pct"/>
            <w:shd w:val="clear" w:color="auto" w:fill="DBE5F1" w:themeFill="accent1" w:themeFillTint="33"/>
            <w:tcMar>
              <w:left w:w="20" w:type="dxa"/>
              <w:right w:w="20" w:type="dxa"/>
            </w:tcMar>
            <w:vAlign w:val="center"/>
            <w:hideMark/>
          </w:tcPr>
          <w:p w14:paraId="466CDB91" w14:textId="77777777" w:rsidR="00404D38" w:rsidRPr="00D33C2C" w:rsidRDefault="00404D38" w:rsidP="007D00DA">
            <w:pPr>
              <w:pStyle w:val="Tabletext"/>
              <w:keepNext/>
              <w:keepLines/>
              <w:jc w:val="center"/>
              <w:rPr>
                <w:lang w:val="en-AU"/>
              </w:rPr>
            </w:pPr>
            <w:r w:rsidRPr="002920EA">
              <w:t>14 (25)</w:t>
            </w:r>
          </w:p>
        </w:tc>
        <w:tc>
          <w:tcPr>
            <w:tcW w:w="532" w:type="pct"/>
            <w:shd w:val="clear" w:color="auto" w:fill="DBE5F1" w:themeFill="accent1" w:themeFillTint="33"/>
            <w:tcMar>
              <w:left w:w="20" w:type="dxa"/>
              <w:right w:w="20" w:type="dxa"/>
            </w:tcMar>
            <w:vAlign w:val="center"/>
          </w:tcPr>
          <w:p w14:paraId="593032B9" w14:textId="77777777" w:rsidR="00404D38" w:rsidRPr="00D33C2C" w:rsidRDefault="00404D38" w:rsidP="007D00DA">
            <w:pPr>
              <w:pStyle w:val="Tabletext"/>
              <w:keepNext/>
              <w:keepLines/>
              <w:jc w:val="center"/>
              <w:rPr>
                <w:lang w:val="en-AU"/>
              </w:rPr>
            </w:pPr>
            <w:r w:rsidRPr="002920EA">
              <w:t>21 (28)</w:t>
            </w:r>
          </w:p>
        </w:tc>
        <w:tc>
          <w:tcPr>
            <w:tcW w:w="540" w:type="pct"/>
            <w:shd w:val="clear" w:color="auto" w:fill="DBE5F1" w:themeFill="accent1" w:themeFillTint="33"/>
            <w:tcMar>
              <w:left w:w="20" w:type="dxa"/>
              <w:right w:w="20" w:type="dxa"/>
            </w:tcMar>
            <w:vAlign w:val="center"/>
          </w:tcPr>
          <w:p w14:paraId="2916D660" w14:textId="77777777" w:rsidR="00404D38" w:rsidRPr="002920EA" w:rsidRDefault="00404D38" w:rsidP="007D00DA">
            <w:pPr>
              <w:pStyle w:val="Tabletext"/>
              <w:keepNext/>
              <w:keepLines/>
              <w:jc w:val="center"/>
            </w:pPr>
            <w:r>
              <w:t>40 (35.7)</w:t>
            </w:r>
          </w:p>
        </w:tc>
      </w:tr>
      <w:tr w:rsidR="00173823" w:rsidRPr="00D33C2C" w14:paraId="1AAAD3A7" w14:textId="77777777" w:rsidTr="00173823">
        <w:trPr>
          <w:trHeight w:val="20"/>
        </w:trPr>
        <w:tc>
          <w:tcPr>
            <w:tcW w:w="1330" w:type="pct"/>
            <w:shd w:val="clear" w:color="auto" w:fill="DBE5F1" w:themeFill="accent1" w:themeFillTint="33"/>
            <w:tcMar>
              <w:left w:w="20" w:type="dxa"/>
              <w:right w:w="20" w:type="dxa"/>
            </w:tcMar>
            <w:vAlign w:val="center"/>
            <w:hideMark/>
          </w:tcPr>
          <w:p w14:paraId="432CA657" w14:textId="77777777" w:rsidR="00404D38" w:rsidRPr="00D33C2C" w:rsidRDefault="00404D38" w:rsidP="007D00DA">
            <w:pPr>
              <w:pStyle w:val="Tabletext"/>
              <w:keepNext/>
              <w:keepLines/>
              <w:rPr>
                <w:lang w:val="en-AU"/>
              </w:rPr>
            </w:pPr>
            <w:r w:rsidRPr="00D33C2C">
              <w:rPr>
                <w:lang w:val="en-AU"/>
              </w:rPr>
              <w:t xml:space="preserve">Severe TEAE </w:t>
            </w:r>
          </w:p>
        </w:tc>
        <w:tc>
          <w:tcPr>
            <w:tcW w:w="532" w:type="pct"/>
            <w:shd w:val="clear" w:color="auto" w:fill="DBE5F1" w:themeFill="accent1" w:themeFillTint="33"/>
            <w:tcMar>
              <w:left w:w="20" w:type="dxa"/>
              <w:right w:w="20" w:type="dxa"/>
            </w:tcMar>
            <w:vAlign w:val="center"/>
            <w:hideMark/>
          </w:tcPr>
          <w:p w14:paraId="22F63172" w14:textId="77777777" w:rsidR="00404D38" w:rsidRPr="00D33C2C" w:rsidRDefault="00404D38" w:rsidP="007D00DA">
            <w:pPr>
              <w:pStyle w:val="Tabletext"/>
              <w:keepNext/>
              <w:keepLines/>
              <w:jc w:val="center"/>
              <w:rPr>
                <w:lang w:val="en-AU"/>
              </w:rPr>
            </w:pPr>
            <w:r w:rsidRPr="002920EA">
              <w:t>1 (4.8)</w:t>
            </w:r>
          </w:p>
        </w:tc>
        <w:tc>
          <w:tcPr>
            <w:tcW w:w="531" w:type="pct"/>
            <w:shd w:val="clear" w:color="auto" w:fill="DBE5F1" w:themeFill="accent1" w:themeFillTint="33"/>
            <w:tcMar>
              <w:left w:w="20" w:type="dxa"/>
              <w:right w:w="20" w:type="dxa"/>
            </w:tcMar>
            <w:vAlign w:val="center"/>
            <w:hideMark/>
          </w:tcPr>
          <w:p w14:paraId="59D3B416" w14:textId="77777777" w:rsidR="00404D38" w:rsidRPr="00D33C2C" w:rsidRDefault="00404D38" w:rsidP="007D00DA">
            <w:pPr>
              <w:pStyle w:val="Tabletext"/>
              <w:keepNext/>
              <w:keepLines/>
              <w:jc w:val="center"/>
              <w:rPr>
                <w:lang w:val="en-AU"/>
              </w:rPr>
            </w:pPr>
            <w:r w:rsidRPr="002920EA">
              <w:t>1 (6.3)</w:t>
            </w:r>
          </w:p>
        </w:tc>
        <w:tc>
          <w:tcPr>
            <w:tcW w:w="532" w:type="pct"/>
            <w:shd w:val="clear" w:color="auto" w:fill="DBE5F1" w:themeFill="accent1" w:themeFillTint="33"/>
            <w:tcMar>
              <w:left w:w="20" w:type="dxa"/>
              <w:right w:w="20" w:type="dxa"/>
            </w:tcMar>
            <w:vAlign w:val="center"/>
          </w:tcPr>
          <w:p w14:paraId="29B08962" w14:textId="77777777" w:rsidR="00404D38" w:rsidRPr="00D33C2C" w:rsidRDefault="00404D38" w:rsidP="007D00DA">
            <w:pPr>
              <w:pStyle w:val="Tabletext"/>
              <w:keepNext/>
              <w:keepLines/>
              <w:jc w:val="center"/>
              <w:rPr>
                <w:lang w:val="en-AU"/>
              </w:rPr>
            </w:pPr>
            <w:r w:rsidRPr="002920EA">
              <w:t>2 (5.4)</w:t>
            </w:r>
          </w:p>
        </w:tc>
        <w:tc>
          <w:tcPr>
            <w:tcW w:w="471" w:type="pct"/>
            <w:shd w:val="clear" w:color="auto" w:fill="DBE5F1" w:themeFill="accent1" w:themeFillTint="33"/>
            <w:tcMar>
              <w:left w:w="20" w:type="dxa"/>
              <w:right w:w="20" w:type="dxa"/>
            </w:tcMar>
            <w:vAlign w:val="center"/>
            <w:hideMark/>
          </w:tcPr>
          <w:p w14:paraId="749342D3" w14:textId="77777777" w:rsidR="00404D38" w:rsidRPr="00D33C2C" w:rsidRDefault="00404D38" w:rsidP="007D00DA">
            <w:pPr>
              <w:pStyle w:val="Tabletext"/>
              <w:keepNext/>
              <w:keepLines/>
              <w:jc w:val="center"/>
              <w:rPr>
                <w:lang w:val="en-AU"/>
              </w:rPr>
            </w:pPr>
            <w:r w:rsidRPr="002920EA">
              <w:t>1 (5.3)</w:t>
            </w:r>
          </w:p>
        </w:tc>
        <w:tc>
          <w:tcPr>
            <w:tcW w:w="532" w:type="pct"/>
            <w:shd w:val="clear" w:color="auto" w:fill="DBE5F1" w:themeFill="accent1" w:themeFillTint="33"/>
            <w:tcMar>
              <w:left w:w="20" w:type="dxa"/>
              <w:right w:w="20" w:type="dxa"/>
            </w:tcMar>
            <w:vAlign w:val="center"/>
            <w:hideMark/>
          </w:tcPr>
          <w:p w14:paraId="50778AC4" w14:textId="77777777" w:rsidR="00404D38" w:rsidRPr="00D33C2C" w:rsidRDefault="00404D38" w:rsidP="007D00DA">
            <w:pPr>
              <w:pStyle w:val="Tabletext"/>
              <w:keepNext/>
              <w:keepLines/>
              <w:jc w:val="center"/>
              <w:rPr>
                <w:lang w:val="en-AU"/>
              </w:rPr>
            </w:pPr>
            <w:r w:rsidRPr="002920EA">
              <w:t>10 (17.9)</w:t>
            </w:r>
          </w:p>
        </w:tc>
        <w:tc>
          <w:tcPr>
            <w:tcW w:w="532" w:type="pct"/>
            <w:shd w:val="clear" w:color="auto" w:fill="DBE5F1" w:themeFill="accent1" w:themeFillTint="33"/>
            <w:tcMar>
              <w:left w:w="20" w:type="dxa"/>
              <w:right w:w="20" w:type="dxa"/>
            </w:tcMar>
            <w:vAlign w:val="center"/>
          </w:tcPr>
          <w:p w14:paraId="1513739F" w14:textId="77777777" w:rsidR="00404D38" w:rsidRPr="00D33C2C" w:rsidRDefault="00404D38" w:rsidP="007D00DA">
            <w:pPr>
              <w:pStyle w:val="Tabletext"/>
              <w:keepNext/>
              <w:keepLines/>
              <w:jc w:val="center"/>
              <w:rPr>
                <w:lang w:val="en-AU"/>
              </w:rPr>
            </w:pPr>
            <w:r w:rsidRPr="002920EA">
              <w:t>11 (14.7)</w:t>
            </w:r>
          </w:p>
        </w:tc>
        <w:tc>
          <w:tcPr>
            <w:tcW w:w="540" w:type="pct"/>
            <w:shd w:val="clear" w:color="auto" w:fill="DBE5F1" w:themeFill="accent1" w:themeFillTint="33"/>
            <w:tcMar>
              <w:left w:w="20" w:type="dxa"/>
              <w:right w:w="20" w:type="dxa"/>
            </w:tcMar>
            <w:vAlign w:val="center"/>
          </w:tcPr>
          <w:p w14:paraId="26475C40" w14:textId="77777777" w:rsidR="00404D38" w:rsidRPr="002920EA" w:rsidRDefault="00404D38" w:rsidP="007D00DA">
            <w:pPr>
              <w:pStyle w:val="Tabletext"/>
              <w:keepNext/>
              <w:keepLines/>
              <w:jc w:val="center"/>
            </w:pPr>
            <w:r>
              <w:t>13 (11.6)</w:t>
            </w:r>
          </w:p>
        </w:tc>
      </w:tr>
      <w:tr w:rsidR="00173823" w:rsidRPr="00D33C2C" w14:paraId="7452C54C" w14:textId="77777777" w:rsidTr="00173823">
        <w:trPr>
          <w:trHeight w:val="20"/>
        </w:trPr>
        <w:tc>
          <w:tcPr>
            <w:tcW w:w="1330" w:type="pct"/>
            <w:shd w:val="clear" w:color="auto" w:fill="DBE5F1" w:themeFill="accent1" w:themeFillTint="33"/>
            <w:tcMar>
              <w:left w:w="20" w:type="dxa"/>
              <w:right w:w="20" w:type="dxa"/>
            </w:tcMar>
            <w:vAlign w:val="center"/>
            <w:hideMark/>
          </w:tcPr>
          <w:p w14:paraId="26865D53" w14:textId="77777777" w:rsidR="00404D38" w:rsidRPr="00D33C2C" w:rsidRDefault="00404D38" w:rsidP="007D00DA">
            <w:pPr>
              <w:pStyle w:val="Tabletext"/>
              <w:keepNext/>
              <w:keepLines/>
              <w:rPr>
                <w:lang w:val="en-AU"/>
              </w:rPr>
            </w:pPr>
            <w:r w:rsidRPr="00D33C2C">
              <w:rPr>
                <w:lang w:val="en-AU"/>
              </w:rPr>
              <w:t>Serious TEAE</w:t>
            </w:r>
          </w:p>
        </w:tc>
        <w:tc>
          <w:tcPr>
            <w:tcW w:w="532" w:type="pct"/>
            <w:shd w:val="clear" w:color="auto" w:fill="DBE5F1" w:themeFill="accent1" w:themeFillTint="33"/>
            <w:tcMar>
              <w:left w:w="20" w:type="dxa"/>
              <w:right w:w="20" w:type="dxa"/>
            </w:tcMar>
            <w:vAlign w:val="center"/>
            <w:hideMark/>
          </w:tcPr>
          <w:p w14:paraId="0BB700B6" w14:textId="77777777" w:rsidR="00404D38" w:rsidRPr="00D33C2C" w:rsidRDefault="00404D38" w:rsidP="007D00DA">
            <w:pPr>
              <w:pStyle w:val="Tabletext"/>
              <w:keepNext/>
              <w:keepLines/>
              <w:jc w:val="center"/>
              <w:rPr>
                <w:lang w:val="en-AU"/>
              </w:rPr>
            </w:pPr>
            <w:r w:rsidRPr="002920EA">
              <w:t>1 (4.8)</w:t>
            </w:r>
          </w:p>
        </w:tc>
        <w:tc>
          <w:tcPr>
            <w:tcW w:w="531" w:type="pct"/>
            <w:shd w:val="clear" w:color="auto" w:fill="DBE5F1" w:themeFill="accent1" w:themeFillTint="33"/>
            <w:tcMar>
              <w:left w:w="20" w:type="dxa"/>
              <w:right w:w="20" w:type="dxa"/>
            </w:tcMar>
            <w:vAlign w:val="center"/>
            <w:hideMark/>
          </w:tcPr>
          <w:p w14:paraId="06A30B81" w14:textId="77777777" w:rsidR="00404D38" w:rsidRPr="00D33C2C" w:rsidRDefault="00404D38" w:rsidP="007D00DA">
            <w:pPr>
              <w:pStyle w:val="Tabletext"/>
              <w:keepNext/>
              <w:keepLines/>
              <w:jc w:val="center"/>
              <w:rPr>
                <w:lang w:val="en-AU"/>
              </w:rPr>
            </w:pPr>
            <w:r w:rsidRPr="002920EA">
              <w:t>4 (25)</w:t>
            </w:r>
          </w:p>
        </w:tc>
        <w:tc>
          <w:tcPr>
            <w:tcW w:w="532" w:type="pct"/>
            <w:shd w:val="clear" w:color="auto" w:fill="DBE5F1" w:themeFill="accent1" w:themeFillTint="33"/>
            <w:tcMar>
              <w:left w:w="20" w:type="dxa"/>
              <w:right w:w="20" w:type="dxa"/>
            </w:tcMar>
            <w:vAlign w:val="center"/>
          </w:tcPr>
          <w:p w14:paraId="37FD0EFC" w14:textId="77777777" w:rsidR="00404D38" w:rsidRPr="00D33C2C" w:rsidRDefault="00404D38" w:rsidP="007D00DA">
            <w:pPr>
              <w:pStyle w:val="Tabletext"/>
              <w:keepNext/>
              <w:keepLines/>
              <w:jc w:val="center"/>
              <w:rPr>
                <w:lang w:val="en-AU"/>
              </w:rPr>
            </w:pPr>
            <w:r w:rsidRPr="002920EA">
              <w:t>5 (13.5)</w:t>
            </w:r>
          </w:p>
        </w:tc>
        <w:tc>
          <w:tcPr>
            <w:tcW w:w="471" w:type="pct"/>
            <w:shd w:val="clear" w:color="auto" w:fill="DBE5F1" w:themeFill="accent1" w:themeFillTint="33"/>
            <w:tcMar>
              <w:left w:w="20" w:type="dxa"/>
              <w:right w:w="20" w:type="dxa"/>
            </w:tcMar>
            <w:vAlign w:val="center"/>
            <w:hideMark/>
          </w:tcPr>
          <w:p w14:paraId="02349917" w14:textId="77777777" w:rsidR="00404D38" w:rsidRPr="00D33C2C" w:rsidRDefault="00404D38" w:rsidP="007D00DA">
            <w:pPr>
              <w:pStyle w:val="Tabletext"/>
              <w:keepNext/>
              <w:keepLines/>
              <w:jc w:val="center"/>
              <w:rPr>
                <w:lang w:val="en-AU"/>
              </w:rPr>
            </w:pPr>
            <w:r w:rsidRPr="002920EA">
              <w:t>4 (21.1)</w:t>
            </w:r>
          </w:p>
        </w:tc>
        <w:tc>
          <w:tcPr>
            <w:tcW w:w="532" w:type="pct"/>
            <w:shd w:val="clear" w:color="auto" w:fill="DBE5F1" w:themeFill="accent1" w:themeFillTint="33"/>
            <w:tcMar>
              <w:left w:w="20" w:type="dxa"/>
              <w:right w:w="20" w:type="dxa"/>
            </w:tcMar>
            <w:vAlign w:val="center"/>
            <w:hideMark/>
          </w:tcPr>
          <w:p w14:paraId="36E1BC08" w14:textId="77777777" w:rsidR="00404D38" w:rsidRPr="00D33C2C" w:rsidRDefault="00404D38" w:rsidP="007D00DA">
            <w:pPr>
              <w:pStyle w:val="Tabletext"/>
              <w:keepNext/>
              <w:keepLines/>
              <w:jc w:val="center"/>
              <w:rPr>
                <w:lang w:val="en-AU"/>
              </w:rPr>
            </w:pPr>
            <w:r w:rsidRPr="002920EA">
              <w:t>14 (25)</w:t>
            </w:r>
          </w:p>
        </w:tc>
        <w:tc>
          <w:tcPr>
            <w:tcW w:w="532" w:type="pct"/>
            <w:shd w:val="clear" w:color="auto" w:fill="DBE5F1" w:themeFill="accent1" w:themeFillTint="33"/>
            <w:tcMar>
              <w:left w:w="20" w:type="dxa"/>
              <w:right w:w="20" w:type="dxa"/>
            </w:tcMar>
            <w:vAlign w:val="center"/>
          </w:tcPr>
          <w:p w14:paraId="0CF74CFD" w14:textId="77777777" w:rsidR="00404D38" w:rsidRPr="00D33C2C" w:rsidRDefault="00404D38" w:rsidP="007D00DA">
            <w:pPr>
              <w:pStyle w:val="Tabletext"/>
              <w:keepNext/>
              <w:keepLines/>
              <w:jc w:val="center"/>
              <w:rPr>
                <w:lang w:val="en-AU"/>
              </w:rPr>
            </w:pPr>
            <w:r w:rsidRPr="002920EA">
              <w:t>18 (24)</w:t>
            </w:r>
          </w:p>
        </w:tc>
        <w:tc>
          <w:tcPr>
            <w:tcW w:w="540" w:type="pct"/>
            <w:shd w:val="clear" w:color="auto" w:fill="DBE5F1" w:themeFill="accent1" w:themeFillTint="33"/>
            <w:tcMar>
              <w:left w:w="20" w:type="dxa"/>
              <w:right w:w="20" w:type="dxa"/>
            </w:tcMar>
            <w:vAlign w:val="center"/>
          </w:tcPr>
          <w:p w14:paraId="0651345F" w14:textId="77777777" w:rsidR="00404D38" w:rsidRPr="002920EA" w:rsidRDefault="00404D38" w:rsidP="007D00DA">
            <w:pPr>
              <w:pStyle w:val="Tabletext"/>
              <w:keepNext/>
              <w:keepLines/>
              <w:jc w:val="center"/>
            </w:pPr>
            <w:r>
              <w:t>23 (20.5)</w:t>
            </w:r>
          </w:p>
        </w:tc>
      </w:tr>
      <w:tr w:rsidR="00173823" w:rsidRPr="00D33C2C" w14:paraId="50490218" w14:textId="77777777" w:rsidTr="00173823">
        <w:trPr>
          <w:trHeight w:val="20"/>
        </w:trPr>
        <w:tc>
          <w:tcPr>
            <w:tcW w:w="1330" w:type="pct"/>
            <w:shd w:val="clear" w:color="auto" w:fill="DBE5F1" w:themeFill="accent1" w:themeFillTint="33"/>
            <w:tcMar>
              <w:left w:w="20" w:type="dxa"/>
              <w:right w:w="20" w:type="dxa"/>
            </w:tcMar>
            <w:vAlign w:val="center"/>
            <w:hideMark/>
          </w:tcPr>
          <w:p w14:paraId="2667FBEF" w14:textId="77777777" w:rsidR="00404D38" w:rsidRPr="00D33C2C" w:rsidRDefault="00404D38" w:rsidP="007D00DA">
            <w:pPr>
              <w:pStyle w:val="Tabletext"/>
              <w:keepNext/>
              <w:keepLines/>
              <w:rPr>
                <w:lang w:val="en-AU"/>
              </w:rPr>
            </w:pPr>
            <w:r w:rsidRPr="00D33C2C">
              <w:rPr>
                <w:lang w:val="en-AU"/>
              </w:rPr>
              <w:t>Drug-related serious TEAE</w:t>
            </w:r>
          </w:p>
        </w:tc>
        <w:tc>
          <w:tcPr>
            <w:tcW w:w="532" w:type="pct"/>
            <w:shd w:val="clear" w:color="auto" w:fill="DBE5F1" w:themeFill="accent1" w:themeFillTint="33"/>
            <w:tcMar>
              <w:left w:w="20" w:type="dxa"/>
              <w:right w:w="20" w:type="dxa"/>
            </w:tcMar>
            <w:vAlign w:val="center"/>
            <w:hideMark/>
          </w:tcPr>
          <w:p w14:paraId="7E38B518" w14:textId="77777777" w:rsidR="00404D38" w:rsidRPr="00D33C2C" w:rsidRDefault="00404D38" w:rsidP="007D00DA">
            <w:pPr>
              <w:pStyle w:val="Tabletext"/>
              <w:keepNext/>
              <w:keepLines/>
              <w:jc w:val="center"/>
              <w:rPr>
                <w:lang w:val="en-AU"/>
              </w:rPr>
            </w:pPr>
            <w:r w:rsidRPr="002920EA">
              <w:t xml:space="preserve">0 </w:t>
            </w:r>
          </w:p>
        </w:tc>
        <w:tc>
          <w:tcPr>
            <w:tcW w:w="531" w:type="pct"/>
            <w:shd w:val="clear" w:color="auto" w:fill="DBE5F1" w:themeFill="accent1" w:themeFillTint="33"/>
            <w:tcMar>
              <w:left w:w="20" w:type="dxa"/>
              <w:right w:w="20" w:type="dxa"/>
            </w:tcMar>
            <w:vAlign w:val="center"/>
            <w:hideMark/>
          </w:tcPr>
          <w:p w14:paraId="60885F8A" w14:textId="77777777" w:rsidR="00404D38" w:rsidRPr="00D33C2C" w:rsidRDefault="00404D38" w:rsidP="007D00DA">
            <w:pPr>
              <w:pStyle w:val="Tabletext"/>
              <w:keepNext/>
              <w:keepLines/>
              <w:jc w:val="center"/>
              <w:rPr>
                <w:lang w:val="en-AU"/>
              </w:rPr>
            </w:pPr>
            <w:r w:rsidRPr="002920EA">
              <w:t>1 (6.3)</w:t>
            </w:r>
          </w:p>
        </w:tc>
        <w:tc>
          <w:tcPr>
            <w:tcW w:w="532" w:type="pct"/>
            <w:shd w:val="clear" w:color="auto" w:fill="DBE5F1" w:themeFill="accent1" w:themeFillTint="33"/>
            <w:tcMar>
              <w:left w:w="20" w:type="dxa"/>
              <w:right w:w="20" w:type="dxa"/>
            </w:tcMar>
            <w:vAlign w:val="center"/>
          </w:tcPr>
          <w:p w14:paraId="6AC61ADB" w14:textId="77777777" w:rsidR="00404D38" w:rsidRPr="00D33C2C" w:rsidRDefault="00404D38" w:rsidP="007D00DA">
            <w:pPr>
              <w:pStyle w:val="Tabletext"/>
              <w:keepNext/>
              <w:keepLines/>
              <w:jc w:val="center"/>
              <w:rPr>
                <w:lang w:val="en-AU"/>
              </w:rPr>
            </w:pPr>
            <w:r w:rsidRPr="002920EA">
              <w:t>1 (2.7)</w:t>
            </w:r>
          </w:p>
        </w:tc>
        <w:tc>
          <w:tcPr>
            <w:tcW w:w="471" w:type="pct"/>
            <w:shd w:val="clear" w:color="auto" w:fill="DBE5F1" w:themeFill="accent1" w:themeFillTint="33"/>
            <w:tcMar>
              <w:left w:w="20" w:type="dxa"/>
              <w:right w:w="20" w:type="dxa"/>
            </w:tcMar>
            <w:vAlign w:val="center"/>
            <w:hideMark/>
          </w:tcPr>
          <w:p w14:paraId="4D0128B6" w14:textId="77777777" w:rsidR="00404D38" w:rsidRPr="00D33C2C" w:rsidRDefault="00404D38" w:rsidP="007D00DA">
            <w:pPr>
              <w:pStyle w:val="Tabletext"/>
              <w:keepNext/>
              <w:keepLines/>
              <w:jc w:val="center"/>
              <w:rPr>
                <w:lang w:val="en-AU"/>
              </w:rPr>
            </w:pPr>
            <w:r w:rsidRPr="002920EA">
              <w:t xml:space="preserve">0 </w:t>
            </w:r>
          </w:p>
        </w:tc>
        <w:tc>
          <w:tcPr>
            <w:tcW w:w="532" w:type="pct"/>
            <w:shd w:val="clear" w:color="auto" w:fill="DBE5F1" w:themeFill="accent1" w:themeFillTint="33"/>
            <w:tcMar>
              <w:left w:w="20" w:type="dxa"/>
              <w:right w:w="20" w:type="dxa"/>
            </w:tcMar>
            <w:vAlign w:val="center"/>
            <w:hideMark/>
          </w:tcPr>
          <w:p w14:paraId="4083B059" w14:textId="77777777" w:rsidR="00404D38" w:rsidRPr="00D33C2C" w:rsidRDefault="00404D38" w:rsidP="007D00DA">
            <w:pPr>
              <w:pStyle w:val="Tabletext"/>
              <w:keepNext/>
              <w:keepLines/>
              <w:jc w:val="center"/>
              <w:rPr>
                <w:lang w:val="en-AU"/>
              </w:rPr>
            </w:pPr>
            <w:r w:rsidRPr="002920EA">
              <w:t xml:space="preserve">0 </w:t>
            </w:r>
          </w:p>
        </w:tc>
        <w:tc>
          <w:tcPr>
            <w:tcW w:w="532" w:type="pct"/>
            <w:shd w:val="clear" w:color="auto" w:fill="DBE5F1" w:themeFill="accent1" w:themeFillTint="33"/>
            <w:tcMar>
              <w:left w:w="20" w:type="dxa"/>
              <w:right w:w="20" w:type="dxa"/>
            </w:tcMar>
            <w:vAlign w:val="center"/>
          </w:tcPr>
          <w:p w14:paraId="17112532" w14:textId="77777777" w:rsidR="00404D38" w:rsidRPr="00D33C2C" w:rsidRDefault="00404D38" w:rsidP="007D00DA">
            <w:pPr>
              <w:pStyle w:val="Tabletext"/>
              <w:keepNext/>
              <w:keepLines/>
              <w:jc w:val="center"/>
              <w:rPr>
                <w:lang w:val="en-AU"/>
              </w:rPr>
            </w:pPr>
            <w:r w:rsidRPr="002920EA">
              <w:t xml:space="preserve">0 </w:t>
            </w:r>
          </w:p>
        </w:tc>
        <w:tc>
          <w:tcPr>
            <w:tcW w:w="540" w:type="pct"/>
            <w:shd w:val="clear" w:color="auto" w:fill="DBE5F1" w:themeFill="accent1" w:themeFillTint="33"/>
            <w:tcMar>
              <w:left w:w="20" w:type="dxa"/>
              <w:right w:w="20" w:type="dxa"/>
            </w:tcMar>
            <w:vAlign w:val="center"/>
          </w:tcPr>
          <w:p w14:paraId="07CCA0FF" w14:textId="77777777" w:rsidR="00404D38" w:rsidRPr="002920EA" w:rsidRDefault="00404D38" w:rsidP="007D00DA">
            <w:pPr>
              <w:pStyle w:val="Tabletext"/>
              <w:keepNext/>
              <w:keepLines/>
              <w:jc w:val="center"/>
            </w:pPr>
            <w:r>
              <w:t>1 (0.9)</w:t>
            </w:r>
          </w:p>
        </w:tc>
      </w:tr>
      <w:tr w:rsidR="00173823" w:rsidRPr="00D33C2C" w14:paraId="3CEA05F8" w14:textId="77777777" w:rsidTr="00173823">
        <w:trPr>
          <w:trHeight w:val="20"/>
        </w:trPr>
        <w:tc>
          <w:tcPr>
            <w:tcW w:w="1330" w:type="pct"/>
            <w:shd w:val="clear" w:color="auto" w:fill="DBE5F1" w:themeFill="accent1" w:themeFillTint="33"/>
            <w:tcMar>
              <w:left w:w="20" w:type="dxa"/>
              <w:right w:w="20" w:type="dxa"/>
            </w:tcMar>
            <w:vAlign w:val="center"/>
            <w:hideMark/>
          </w:tcPr>
          <w:p w14:paraId="1BE23A0C" w14:textId="77777777" w:rsidR="00404D38" w:rsidRPr="00D33C2C" w:rsidRDefault="00404D38" w:rsidP="007D00DA">
            <w:pPr>
              <w:pStyle w:val="Tabletext"/>
              <w:keepNext/>
              <w:keepLines/>
              <w:rPr>
                <w:lang w:val="en-AU"/>
              </w:rPr>
            </w:pPr>
            <w:r w:rsidRPr="00D33C2C">
              <w:rPr>
                <w:lang w:val="en-AU"/>
              </w:rPr>
              <w:t>TEAE leading to death</w:t>
            </w:r>
          </w:p>
        </w:tc>
        <w:tc>
          <w:tcPr>
            <w:tcW w:w="532" w:type="pct"/>
            <w:shd w:val="clear" w:color="auto" w:fill="DBE5F1" w:themeFill="accent1" w:themeFillTint="33"/>
            <w:tcMar>
              <w:left w:w="20" w:type="dxa"/>
              <w:right w:w="20" w:type="dxa"/>
            </w:tcMar>
            <w:vAlign w:val="center"/>
            <w:hideMark/>
          </w:tcPr>
          <w:p w14:paraId="50D9A457" w14:textId="77777777" w:rsidR="00404D38" w:rsidRPr="00D33C2C" w:rsidRDefault="00404D38" w:rsidP="007D00DA">
            <w:pPr>
              <w:pStyle w:val="Tabletext"/>
              <w:keepNext/>
              <w:keepLines/>
              <w:jc w:val="center"/>
              <w:rPr>
                <w:lang w:val="en-AU"/>
              </w:rPr>
            </w:pPr>
            <w:r w:rsidRPr="006B49A0">
              <w:t xml:space="preserve">0 </w:t>
            </w:r>
          </w:p>
        </w:tc>
        <w:tc>
          <w:tcPr>
            <w:tcW w:w="531" w:type="pct"/>
            <w:shd w:val="clear" w:color="auto" w:fill="DBE5F1" w:themeFill="accent1" w:themeFillTint="33"/>
            <w:tcMar>
              <w:left w:w="20" w:type="dxa"/>
              <w:right w:w="20" w:type="dxa"/>
            </w:tcMar>
            <w:vAlign w:val="center"/>
            <w:hideMark/>
          </w:tcPr>
          <w:p w14:paraId="48829078" w14:textId="77777777" w:rsidR="00404D38" w:rsidRPr="00D33C2C" w:rsidRDefault="00404D38" w:rsidP="007D00DA">
            <w:pPr>
              <w:pStyle w:val="Tabletext"/>
              <w:keepNext/>
              <w:keepLines/>
              <w:jc w:val="center"/>
              <w:rPr>
                <w:lang w:val="en-AU"/>
              </w:rPr>
            </w:pPr>
            <w:r w:rsidRPr="006B49A0">
              <w:t xml:space="preserve">0 </w:t>
            </w:r>
          </w:p>
        </w:tc>
        <w:tc>
          <w:tcPr>
            <w:tcW w:w="532" w:type="pct"/>
            <w:shd w:val="clear" w:color="auto" w:fill="DBE5F1" w:themeFill="accent1" w:themeFillTint="33"/>
            <w:tcMar>
              <w:left w:w="20" w:type="dxa"/>
              <w:right w:w="20" w:type="dxa"/>
            </w:tcMar>
            <w:vAlign w:val="center"/>
          </w:tcPr>
          <w:p w14:paraId="53ED36E4" w14:textId="77777777" w:rsidR="00404D38" w:rsidRPr="00D33C2C" w:rsidRDefault="00404D38" w:rsidP="007D00DA">
            <w:pPr>
              <w:pStyle w:val="Tabletext"/>
              <w:keepNext/>
              <w:keepLines/>
              <w:jc w:val="center"/>
              <w:rPr>
                <w:lang w:val="en-AU"/>
              </w:rPr>
            </w:pPr>
            <w:r w:rsidRPr="006B49A0">
              <w:t xml:space="preserve">0 </w:t>
            </w:r>
          </w:p>
        </w:tc>
        <w:tc>
          <w:tcPr>
            <w:tcW w:w="471" w:type="pct"/>
            <w:shd w:val="clear" w:color="auto" w:fill="DBE5F1" w:themeFill="accent1" w:themeFillTint="33"/>
            <w:tcMar>
              <w:left w:w="20" w:type="dxa"/>
              <w:right w:w="20" w:type="dxa"/>
            </w:tcMar>
            <w:vAlign w:val="center"/>
            <w:hideMark/>
          </w:tcPr>
          <w:p w14:paraId="4E5FA6DD" w14:textId="77777777" w:rsidR="00404D38" w:rsidRPr="00D33C2C" w:rsidRDefault="00404D38" w:rsidP="007D00DA">
            <w:pPr>
              <w:pStyle w:val="Tabletext"/>
              <w:keepNext/>
              <w:keepLines/>
              <w:jc w:val="center"/>
              <w:rPr>
                <w:lang w:val="en-AU"/>
              </w:rPr>
            </w:pPr>
            <w:r w:rsidRPr="006B49A0">
              <w:t xml:space="preserve">0 </w:t>
            </w:r>
          </w:p>
        </w:tc>
        <w:tc>
          <w:tcPr>
            <w:tcW w:w="532" w:type="pct"/>
            <w:shd w:val="clear" w:color="auto" w:fill="DBE5F1" w:themeFill="accent1" w:themeFillTint="33"/>
            <w:tcMar>
              <w:left w:w="20" w:type="dxa"/>
              <w:right w:w="20" w:type="dxa"/>
            </w:tcMar>
            <w:vAlign w:val="center"/>
            <w:hideMark/>
          </w:tcPr>
          <w:p w14:paraId="4691448D" w14:textId="77777777" w:rsidR="00404D38" w:rsidRPr="00D33C2C" w:rsidRDefault="00404D38" w:rsidP="007D00DA">
            <w:pPr>
              <w:pStyle w:val="Tabletext"/>
              <w:keepNext/>
              <w:keepLines/>
              <w:jc w:val="center"/>
              <w:rPr>
                <w:lang w:val="en-AU"/>
              </w:rPr>
            </w:pPr>
            <w:r w:rsidRPr="006B49A0">
              <w:t xml:space="preserve">0 </w:t>
            </w:r>
          </w:p>
        </w:tc>
        <w:tc>
          <w:tcPr>
            <w:tcW w:w="532" w:type="pct"/>
            <w:shd w:val="clear" w:color="auto" w:fill="DBE5F1" w:themeFill="accent1" w:themeFillTint="33"/>
            <w:tcMar>
              <w:left w:w="20" w:type="dxa"/>
              <w:right w:w="20" w:type="dxa"/>
            </w:tcMar>
            <w:vAlign w:val="center"/>
          </w:tcPr>
          <w:p w14:paraId="4DFFAE03" w14:textId="77777777" w:rsidR="00404D38" w:rsidRPr="00D33C2C" w:rsidRDefault="00404D38" w:rsidP="007D00DA">
            <w:pPr>
              <w:pStyle w:val="Tabletext"/>
              <w:keepNext/>
              <w:keepLines/>
              <w:jc w:val="center"/>
              <w:rPr>
                <w:lang w:val="en-AU"/>
              </w:rPr>
            </w:pPr>
            <w:r w:rsidRPr="006B49A0">
              <w:t xml:space="preserve">0 </w:t>
            </w:r>
          </w:p>
        </w:tc>
        <w:tc>
          <w:tcPr>
            <w:tcW w:w="540" w:type="pct"/>
            <w:shd w:val="clear" w:color="auto" w:fill="DBE5F1" w:themeFill="accent1" w:themeFillTint="33"/>
            <w:tcMar>
              <w:left w:w="20" w:type="dxa"/>
              <w:right w:w="20" w:type="dxa"/>
            </w:tcMar>
            <w:vAlign w:val="center"/>
          </w:tcPr>
          <w:p w14:paraId="64C38C4B" w14:textId="77777777" w:rsidR="00404D38" w:rsidRPr="006B49A0" w:rsidRDefault="00404D38" w:rsidP="007D00DA">
            <w:pPr>
              <w:pStyle w:val="Tabletext"/>
              <w:keepNext/>
              <w:keepLines/>
              <w:jc w:val="center"/>
            </w:pPr>
            <w:r>
              <w:t>0</w:t>
            </w:r>
          </w:p>
        </w:tc>
      </w:tr>
      <w:tr w:rsidR="00173823" w:rsidRPr="00D33C2C" w14:paraId="5DD1A6E0" w14:textId="77777777" w:rsidTr="00173823">
        <w:trPr>
          <w:trHeight w:val="20"/>
        </w:trPr>
        <w:tc>
          <w:tcPr>
            <w:tcW w:w="1330" w:type="pct"/>
            <w:shd w:val="clear" w:color="auto" w:fill="DBE5F1" w:themeFill="accent1" w:themeFillTint="33"/>
            <w:tcMar>
              <w:left w:w="20" w:type="dxa"/>
              <w:right w:w="20" w:type="dxa"/>
            </w:tcMar>
            <w:vAlign w:val="center"/>
            <w:hideMark/>
          </w:tcPr>
          <w:p w14:paraId="78F3C412" w14:textId="77777777" w:rsidR="00404D38" w:rsidRPr="00D33C2C" w:rsidRDefault="00404D38" w:rsidP="007D00DA">
            <w:pPr>
              <w:pStyle w:val="Tabletext"/>
              <w:keepNext/>
              <w:keepLines/>
              <w:rPr>
                <w:lang w:val="en-AU"/>
              </w:rPr>
            </w:pPr>
            <w:r w:rsidRPr="00D33C2C">
              <w:rPr>
                <w:lang w:val="en-AU"/>
              </w:rPr>
              <w:t>TEAE leading to treatment discontinuation</w:t>
            </w:r>
          </w:p>
        </w:tc>
        <w:tc>
          <w:tcPr>
            <w:tcW w:w="532" w:type="pct"/>
            <w:shd w:val="clear" w:color="auto" w:fill="DBE5F1" w:themeFill="accent1" w:themeFillTint="33"/>
            <w:tcMar>
              <w:left w:w="20" w:type="dxa"/>
              <w:right w:w="20" w:type="dxa"/>
            </w:tcMar>
            <w:vAlign w:val="center"/>
            <w:hideMark/>
          </w:tcPr>
          <w:p w14:paraId="3AB5E398" w14:textId="77777777" w:rsidR="00404D38" w:rsidRPr="00D33C2C" w:rsidRDefault="00404D38" w:rsidP="007D00DA">
            <w:pPr>
              <w:pStyle w:val="Tabletext"/>
              <w:keepNext/>
              <w:keepLines/>
              <w:jc w:val="center"/>
              <w:rPr>
                <w:lang w:val="en-AU"/>
              </w:rPr>
            </w:pPr>
            <w:r w:rsidRPr="001A75D8">
              <w:t>1 (4.8)</w:t>
            </w:r>
          </w:p>
        </w:tc>
        <w:tc>
          <w:tcPr>
            <w:tcW w:w="531" w:type="pct"/>
            <w:shd w:val="clear" w:color="auto" w:fill="DBE5F1" w:themeFill="accent1" w:themeFillTint="33"/>
            <w:tcMar>
              <w:left w:w="20" w:type="dxa"/>
              <w:right w:w="20" w:type="dxa"/>
            </w:tcMar>
            <w:vAlign w:val="center"/>
            <w:hideMark/>
          </w:tcPr>
          <w:p w14:paraId="6EE91E33" w14:textId="77777777" w:rsidR="00404D38" w:rsidRPr="00D33C2C" w:rsidRDefault="00404D38" w:rsidP="007D00DA">
            <w:pPr>
              <w:pStyle w:val="Tabletext"/>
              <w:keepNext/>
              <w:keepLines/>
              <w:jc w:val="center"/>
              <w:rPr>
                <w:lang w:val="en-AU"/>
              </w:rPr>
            </w:pPr>
            <w:r w:rsidRPr="001A75D8">
              <w:t>0</w:t>
            </w:r>
          </w:p>
        </w:tc>
        <w:tc>
          <w:tcPr>
            <w:tcW w:w="532" w:type="pct"/>
            <w:shd w:val="clear" w:color="auto" w:fill="DBE5F1" w:themeFill="accent1" w:themeFillTint="33"/>
            <w:tcMar>
              <w:left w:w="20" w:type="dxa"/>
              <w:right w:w="20" w:type="dxa"/>
            </w:tcMar>
            <w:vAlign w:val="center"/>
          </w:tcPr>
          <w:p w14:paraId="00387E85" w14:textId="77777777" w:rsidR="00404D38" w:rsidRPr="00D33C2C" w:rsidRDefault="00404D38" w:rsidP="007D00DA">
            <w:pPr>
              <w:pStyle w:val="Tabletext"/>
              <w:keepNext/>
              <w:keepLines/>
              <w:jc w:val="center"/>
              <w:rPr>
                <w:lang w:val="en-AU"/>
              </w:rPr>
            </w:pPr>
            <w:r w:rsidRPr="001A75D8">
              <w:t>1 (2.7)</w:t>
            </w:r>
          </w:p>
        </w:tc>
        <w:tc>
          <w:tcPr>
            <w:tcW w:w="471" w:type="pct"/>
            <w:shd w:val="clear" w:color="auto" w:fill="DBE5F1" w:themeFill="accent1" w:themeFillTint="33"/>
            <w:tcMar>
              <w:left w:w="20" w:type="dxa"/>
              <w:right w:w="20" w:type="dxa"/>
            </w:tcMar>
            <w:vAlign w:val="center"/>
            <w:hideMark/>
          </w:tcPr>
          <w:p w14:paraId="125A6EB0" w14:textId="77777777" w:rsidR="00404D38" w:rsidRPr="00D33C2C" w:rsidRDefault="00404D38" w:rsidP="007D00DA">
            <w:pPr>
              <w:pStyle w:val="Tabletext"/>
              <w:keepNext/>
              <w:keepLines/>
              <w:jc w:val="center"/>
              <w:rPr>
                <w:lang w:val="en-AU"/>
              </w:rPr>
            </w:pPr>
            <w:r w:rsidRPr="001A75D8">
              <w:t>2 (10.5)</w:t>
            </w:r>
          </w:p>
        </w:tc>
        <w:tc>
          <w:tcPr>
            <w:tcW w:w="532" w:type="pct"/>
            <w:shd w:val="clear" w:color="auto" w:fill="DBE5F1" w:themeFill="accent1" w:themeFillTint="33"/>
            <w:tcMar>
              <w:left w:w="20" w:type="dxa"/>
              <w:right w:w="20" w:type="dxa"/>
            </w:tcMar>
            <w:vAlign w:val="center"/>
            <w:hideMark/>
          </w:tcPr>
          <w:p w14:paraId="32551C86" w14:textId="77777777" w:rsidR="00404D38" w:rsidRPr="00D33C2C" w:rsidRDefault="00404D38" w:rsidP="007D00DA">
            <w:pPr>
              <w:pStyle w:val="Tabletext"/>
              <w:keepNext/>
              <w:keepLines/>
              <w:jc w:val="center"/>
              <w:rPr>
                <w:lang w:val="en-AU"/>
              </w:rPr>
            </w:pPr>
            <w:r w:rsidRPr="001A75D8">
              <w:t>4 (7.1)</w:t>
            </w:r>
          </w:p>
        </w:tc>
        <w:tc>
          <w:tcPr>
            <w:tcW w:w="532" w:type="pct"/>
            <w:shd w:val="clear" w:color="auto" w:fill="DBE5F1" w:themeFill="accent1" w:themeFillTint="33"/>
            <w:tcMar>
              <w:left w:w="20" w:type="dxa"/>
              <w:right w:w="20" w:type="dxa"/>
            </w:tcMar>
            <w:vAlign w:val="center"/>
          </w:tcPr>
          <w:p w14:paraId="06340693" w14:textId="77777777" w:rsidR="00404D38" w:rsidRPr="00D33C2C" w:rsidRDefault="00404D38" w:rsidP="007D00DA">
            <w:pPr>
              <w:pStyle w:val="Tabletext"/>
              <w:keepNext/>
              <w:keepLines/>
              <w:jc w:val="center"/>
              <w:rPr>
                <w:lang w:val="en-AU"/>
              </w:rPr>
            </w:pPr>
            <w:r w:rsidRPr="001A75D8">
              <w:t>6 (8)</w:t>
            </w:r>
          </w:p>
        </w:tc>
        <w:tc>
          <w:tcPr>
            <w:tcW w:w="540" w:type="pct"/>
            <w:shd w:val="clear" w:color="auto" w:fill="DBE5F1" w:themeFill="accent1" w:themeFillTint="33"/>
            <w:tcMar>
              <w:left w:w="20" w:type="dxa"/>
              <w:right w:w="20" w:type="dxa"/>
            </w:tcMar>
            <w:vAlign w:val="center"/>
          </w:tcPr>
          <w:p w14:paraId="14ECDC71" w14:textId="77777777" w:rsidR="00404D38" w:rsidRPr="001A75D8" w:rsidRDefault="00404D38" w:rsidP="007D00DA">
            <w:pPr>
              <w:pStyle w:val="Tabletext"/>
              <w:keepNext/>
              <w:keepLines/>
              <w:jc w:val="center"/>
            </w:pPr>
            <w:r>
              <w:t>7 (6.3)</w:t>
            </w:r>
          </w:p>
        </w:tc>
      </w:tr>
      <w:tr w:rsidR="00173823" w:rsidRPr="00D33C2C" w14:paraId="25C88962" w14:textId="77777777" w:rsidTr="00173823">
        <w:trPr>
          <w:trHeight w:val="20"/>
        </w:trPr>
        <w:tc>
          <w:tcPr>
            <w:tcW w:w="1330" w:type="pct"/>
            <w:tcBorders>
              <w:top w:val="single" w:sz="4" w:space="0" w:color="auto"/>
            </w:tcBorders>
            <w:shd w:val="clear" w:color="auto" w:fill="auto"/>
            <w:tcMar>
              <w:left w:w="20" w:type="dxa"/>
              <w:right w:w="20" w:type="dxa"/>
            </w:tcMar>
            <w:vAlign w:val="center"/>
          </w:tcPr>
          <w:p w14:paraId="295C9C0E" w14:textId="29736BEC" w:rsidR="00173823" w:rsidRPr="00173823" w:rsidRDefault="00173823" w:rsidP="007D00DA">
            <w:pPr>
              <w:pStyle w:val="Tabletext"/>
              <w:keepNext/>
              <w:keepLines/>
              <w:rPr>
                <w:b/>
                <w:bCs/>
              </w:rPr>
            </w:pPr>
            <w:r w:rsidRPr="00173823">
              <w:rPr>
                <w:b/>
                <w:bCs/>
              </w:rPr>
              <w:t>Data cutoff 15 February 2024</w:t>
            </w:r>
            <w:r w:rsidRPr="00173823">
              <w:rPr>
                <w:b/>
                <w:bCs/>
                <w:vertAlign w:val="superscript"/>
              </w:rPr>
              <w:t>b</w:t>
            </w:r>
          </w:p>
        </w:tc>
        <w:tc>
          <w:tcPr>
            <w:tcW w:w="532" w:type="pct"/>
            <w:shd w:val="clear" w:color="auto" w:fill="auto"/>
            <w:tcMar>
              <w:left w:w="20" w:type="dxa"/>
              <w:right w:w="20" w:type="dxa"/>
            </w:tcMar>
            <w:vAlign w:val="center"/>
          </w:tcPr>
          <w:p w14:paraId="60DBA07F" w14:textId="224F16E6" w:rsidR="00173823" w:rsidRPr="00173823" w:rsidRDefault="00173823" w:rsidP="007D00DA">
            <w:pPr>
              <w:pStyle w:val="Tabletext"/>
              <w:keepNext/>
              <w:keepLines/>
              <w:jc w:val="center"/>
              <w:rPr>
                <w:b/>
                <w:bCs/>
              </w:rPr>
            </w:pPr>
            <w:r w:rsidRPr="00173823">
              <w:rPr>
                <w:b/>
                <w:bCs/>
              </w:rPr>
              <w:t>N=21</w:t>
            </w:r>
          </w:p>
        </w:tc>
        <w:tc>
          <w:tcPr>
            <w:tcW w:w="531" w:type="pct"/>
            <w:shd w:val="clear" w:color="auto" w:fill="auto"/>
            <w:tcMar>
              <w:left w:w="20" w:type="dxa"/>
              <w:right w:w="20" w:type="dxa"/>
            </w:tcMar>
            <w:vAlign w:val="center"/>
          </w:tcPr>
          <w:p w14:paraId="64A9190D" w14:textId="4AFA9B5A" w:rsidR="00173823" w:rsidRPr="00173823" w:rsidRDefault="00173823" w:rsidP="007D00DA">
            <w:pPr>
              <w:pStyle w:val="Tabletext"/>
              <w:keepNext/>
              <w:keepLines/>
              <w:jc w:val="center"/>
              <w:rPr>
                <w:b/>
                <w:bCs/>
              </w:rPr>
            </w:pPr>
            <w:r w:rsidRPr="00173823">
              <w:rPr>
                <w:b/>
                <w:bCs/>
              </w:rPr>
              <w:t>N=16</w:t>
            </w:r>
          </w:p>
        </w:tc>
        <w:tc>
          <w:tcPr>
            <w:tcW w:w="532" w:type="pct"/>
            <w:tcMar>
              <w:left w:w="20" w:type="dxa"/>
              <w:right w:w="20" w:type="dxa"/>
            </w:tcMar>
            <w:vAlign w:val="center"/>
          </w:tcPr>
          <w:p w14:paraId="4632FDA9" w14:textId="730C57D6" w:rsidR="00173823" w:rsidRPr="00173823" w:rsidRDefault="00173823" w:rsidP="007D00DA">
            <w:pPr>
              <w:pStyle w:val="Tabletext"/>
              <w:keepNext/>
              <w:keepLines/>
              <w:jc w:val="center"/>
              <w:rPr>
                <w:b/>
                <w:bCs/>
              </w:rPr>
            </w:pPr>
            <w:r w:rsidRPr="00173823">
              <w:rPr>
                <w:b/>
                <w:bCs/>
              </w:rPr>
              <w:t>N=37</w:t>
            </w:r>
          </w:p>
        </w:tc>
        <w:tc>
          <w:tcPr>
            <w:tcW w:w="471" w:type="pct"/>
            <w:tcMar>
              <w:left w:w="20" w:type="dxa"/>
              <w:right w:w="20" w:type="dxa"/>
            </w:tcMar>
            <w:vAlign w:val="center"/>
          </w:tcPr>
          <w:p w14:paraId="2D3A127D" w14:textId="3214326D" w:rsidR="00173823" w:rsidRPr="00173823" w:rsidRDefault="00173823" w:rsidP="007D00DA">
            <w:pPr>
              <w:pStyle w:val="Tabletext"/>
              <w:keepNext/>
              <w:keepLines/>
              <w:jc w:val="center"/>
              <w:rPr>
                <w:b/>
                <w:bCs/>
              </w:rPr>
            </w:pPr>
            <w:r w:rsidRPr="00173823">
              <w:rPr>
                <w:b/>
                <w:bCs/>
              </w:rPr>
              <w:t>N=19</w:t>
            </w:r>
          </w:p>
        </w:tc>
        <w:tc>
          <w:tcPr>
            <w:tcW w:w="532" w:type="pct"/>
            <w:tcMar>
              <w:left w:w="20" w:type="dxa"/>
              <w:right w:w="20" w:type="dxa"/>
            </w:tcMar>
            <w:vAlign w:val="center"/>
          </w:tcPr>
          <w:p w14:paraId="27E413F0" w14:textId="7E507540" w:rsidR="00173823" w:rsidRPr="00173823" w:rsidRDefault="00173823" w:rsidP="007D00DA">
            <w:pPr>
              <w:pStyle w:val="Tabletext"/>
              <w:keepNext/>
              <w:keepLines/>
              <w:jc w:val="center"/>
              <w:rPr>
                <w:b/>
                <w:bCs/>
              </w:rPr>
            </w:pPr>
            <w:r w:rsidRPr="00173823">
              <w:rPr>
                <w:b/>
                <w:bCs/>
              </w:rPr>
              <w:t>N=60</w:t>
            </w:r>
          </w:p>
        </w:tc>
        <w:tc>
          <w:tcPr>
            <w:tcW w:w="532" w:type="pct"/>
            <w:tcMar>
              <w:left w:w="20" w:type="dxa"/>
              <w:right w:w="20" w:type="dxa"/>
            </w:tcMar>
            <w:vAlign w:val="center"/>
          </w:tcPr>
          <w:p w14:paraId="73DD9F72" w14:textId="3EED906F" w:rsidR="00173823" w:rsidRPr="00173823" w:rsidRDefault="00173823" w:rsidP="007D00DA">
            <w:pPr>
              <w:pStyle w:val="Tabletext"/>
              <w:keepNext/>
              <w:keepLines/>
              <w:jc w:val="center"/>
              <w:rPr>
                <w:b/>
                <w:bCs/>
              </w:rPr>
            </w:pPr>
            <w:r w:rsidRPr="00173823">
              <w:rPr>
                <w:b/>
                <w:bCs/>
              </w:rPr>
              <w:t>N=79</w:t>
            </w:r>
          </w:p>
        </w:tc>
        <w:tc>
          <w:tcPr>
            <w:tcW w:w="540" w:type="pct"/>
            <w:tcMar>
              <w:left w:w="20" w:type="dxa"/>
              <w:right w:w="20" w:type="dxa"/>
            </w:tcMar>
            <w:vAlign w:val="center"/>
          </w:tcPr>
          <w:p w14:paraId="183AE0A3" w14:textId="79BEF8A4" w:rsidR="00173823" w:rsidRPr="00173823" w:rsidRDefault="00173823" w:rsidP="007D00DA">
            <w:pPr>
              <w:pStyle w:val="Tabletext"/>
              <w:keepNext/>
              <w:keepLines/>
              <w:jc w:val="center"/>
              <w:rPr>
                <w:b/>
                <w:bCs/>
              </w:rPr>
            </w:pPr>
            <w:r w:rsidRPr="00173823">
              <w:rPr>
                <w:b/>
                <w:bCs/>
              </w:rPr>
              <w:t>N=116</w:t>
            </w:r>
          </w:p>
        </w:tc>
      </w:tr>
      <w:tr w:rsidR="00173823" w:rsidRPr="00D33C2C" w14:paraId="0B9F7020" w14:textId="77777777" w:rsidTr="00173823">
        <w:trPr>
          <w:trHeight w:val="20"/>
        </w:trPr>
        <w:tc>
          <w:tcPr>
            <w:tcW w:w="1330" w:type="pct"/>
            <w:tcBorders>
              <w:top w:val="single" w:sz="4" w:space="0" w:color="auto"/>
            </w:tcBorders>
            <w:shd w:val="clear" w:color="auto" w:fill="auto"/>
            <w:tcMar>
              <w:left w:w="20" w:type="dxa"/>
              <w:right w:w="20" w:type="dxa"/>
            </w:tcMar>
            <w:vAlign w:val="center"/>
          </w:tcPr>
          <w:p w14:paraId="70B01F3E" w14:textId="77777777" w:rsidR="00404D38" w:rsidRPr="00D33C2C" w:rsidRDefault="00404D38" w:rsidP="007D00DA">
            <w:pPr>
              <w:pStyle w:val="Tabletext"/>
              <w:keepNext/>
              <w:keepLines/>
            </w:pPr>
            <w:r w:rsidRPr="00D33C2C">
              <w:rPr>
                <w:lang w:val="en-AU"/>
              </w:rPr>
              <w:t>TEAE</w:t>
            </w:r>
          </w:p>
        </w:tc>
        <w:tc>
          <w:tcPr>
            <w:tcW w:w="532" w:type="pct"/>
            <w:shd w:val="clear" w:color="auto" w:fill="auto"/>
            <w:tcMar>
              <w:left w:w="20" w:type="dxa"/>
              <w:right w:w="20" w:type="dxa"/>
            </w:tcMar>
            <w:vAlign w:val="center"/>
          </w:tcPr>
          <w:p w14:paraId="2FAB83B0"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61E7BBA5"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12169870" w14:textId="77777777" w:rsidR="00404D38" w:rsidRPr="001A75D8" w:rsidRDefault="00404D38" w:rsidP="007D00DA">
            <w:pPr>
              <w:pStyle w:val="Tabletext"/>
              <w:keepNext/>
              <w:keepLines/>
              <w:jc w:val="center"/>
            </w:pPr>
            <w:r w:rsidRPr="003E2C4E">
              <w:t>37 (100)</w:t>
            </w:r>
          </w:p>
        </w:tc>
        <w:tc>
          <w:tcPr>
            <w:tcW w:w="471" w:type="pct"/>
            <w:tcMar>
              <w:left w:w="20" w:type="dxa"/>
              <w:right w:w="20" w:type="dxa"/>
            </w:tcMar>
            <w:vAlign w:val="center"/>
          </w:tcPr>
          <w:p w14:paraId="07E2BEF5" w14:textId="77777777" w:rsidR="00404D38" w:rsidRPr="001A75D8" w:rsidRDefault="00404D38" w:rsidP="007D00DA">
            <w:pPr>
              <w:pStyle w:val="Tabletext"/>
              <w:keepNext/>
              <w:keepLines/>
              <w:jc w:val="center"/>
            </w:pPr>
            <w:r w:rsidRPr="003E2C4E">
              <w:t>18 (94.7)</w:t>
            </w:r>
          </w:p>
        </w:tc>
        <w:tc>
          <w:tcPr>
            <w:tcW w:w="532" w:type="pct"/>
            <w:tcMar>
              <w:left w:w="20" w:type="dxa"/>
              <w:right w:w="20" w:type="dxa"/>
            </w:tcMar>
            <w:vAlign w:val="center"/>
          </w:tcPr>
          <w:p w14:paraId="20C46E4F" w14:textId="77777777" w:rsidR="00404D38" w:rsidRPr="006D7130" w:rsidRDefault="00404D38" w:rsidP="007D00DA">
            <w:pPr>
              <w:pStyle w:val="Tabletext"/>
              <w:keepNext/>
              <w:keepLines/>
              <w:jc w:val="center"/>
              <w:rPr>
                <w:b/>
                <w:bCs/>
              </w:rPr>
            </w:pPr>
            <w:r w:rsidRPr="006D7130">
              <w:rPr>
                <w:b/>
                <w:bCs/>
              </w:rPr>
              <w:t>57 (95.0)</w:t>
            </w:r>
          </w:p>
        </w:tc>
        <w:tc>
          <w:tcPr>
            <w:tcW w:w="532" w:type="pct"/>
            <w:tcMar>
              <w:left w:w="20" w:type="dxa"/>
              <w:right w:w="20" w:type="dxa"/>
            </w:tcMar>
            <w:vAlign w:val="center"/>
          </w:tcPr>
          <w:p w14:paraId="2AC8941C"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6BE6AD9E" w14:textId="77777777" w:rsidR="00404D38" w:rsidRDefault="00404D38" w:rsidP="007D00DA">
            <w:pPr>
              <w:pStyle w:val="Tabletext"/>
              <w:keepNext/>
              <w:keepLines/>
              <w:jc w:val="center"/>
            </w:pPr>
            <w:r w:rsidRPr="003E2C4E">
              <w:t>112 (96.6)</w:t>
            </w:r>
          </w:p>
        </w:tc>
      </w:tr>
      <w:tr w:rsidR="00173823" w:rsidRPr="00D33C2C" w14:paraId="71065FA1" w14:textId="77777777" w:rsidTr="00173823">
        <w:trPr>
          <w:trHeight w:val="20"/>
        </w:trPr>
        <w:tc>
          <w:tcPr>
            <w:tcW w:w="1330" w:type="pct"/>
            <w:shd w:val="clear" w:color="auto" w:fill="auto"/>
            <w:tcMar>
              <w:left w:w="20" w:type="dxa"/>
              <w:right w:w="20" w:type="dxa"/>
            </w:tcMar>
            <w:vAlign w:val="center"/>
          </w:tcPr>
          <w:p w14:paraId="7E9D3A7D" w14:textId="77777777" w:rsidR="00404D38" w:rsidRPr="001301FE" w:rsidRDefault="00404D38" w:rsidP="007D00DA">
            <w:pPr>
              <w:pStyle w:val="Tabletext"/>
              <w:keepNext/>
              <w:keepLines/>
              <w:rPr>
                <w:vertAlign w:val="superscript"/>
              </w:rPr>
            </w:pPr>
            <w:r w:rsidRPr="00D33C2C">
              <w:rPr>
                <w:lang w:val="en-AU"/>
              </w:rPr>
              <w:t xml:space="preserve">Drug-related TEAE </w:t>
            </w:r>
          </w:p>
        </w:tc>
        <w:tc>
          <w:tcPr>
            <w:tcW w:w="532" w:type="pct"/>
            <w:shd w:val="clear" w:color="auto" w:fill="auto"/>
            <w:tcMar>
              <w:left w:w="20" w:type="dxa"/>
              <w:right w:w="20" w:type="dxa"/>
            </w:tcMar>
            <w:vAlign w:val="center"/>
          </w:tcPr>
          <w:p w14:paraId="70D9B675"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6B3999D1"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1BCED5BF" w14:textId="2B6EED5E" w:rsidR="00404D38" w:rsidRPr="001301FE" w:rsidRDefault="00404D38" w:rsidP="007D00DA">
            <w:pPr>
              <w:pStyle w:val="Tabletext"/>
              <w:keepNext/>
              <w:keepLines/>
              <w:jc w:val="center"/>
              <w:rPr>
                <w:vertAlign w:val="superscript"/>
              </w:rPr>
            </w:pPr>
            <w:r w:rsidRPr="003E2C4E">
              <w:t>17</w:t>
            </w:r>
            <w:r w:rsidR="00C81C8F">
              <w:rPr>
                <w:vertAlign w:val="superscript"/>
              </w:rPr>
              <w:t>c</w:t>
            </w:r>
            <w:r w:rsidRPr="003E2C4E">
              <w:t xml:space="preserve"> (45.9)</w:t>
            </w:r>
          </w:p>
        </w:tc>
        <w:tc>
          <w:tcPr>
            <w:tcW w:w="471" w:type="pct"/>
            <w:tcMar>
              <w:left w:w="20" w:type="dxa"/>
              <w:right w:w="20" w:type="dxa"/>
            </w:tcMar>
            <w:vAlign w:val="center"/>
          </w:tcPr>
          <w:p w14:paraId="68EACCBD" w14:textId="77777777" w:rsidR="00404D38" w:rsidRPr="006D7130" w:rsidRDefault="00404D38" w:rsidP="007D00DA">
            <w:pPr>
              <w:pStyle w:val="Tabletext"/>
              <w:keepNext/>
              <w:keepLines/>
              <w:jc w:val="center"/>
            </w:pPr>
            <w:r w:rsidRPr="006D7130">
              <w:t>8 (42.1)</w:t>
            </w:r>
          </w:p>
        </w:tc>
        <w:tc>
          <w:tcPr>
            <w:tcW w:w="532" w:type="pct"/>
            <w:tcMar>
              <w:left w:w="20" w:type="dxa"/>
              <w:right w:w="20" w:type="dxa"/>
            </w:tcMar>
            <w:vAlign w:val="center"/>
          </w:tcPr>
          <w:p w14:paraId="12BD4C06" w14:textId="77777777" w:rsidR="00404D38" w:rsidRPr="001A75D8" w:rsidRDefault="00404D38" w:rsidP="007D00DA">
            <w:pPr>
              <w:pStyle w:val="Tabletext"/>
              <w:keepNext/>
              <w:keepLines/>
              <w:jc w:val="center"/>
            </w:pPr>
            <w:r w:rsidRPr="003E2C4E">
              <w:t>20 (33.3)</w:t>
            </w:r>
          </w:p>
        </w:tc>
        <w:tc>
          <w:tcPr>
            <w:tcW w:w="532" w:type="pct"/>
            <w:tcMar>
              <w:left w:w="20" w:type="dxa"/>
              <w:right w:w="20" w:type="dxa"/>
            </w:tcMar>
            <w:vAlign w:val="center"/>
          </w:tcPr>
          <w:p w14:paraId="031A4219"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21666A3D" w14:textId="77777777" w:rsidR="00404D38" w:rsidRDefault="00404D38" w:rsidP="007D00DA">
            <w:pPr>
              <w:pStyle w:val="Tabletext"/>
              <w:keepNext/>
              <w:keepLines/>
              <w:jc w:val="center"/>
            </w:pPr>
            <w:r w:rsidRPr="003E2C4E">
              <w:t>45 (38.8)</w:t>
            </w:r>
          </w:p>
        </w:tc>
      </w:tr>
      <w:tr w:rsidR="00173823" w:rsidRPr="00D33C2C" w14:paraId="39D90828" w14:textId="77777777" w:rsidTr="00173823">
        <w:trPr>
          <w:trHeight w:val="20"/>
        </w:trPr>
        <w:tc>
          <w:tcPr>
            <w:tcW w:w="1330" w:type="pct"/>
            <w:shd w:val="clear" w:color="auto" w:fill="auto"/>
            <w:tcMar>
              <w:left w:w="20" w:type="dxa"/>
              <w:right w:w="20" w:type="dxa"/>
            </w:tcMar>
            <w:vAlign w:val="center"/>
          </w:tcPr>
          <w:p w14:paraId="1C8FA08C" w14:textId="77777777" w:rsidR="00404D38" w:rsidRPr="00D33C2C" w:rsidRDefault="00404D38" w:rsidP="007D00DA">
            <w:pPr>
              <w:pStyle w:val="Tabletext"/>
              <w:keepNext/>
              <w:keepLines/>
            </w:pPr>
            <w:r w:rsidRPr="00D33C2C">
              <w:rPr>
                <w:lang w:val="en-AU"/>
              </w:rPr>
              <w:t xml:space="preserve">Severe TEAE </w:t>
            </w:r>
          </w:p>
        </w:tc>
        <w:tc>
          <w:tcPr>
            <w:tcW w:w="532" w:type="pct"/>
            <w:shd w:val="clear" w:color="auto" w:fill="auto"/>
            <w:tcMar>
              <w:left w:w="20" w:type="dxa"/>
              <w:right w:w="20" w:type="dxa"/>
            </w:tcMar>
            <w:vAlign w:val="center"/>
          </w:tcPr>
          <w:p w14:paraId="4D0ED47B"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4CFA404F"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3781F76F" w14:textId="77777777" w:rsidR="00404D38" w:rsidRPr="001A75D8" w:rsidRDefault="00404D38" w:rsidP="007D00DA">
            <w:pPr>
              <w:pStyle w:val="Tabletext"/>
              <w:keepNext/>
              <w:keepLines/>
              <w:jc w:val="center"/>
            </w:pPr>
            <w:r w:rsidRPr="003E2C4E">
              <w:t>3 (8.1)</w:t>
            </w:r>
          </w:p>
        </w:tc>
        <w:tc>
          <w:tcPr>
            <w:tcW w:w="471" w:type="pct"/>
            <w:tcMar>
              <w:left w:w="20" w:type="dxa"/>
              <w:right w:w="20" w:type="dxa"/>
            </w:tcMar>
            <w:vAlign w:val="center"/>
          </w:tcPr>
          <w:p w14:paraId="0FFE23E9" w14:textId="77777777" w:rsidR="00404D38" w:rsidRPr="006D7130" w:rsidRDefault="00404D38" w:rsidP="007D00DA">
            <w:pPr>
              <w:pStyle w:val="Tabletext"/>
              <w:keepNext/>
              <w:keepLines/>
              <w:jc w:val="center"/>
            </w:pPr>
            <w:r w:rsidRPr="006D7130">
              <w:t>2 (10.5)</w:t>
            </w:r>
          </w:p>
        </w:tc>
        <w:tc>
          <w:tcPr>
            <w:tcW w:w="532" w:type="pct"/>
            <w:tcMar>
              <w:left w:w="20" w:type="dxa"/>
              <w:right w:w="20" w:type="dxa"/>
            </w:tcMar>
            <w:vAlign w:val="center"/>
          </w:tcPr>
          <w:p w14:paraId="23B4592B" w14:textId="77777777" w:rsidR="00404D38" w:rsidRPr="001A75D8" w:rsidRDefault="00404D38" w:rsidP="007D00DA">
            <w:pPr>
              <w:pStyle w:val="Tabletext"/>
              <w:keepNext/>
              <w:keepLines/>
              <w:jc w:val="center"/>
            </w:pPr>
            <w:r w:rsidRPr="003E2C4E">
              <w:t>15 (25.0)</w:t>
            </w:r>
          </w:p>
        </w:tc>
        <w:tc>
          <w:tcPr>
            <w:tcW w:w="532" w:type="pct"/>
            <w:tcMar>
              <w:left w:w="20" w:type="dxa"/>
              <w:right w:w="20" w:type="dxa"/>
            </w:tcMar>
            <w:vAlign w:val="center"/>
          </w:tcPr>
          <w:p w14:paraId="58CD90F3"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613E9B4F" w14:textId="77777777" w:rsidR="00404D38" w:rsidRDefault="00404D38" w:rsidP="007D00DA">
            <w:pPr>
              <w:pStyle w:val="Tabletext"/>
              <w:keepNext/>
              <w:keepLines/>
              <w:jc w:val="center"/>
            </w:pPr>
            <w:r w:rsidRPr="003E2C4E">
              <w:t>20 (17.2)</w:t>
            </w:r>
          </w:p>
        </w:tc>
      </w:tr>
      <w:tr w:rsidR="00173823" w:rsidRPr="00D33C2C" w14:paraId="3CF7E5BB" w14:textId="77777777" w:rsidTr="00173823">
        <w:trPr>
          <w:trHeight w:val="20"/>
        </w:trPr>
        <w:tc>
          <w:tcPr>
            <w:tcW w:w="1330" w:type="pct"/>
            <w:shd w:val="clear" w:color="auto" w:fill="auto"/>
            <w:tcMar>
              <w:left w:w="20" w:type="dxa"/>
              <w:right w:w="20" w:type="dxa"/>
            </w:tcMar>
            <w:vAlign w:val="center"/>
          </w:tcPr>
          <w:p w14:paraId="561AB3EE" w14:textId="77777777" w:rsidR="00404D38" w:rsidRPr="00D33C2C" w:rsidRDefault="00404D38" w:rsidP="007D00DA">
            <w:pPr>
              <w:pStyle w:val="Tabletext"/>
              <w:keepNext/>
              <w:keepLines/>
            </w:pPr>
            <w:r w:rsidRPr="00D33C2C">
              <w:rPr>
                <w:lang w:val="en-AU"/>
              </w:rPr>
              <w:t>Serious TEAE</w:t>
            </w:r>
          </w:p>
        </w:tc>
        <w:tc>
          <w:tcPr>
            <w:tcW w:w="532" w:type="pct"/>
            <w:shd w:val="clear" w:color="auto" w:fill="auto"/>
            <w:tcMar>
              <w:left w:w="20" w:type="dxa"/>
              <w:right w:w="20" w:type="dxa"/>
            </w:tcMar>
            <w:vAlign w:val="center"/>
          </w:tcPr>
          <w:p w14:paraId="5975A3A7"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1114109E"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49CE33CC" w14:textId="77777777" w:rsidR="00404D38" w:rsidRPr="006D7130" w:rsidRDefault="00404D38" w:rsidP="007D00DA">
            <w:pPr>
              <w:pStyle w:val="Tabletext"/>
              <w:keepNext/>
              <w:keepLines/>
              <w:jc w:val="center"/>
              <w:rPr>
                <w:b/>
                <w:bCs/>
              </w:rPr>
            </w:pPr>
            <w:r w:rsidRPr="006D7130">
              <w:rPr>
                <w:b/>
                <w:bCs/>
              </w:rPr>
              <w:t>35 (30.2)</w:t>
            </w:r>
          </w:p>
        </w:tc>
        <w:tc>
          <w:tcPr>
            <w:tcW w:w="471" w:type="pct"/>
            <w:tcMar>
              <w:left w:w="20" w:type="dxa"/>
              <w:right w:w="20" w:type="dxa"/>
            </w:tcMar>
            <w:vAlign w:val="center"/>
          </w:tcPr>
          <w:p w14:paraId="06A5EE02" w14:textId="77777777" w:rsidR="00404D38" w:rsidRPr="006D7130" w:rsidRDefault="00404D38" w:rsidP="007D00DA">
            <w:pPr>
              <w:pStyle w:val="Tabletext"/>
              <w:keepNext/>
              <w:keepLines/>
              <w:jc w:val="center"/>
            </w:pPr>
            <w:r w:rsidRPr="006D7130">
              <w:t>5 (26.3)</w:t>
            </w:r>
          </w:p>
        </w:tc>
        <w:tc>
          <w:tcPr>
            <w:tcW w:w="532" w:type="pct"/>
            <w:tcMar>
              <w:left w:w="20" w:type="dxa"/>
              <w:right w:w="20" w:type="dxa"/>
            </w:tcMar>
            <w:vAlign w:val="center"/>
          </w:tcPr>
          <w:p w14:paraId="26A86E7D" w14:textId="77777777" w:rsidR="00404D38" w:rsidRPr="006D7130" w:rsidRDefault="00404D38" w:rsidP="007D00DA">
            <w:pPr>
              <w:pStyle w:val="Tabletext"/>
              <w:keepNext/>
              <w:keepLines/>
              <w:jc w:val="center"/>
              <w:rPr>
                <w:b/>
                <w:bCs/>
              </w:rPr>
            </w:pPr>
            <w:r w:rsidRPr="006D7130">
              <w:rPr>
                <w:b/>
                <w:bCs/>
              </w:rPr>
              <w:t>23 (38.3)</w:t>
            </w:r>
          </w:p>
        </w:tc>
        <w:tc>
          <w:tcPr>
            <w:tcW w:w="532" w:type="pct"/>
            <w:tcMar>
              <w:left w:w="20" w:type="dxa"/>
              <w:right w:w="20" w:type="dxa"/>
            </w:tcMar>
            <w:vAlign w:val="center"/>
          </w:tcPr>
          <w:p w14:paraId="26A367E3"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65D524F6" w14:textId="77777777" w:rsidR="00404D38" w:rsidRPr="006D7130" w:rsidRDefault="00404D38" w:rsidP="007D00DA">
            <w:pPr>
              <w:pStyle w:val="Tabletext"/>
              <w:keepNext/>
              <w:keepLines/>
              <w:jc w:val="center"/>
              <w:rPr>
                <w:b/>
                <w:bCs/>
              </w:rPr>
            </w:pPr>
            <w:r w:rsidRPr="006D7130">
              <w:rPr>
                <w:b/>
                <w:bCs/>
              </w:rPr>
              <w:t>35 (30.2)</w:t>
            </w:r>
          </w:p>
        </w:tc>
      </w:tr>
      <w:tr w:rsidR="00173823" w:rsidRPr="00D33C2C" w14:paraId="08050F9D" w14:textId="77777777" w:rsidTr="00173823">
        <w:trPr>
          <w:trHeight w:val="20"/>
        </w:trPr>
        <w:tc>
          <w:tcPr>
            <w:tcW w:w="1330" w:type="pct"/>
            <w:shd w:val="clear" w:color="auto" w:fill="auto"/>
            <w:tcMar>
              <w:left w:w="20" w:type="dxa"/>
              <w:right w:w="20" w:type="dxa"/>
            </w:tcMar>
            <w:vAlign w:val="center"/>
          </w:tcPr>
          <w:p w14:paraId="0D351426" w14:textId="77777777" w:rsidR="00404D38" w:rsidRPr="00D33C2C" w:rsidRDefault="00404D38" w:rsidP="007D00DA">
            <w:pPr>
              <w:pStyle w:val="Tabletext"/>
              <w:keepNext/>
              <w:keepLines/>
            </w:pPr>
            <w:r w:rsidRPr="00D33C2C">
              <w:rPr>
                <w:lang w:val="en-AU"/>
              </w:rPr>
              <w:t>Drug-related serious TEAE</w:t>
            </w:r>
          </w:p>
        </w:tc>
        <w:tc>
          <w:tcPr>
            <w:tcW w:w="532" w:type="pct"/>
            <w:shd w:val="clear" w:color="auto" w:fill="auto"/>
            <w:tcMar>
              <w:left w:w="20" w:type="dxa"/>
              <w:right w:w="20" w:type="dxa"/>
            </w:tcMar>
            <w:vAlign w:val="center"/>
          </w:tcPr>
          <w:p w14:paraId="4852A7C8"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25FB836B"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3CED5898" w14:textId="77777777" w:rsidR="00404D38" w:rsidRPr="001A75D8" w:rsidRDefault="00404D38" w:rsidP="007D00DA">
            <w:pPr>
              <w:pStyle w:val="Tabletext"/>
              <w:keepNext/>
              <w:keepLines/>
              <w:jc w:val="center"/>
            </w:pPr>
            <w:r w:rsidRPr="003E2C4E">
              <w:t>2 (1.7)</w:t>
            </w:r>
          </w:p>
        </w:tc>
        <w:tc>
          <w:tcPr>
            <w:tcW w:w="471" w:type="pct"/>
            <w:tcMar>
              <w:left w:w="20" w:type="dxa"/>
              <w:right w:w="20" w:type="dxa"/>
            </w:tcMar>
            <w:vAlign w:val="center"/>
          </w:tcPr>
          <w:p w14:paraId="786C85F3" w14:textId="77777777" w:rsidR="00404D38" w:rsidRPr="001A75D8" w:rsidRDefault="00404D38" w:rsidP="007D00DA">
            <w:pPr>
              <w:pStyle w:val="Tabletext"/>
              <w:keepNext/>
              <w:keepLines/>
              <w:jc w:val="center"/>
            </w:pPr>
            <w:r>
              <w:t>0</w:t>
            </w:r>
          </w:p>
        </w:tc>
        <w:tc>
          <w:tcPr>
            <w:tcW w:w="532" w:type="pct"/>
            <w:tcMar>
              <w:left w:w="20" w:type="dxa"/>
              <w:right w:w="20" w:type="dxa"/>
            </w:tcMar>
            <w:vAlign w:val="center"/>
          </w:tcPr>
          <w:p w14:paraId="765BA719" w14:textId="77777777" w:rsidR="00404D38" w:rsidRPr="001A75D8" w:rsidRDefault="00404D38" w:rsidP="007D00DA">
            <w:pPr>
              <w:pStyle w:val="Tabletext"/>
              <w:keepNext/>
              <w:keepLines/>
              <w:jc w:val="center"/>
            </w:pPr>
            <w:r w:rsidRPr="003E2C4E">
              <w:t>1 (1.7)</w:t>
            </w:r>
          </w:p>
        </w:tc>
        <w:tc>
          <w:tcPr>
            <w:tcW w:w="532" w:type="pct"/>
            <w:tcMar>
              <w:left w:w="20" w:type="dxa"/>
              <w:right w:w="20" w:type="dxa"/>
            </w:tcMar>
            <w:vAlign w:val="center"/>
          </w:tcPr>
          <w:p w14:paraId="3526529C"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1A3BED23" w14:textId="77777777" w:rsidR="00404D38" w:rsidRDefault="00404D38" w:rsidP="007D00DA">
            <w:pPr>
              <w:pStyle w:val="Tabletext"/>
              <w:keepNext/>
              <w:keepLines/>
              <w:jc w:val="center"/>
            </w:pPr>
            <w:r w:rsidRPr="003E2C4E">
              <w:t>2 (1.7)</w:t>
            </w:r>
          </w:p>
        </w:tc>
      </w:tr>
      <w:tr w:rsidR="00173823" w:rsidRPr="00D33C2C" w14:paraId="23BD03A7" w14:textId="77777777" w:rsidTr="00173823">
        <w:trPr>
          <w:trHeight w:val="20"/>
        </w:trPr>
        <w:tc>
          <w:tcPr>
            <w:tcW w:w="1330" w:type="pct"/>
            <w:shd w:val="clear" w:color="auto" w:fill="auto"/>
            <w:tcMar>
              <w:left w:w="20" w:type="dxa"/>
              <w:right w:w="20" w:type="dxa"/>
            </w:tcMar>
            <w:vAlign w:val="center"/>
          </w:tcPr>
          <w:p w14:paraId="4534C0D8" w14:textId="77777777" w:rsidR="00404D38" w:rsidRPr="00D33C2C" w:rsidRDefault="00404D38" w:rsidP="007D00DA">
            <w:pPr>
              <w:pStyle w:val="Tabletext"/>
              <w:keepNext/>
              <w:keepLines/>
            </w:pPr>
            <w:r w:rsidRPr="00D33C2C">
              <w:rPr>
                <w:lang w:val="en-AU"/>
              </w:rPr>
              <w:t>TEAE leading to death</w:t>
            </w:r>
          </w:p>
        </w:tc>
        <w:tc>
          <w:tcPr>
            <w:tcW w:w="532" w:type="pct"/>
            <w:shd w:val="clear" w:color="auto" w:fill="auto"/>
            <w:tcMar>
              <w:left w:w="20" w:type="dxa"/>
              <w:right w:w="20" w:type="dxa"/>
            </w:tcMar>
            <w:vAlign w:val="center"/>
          </w:tcPr>
          <w:p w14:paraId="13D6EAE6"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36FE3785"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51A4CB79" w14:textId="77777777" w:rsidR="00404D38" w:rsidRPr="001A75D8" w:rsidRDefault="00404D38" w:rsidP="007D00DA">
            <w:pPr>
              <w:pStyle w:val="Tabletext"/>
              <w:keepNext/>
              <w:keepLines/>
              <w:jc w:val="center"/>
            </w:pPr>
            <w:r>
              <w:t>0</w:t>
            </w:r>
          </w:p>
        </w:tc>
        <w:tc>
          <w:tcPr>
            <w:tcW w:w="471" w:type="pct"/>
            <w:shd w:val="clear" w:color="auto" w:fill="auto"/>
            <w:tcMar>
              <w:left w:w="20" w:type="dxa"/>
              <w:right w:w="20" w:type="dxa"/>
            </w:tcMar>
            <w:vAlign w:val="center"/>
          </w:tcPr>
          <w:p w14:paraId="3A1EB8D9" w14:textId="77777777" w:rsidR="00404D38" w:rsidRPr="001A75D8" w:rsidRDefault="00404D38" w:rsidP="007D00DA">
            <w:pPr>
              <w:pStyle w:val="Tabletext"/>
              <w:keepNext/>
              <w:keepLines/>
              <w:jc w:val="center"/>
            </w:pPr>
            <w:r>
              <w:t>0</w:t>
            </w:r>
          </w:p>
        </w:tc>
        <w:tc>
          <w:tcPr>
            <w:tcW w:w="532" w:type="pct"/>
            <w:shd w:val="clear" w:color="auto" w:fill="auto"/>
            <w:tcMar>
              <w:left w:w="20" w:type="dxa"/>
              <w:right w:w="20" w:type="dxa"/>
            </w:tcMar>
            <w:vAlign w:val="center"/>
          </w:tcPr>
          <w:p w14:paraId="47A63925" w14:textId="77777777" w:rsidR="00404D38" w:rsidRPr="001A75D8" w:rsidRDefault="00404D38" w:rsidP="007D00DA">
            <w:pPr>
              <w:pStyle w:val="Tabletext"/>
              <w:keepNext/>
              <w:keepLines/>
              <w:jc w:val="center"/>
            </w:pPr>
            <w:r>
              <w:t>0</w:t>
            </w:r>
          </w:p>
        </w:tc>
        <w:tc>
          <w:tcPr>
            <w:tcW w:w="532" w:type="pct"/>
            <w:tcMar>
              <w:left w:w="20" w:type="dxa"/>
              <w:right w:w="20" w:type="dxa"/>
            </w:tcMar>
            <w:vAlign w:val="center"/>
          </w:tcPr>
          <w:p w14:paraId="4EEB11E3"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2B1A1C50" w14:textId="77777777" w:rsidR="00404D38" w:rsidRDefault="00404D38" w:rsidP="007D00DA">
            <w:pPr>
              <w:pStyle w:val="Tabletext"/>
              <w:keepNext/>
              <w:keepLines/>
              <w:jc w:val="center"/>
            </w:pPr>
            <w:r>
              <w:t>0</w:t>
            </w:r>
          </w:p>
        </w:tc>
      </w:tr>
      <w:tr w:rsidR="00173823" w:rsidRPr="00D33C2C" w14:paraId="0EB16A0A" w14:textId="77777777" w:rsidTr="00173823">
        <w:trPr>
          <w:trHeight w:val="20"/>
        </w:trPr>
        <w:tc>
          <w:tcPr>
            <w:tcW w:w="1330" w:type="pct"/>
            <w:shd w:val="clear" w:color="auto" w:fill="auto"/>
            <w:tcMar>
              <w:left w:w="20" w:type="dxa"/>
              <w:right w:w="20" w:type="dxa"/>
            </w:tcMar>
            <w:vAlign w:val="center"/>
          </w:tcPr>
          <w:p w14:paraId="2541E84C" w14:textId="77777777" w:rsidR="00404D38" w:rsidRPr="00D33C2C" w:rsidRDefault="00404D38" w:rsidP="007D00DA">
            <w:pPr>
              <w:pStyle w:val="Tabletext"/>
              <w:keepNext/>
              <w:keepLines/>
            </w:pPr>
            <w:r w:rsidRPr="00D33C2C">
              <w:rPr>
                <w:lang w:val="en-AU"/>
              </w:rPr>
              <w:t>TEAE leading to treatment discontinuation</w:t>
            </w:r>
          </w:p>
        </w:tc>
        <w:tc>
          <w:tcPr>
            <w:tcW w:w="532" w:type="pct"/>
            <w:shd w:val="clear" w:color="auto" w:fill="auto"/>
            <w:tcMar>
              <w:left w:w="20" w:type="dxa"/>
              <w:right w:w="20" w:type="dxa"/>
            </w:tcMar>
            <w:vAlign w:val="center"/>
          </w:tcPr>
          <w:p w14:paraId="6C798226" w14:textId="77777777" w:rsidR="00404D38" w:rsidRPr="001A75D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0C82E425" w14:textId="77777777" w:rsidR="00404D38" w:rsidRPr="001A75D8" w:rsidRDefault="00404D38" w:rsidP="007D00DA">
            <w:pPr>
              <w:pStyle w:val="Tabletext"/>
              <w:keepNext/>
              <w:keepLines/>
              <w:jc w:val="center"/>
            </w:pPr>
            <w:r>
              <w:t>NR</w:t>
            </w:r>
          </w:p>
        </w:tc>
        <w:tc>
          <w:tcPr>
            <w:tcW w:w="532" w:type="pct"/>
            <w:tcMar>
              <w:left w:w="20" w:type="dxa"/>
              <w:right w:w="20" w:type="dxa"/>
            </w:tcMar>
            <w:vAlign w:val="center"/>
          </w:tcPr>
          <w:p w14:paraId="14770821" w14:textId="77777777" w:rsidR="00404D38" w:rsidRPr="001A75D8" w:rsidRDefault="00404D38" w:rsidP="007D00DA">
            <w:pPr>
              <w:pStyle w:val="Tabletext"/>
              <w:keepNext/>
              <w:keepLines/>
              <w:jc w:val="center"/>
            </w:pPr>
            <w:r w:rsidRPr="003E2C4E">
              <w:t>10 (8.6)</w:t>
            </w:r>
          </w:p>
        </w:tc>
        <w:tc>
          <w:tcPr>
            <w:tcW w:w="471" w:type="pct"/>
            <w:shd w:val="clear" w:color="auto" w:fill="auto"/>
            <w:tcMar>
              <w:left w:w="20" w:type="dxa"/>
              <w:right w:w="20" w:type="dxa"/>
            </w:tcMar>
            <w:vAlign w:val="center"/>
          </w:tcPr>
          <w:p w14:paraId="357FA5AB" w14:textId="77777777" w:rsidR="00404D38" w:rsidRPr="006D7130" w:rsidRDefault="00404D38" w:rsidP="007D00DA">
            <w:pPr>
              <w:pStyle w:val="Tabletext"/>
              <w:keepNext/>
              <w:keepLines/>
              <w:jc w:val="center"/>
            </w:pPr>
            <w:r w:rsidRPr="006D7130">
              <w:t>3 (15.8)</w:t>
            </w:r>
          </w:p>
        </w:tc>
        <w:tc>
          <w:tcPr>
            <w:tcW w:w="532" w:type="pct"/>
            <w:tcMar>
              <w:left w:w="20" w:type="dxa"/>
              <w:right w:w="20" w:type="dxa"/>
            </w:tcMar>
            <w:vAlign w:val="center"/>
          </w:tcPr>
          <w:p w14:paraId="7D035620" w14:textId="77777777" w:rsidR="00404D38" w:rsidRPr="001A75D8" w:rsidRDefault="00404D38" w:rsidP="007D00DA">
            <w:pPr>
              <w:pStyle w:val="Tabletext"/>
              <w:keepNext/>
              <w:keepLines/>
              <w:jc w:val="center"/>
            </w:pPr>
            <w:r w:rsidRPr="003E2C4E">
              <w:t>7 (11.7)</w:t>
            </w:r>
          </w:p>
        </w:tc>
        <w:tc>
          <w:tcPr>
            <w:tcW w:w="532" w:type="pct"/>
            <w:tcMar>
              <w:left w:w="20" w:type="dxa"/>
              <w:right w:w="20" w:type="dxa"/>
            </w:tcMar>
            <w:vAlign w:val="center"/>
          </w:tcPr>
          <w:p w14:paraId="040C14FF" w14:textId="77777777" w:rsidR="00404D38" w:rsidRPr="001A75D8" w:rsidRDefault="00404D38" w:rsidP="007D00DA">
            <w:pPr>
              <w:pStyle w:val="Tabletext"/>
              <w:keepNext/>
              <w:keepLines/>
              <w:jc w:val="center"/>
            </w:pPr>
            <w:r>
              <w:t>NR</w:t>
            </w:r>
          </w:p>
        </w:tc>
        <w:tc>
          <w:tcPr>
            <w:tcW w:w="540" w:type="pct"/>
            <w:tcMar>
              <w:left w:w="20" w:type="dxa"/>
              <w:right w:w="20" w:type="dxa"/>
            </w:tcMar>
            <w:vAlign w:val="center"/>
          </w:tcPr>
          <w:p w14:paraId="5E8E286B" w14:textId="77777777" w:rsidR="00404D38" w:rsidRDefault="00404D38" w:rsidP="007D00DA">
            <w:pPr>
              <w:pStyle w:val="Tabletext"/>
              <w:keepNext/>
              <w:keepLines/>
              <w:jc w:val="center"/>
            </w:pPr>
            <w:r w:rsidRPr="003E2C4E">
              <w:t>10 (8.6)</w:t>
            </w:r>
          </w:p>
        </w:tc>
      </w:tr>
      <w:tr w:rsidR="00173823" w:rsidRPr="00D33C2C" w14:paraId="13B34F44" w14:textId="77777777" w:rsidTr="00173823">
        <w:trPr>
          <w:trHeight w:val="20"/>
        </w:trPr>
        <w:tc>
          <w:tcPr>
            <w:tcW w:w="1330" w:type="pct"/>
            <w:shd w:val="clear" w:color="auto" w:fill="auto"/>
            <w:tcMar>
              <w:left w:w="20" w:type="dxa"/>
              <w:right w:w="20" w:type="dxa"/>
            </w:tcMar>
            <w:vAlign w:val="center"/>
          </w:tcPr>
          <w:p w14:paraId="473DBAF4" w14:textId="77777777" w:rsidR="00404D38" w:rsidRPr="00D33C2C" w:rsidRDefault="00404D38" w:rsidP="007D00DA">
            <w:pPr>
              <w:pStyle w:val="Tabletext"/>
              <w:keepNext/>
              <w:keepLines/>
            </w:pPr>
            <w:r>
              <w:t>TEAE leading to study treatment interruption</w:t>
            </w:r>
          </w:p>
        </w:tc>
        <w:tc>
          <w:tcPr>
            <w:tcW w:w="532" w:type="pct"/>
            <w:shd w:val="clear" w:color="auto" w:fill="auto"/>
            <w:tcMar>
              <w:left w:w="20" w:type="dxa"/>
              <w:right w:w="20" w:type="dxa"/>
            </w:tcMar>
            <w:vAlign w:val="center"/>
          </w:tcPr>
          <w:p w14:paraId="2639FAC2"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1955AF55"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073414F7" w14:textId="77777777" w:rsidR="00404D38" w:rsidRPr="003E2C4E" w:rsidRDefault="00404D38" w:rsidP="007D00DA">
            <w:pPr>
              <w:pStyle w:val="Tabletext"/>
              <w:keepNext/>
              <w:keepLines/>
              <w:jc w:val="center"/>
            </w:pPr>
            <w:r w:rsidRPr="003E2C4E">
              <w:t>14 (37.8)</w:t>
            </w:r>
          </w:p>
        </w:tc>
        <w:tc>
          <w:tcPr>
            <w:tcW w:w="471" w:type="pct"/>
            <w:shd w:val="clear" w:color="auto" w:fill="auto"/>
            <w:tcMar>
              <w:left w:w="20" w:type="dxa"/>
              <w:right w:w="20" w:type="dxa"/>
            </w:tcMar>
            <w:vAlign w:val="center"/>
          </w:tcPr>
          <w:p w14:paraId="74150D56" w14:textId="77777777" w:rsidR="00404D38" w:rsidRPr="003E2C4E" w:rsidRDefault="00404D38" w:rsidP="007D00DA">
            <w:pPr>
              <w:pStyle w:val="Tabletext"/>
              <w:keepNext/>
              <w:keepLines/>
              <w:jc w:val="center"/>
            </w:pPr>
            <w:r w:rsidRPr="003E2C4E">
              <w:t>5 (26.3)</w:t>
            </w:r>
          </w:p>
        </w:tc>
        <w:tc>
          <w:tcPr>
            <w:tcW w:w="532" w:type="pct"/>
            <w:tcMar>
              <w:left w:w="20" w:type="dxa"/>
              <w:right w:w="20" w:type="dxa"/>
            </w:tcMar>
            <w:vAlign w:val="center"/>
          </w:tcPr>
          <w:p w14:paraId="66AD92A0" w14:textId="77777777" w:rsidR="00404D38" w:rsidRPr="001A75D8" w:rsidRDefault="00404D38" w:rsidP="007D00DA">
            <w:pPr>
              <w:pStyle w:val="Tabletext"/>
              <w:keepNext/>
              <w:keepLines/>
              <w:jc w:val="center"/>
            </w:pPr>
            <w:r w:rsidRPr="003E2C4E">
              <w:t>20 (33.3)</w:t>
            </w:r>
          </w:p>
        </w:tc>
        <w:tc>
          <w:tcPr>
            <w:tcW w:w="532" w:type="pct"/>
            <w:tcMar>
              <w:left w:w="20" w:type="dxa"/>
              <w:right w:w="20" w:type="dxa"/>
            </w:tcMar>
            <w:vAlign w:val="center"/>
          </w:tcPr>
          <w:p w14:paraId="2BDF0407"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25AA5CB5" w14:textId="77777777" w:rsidR="00404D38" w:rsidRDefault="00404D38" w:rsidP="007D00DA">
            <w:pPr>
              <w:pStyle w:val="Tabletext"/>
              <w:keepNext/>
              <w:keepLines/>
              <w:jc w:val="center"/>
            </w:pPr>
            <w:r w:rsidRPr="003E2C4E">
              <w:t>39 (33.6)</w:t>
            </w:r>
          </w:p>
        </w:tc>
      </w:tr>
      <w:bookmarkEnd w:id="60"/>
      <w:tr w:rsidR="00404D38" w:rsidRPr="00D33C2C" w14:paraId="262145CD" w14:textId="77777777" w:rsidTr="00591653">
        <w:trPr>
          <w:trHeight w:val="20"/>
        </w:trPr>
        <w:tc>
          <w:tcPr>
            <w:tcW w:w="5000" w:type="pct"/>
            <w:gridSpan w:val="8"/>
            <w:shd w:val="clear" w:color="auto" w:fill="auto"/>
            <w:tcMar>
              <w:left w:w="20" w:type="dxa"/>
              <w:right w:w="20" w:type="dxa"/>
            </w:tcMar>
            <w:vAlign w:val="center"/>
          </w:tcPr>
          <w:p w14:paraId="60F4B06E" w14:textId="77777777" w:rsidR="00404D38" w:rsidRPr="00FF7C01" w:rsidRDefault="00404D38" w:rsidP="007D00DA">
            <w:pPr>
              <w:pStyle w:val="Tabletext"/>
              <w:keepNext/>
              <w:keepLines/>
              <w:rPr>
                <w:b/>
                <w:bCs/>
              </w:rPr>
            </w:pPr>
            <w:r w:rsidRPr="00FF7C01">
              <w:rPr>
                <w:b/>
                <w:bCs/>
              </w:rPr>
              <w:t>Select TEAEs reported in ≥ 5%</w:t>
            </w:r>
            <w:r>
              <w:rPr>
                <w:b/>
                <w:bCs/>
              </w:rPr>
              <w:t xml:space="preserve"> patients</w:t>
            </w:r>
          </w:p>
        </w:tc>
      </w:tr>
      <w:tr w:rsidR="00173823" w:rsidRPr="00D33C2C" w14:paraId="12F6C242" w14:textId="77777777" w:rsidTr="00173823">
        <w:trPr>
          <w:trHeight w:val="20"/>
        </w:trPr>
        <w:tc>
          <w:tcPr>
            <w:tcW w:w="1330" w:type="pct"/>
            <w:shd w:val="clear" w:color="auto" w:fill="auto"/>
            <w:tcMar>
              <w:left w:w="20" w:type="dxa"/>
              <w:right w:w="20" w:type="dxa"/>
            </w:tcMar>
            <w:vAlign w:val="center"/>
          </w:tcPr>
          <w:p w14:paraId="657F9B24" w14:textId="77777777" w:rsidR="00404D38" w:rsidRDefault="00404D38" w:rsidP="007D00DA">
            <w:pPr>
              <w:pStyle w:val="Tabletext"/>
              <w:keepNext/>
              <w:keepLines/>
            </w:pPr>
            <w:r w:rsidRPr="00FF7C01">
              <w:t>Investigations</w:t>
            </w:r>
          </w:p>
        </w:tc>
        <w:tc>
          <w:tcPr>
            <w:tcW w:w="532" w:type="pct"/>
            <w:shd w:val="clear" w:color="auto" w:fill="auto"/>
            <w:tcMar>
              <w:left w:w="20" w:type="dxa"/>
              <w:right w:w="20" w:type="dxa"/>
            </w:tcMar>
            <w:vAlign w:val="center"/>
          </w:tcPr>
          <w:p w14:paraId="6B6FB3D4"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3752C09B"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7CB3C60F" w14:textId="77777777" w:rsidR="00404D38" w:rsidRPr="003E2C4E" w:rsidRDefault="00404D38" w:rsidP="007D00DA">
            <w:pPr>
              <w:pStyle w:val="Tabletext"/>
              <w:keepNext/>
              <w:keepLines/>
              <w:jc w:val="center"/>
            </w:pPr>
            <w:r w:rsidRPr="00114E09">
              <w:t>20 (54.1)</w:t>
            </w:r>
          </w:p>
        </w:tc>
        <w:tc>
          <w:tcPr>
            <w:tcW w:w="471" w:type="pct"/>
            <w:tcMar>
              <w:left w:w="20" w:type="dxa"/>
              <w:right w:w="20" w:type="dxa"/>
            </w:tcMar>
            <w:vAlign w:val="center"/>
          </w:tcPr>
          <w:p w14:paraId="17C21FCB" w14:textId="77777777" w:rsidR="00404D38" w:rsidRPr="003E2C4E" w:rsidRDefault="00404D38" w:rsidP="007D00DA">
            <w:pPr>
              <w:pStyle w:val="Tabletext"/>
              <w:keepNext/>
              <w:keepLines/>
              <w:jc w:val="center"/>
            </w:pPr>
            <w:r w:rsidRPr="00114E09">
              <w:t>11 (57.9)</w:t>
            </w:r>
          </w:p>
        </w:tc>
        <w:tc>
          <w:tcPr>
            <w:tcW w:w="532" w:type="pct"/>
            <w:tcMar>
              <w:left w:w="20" w:type="dxa"/>
              <w:right w:w="20" w:type="dxa"/>
            </w:tcMar>
            <w:vAlign w:val="center"/>
          </w:tcPr>
          <w:p w14:paraId="0D4A696B" w14:textId="77777777" w:rsidR="00404D38" w:rsidRPr="003E2C4E" w:rsidRDefault="00404D38" w:rsidP="007D00DA">
            <w:pPr>
              <w:pStyle w:val="Tabletext"/>
              <w:keepNext/>
              <w:keepLines/>
              <w:jc w:val="center"/>
            </w:pPr>
            <w:r w:rsidRPr="00114E09">
              <w:t>29 (48.3)</w:t>
            </w:r>
          </w:p>
        </w:tc>
        <w:tc>
          <w:tcPr>
            <w:tcW w:w="532" w:type="pct"/>
            <w:shd w:val="clear" w:color="auto" w:fill="auto"/>
            <w:tcMar>
              <w:left w:w="20" w:type="dxa"/>
              <w:right w:w="20" w:type="dxa"/>
            </w:tcMar>
            <w:vAlign w:val="center"/>
          </w:tcPr>
          <w:p w14:paraId="7ABAE9F6"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6FAE7621" w14:textId="77777777" w:rsidR="00404D38" w:rsidRPr="003E2C4E" w:rsidRDefault="00404D38" w:rsidP="007D00DA">
            <w:pPr>
              <w:pStyle w:val="Tabletext"/>
              <w:keepNext/>
              <w:keepLines/>
              <w:jc w:val="center"/>
            </w:pPr>
            <w:r w:rsidRPr="00114E09">
              <w:t>60 (51.7)</w:t>
            </w:r>
          </w:p>
        </w:tc>
      </w:tr>
      <w:tr w:rsidR="00173823" w:rsidRPr="00D33C2C" w14:paraId="140618B7" w14:textId="77777777" w:rsidTr="00173823">
        <w:trPr>
          <w:trHeight w:val="20"/>
        </w:trPr>
        <w:tc>
          <w:tcPr>
            <w:tcW w:w="1330" w:type="pct"/>
            <w:tcMar>
              <w:left w:w="20" w:type="dxa"/>
              <w:right w:w="20" w:type="dxa"/>
            </w:tcMar>
            <w:vAlign w:val="center"/>
          </w:tcPr>
          <w:p w14:paraId="1F87119B" w14:textId="77777777" w:rsidR="00404D38" w:rsidRDefault="00404D38" w:rsidP="007D00DA">
            <w:pPr>
              <w:pStyle w:val="Tabletext"/>
              <w:keepNext/>
              <w:keepLines/>
              <w:ind w:left="174"/>
            </w:pPr>
            <w:r w:rsidRPr="00114E09">
              <w:t>Blood bilirubin increased</w:t>
            </w:r>
          </w:p>
        </w:tc>
        <w:tc>
          <w:tcPr>
            <w:tcW w:w="532" w:type="pct"/>
            <w:shd w:val="clear" w:color="auto" w:fill="auto"/>
            <w:tcMar>
              <w:left w:w="20" w:type="dxa"/>
              <w:right w:w="20" w:type="dxa"/>
            </w:tcMar>
            <w:vAlign w:val="center"/>
          </w:tcPr>
          <w:p w14:paraId="1BBB208E"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74DCB8BB"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52A7D345" w14:textId="77777777" w:rsidR="00404D38" w:rsidRPr="003E2C4E" w:rsidRDefault="00404D38" w:rsidP="007D00DA">
            <w:pPr>
              <w:pStyle w:val="Tabletext"/>
              <w:keepNext/>
              <w:keepLines/>
              <w:jc w:val="center"/>
            </w:pPr>
            <w:r w:rsidRPr="00114E09">
              <w:t>10 (27.0)</w:t>
            </w:r>
          </w:p>
        </w:tc>
        <w:tc>
          <w:tcPr>
            <w:tcW w:w="471" w:type="pct"/>
            <w:tcMar>
              <w:left w:w="20" w:type="dxa"/>
              <w:right w:w="20" w:type="dxa"/>
            </w:tcMar>
            <w:vAlign w:val="center"/>
          </w:tcPr>
          <w:p w14:paraId="0B60E94B" w14:textId="77777777" w:rsidR="00404D38" w:rsidRPr="003E2C4E" w:rsidRDefault="00404D38" w:rsidP="007D00DA">
            <w:pPr>
              <w:pStyle w:val="Tabletext"/>
              <w:keepNext/>
              <w:keepLines/>
              <w:jc w:val="center"/>
            </w:pPr>
            <w:r w:rsidRPr="00114E09">
              <w:t>4 (21.1)</w:t>
            </w:r>
          </w:p>
        </w:tc>
        <w:tc>
          <w:tcPr>
            <w:tcW w:w="532" w:type="pct"/>
            <w:tcMar>
              <w:left w:w="20" w:type="dxa"/>
              <w:right w:w="20" w:type="dxa"/>
            </w:tcMar>
            <w:vAlign w:val="center"/>
          </w:tcPr>
          <w:p w14:paraId="1FE292F4" w14:textId="77777777" w:rsidR="00404D38" w:rsidRPr="003E2C4E" w:rsidRDefault="00404D38" w:rsidP="007D00DA">
            <w:pPr>
              <w:pStyle w:val="Tabletext"/>
              <w:keepNext/>
              <w:keepLines/>
              <w:jc w:val="center"/>
            </w:pPr>
            <w:r w:rsidRPr="00114E09">
              <w:t>14 (23.3)</w:t>
            </w:r>
          </w:p>
        </w:tc>
        <w:tc>
          <w:tcPr>
            <w:tcW w:w="532" w:type="pct"/>
            <w:shd w:val="clear" w:color="auto" w:fill="auto"/>
            <w:tcMar>
              <w:left w:w="20" w:type="dxa"/>
              <w:right w:w="20" w:type="dxa"/>
            </w:tcMar>
            <w:vAlign w:val="center"/>
          </w:tcPr>
          <w:p w14:paraId="522C50AA"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091F622D" w14:textId="77777777" w:rsidR="00404D38" w:rsidRPr="003E2C4E" w:rsidRDefault="00404D38" w:rsidP="007D00DA">
            <w:pPr>
              <w:pStyle w:val="Tabletext"/>
              <w:keepNext/>
              <w:keepLines/>
              <w:jc w:val="center"/>
            </w:pPr>
            <w:r w:rsidRPr="00114E09">
              <w:t>28 (24.1)</w:t>
            </w:r>
          </w:p>
        </w:tc>
      </w:tr>
      <w:tr w:rsidR="00173823" w:rsidRPr="00D33C2C" w14:paraId="7F15C48C" w14:textId="77777777" w:rsidTr="00173823">
        <w:trPr>
          <w:trHeight w:val="20"/>
        </w:trPr>
        <w:tc>
          <w:tcPr>
            <w:tcW w:w="1330" w:type="pct"/>
            <w:tcMar>
              <w:left w:w="20" w:type="dxa"/>
              <w:right w:w="20" w:type="dxa"/>
            </w:tcMar>
            <w:vAlign w:val="center"/>
          </w:tcPr>
          <w:p w14:paraId="48EED914" w14:textId="77777777" w:rsidR="00404D38" w:rsidRDefault="00404D38" w:rsidP="007D00DA">
            <w:pPr>
              <w:pStyle w:val="Tabletext"/>
              <w:keepNext/>
              <w:keepLines/>
              <w:ind w:left="174"/>
            </w:pPr>
            <w:r w:rsidRPr="00114E09">
              <w:t>INR increased</w:t>
            </w:r>
          </w:p>
        </w:tc>
        <w:tc>
          <w:tcPr>
            <w:tcW w:w="532" w:type="pct"/>
            <w:shd w:val="clear" w:color="auto" w:fill="auto"/>
            <w:tcMar>
              <w:left w:w="20" w:type="dxa"/>
              <w:right w:w="20" w:type="dxa"/>
            </w:tcMar>
            <w:vAlign w:val="center"/>
          </w:tcPr>
          <w:p w14:paraId="0E0AC1BD"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4DB73199"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07F68E6E" w14:textId="77777777" w:rsidR="00404D38" w:rsidRPr="003E2C4E" w:rsidRDefault="00404D38" w:rsidP="007D00DA">
            <w:pPr>
              <w:pStyle w:val="Tabletext"/>
              <w:keepNext/>
              <w:keepLines/>
              <w:jc w:val="center"/>
            </w:pPr>
            <w:r w:rsidRPr="00114E09">
              <w:t>5 (13.5)</w:t>
            </w:r>
          </w:p>
        </w:tc>
        <w:tc>
          <w:tcPr>
            <w:tcW w:w="471" w:type="pct"/>
            <w:tcMar>
              <w:left w:w="20" w:type="dxa"/>
              <w:right w:w="20" w:type="dxa"/>
            </w:tcMar>
            <w:vAlign w:val="center"/>
          </w:tcPr>
          <w:p w14:paraId="18C2CF41" w14:textId="77777777" w:rsidR="00404D38" w:rsidRPr="003E2C4E" w:rsidRDefault="00404D38" w:rsidP="007D00DA">
            <w:pPr>
              <w:pStyle w:val="Tabletext"/>
              <w:keepNext/>
              <w:keepLines/>
              <w:jc w:val="center"/>
            </w:pPr>
            <w:r w:rsidRPr="00114E09">
              <w:t>3 (15.8)</w:t>
            </w:r>
          </w:p>
        </w:tc>
        <w:tc>
          <w:tcPr>
            <w:tcW w:w="532" w:type="pct"/>
            <w:tcMar>
              <w:left w:w="20" w:type="dxa"/>
              <w:right w:w="20" w:type="dxa"/>
            </w:tcMar>
            <w:vAlign w:val="center"/>
          </w:tcPr>
          <w:p w14:paraId="0495BA6C" w14:textId="77777777" w:rsidR="00404D38" w:rsidRPr="003E2C4E" w:rsidRDefault="00404D38" w:rsidP="007D00DA">
            <w:pPr>
              <w:pStyle w:val="Tabletext"/>
              <w:keepNext/>
              <w:keepLines/>
              <w:jc w:val="center"/>
            </w:pPr>
            <w:r w:rsidRPr="00114E09">
              <w:t>11 (18.3)</w:t>
            </w:r>
          </w:p>
        </w:tc>
        <w:tc>
          <w:tcPr>
            <w:tcW w:w="532" w:type="pct"/>
            <w:shd w:val="clear" w:color="auto" w:fill="auto"/>
            <w:tcMar>
              <w:left w:w="20" w:type="dxa"/>
              <w:right w:w="20" w:type="dxa"/>
            </w:tcMar>
            <w:vAlign w:val="center"/>
          </w:tcPr>
          <w:p w14:paraId="7F1D717C"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2797A15A" w14:textId="77777777" w:rsidR="00404D38" w:rsidRPr="003E2C4E" w:rsidRDefault="00404D38" w:rsidP="007D00DA">
            <w:pPr>
              <w:pStyle w:val="Tabletext"/>
              <w:keepNext/>
              <w:keepLines/>
              <w:jc w:val="center"/>
            </w:pPr>
            <w:r w:rsidRPr="00114E09">
              <w:t>19 (16.4)</w:t>
            </w:r>
          </w:p>
        </w:tc>
      </w:tr>
      <w:tr w:rsidR="00173823" w:rsidRPr="00D33C2C" w14:paraId="2A158760" w14:textId="77777777" w:rsidTr="00173823">
        <w:trPr>
          <w:trHeight w:val="20"/>
        </w:trPr>
        <w:tc>
          <w:tcPr>
            <w:tcW w:w="1330" w:type="pct"/>
            <w:tcMar>
              <w:left w:w="20" w:type="dxa"/>
              <w:right w:w="20" w:type="dxa"/>
            </w:tcMar>
            <w:vAlign w:val="center"/>
          </w:tcPr>
          <w:p w14:paraId="01221A50" w14:textId="77777777" w:rsidR="00404D38" w:rsidRDefault="00404D38" w:rsidP="007D00DA">
            <w:pPr>
              <w:pStyle w:val="Tabletext"/>
              <w:keepNext/>
              <w:keepLines/>
              <w:ind w:left="174"/>
            </w:pPr>
            <w:r w:rsidRPr="00114E09">
              <w:t>ALT increased</w:t>
            </w:r>
          </w:p>
        </w:tc>
        <w:tc>
          <w:tcPr>
            <w:tcW w:w="532" w:type="pct"/>
            <w:shd w:val="clear" w:color="auto" w:fill="auto"/>
            <w:tcMar>
              <w:left w:w="20" w:type="dxa"/>
              <w:right w:w="20" w:type="dxa"/>
            </w:tcMar>
            <w:vAlign w:val="center"/>
          </w:tcPr>
          <w:p w14:paraId="14580E76"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112F7C78"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65C6BE07" w14:textId="77777777" w:rsidR="00404D38" w:rsidRPr="003E2C4E" w:rsidRDefault="00404D38" w:rsidP="007D00DA">
            <w:pPr>
              <w:pStyle w:val="Tabletext"/>
              <w:keepNext/>
              <w:keepLines/>
              <w:jc w:val="center"/>
            </w:pPr>
            <w:r w:rsidRPr="00114E09">
              <w:t>3 (8.1)</w:t>
            </w:r>
          </w:p>
        </w:tc>
        <w:tc>
          <w:tcPr>
            <w:tcW w:w="471" w:type="pct"/>
            <w:tcMar>
              <w:left w:w="20" w:type="dxa"/>
              <w:right w:w="20" w:type="dxa"/>
            </w:tcMar>
            <w:vAlign w:val="center"/>
          </w:tcPr>
          <w:p w14:paraId="1474FE1B" w14:textId="77777777" w:rsidR="00404D38" w:rsidRPr="003E2C4E" w:rsidRDefault="00404D38" w:rsidP="007D00DA">
            <w:pPr>
              <w:pStyle w:val="Tabletext"/>
              <w:keepNext/>
              <w:keepLines/>
              <w:jc w:val="center"/>
            </w:pPr>
            <w:r w:rsidRPr="00114E09">
              <w:t>2 (10.5)</w:t>
            </w:r>
          </w:p>
        </w:tc>
        <w:tc>
          <w:tcPr>
            <w:tcW w:w="532" w:type="pct"/>
            <w:tcMar>
              <w:left w:w="20" w:type="dxa"/>
              <w:right w:w="20" w:type="dxa"/>
            </w:tcMar>
            <w:vAlign w:val="center"/>
          </w:tcPr>
          <w:p w14:paraId="67450EA6" w14:textId="77777777" w:rsidR="00404D38" w:rsidRPr="003E2C4E" w:rsidRDefault="00404D38" w:rsidP="007D00DA">
            <w:pPr>
              <w:pStyle w:val="Tabletext"/>
              <w:keepNext/>
              <w:keepLines/>
              <w:jc w:val="center"/>
            </w:pPr>
            <w:r w:rsidRPr="00114E09">
              <w:t>6 (10.0)</w:t>
            </w:r>
          </w:p>
        </w:tc>
        <w:tc>
          <w:tcPr>
            <w:tcW w:w="532" w:type="pct"/>
            <w:shd w:val="clear" w:color="auto" w:fill="auto"/>
            <w:tcMar>
              <w:left w:w="20" w:type="dxa"/>
              <w:right w:w="20" w:type="dxa"/>
            </w:tcMar>
            <w:vAlign w:val="center"/>
          </w:tcPr>
          <w:p w14:paraId="5F4FE306"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16C54C87" w14:textId="77777777" w:rsidR="00404D38" w:rsidRPr="003E2C4E" w:rsidRDefault="00404D38" w:rsidP="007D00DA">
            <w:pPr>
              <w:pStyle w:val="Tabletext"/>
              <w:keepNext/>
              <w:keepLines/>
              <w:jc w:val="center"/>
            </w:pPr>
            <w:r w:rsidRPr="00114E09">
              <w:t>11 (9.5)</w:t>
            </w:r>
          </w:p>
        </w:tc>
      </w:tr>
      <w:tr w:rsidR="00173823" w:rsidRPr="00D33C2C" w14:paraId="174963A7" w14:textId="77777777" w:rsidTr="00173823">
        <w:trPr>
          <w:trHeight w:val="20"/>
        </w:trPr>
        <w:tc>
          <w:tcPr>
            <w:tcW w:w="1330" w:type="pct"/>
            <w:tcMar>
              <w:left w:w="20" w:type="dxa"/>
              <w:right w:w="20" w:type="dxa"/>
            </w:tcMar>
            <w:vAlign w:val="center"/>
          </w:tcPr>
          <w:p w14:paraId="16F7276C" w14:textId="77777777" w:rsidR="00404D38" w:rsidRDefault="00404D38" w:rsidP="007D00DA">
            <w:pPr>
              <w:pStyle w:val="Tabletext"/>
              <w:keepNext/>
              <w:keepLines/>
              <w:ind w:left="174"/>
            </w:pPr>
            <w:r w:rsidRPr="00114E09">
              <w:t>AST increased</w:t>
            </w:r>
          </w:p>
        </w:tc>
        <w:tc>
          <w:tcPr>
            <w:tcW w:w="532" w:type="pct"/>
            <w:shd w:val="clear" w:color="auto" w:fill="auto"/>
            <w:tcMar>
              <w:left w:w="20" w:type="dxa"/>
              <w:right w:w="20" w:type="dxa"/>
            </w:tcMar>
            <w:vAlign w:val="center"/>
          </w:tcPr>
          <w:p w14:paraId="22B020E5"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59EAAFAE"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1B6292C9" w14:textId="77777777" w:rsidR="00404D38" w:rsidRPr="003E2C4E" w:rsidRDefault="00404D38" w:rsidP="007D00DA">
            <w:pPr>
              <w:pStyle w:val="Tabletext"/>
              <w:keepNext/>
              <w:keepLines/>
              <w:jc w:val="center"/>
            </w:pPr>
            <w:r w:rsidRPr="00114E09">
              <w:t>2 (5.4)</w:t>
            </w:r>
          </w:p>
        </w:tc>
        <w:tc>
          <w:tcPr>
            <w:tcW w:w="471" w:type="pct"/>
            <w:tcMar>
              <w:left w:w="20" w:type="dxa"/>
              <w:right w:w="20" w:type="dxa"/>
            </w:tcMar>
            <w:vAlign w:val="center"/>
          </w:tcPr>
          <w:p w14:paraId="2FA5E410" w14:textId="77777777" w:rsidR="00404D38" w:rsidRPr="003E2C4E" w:rsidRDefault="00404D38" w:rsidP="007D00DA">
            <w:pPr>
              <w:pStyle w:val="Tabletext"/>
              <w:keepNext/>
              <w:keepLines/>
              <w:jc w:val="center"/>
            </w:pPr>
            <w:r w:rsidRPr="00114E09">
              <w:t>1 (5.3)</w:t>
            </w:r>
          </w:p>
        </w:tc>
        <w:tc>
          <w:tcPr>
            <w:tcW w:w="532" w:type="pct"/>
            <w:tcMar>
              <w:left w:w="20" w:type="dxa"/>
              <w:right w:w="20" w:type="dxa"/>
            </w:tcMar>
            <w:vAlign w:val="center"/>
          </w:tcPr>
          <w:p w14:paraId="0A2B18C0" w14:textId="77777777" w:rsidR="00404D38" w:rsidRPr="003E2C4E" w:rsidRDefault="00404D38" w:rsidP="007D00DA">
            <w:pPr>
              <w:pStyle w:val="Tabletext"/>
              <w:keepNext/>
              <w:keepLines/>
              <w:jc w:val="center"/>
            </w:pPr>
            <w:r w:rsidRPr="00114E09">
              <w:t>5 (8.3)</w:t>
            </w:r>
          </w:p>
        </w:tc>
        <w:tc>
          <w:tcPr>
            <w:tcW w:w="532" w:type="pct"/>
            <w:shd w:val="clear" w:color="auto" w:fill="auto"/>
            <w:tcMar>
              <w:left w:w="20" w:type="dxa"/>
              <w:right w:w="20" w:type="dxa"/>
            </w:tcMar>
            <w:vAlign w:val="center"/>
          </w:tcPr>
          <w:p w14:paraId="3261368C"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5676668F" w14:textId="77777777" w:rsidR="00404D38" w:rsidRPr="003E2C4E" w:rsidRDefault="00404D38" w:rsidP="007D00DA">
            <w:pPr>
              <w:pStyle w:val="Tabletext"/>
              <w:keepNext/>
              <w:keepLines/>
              <w:jc w:val="center"/>
            </w:pPr>
            <w:r w:rsidRPr="00114E09">
              <w:t>8 (6.9)</w:t>
            </w:r>
          </w:p>
        </w:tc>
      </w:tr>
      <w:tr w:rsidR="00173823" w:rsidRPr="00D33C2C" w14:paraId="7C57BCD8" w14:textId="77777777" w:rsidTr="00173823">
        <w:trPr>
          <w:trHeight w:val="20"/>
        </w:trPr>
        <w:tc>
          <w:tcPr>
            <w:tcW w:w="1330" w:type="pct"/>
            <w:tcMar>
              <w:left w:w="20" w:type="dxa"/>
              <w:right w:w="20" w:type="dxa"/>
            </w:tcMar>
            <w:vAlign w:val="center"/>
          </w:tcPr>
          <w:p w14:paraId="7580C020" w14:textId="77777777" w:rsidR="00404D38" w:rsidRDefault="00404D38" w:rsidP="007D00DA">
            <w:pPr>
              <w:pStyle w:val="Tabletext"/>
              <w:keepNext/>
              <w:keepLines/>
            </w:pPr>
            <w:r w:rsidRPr="00114E09">
              <w:t>Hepatobiliary disorders</w:t>
            </w:r>
          </w:p>
        </w:tc>
        <w:tc>
          <w:tcPr>
            <w:tcW w:w="532" w:type="pct"/>
            <w:shd w:val="clear" w:color="auto" w:fill="auto"/>
            <w:tcMar>
              <w:left w:w="20" w:type="dxa"/>
              <w:right w:w="20" w:type="dxa"/>
            </w:tcMar>
            <w:vAlign w:val="center"/>
          </w:tcPr>
          <w:p w14:paraId="6757903F"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2545AE36"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7D39019D" w14:textId="77777777" w:rsidR="00404D38" w:rsidRPr="003E2C4E" w:rsidRDefault="00404D38" w:rsidP="007D00DA">
            <w:pPr>
              <w:pStyle w:val="Tabletext"/>
              <w:keepNext/>
              <w:keepLines/>
              <w:jc w:val="center"/>
            </w:pPr>
            <w:r w:rsidRPr="00134BB2">
              <w:t>10 (27.0)</w:t>
            </w:r>
          </w:p>
        </w:tc>
        <w:tc>
          <w:tcPr>
            <w:tcW w:w="471" w:type="pct"/>
            <w:tcMar>
              <w:left w:w="20" w:type="dxa"/>
              <w:right w:w="20" w:type="dxa"/>
            </w:tcMar>
            <w:vAlign w:val="center"/>
          </w:tcPr>
          <w:p w14:paraId="0EFFE67D" w14:textId="77777777" w:rsidR="00404D38" w:rsidRPr="003E2C4E" w:rsidRDefault="00404D38" w:rsidP="007D00DA">
            <w:pPr>
              <w:pStyle w:val="Tabletext"/>
              <w:keepNext/>
              <w:keepLines/>
              <w:jc w:val="center"/>
            </w:pPr>
            <w:r w:rsidRPr="00134BB2">
              <w:t>4 (21.1)</w:t>
            </w:r>
          </w:p>
        </w:tc>
        <w:tc>
          <w:tcPr>
            <w:tcW w:w="532" w:type="pct"/>
            <w:tcMar>
              <w:left w:w="20" w:type="dxa"/>
              <w:right w:w="20" w:type="dxa"/>
            </w:tcMar>
            <w:vAlign w:val="center"/>
          </w:tcPr>
          <w:p w14:paraId="0A3A0608" w14:textId="77777777" w:rsidR="00404D38" w:rsidRPr="003E2C4E" w:rsidRDefault="00404D38" w:rsidP="007D00DA">
            <w:pPr>
              <w:pStyle w:val="Tabletext"/>
              <w:keepNext/>
              <w:keepLines/>
              <w:jc w:val="center"/>
            </w:pPr>
            <w:r w:rsidRPr="00134BB2">
              <w:t>8 (13.3)</w:t>
            </w:r>
          </w:p>
        </w:tc>
        <w:tc>
          <w:tcPr>
            <w:tcW w:w="532" w:type="pct"/>
            <w:shd w:val="clear" w:color="auto" w:fill="auto"/>
            <w:tcMar>
              <w:left w:w="20" w:type="dxa"/>
              <w:right w:w="20" w:type="dxa"/>
            </w:tcMar>
            <w:vAlign w:val="center"/>
          </w:tcPr>
          <w:p w14:paraId="6F06125B"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56FB28C4" w14:textId="77777777" w:rsidR="00404D38" w:rsidRPr="003E2C4E" w:rsidRDefault="00404D38" w:rsidP="007D00DA">
            <w:pPr>
              <w:pStyle w:val="Tabletext"/>
              <w:keepNext/>
              <w:keepLines/>
              <w:jc w:val="center"/>
            </w:pPr>
            <w:r w:rsidRPr="00134BB2">
              <w:t>22 (19.0)</w:t>
            </w:r>
          </w:p>
        </w:tc>
      </w:tr>
      <w:tr w:rsidR="00173823" w:rsidRPr="00D33C2C" w14:paraId="4459BE45" w14:textId="77777777" w:rsidTr="00173823">
        <w:trPr>
          <w:trHeight w:val="20"/>
        </w:trPr>
        <w:tc>
          <w:tcPr>
            <w:tcW w:w="1330" w:type="pct"/>
            <w:tcMar>
              <w:left w:w="20" w:type="dxa"/>
              <w:right w:w="20" w:type="dxa"/>
            </w:tcMar>
            <w:vAlign w:val="center"/>
          </w:tcPr>
          <w:p w14:paraId="4CF49BE9" w14:textId="77777777" w:rsidR="00404D38" w:rsidRDefault="00404D38" w:rsidP="007D00DA">
            <w:pPr>
              <w:pStyle w:val="Tabletext"/>
              <w:keepNext/>
              <w:keepLines/>
              <w:ind w:left="174"/>
            </w:pPr>
            <w:r w:rsidRPr="00114E09">
              <w:t>Hepatomegaly</w:t>
            </w:r>
          </w:p>
        </w:tc>
        <w:tc>
          <w:tcPr>
            <w:tcW w:w="532" w:type="pct"/>
            <w:shd w:val="clear" w:color="auto" w:fill="auto"/>
            <w:tcMar>
              <w:left w:w="20" w:type="dxa"/>
              <w:right w:w="20" w:type="dxa"/>
            </w:tcMar>
            <w:vAlign w:val="center"/>
          </w:tcPr>
          <w:p w14:paraId="5F0E13C8" w14:textId="77777777" w:rsidR="00404D38" w:rsidRDefault="00404D38" w:rsidP="007D00DA">
            <w:pPr>
              <w:pStyle w:val="Tabletext"/>
              <w:keepNext/>
              <w:keepLines/>
              <w:jc w:val="center"/>
            </w:pPr>
            <w:r>
              <w:t>NR</w:t>
            </w:r>
          </w:p>
        </w:tc>
        <w:tc>
          <w:tcPr>
            <w:tcW w:w="531" w:type="pct"/>
            <w:shd w:val="clear" w:color="auto" w:fill="auto"/>
            <w:tcMar>
              <w:left w:w="20" w:type="dxa"/>
              <w:right w:w="20" w:type="dxa"/>
            </w:tcMar>
            <w:vAlign w:val="center"/>
          </w:tcPr>
          <w:p w14:paraId="3A19CD34"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0AE20CCD" w14:textId="77777777" w:rsidR="00404D38" w:rsidRPr="003E2C4E" w:rsidRDefault="00404D38" w:rsidP="007D00DA">
            <w:pPr>
              <w:pStyle w:val="Tabletext"/>
              <w:keepNext/>
              <w:keepLines/>
              <w:jc w:val="center"/>
            </w:pPr>
            <w:r w:rsidRPr="00134BB2">
              <w:t>4 (10.8)</w:t>
            </w:r>
          </w:p>
        </w:tc>
        <w:tc>
          <w:tcPr>
            <w:tcW w:w="471" w:type="pct"/>
            <w:tcMar>
              <w:left w:w="20" w:type="dxa"/>
              <w:right w:w="20" w:type="dxa"/>
            </w:tcMar>
            <w:vAlign w:val="center"/>
          </w:tcPr>
          <w:p w14:paraId="1D11BDD6" w14:textId="77777777" w:rsidR="00404D38" w:rsidRPr="003E2C4E" w:rsidRDefault="00404D38" w:rsidP="007D00DA">
            <w:pPr>
              <w:pStyle w:val="Tabletext"/>
              <w:keepNext/>
              <w:keepLines/>
              <w:jc w:val="center"/>
            </w:pPr>
            <w:r w:rsidRPr="00134BB2">
              <w:t>1 (5.3)</w:t>
            </w:r>
          </w:p>
        </w:tc>
        <w:tc>
          <w:tcPr>
            <w:tcW w:w="532" w:type="pct"/>
            <w:tcMar>
              <w:left w:w="20" w:type="dxa"/>
              <w:right w:w="20" w:type="dxa"/>
            </w:tcMar>
            <w:vAlign w:val="center"/>
          </w:tcPr>
          <w:p w14:paraId="4CAC7868" w14:textId="77777777" w:rsidR="00404D38" w:rsidRPr="003E2C4E" w:rsidRDefault="00404D38" w:rsidP="007D00DA">
            <w:pPr>
              <w:pStyle w:val="Tabletext"/>
              <w:keepNext/>
              <w:keepLines/>
              <w:jc w:val="center"/>
            </w:pPr>
            <w:r w:rsidRPr="00134BB2">
              <w:t>1 (1.7)</w:t>
            </w:r>
          </w:p>
        </w:tc>
        <w:tc>
          <w:tcPr>
            <w:tcW w:w="532" w:type="pct"/>
            <w:shd w:val="clear" w:color="auto" w:fill="auto"/>
            <w:tcMar>
              <w:left w:w="20" w:type="dxa"/>
              <w:right w:w="20" w:type="dxa"/>
            </w:tcMar>
            <w:vAlign w:val="center"/>
          </w:tcPr>
          <w:p w14:paraId="0F941A6E"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3FC6AFF9" w14:textId="77777777" w:rsidR="00404D38" w:rsidRPr="003E2C4E" w:rsidRDefault="00404D38" w:rsidP="007D00DA">
            <w:pPr>
              <w:pStyle w:val="Tabletext"/>
              <w:keepNext/>
              <w:keepLines/>
              <w:jc w:val="center"/>
            </w:pPr>
            <w:r w:rsidRPr="00134BB2">
              <w:t>6 (5.2)</w:t>
            </w:r>
          </w:p>
        </w:tc>
      </w:tr>
      <w:tr w:rsidR="00173823" w:rsidRPr="00D33C2C" w14:paraId="2FC524D6" w14:textId="77777777" w:rsidTr="00173823">
        <w:trPr>
          <w:trHeight w:val="20"/>
        </w:trPr>
        <w:tc>
          <w:tcPr>
            <w:tcW w:w="1330" w:type="pct"/>
            <w:tcMar>
              <w:left w:w="20" w:type="dxa"/>
              <w:right w:w="20" w:type="dxa"/>
            </w:tcMar>
            <w:vAlign w:val="center"/>
          </w:tcPr>
          <w:p w14:paraId="41E53C9A" w14:textId="77777777" w:rsidR="00404D38" w:rsidRDefault="00404D38" w:rsidP="007D00DA">
            <w:pPr>
              <w:pStyle w:val="Tabletext"/>
              <w:keepNext/>
              <w:keepLines/>
              <w:ind w:left="174"/>
            </w:pPr>
            <w:r w:rsidRPr="00114E09">
              <w:t>Jaundice</w:t>
            </w:r>
          </w:p>
        </w:tc>
        <w:tc>
          <w:tcPr>
            <w:tcW w:w="532" w:type="pct"/>
            <w:tcBorders>
              <w:bottom w:val="single" w:sz="4" w:space="0" w:color="auto"/>
            </w:tcBorders>
            <w:shd w:val="clear" w:color="auto" w:fill="auto"/>
            <w:tcMar>
              <w:left w:w="20" w:type="dxa"/>
              <w:right w:w="20" w:type="dxa"/>
            </w:tcMar>
            <w:vAlign w:val="center"/>
          </w:tcPr>
          <w:p w14:paraId="1252AA21" w14:textId="77777777" w:rsidR="00404D38" w:rsidRDefault="00404D38" w:rsidP="007D00DA">
            <w:pPr>
              <w:pStyle w:val="Tabletext"/>
              <w:keepNext/>
              <w:keepLines/>
              <w:jc w:val="center"/>
            </w:pPr>
            <w:r>
              <w:t>NR</w:t>
            </w:r>
          </w:p>
        </w:tc>
        <w:tc>
          <w:tcPr>
            <w:tcW w:w="531" w:type="pct"/>
            <w:tcBorders>
              <w:bottom w:val="single" w:sz="4" w:space="0" w:color="auto"/>
            </w:tcBorders>
            <w:shd w:val="clear" w:color="auto" w:fill="auto"/>
            <w:tcMar>
              <w:left w:w="20" w:type="dxa"/>
              <w:right w:w="20" w:type="dxa"/>
            </w:tcMar>
            <w:vAlign w:val="center"/>
          </w:tcPr>
          <w:p w14:paraId="085560B9" w14:textId="77777777" w:rsidR="00404D38" w:rsidRDefault="00404D38" w:rsidP="007D00DA">
            <w:pPr>
              <w:pStyle w:val="Tabletext"/>
              <w:keepNext/>
              <w:keepLines/>
              <w:jc w:val="center"/>
            </w:pPr>
            <w:r>
              <w:t>NR</w:t>
            </w:r>
          </w:p>
        </w:tc>
        <w:tc>
          <w:tcPr>
            <w:tcW w:w="532" w:type="pct"/>
            <w:tcMar>
              <w:left w:w="20" w:type="dxa"/>
              <w:right w:w="20" w:type="dxa"/>
            </w:tcMar>
            <w:vAlign w:val="center"/>
          </w:tcPr>
          <w:p w14:paraId="4E6C5D8B" w14:textId="77777777" w:rsidR="00404D38" w:rsidRPr="003E2C4E" w:rsidRDefault="00404D38" w:rsidP="007D00DA">
            <w:pPr>
              <w:pStyle w:val="Tabletext"/>
              <w:keepNext/>
              <w:keepLines/>
              <w:jc w:val="center"/>
            </w:pPr>
            <w:r w:rsidRPr="00134BB2">
              <w:t>3 (8.1)</w:t>
            </w:r>
          </w:p>
        </w:tc>
        <w:tc>
          <w:tcPr>
            <w:tcW w:w="471" w:type="pct"/>
            <w:tcMar>
              <w:left w:w="20" w:type="dxa"/>
              <w:right w:w="20" w:type="dxa"/>
            </w:tcMar>
            <w:vAlign w:val="center"/>
          </w:tcPr>
          <w:p w14:paraId="2E4D6A26" w14:textId="77777777" w:rsidR="00404D38" w:rsidRPr="003E2C4E" w:rsidRDefault="00404D38" w:rsidP="007D00DA">
            <w:pPr>
              <w:pStyle w:val="Tabletext"/>
              <w:keepNext/>
              <w:keepLines/>
              <w:jc w:val="center"/>
            </w:pPr>
            <w:r>
              <w:t>0</w:t>
            </w:r>
          </w:p>
        </w:tc>
        <w:tc>
          <w:tcPr>
            <w:tcW w:w="532" w:type="pct"/>
            <w:tcMar>
              <w:left w:w="20" w:type="dxa"/>
              <w:right w:w="20" w:type="dxa"/>
            </w:tcMar>
            <w:vAlign w:val="center"/>
          </w:tcPr>
          <w:p w14:paraId="6AEE06AC" w14:textId="77777777" w:rsidR="00404D38" w:rsidRPr="003E2C4E" w:rsidRDefault="00404D38" w:rsidP="007D00DA">
            <w:pPr>
              <w:pStyle w:val="Tabletext"/>
              <w:keepNext/>
              <w:keepLines/>
              <w:jc w:val="center"/>
            </w:pPr>
            <w:r w:rsidRPr="00134BB2">
              <w:t>3 (5.0)</w:t>
            </w:r>
          </w:p>
        </w:tc>
        <w:tc>
          <w:tcPr>
            <w:tcW w:w="532" w:type="pct"/>
            <w:tcBorders>
              <w:bottom w:val="single" w:sz="4" w:space="0" w:color="auto"/>
            </w:tcBorders>
            <w:shd w:val="clear" w:color="auto" w:fill="auto"/>
            <w:tcMar>
              <w:left w:w="20" w:type="dxa"/>
              <w:right w:w="20" w:type="dxa"/>
            </w:tcMar>
            <w:vAlign w:val="center"/>
          </w:tcPr>
          <w:p w14:paraId="4882F0A4" w14:textId="77777777" w:rsidR="00404D38" w:rsidRDefault="00404D38" w:rsidP="007D00DA">
            <w:pPr>
              <w:pStyle w:val="Tabletext"/>
              <w:keepNext/>
              <w:keepLines/>
              <w:jc w:val="center"/>
            </w:pPr>
            <w:r>
              <w:t>NR</w:t>
            </w:r>
          </w:p>
        </w:tc>
        <w:tc>
          <w:tcPr>
            <w:tcW w:w="540" w:type="pct"/>
            <w:tcMar>
              <w:left w:w="20" w:type="dxa"/>
              <w:right w:w="20" w:type="dxa"/>
            </w:tcMar>
            <w:vAlign w:val="center"/>
          </w:tcPr>
          <w:p w14:paraId="62569CAB" w14:textId="77777777" w:rsidR="00404D38" w:rsidRPr="003E2C4E" w:rsidRDefault="00404D38" w:rsidP="007D00DA">
            <w:pPr>
              <w:pStyle w:val="Tabletext"/>
              <w:keepNext/>
              <w:keepLines/>
              <w:jc w:val="center"/>
            </w:pPr>
            <w:r w:rsidRPr="00134BB2">
              <w:t>6 (5.2)</w:t>
            </w:r>
          </w:p>
        </w:tc>
      </w:tr>
    </w:tbl>
    <w:p w14:paraId="2348D72A" w14:textId="319113E8" w:rsidR="00C81C8F" w:rsidRPr="00154390" w:rsidRDefault="00404D38" w:rsidP="00567094">
      <w:pPr>
        <w:pStyle w:val="Tabletext"/>
        <w:rPr>
          <w:sz w:val="18"/>
          <w:szCs w:val="22"/>
          <w:vertAlign w:val="superscript"/>
        </w:rPr>
      </w:pPr>
      <w:r w:rsidRPr="00415004">
        <w:rPr>
          <w:sz w:val="18"/>
          <w:szCs w:val="22"/>
        </w:rPr>
        <w:t>Source: Table 9, odevixibat PSD, July 2024 PBAC meeting and Table 2-3, p42 of the resubmission</w:t>
      </w:r>
      <w:r w:rsidRPr="00415004">
        <w:rPr>
          <w:sz w:val="18"/>
          <w:szCs w:val="22"/>
        </w:rPr>
        <w:br/>
        <w:t>Abbreviations:</w:t>
      </w:r>
      <w:r w:rsidR="006E7C7E">
        <w:rPr>
          <w:sz w:val="18"/>
          <w:szCs w:val="22"/>
        </w:rPr>
        <w:t xml:space="preserve"> ALT = </w:t>
      </w:r>
      <w:r w:rsidR="006E7C7E" w:rsidRPr="006E7C7E">
        <w:rPr>
          <w:sz w:val="18"/>
          <w:szCs w:val="22"/>
        </w:rPr>
        <w:t>alanine aminotransferase</w:t>
      </w:r>
      <w:r w:rsidR="006E7C7E">
        <w:rPr>
          <w:sz w:val="18"/>
          <w:szCs w:val="22"/>
        </w:rPr>
        <w:t xml:space="preserve">; AST = </w:t>
      </w:r>
      <w:r w:rsidR="006E7C7E" w:rsidRPr="006E7C7E">
        <w:rPr>
          <w:sz w:val="18"/>
          <w:szCs w:val="22"/>
        </w:rPr>
        <w:t xml:space="preserve">aspartate </w:t>
      </w:r>
      <w:r w:rsidR="00451022" w:rsidRPr="006E7C7E">
        <w:rPr>
          <w:sz w:val="18"/>
          <w:szCs w:val="22"/>
        </w:rPr>
        <w:t>aminotransferase</w:t>
      </w:r>
      <w:r w:rsidR="00451022">
        <w:rPr>
          <w:sz w:val="18"/>
          <w:szCs w:val="22"/>
        </w:rPr>
        <w:t xml:space="preserve">; </w:t>
      </w:r>
      <w:r w:rsidR="00451022" w:rsidRPr="00415004">
        <w:rPr>
          <w:sz w:val="18"/>
          <w:szCs w:val="22"/>
        </w:rPr>
        <w:t>GGT</w:t>
      </w:r>
      <w:r w:rsidR="006E7C7E">
        <w:rPr>
          <w:sz w:val="18"/>
          <w:szCs w:val="22"/>
        </w:rPr>
        <w:t xml:space="preserve"> = </w:t>
      </w:r>
      <w:r w:rsidR="006E7C7E" w:rsidRPr="006E7C7E">
        <w:rPr>
          <w:sz w:val="18"/>
          <w:szCs w:val="22"/>
        </w:rPr>
        <w:t>gamma-glutamyl transferase</w:t>
      </w:r>
      <w:r w:rsidR="006E7C7E">
        <w:rPr>
          <w:sz w:val="18"/>
          <w:szCs w:val="22"/>
        </w:rPr>
        <w:t xml:space="preserve">; TEAE = treatment emergent adverse event; </w:t>
      </w:r>
      <w:r w:rsidRPr="00415004">
        <w:rPr>
          <w:sz w:val="18"/>
          <w:szCs w:val="22"/>
        </w:rPr>
        <w:t>NR = not reported</w:t>
      </w:r>
      <w:r w:rsidRPr="00415004">
        <w:rPr>
          <w:sz w:val="18"/>
          <w:szCs w:val="22"/>
        </w:rPr>
        <w:br/>
      </w:r>
      <w:r w:rsidR="00C81C8F" w:rsidRPr="00415004">
        <w:rPr>
          <w:sz w:val="18"/>
          <w:szCs w:val="22"/>
          <w:vertAlign w:val="superscript"/>
        </w:rPr>
        <w:t>a</w:t>
      </w:r>
      <w:r w:rsidR="00C81C8F">
        <w:rPr>
          <w:sz w:val="18"/>
          <w:szCs w:val="22"/>
          <w:vertAlign w:val="superscript"/>
        </w:rPr>
        <w:t xml:space="preserve"> </w:t>
      </w:r>
      <w:r w:rsidR="00C81C8F">
        <w:rPr>
          <w:sz w:val="18"/>
          <w:szCs w:val="22"/>
        </w:rPr>
        <w:t>Median duration of exposure 53.1 weeks</w:t>
      </w:r>
    </w:p>
    <w:p w14:paraId="3C731876" w14:textId="77777777" w:rsidR="00C81C8F" w:rsidRPr="00154390" w:rsidRDefault="00C81C8F" w:rsidP="00567094">
      <w:pPr>
        <w:pStyle w:val="Tabletext"/>
        <w:rPr>
          <w:sz w:val="18"/>
          <w:szCs w:val="22"/>
        </w:rPr>
      </w:pPr>
      <w:r w:rsidRPr="00154390">
        <w:rPr>
          <w:sz w:val="18"/>
          <w:szCs w:val="22"/>
          <w:vertAlign w:val="superscript"/>
        </w:rPr>
        <w:t xml:space="preserve">b </w:t>
      </w:r>
      <w:r w:rsidRPr="00154390">
        <w:rPr>
          <w:sz w:val="18"/>
          <w:szCs w:val="22"/>
        </w:rPr>
        <w:t>Me</w:t>
      </w:r>
      <w:r>
        <w:rPr>
          <w:sz w:val="18"/>
          <w:szCs w:val="22"/>
        </w:rPr>
        <w:t>dian duration of exposure 98.9 weeks</w:t>
      </w:r>
    </w:p>
    <w:p w14:paraId="392301FB" w14:textId="2F476379" w:rsidR="00404D38" w:rsidRPr="00415004" w:rsidRDefault="00C81C8F" w:rsidP="00567094">
      <w:pPr>
        <w:pStyle w:val="Tabletext"/>
        <w:spacing w:after="120"/>
        <w:rPr>
          <w:sz w:val="18"/>
          <w:szCs w:val="22"/>
        </w:rPr>
      </w:pPr>
      <w:r>
        <w:rPr>
          <w:sz w:val="18"/>
          <w:szCs w:val="22"/>
          <w:vertAlign w:val="superscript"/>
        </w:rPr>
        <w:t>c</w:t>
      </w:r>
      <w:r w:rsidR="00404D38" w:rsidRPr="00415004">
        <w:rPr>
          <w:sz w:val="18"/>
          <w:szCs w:val="22"/>
          <w:vertAlign w:val="superscript"/>
        </w:rPr>
        <w:t xml:space="preserve"> </w:t>
      </w:r>
      <w:r w:rsidR="00404D38" w:rsidRPr="0044655B">
        <w:rPr>
          <w:sz w:val="18"/>
          <w:szCs w:val="22"/>
        </w:rPr>
        <w:t xml:space="preserve">It appeared that 2 patients who had TEAEs recorded as drug-related at the time of the July 2022 interim analysis had been amended in the February 2024 data cut. </w:t>
      </w:r>
      <w:r w:rsidR="00404D38" w:rsidRPr="0044655B">
        <w:rPr>
          <w:b/>
          <w:sz w:val="18"/>
          <w:szCs w:val="22"/>
        </w:rPr>
        <w:br/>
      </w:r>
      <w:r w:rsidR="00404D38" w:rsidRPr="00415004">
        <w:rPr>
          <w:b/>
          <w:sz w:val="18"/>
          <w:szCs w:val="22"/>
        </w:rPr>
        <w:t>Bold</w:t>
      </w:r>
      <w:r w:rsidR="00404D38" w:rsidRPr="00415004">
        <w:rPr>
          <w:sz w:val="18"/>
          <w:szCs w:val="22"/>
        </w:rPr>
        <w:t xml:space="preserve"> values indicate percentages that increased by ≥10% from the July 2022 data cut to the February 2024 data cut. </w:t>
      </w:r>
      <w:bookmarkEnd w:id="59"/>
    </w:p>
    <w:p w14:paraId="0F0FC4AA" w14:textId="0115A375" w:rsidR="00404D38" w:rsidRPr="009972B7" w:rsidRDefault="00404D38" w:rsidP="00404D38">
      <w:pPr>
        <w:pStyle w:val="3-BodyText"/>
        <w:numPr>
          <w:ilvl w:val="1"/>
          <w:numId w:val="1"/>
        </w:numPr>
      </w:pPr>
      <w:r w:rsidRPr="009972B7">
        <w:t>Two patients, both in Cohort 2, had drug-related</w:t>
      </w:r>
      <w:r w:rsidR="00496B53">
        <w:t xml:space="preserve"> treatment emergent adverse events (</w:t>
      </w:r>
      <w:r w:rsidRPr="009972B7">
        <w:t>TEAEs</w:t>
      </w:r>
      <w:r w:rsidR="00496B53">
        <w:t>)</w:t>
      </w:r>
      <w:r w:rsidRPr="009972B7">
        <w:t xml:space="preserve"> that were reported as severe in intensity. One patient had increased alanine aminotransferase (ALT) increased and one patient had increased ALT, aspartate aminotransferase (AST), and gamma-glutamyl transferase (GGT). None of the drug-related TEAEs of hepatic function test abnormalities were assessed as serious by the investigator.</w:t>
      </w:r>
    </w:p>
    <w:p w14:paraId="6AF8765C" w14:textId="77777777" w:rsidR="00404D38" w:rsidRPr="009972B7" w:rsidRDefault="00404D38" w:rsidP="00C81C8F">
      <w:pPr>
        <w:pStyle w:val="3-BodyText"/>
        <w:numPr>
          <w:ilvl w:val="1"/>
          <w:numId w:val="1"/>
        </w:numPr>
        <w:spacing w:before="0"/>
      </w:pPr>
      <w:r w:rsidRPr="009972B7">
        <w:t>The TGA Delegate’s Overview, which reviewed the July 2022 data cut noted that:</w:t>
      </w:r>
    </w:p>
    <w:p w14:paraId="58E1A7FF" w14:textId="1E93BAA7" w:rsidR="00404D38" w:rsidRPr="009972B7" w:rsidRDefault="00404D38" w:rsidP="007C21AA">
      <w:pPr>
        <w:pStyle w:val="3-BodyText"/>
        <w:numPr>
          <w:ilvl w:val="0"/>
          <w:numId w:val="13"/>
        </w:numPr>
        <w:spacing w:before="0"/>
        <w:ind w:left="1080"/>
      </w:pPr>
      <w:r w:rsidRPr="009972B7">
        <w:lastRenderedPageBreak/>
        <w:t>“it was difficult to separate whether liver-related TEAEs were disease-related or drug-related. Cholestasis and elevated hepatic biochemical parameters, most excursions in ALT, AST, and total bilirubin values were considered by the</w:t>
      </w:r>
      <w:r w:rsidRPr="00392834">
        <w:rPr>
          <w:i/>
          <w:iCs/>
        </w:rPr>
        <w:t xml:space="preserve"> </w:t>
      </w:r>
      <w:r w:rsidRPr="009972B7">
        <w:t>investigators to be related to the underlying disease” (TGA Delegate’s Overview, odevixibat, May 2024); and</w:t>
      </w:r>
    </w:p>
    <w:p w14:paraId="63F6D626" w14:textId="56C77ED3" w:rsidR="00404D38" w:rsidRPr="009972B7" w:rsidRDefault="00404D38" w:rsidP="007C21AA">
      <w:pPr>
        <w:pStyle w:val="3-BodyText"/>
        <w:numPr>
          <w:ilvl w:val="0"/>
          <w:numId w:val="13"/>
        </w:numPr>
        <w:spacing w:before="0"/>
        <w:ind w:left="1080"/>
      </w:pPr>
      <w:r w:rsidRPr="009972B7">
        <w:t>“from a safety perspective, at present there is little evidence that odevixibat is likely to have significant toxic effects” but “uncertainties remain around the long-term safety of odevixibat” (TGA Delegate’s Overview, odevixibat, May 2024).</w:t>
      </w:r>
    </w:p>
    <w:p w14:paraId="7B9C2B71" w14:textId="0511D3F3" w:rsidR="00FD6C46" w:rsidRPr="009972B7" w:rsidRDefault="00FD6C46" w:rsidP="003E12C6">
      <w:pPr>
        <w:pStyle w:val="3-BodyText"/>
        <w:numPr>
          <w:ilvl w:val="0"/>
          <w:numId w:val="0"/>
        </w:numPr>
        <w:spacing w:before="0"/>
        <w:ind w:left="709" w:firstLine="11"/>
      </w:pPr>
      <w:r w:rsidRPr="009972B7">
        <w:t xml:space="preserve">It was unclear whether </w:t>
      </w:r>
      <w:r w:rsidR="003E12C6" w:rsidRPr="009972B7">
        <w:t>the latest data cutoff of PEDFIC 2 sufficiently addressed uncertainties around long term safety, given odevixibat is intended to be a lifelong therapy.</w:t>
      </w:r>
    </w:p>
    <w:p w14:paraId="0F825AF5" w14:textId="77777777" w:rsidR="00404D38" w:rsidRPr="0098262F" w:rsidRDefault="00404D38" w:rsidP="00404D38">
      <w:pPr>
        <w:pStyle w:val="4-SubsectionHeading"/>
      </w:pPr>
      <w:bookmarkStart w:id="61" w:name="_Toc22897643"/>
      <w:bookmarkStart w:id="62" w:name="_Toc184822915"/>
      <w:bookmarkStart w:id="63" w:name="_Toc188451878"/>
      <w:r w:rsidRPr="0098262F">
        <w:t>Benefits/harms</w:t>
      </w:r>
      <w:bookmarkEnd w:id="61"/>
      <w:bookmarkEnd w:id="62"/>
      <w:bookmarkEnd w:id="63"/>
    </w:p>
    <w:p w14:paraId="16E812BE" w14:textId="4B3B1CA4" w:rsidR="00404D38" w:rsidRPr="009972B7" w:rsidRDefault="00ED5151" w:rsidP="00977FF1">
      <w:pPr>
        <w:pStyle w:val="3-BodyText"/>
        <w:numPr>
          <w:ilvl w:val="1"/>
          <w:numId w:val="1"/>
        </w:numPr>
        <w:spacing w:before="0"/>
        <w:rPr>
          <w:rStyle w:val="CommentReference"/>
          <w:rFonts w:asciiTheme="minorHAnsi" w:hAnsiTheme="minorHAnsi"/>
          <w:b w:val="0"/>
          <w:sz w:val="24"/>
          <w:szCs w:val="22"/>
        </w:rPr>
      </w:pPr>
      <w:r w:rsidRPr="009972B7">
        <w:t>As n</w:t>
      </w:r>
      <w:r w:rsidR="00404D38" w:rsidRPr="009972B7">
        <w:t xml:space="preserve">o new direct comparative evidence was presented in the resubmission, the summary of the comparative benefits for odevixibat versus placebo considered at the July 2024 PBAC meeting is presented in the </w:t>
      </w:r>
      <w:r w:rsidR="00404D38" w:rsidRPr="009972B7">
        <w:fldChar w:fldCharType="begin" w:fldLock="1"/>
      </w:r>
      <w:r w:rsidR="00404D38" w:rsidRPr="009972B7">
        <w:instrText xml:space="preserve"> REF _Ref104805037 \h </w:instrText>
      </w:r>
      <w:r w:rsidR="00E00388" w:rsidRPr="009972B7">
        <w:instrText xml:space="preserve"> \* MERGEFORMAT </w:instrText>
      </w:r>
      <w:r w:rsidR="00404D38" w:rsidRPr="009972B7">
        <w:fldChar w:fldCharType="separate"/>
      </w:r>
      <w:r w:rsidR="00382EF0" w:rsidRPr="009972B7">
        <w:t xml:space="preserve">Table </w:t>
      </w:r>
      <w:r w:rsidR="00382EF0" w:rsidRPr="009972B7">
        <w:rPr>
          <w:noProof/>
        </w:rPr>
        <w:t>11</w:t>
      </w:r>
      <w:r w:rsidR="00404D38" w:rsidRPr="009972B7">
        <w:fldChar w:fldCharType="end"/>
      </w:r>
      <w:r w:rsidR="00404D38" w:rsidRPr="009972B7">
        <w:t>. No statistically significant differences between odevixibat and placebo with respect to adverse events were observed.</w:t>
      </w:r>
    </w:p>
    <w:p w14:paraId="6023BD2B" w14:textId="331AF718" w:rsidR="00404D38" w:rsidRDefault="00404D38" w:rsidP="00404D38">
      <w:pPr>
        <w:pStyle w:val="Caption"/>
        <w:rPr>
          <w:rStyle w:val="CommentReference"/>
          <w:b/>
          <w:szCs w:val="24"/>
        </w:rPr>
      </w:pPr>
      <w:bookmarkStart w:id="64" w:name="_Ref104805037"/>
      <w:r w:rsidRPr="0098262F">
        <w:t xml:space="preserve">Table </w:t>
      </w:r>
      <w:r w:rsidR="00382EF0">
        <w:fldChar w:fldCharType="begin" w:fldLock="1"/>
      </w:r>
      <w:r w:rsidR="00382EF0">
        <w:instrText xml:space="preserve"> SEQ Table \* ARABIC </w:instrText>
      </w:r>
      <w:r w:rsidR="00382EF0">
        <w:fldChar w:fldCharType="separate"/>
      </w:r>
      <w:r w:rsidR="00382EF0">
        <w:rPr>
          <w:noProof/>
        </w:rPr>
        <w:t>11</w:t>
      </w:r>
      <w:r w:rsidR="00382EF0">
        <w:rPr>
          <w:noProof/>
        </w:rPr>
        <w:fldChar w:fldCharType="end"/>
      </w:r>
      <w:bookmarkEnd w:id="64"/>
      <w:r w:rsidRPr="0098262F">
        <w:t xml:space="preserve">: </w:t>
      </w:r>
      <w:r w:rsidRPr="00652F0E">
        <w:rPr>
          <w:rStyle w:val="CommentReference"/>
          <w:b/>
          <w:szCs w:val="24"/>
        </w:rPr>
        <w:t>Summary of comparative benefits and harms for odevixibat (40</w:t>
      </w:r>
      <w:r w:rsidR="0017081E">
        <w:rPr>
          <w:rStyle w:val="CommentReference"/>
          <w:b/>
          <w:szCs w:val="24"/>
        </w:rPr>
        <w:t> mcg</w:t>
      </w:r>
      <w:r w:rsidRPr="00652F0E">
        <w:rPr>
          <w:rStyle w:val="CommentReference"/>
          <w:b/>
          <w:szCs w:val="24"/>
        </w:rPr>
        <w:t>/kg, 120</w:t>
      </w:r>
      <w:r w:rsidR="0017081E">
        <w:rPr>
          <w:rStyle w:val="CommentReference"/>
          <w:b/>
          <w:szCs w:val="24"/>
        </w:rPr>
        <w:t> mcg</w:t>
      </w:r>
      <w:r w:rsidRPr="00652F0E">
        <w:rPr>
          <w:rStyle w:val="CommentReference"/>
          <w:b/>
          <w:szCs w:val="24"/>
        </w:rPr>
        <w:t>/kg and all doses) and placebo in PEDFIC 1 after 24 weeks of treatment</w:t>
      </w:r>
    </w:p>
    <w:tbl>
      <w:tblPr>
        <w:tblW w:w="5000" w:type="pct"/>
        <w:tblLayout w:type="fixed"/>
        <w:tblCellMar>
          <w:left w:w="28" w:type="dxa"/>
          <w:right w:w="28" w:type="dxa"/>
        </w:tblCellMar>
        <w:tblLook w:val="04A0" w:firstRow="1" w:lastRow="0" w:firstColumn="1" w:lastColumn="0" w:noHBand="0" w:noVBand="1"/>
        <w:tblCaption w:val="Table 11: Summary of comparative benefits and harms for odevixibat (40 mcg/kg, 120 mcg/kg and all doses) and placebo in PEDFIC 1 after 24 weeks of treatment"/>
      </w:tblPr>
      <w:tblGrid>
        <w:gridCol w:w="1435"/>
        <w:gridCol w:w="839"/>
        <w:gridCol w:w="840"/>
        <w:gridCol w:w="839"/>
        <w:gridCol w:w="720"/>
        <w:gridCol w:w="839"/>
        <w:gridCol w:w="840"/>
        <w:gridCol w:w="839"/>
        <w:gridCol w:w="721"/>
        <w:gridCol w:w="1105"/>
      </w:tblGrid>
      <w:tr w:rsidR="004A1CF9" w:rsidRPr="00D33C2C" w14:paraId="2AA687DA" w14:textId="77777777" w:rsidTr="002079B8">
        <w:trPr>
          <w:cantSplit/>
        </w:trPr>
        <w:tc>
          <w:tcPr>
            <w:tcW w:w="796" w:type="pct"/>
            <w:vMerge w:val="restart"/>
            <w:tcBorders>
              <w:top w:val="single" w:sz="4" w:space="0" w:color="auto"/>
              <w:left w:val="single" w:sz="4" w:space="0" w:color="auto"/>
              <w:right w:val="single" w:sz="4" w:space="0" w:color="auto"/>
            </w:tcBorders>
            <w:shd w:val="clear" w:color="auto" w:fill="DBE5F1" w:themeFill="accent1" w:themeFillTint="33"/>
            <w:tcMar>
              <w:left w:w="20" w:type="dxa"/>
              <w:right w:w="20" w:type="dxa"/>
            </w:tcMar>
            <w:vAlign w:val="center"/>
          </w:tcPr>
          <w:p w14:paraId="58B98D8A" w14:textId="1FDC999F" w:rsidR="004A1CF9" w:rsidRPr="006B4B2A" w:rsidRDefault="004A1CF9" w:rsidP="004A1CF9">
            <w:pPr>
              <w:pStyle w:val="TableText0"/>
              <w:rPr>
                <w:b/>
                <w:bCs w:val="0"/>
              </w:rPr>
            </w:pPr>
            <w:r w:rsidRPr="006B4B2A">
              <w:rPr>
                <w:b/>
                <w:bCs w:val="0"/>
              </w:rPr>
              <w:t>PEDFIC1</w:t>
            </w:r>
          </w:p>
        </w:tc>
        <w:tc>
          <w:tcPr>
            <w:tcW w:w="1396"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A2EA306" w14:textId="6CFE3EC7" w:rsidR="004A1CF9" w:rsidRPr="006B4B2A" w:rsidRDefault="004A1CF9" w:rsidP="004A1CF9">
            <w:pPr>
              <w:pStyle w:val="TableText0"/>
              <w:jc w:val="center"/>
              <w:rPr>
                <w:b/>
                <w:bCs w:val="0"/>
              </w:rPr>
            </w:pPr>
            <w:r w:rsidRPr="006B4B2A">
              <w:rPr>
                <w:b/>
                <w:bCs w:val="0"/>
              </w:rPr>
              <w:t>Odevixibat, n/N</w:t>
            </w:r>
          </w:p>
        </w:tc>
        <w:tc>
          <w:tcPr>
            <w:tcW w:w="399" w:type="pct"/>
            <w:vMerge w:val="restart"/>
            <w:tcBorders>
              <w:top w:val="single" w:sz="4" w:space="0" w:color="auto"/>
              <w:left w:val="single" w:sz="4" w:space="0" w:color="auto"/>
              <w:right w:val="single" w:sz="4" w:space="0" w:color="auto"/>
            </w:tcBorders>
            <w:shd w:val="clear" w:color="auto" w:fill="DBE5F1" w:themeFill="accent1" w:themeFillTint="33"/>
            <w:tcMar>
              <w:left w:w="20" w:type="dxa"/>
              <w:right w:w="20" w:type="dxa"/>
            </w:tcMar>
            <w:vAlign w:val="center"/>
          </w:tcPr>
          <w:p w14:paraId="70BB4636" w14:textId="77777777" w:rsidR="004A1CF9" w:rsidRPr="006B4B2A" w:rsidRDefault="004A1CF9" w:rsidP="004A1CF9">
            <w:pPr>
              <w:pStyle w:val="In-tableHeading"/>
              <w:framePr w:hSpace="0" w:wrap="auto" w:vAnchor="margin" w:yAlign="inline"/>
              <w:suppressOverlap w:val="0"/>
              <w:jc w:val="center"/>
              <w:rPr>
                <w:lang w:val="en-AU"/>
              </w:rPr>
            </w:pPr>
            <w:r w:rsidRPr="006B4B2A">
              <w:rPr>
                <w:lang w:val="en-AU"/>
              </w:rPr>
              <w:t>Placebo,</w:t>
            </w:r>
          </w:p>
          <w:p w14:paraId="7A30EF5F" w14:textId="5B817170" w:rsidR="004A1CF9" w:rsidRPr="006B4B2A" w:rsidRDefault="004A1CF9" w:rsidP="004A1CF9">
            <w:pPr>
              <w:pStyle w:val="TableText0"/>
              <w:jc w:val="center"/>
              <w:rPr>
                <w:b/>
                <w:bCs w:val="0"/>
              </w:rPr>
            </w:pPr>
            <w:r w:rsidRPr="006B4B2A">
              <w:rPr>
                <w:b/>
                <w:bCs w:val="0"/>
              </w:rPr>
              <w:t>n/N</w:t>
            </w:r>
          </w:p>
        </w:tc>
        <w:tc>
          <w:tcPr>
            <w:tcW w:w="179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CBB2D24" w14:textId="0FE9BE37" w:rsidR="004A1CF9" w:rsidRPr="006B4B2A" w:rsidRDefault="004A1CF9" w:rsidP="004A1CF9">
            <w:pPr>
              <w:pStyle w:val="TableText0"/>
              <w:jc w:val="center"/>
              <w:rPr>
                <w:b/>
                <w:bCs w:val="0"/>
              </w:rPr>
            </w:pPr>
            <w:r w:rsidRPr="006B4B2A">
              <w:rPr>
                <w:b/>
                <w:bCs w:val="0"/>
              </w:rPr>
              <w:t>Event rate/100 patients*</w:t>
            </w:r>
          </w:p>
        </w:tc>
        <w:tc>
          <w:tcPr>
            <w:tcW w:w="613" w:type="pct"/>
            <w:vMerge w:val="restart"/>
            <w:tcBorders>
              <w:top w:val="single" w:sz="4" w:space="0" w:color="auto"/>
              <w:left w:val="single" w:sz="4" w:space="0" w:color="auto"/>
              <w:right w:val="single" w:sz="4" w:space="0" w:color="auto"/>
            </w:tcBorders>
            <w:shd w:val="clear" w:color="auto" w:fill="DBE5F1" w:themeFill="accent1" w:themeFillTint="33"/>
            <w:tcMar>
              <w:left w:w="20" w:type="dxa"/>
              <w:right w:w="20" w:type="dxa"/>
            </w:tcMar>
            <w:vAlign w:val="center"/>
          </w:tcPr>
          <w:p w14:paraId="4E541ABD" w14:textId="48A56F37" w:rsidR="00756656" w:rsidRPr="006B4B2A" w:rsidRDefault="00756656" w:rsidP="00756656">
            <w:pPr>
              <w:pStyle w:val="In-tableHeading"/>
              <w:framePr w:hSpace="0" w:wrap="auto" w:vAnchor="margin" w:yAlign="inline"/>
              <w:suppressOverlap w:val="0"/>
              <w:jc w:val="center"/>
              <w:rPr>
                <w:lang w:val="en-AU"/>
              </w:rPr>
            </w:pPr>
            <w:r w:rsidRPr="006B4B2A">
              <w:rPr>
                <w:lang w:val="en-AU"/>
              </w:rPr>
              <w:t>RD</w:t>
            </w:r>
            <w:r w:rsidR="00D65923" w:rsidRPr="00D65923">
              <w:rPr>
                <w:vertAlign w:val="superscript"/>
                <w:lang w:val="en-AU"/>
              </w:rPr>
              <w:t>1</w:t>
            </w:r>
          </w:p>
          <w:p w14:paraId="43BFA840" w14:textId="0BD02925" w:rsidR="004A1CF9" w:rsidRPr="006B4B2A" w:rsidRDefault="00756656" w:rsidP="00756656">
            <w:pPr>
              <w:pStyle w:val="TableText0"/>
              <w:jc w:val="center"/>
              <w:rPr>
                <w:b/>
                <w:bCs w:val="0"/>
              </w:rPr>
            </w:pPr>
            <w:r w:rsidRPr="006B4B2A">
              <w:rPr>
                <w:b/>
                <w:bCs w:val="0"/>
              </w:rPr>
              <w:t>(95% CI</w:t>
            </w:r>
            <w:r w:rsidR="005901EB">
              <w:rPr>
                <w:b/>
                <w:bCs w:val="0"/>
              </w:rPr>
              <w:t>)</w:t>
            </w:r>
          </w:p>
        </w:tc>
      </w:tr>
      <w:tr w:rsidR="00027578" w:rsidRPr="00D33C2C" w14:paraId="49A86194" w14:textId="77777777" w:rsidTr="002079B8">
        <w:trPr>
          <w:cantSplit/>
        </w:trPr>
        <w:tc>
          <w:tcPr>
            <w:tcW w:w="796" w:type="pct"/>
            <w:vMerge/>
            <w:tcBorders>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B11FFDF" w14:textId="77777777" w:rsidR="004A1CF9" w:rsidRPr="006B4B2A" w:rsidRDefault="004A1CF9" w:rsidP="004A1CF9">
            <w:pPr>
              <w:pStyle w:val="TableText0"/>
              <w:rPr>
                <w:b/>
                <w:bCs w:val="0"/>
              </w:rPr>
            </w:pP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0C91DBCA" w14:textId="2E0DEC7B" w:rsidR="004A1CF9" w:rsidRPr="006B4B2A" w:rsidRDefault="004A1CF9" w:rsidP="004A1CF9">
            <w:pPr>
              <w:pStyle w:val="TableText0"/>
              <w:jc w:val="center"/>
              <w:rPr>
                <w:b/>
                <w:bCs w:val="0"/>
              </w:rPr>
            </w:pPr>
            <w:r w:rsidRPr="006B4B2A">
              <w:rPr>
                <w:b/>
                <w:bCs w:val="0"/>
              </w:rPr>
              <w:t>40</w:t>
            </w:r>
            <w:r w:rsidR="0017081E">
              <w:rPr>
                <w:b/>
                <w:bCs w:val="0"/>
              </w:rPr>
              <w:t> mcg</w:t>
            </w:r>
            <w:r w:rsidRPr="006B4B2A">
              <w:rPr>
                <w:b/>
                <w:bCs w:val="0"/>
              </w:rPr>
              <w:t>/kg</w:t>
            </w:r>
          </w:p>
        </w:tc>
        <w:tc>
          <w:tcPr>
            <w:tcW w:w="4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52A99CB0" w14:textId="1EB73616" w:rsidR="004A1CF9" w:rsidRPr="006B4B2A" w:rsidRDefault="004A1CF9" w:rsidP="004A1CF9">
            <w:pPr>
              <w:pStyle w:val="TableText0"/>
              <w:jc w:val="center"/>
              <w:rPr>
                <w:b/>
                <w:bCs w:val="0"/>
              </w:rPr>
            </w:pPr>
            <w:r w:rsidRPr="006B4B2A">
              <w:rPr>
                <w:b/>
                <w:bCs w:val="0"/>
              </w:rPr>
              <w:t>120</w:t>
            </w:r>
            <w:r w:rsidR="0017081E">
              <w:rPr>
                <w:b/>
                <w:bCs w:val="0"/>
              </w:rPr>
              <w:t> mcg</w:t>
            </w:r>
            <w:r w:rsidRPr="006B4B2A">
              <w:rPr>
                <w:b/>
                <w:bCs w:val="0"/>
              </w:rPr>
              <w:t>/kg</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FECF0A4" w14:textId="3D9188FB" w:rsidR="004A1CF9" w:rsidRPr="006B4B2A" w:rsidRDefault="004A1CF9" w:rsidP="004A1CF9">
            <w:pPr>
              <w:pStyle w:val="TableText0"/>
              <w:jc w:val="center"/>
              <w:rPr>
                <w:b/>
                <w:bCs w:val="0"/>
              </w:rPr>
            </w:pPr>
            <w:r w:rsidRPr="006B4B2A">
              <w:rPr>
                <w:b/>
                <w:bCs w:val="0"/>
              </w:rPr>
              <w:t>All doses</w:t>
            </w:r>
          </w:p>
        </w:tc>
        <w:tc>
          <w:tcPr>
            <w:tcW w:w="399" w:type="pct"/>
            <w:vMerge/>
            <w:tcBorders>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FD8A236" w14:textId="77777777" w:rsidR="004A1CF9" w:rsidRPr="006B4B2A" w:rsidRDefault="004A1CF9" w:rsidP="004A1CF9">
            <w:pPr>
              <w:pStyle w:val="TableText0"/>
              <w:jc w:val="center"/>
              <w:rPr>
                <w:b/>
                <w:bCs w:val="0"/>
              </w:rPr>
            </w:pP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4D3DB44" w14:textId="7D0C58E8" w:rsidR="004A1CF9" w:rsidRPr="006B4B2A" w:rsidRDefault="004A1CF9" w:rsidP="004A1CF9">
            <w:pPr>
              <w:pStyle w:val="TableText0"/>
              <w:jc w:val="center"/>
              <w:rPr>
                <w:b/>
                <w:bCs w:val="0"/>
              </w:rPr>
            </w:pPr>
            <w:r w:rsidRPr="006B4B2A">
              <w:rPr>
                <w:b/>
                <w:bCs w:val="0"/>
              </w:rPr>
              <w:t>40</w:t>
            </w:r>
            <w:r w:rsidR="0017081E">
              <w:rPr>
                <w:b/>
                <w:bCs w:val="0"/>
              </w:rPr>
              <w:t> mcg</w:t>
            </w:r>
            <w:r w:rsidRPr="006B4B2A">
              <w:rPr>
                <w:b/>
                <w:bCs w:val="0"/>
              </w:rPr>
              <w:t>/kg</w:t>
            </w:r>
          </w:p>
        </w:tc>
        <w:tc>
          <w:tcPr>
            <w:tcW w:w="4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0E8F9DE4" w14:textId="03F60CEC" w:rsidR="004A1CF9" w:rsidRPr="006B4B2A" w:rsidRDefault="004A1CF9" w:rsidP="004A1CF9">
            <w:pPr>
              <w:pStyle w:val="TableText0"/>
              <w:jc w:val="center"/>
              <w:rPr>
                <w:b/>
                <w:bCs w:val="0"/>
              </w:rPr>
            </w:pPr>
            <w:r w:rsidRPr="006B4B2A">
              <w:rPr>
                <w:b/>
                <w:bCs w:val="0"/>
              </w:rPr>
              <w:t>120</w:t>
            </w:r>
            <w:r w:rsidR="0017081E">
              <w:rPr>
                <w:b/>
                <w:bCs w:val="0"/>
              </w:rPr>
              <w:t> mcg</w:t>
            </w:r>
            <w:r w:rsidRPr="006B4B2A">
              <w:rPr>
                <w:b/>
                <w:bCs w:val="0"/>
              </w:rPr>
              <w:t>/kg</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36A8F3AB" w14:textId="1948FAB5" w:rsidR="004A1CF9" w:rsidRPr="006B4B2A" w:rsidRDefault="004A1CF9" w:rsidP="004A1CF9">
            <w:pPr>
              <w:pStyle w:val="TableText0"/>
              <w:jc w:val="center"/>
              <w:rPr>
                <w:b/>
                <w:bCs w:val="0"/>
              </w:rPr>
            </w:pPr>
            <w:r w:rsidRPr="006B4B2A">
              <w:rPr>
                <w:b/>
                <w:bCs w:val="0"/>
              </w:rPr>
              <w:t>All doses</w:t>
            </w:r>
          </w:p>
        </w:tc>
        <w:tc>
          <w:tcPr>
            <w:tcW w:w="40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0A98B7AC" w14:textId="32D7EA63" w:rsidR="004A1CF9" w:rsidRPr="006B4B2A" w:rsidRDefault="00194549" w:rsidP="004A1CF9">
            <w:pPr>
              <w:pStyle w:val="TableText0"/>
              <w:jc w:val="center"/>
              <w:rPr>
                <w:b/>
                <w:bCs w:val="0"/>
              </w:rPr>
            </w:pPr>
            <w:r w:rsidRPr="006B4B2A">
              <w:rPr>
                <w:b/>
                <w:bCs w:val="0"/>
              </w:rPr>
              <w:t>Placebo</w:t>
            </w:r>
          </w:p>
        </w:tc>
        <w:tc>
          <w:tcPr>
            <w:tcW w:w="613" w:type="pct"/>
            <w:vMerge/>
            <w:tcBorders>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1FCAFF14" w14:textId="77777777" w:rsidR="004A1CF9" w:rsidRPr="006B4B2A" w:rsidRDefault="004A1CF9" w:rsidP="004A1CF9">
            <w:pPr>
              <w:pStyle w:val="TableText0"/>
              <w:jc w:val="center"/>
              <w:rPr>
                <w:b/>
                <w:bCs w:val="0"/>
              </w:rPr>
            </w:pPr>
          </w:p>
        </w:tc>
      </w:tr>
      <w:tr w:rsidR="006B4B2A" w:rsidRPr="00D33C2C" w14:paraId="5B94D247" w14:textId="77777777" w:rsidTr="00F964F0">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tcPr>
          <w:p w14:paraId="16FBF93A" w14:textId="644103F4" w:rsidR="006B4B2A" w:rsidRPr="006B4B2A" w:rsidRDefault="006B4B2A" w:rsidP="006B4B2A">
            <w:pPr>
              <w:pStyle w:val="TableText0"/>
              <w:rPr>
                <w:b/>
                <w:bCs w:val="0"/>
              </w:rPr>
            </w:pPr>
            <w:r w:rsidRPr="006B4B2A">
              <w:rPr>
                <w:b/>
                <w:bCs w:val="0"/>
              </w:rPr>
              <w:t xml:space="preserve">Benefits </w:t>
            </w:r>
          </w:p>
        </w:tc>
      </w:tr>
      <w:tr w:rsidR="00027578" w:rsidRPr="00832A5B" w14:paraId="134A0DC2" w14:textId="77777777" w:rsidTr="002079B8">
        <w:trPr>
          <w:cantSplit/>
        </w:trPr>
        <w:tc>
          <w:tcPr>
            <w:tcW w:w="79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5FC3CF4A" w14:textId="77777777" w:rsidR="006B4B2A" w:rsidRPr="00832A5B" w:rsidRDefault="006B4B2A" w:rsidP="006B4B2A">
            <w:pPr>
              <w:pStyle w:val="TableText0"/>
            </w:pPr>
            <w:r w:rsidRPr="00832A5B">
              <w:t xml:space="preserve">sBA response </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75F4364D" w14:textId="77777777" w:rsidR="006B4B2A" w:rsidRPr="00832A5B" w:rsidRDefault="006B4B2A" w:rsidP="006B4B2A">
            <w:pPr>
              <w:pStyle w:val="TableText0"/>
              <w:jc w:val="center"/>
            </w:pPr>
            <w:r w:rsidRPr="00832A5B">
              <w:t>10/23</w:t>
            </w:r>
          </w:p>
        </w:tc>
        <w:tc>
          <w:tcPr>
            <w:tcW w:w="4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34D421CF" w14:textId="77777777" w:rsidR="006B4B2A" w:rsidRPr="00832A5B" w:rsidRDefault="006B4B2A" w:rsidP="006B4B2A">
            <w:pPr>
              <w:pStyle w:val="TableText0"/>
              <w:jc w:val="center"/>
            </w:pPr>
            <w:r w:rsidRPr="00832A5B">
              <w:t>4/19</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921C329" w14:textId="77777777" w:rsidR="006B4B2A" w:rsidRPr="00832A5B" w:rsidRDefault="006B4B2A" w:rsidP="006B4B2A">
            <w:pPr>
              <w:pStyle w:val="TableText0"/>
              <w:jc w:val="center"/>
            </w:pPr>
            <w:r w:rsidRPr="00832A5B">
              <w:t>14/42</w:t>
            </w:r>
          </w:p>
        </w:tc>
        <w:tc>
          <w:tcPr>
            <w:tcW w:w="399"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2F48E83E" w14:textId="4A53CDD9" w:rsidR="006B4B2A" w:rsidRPr="00832A5B" w:rsidRDefault="006B4B2A" w:rsidP="006B4B2A">
            <w:pPr>
              <w:pStyle w:val="TableText0"/>
              <w:jc w:val="center"/>
            </w:pPr>
            <w:r w:rsidRPr="00832A5B">
              <w:t>0</w:t>
            </w:r>
            <w:r w:rsidR="006708D2">
              <w:t>/0</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1B025F07" w14:textId="417C7D03" w:rsidR="006B4B2A" w:rsidRPr="00832A5B" w:rsidRDefault="006B4B2A" w:rsidP="006B4B2A">
            <w:pPr>
              <w:pStyle w:val="TableText0"/>
              <w:jc w:val="center"/>
            </w:pPr>
            <w:r w:rsidRPr="00832A5B">
              <w:t>43.5</w:t>
            </w:r>
            <w:r w:rsidR="006708D2">
              <w:t>%</w:t>
            </w:r>
          </w:p>
        </w:tc>
        <w:tc>
          <w:tcPr>
            <w:tcW w:w="4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4504547A" w14:textId="2B41751A" w:rsidR="006B4B2A" w:rsidRPr="00832A5B" w:rsidRDefault="006B4B2A" w:rsidP="006B4B2A">
            <w:pPr>
              <w:pStyle w:val="TableText0"/>
              <w:jc w:val="center"/>
            </w:pPr>
            <w:r w:rsidRPr="00832A5B">
              <w:t>21.1</w:t>
            </w:r>
            <w:r w:rsidR="006708D2">
              <w:t>%</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5229AA5B" w14:textId="44FE4CCA" w:rsidR="006B4B2A" w:rsidRPr="00832A5B" w:rsidRDefault="006B4B2A" w:rsidP="006B4B2A">
            <w:pPr>
              <w:pStyle w:val="TableText0"/>
              <w:jc w:val="center"/>
            </w:pPr>
            <w:r w:rsidRPr="00832A5B">
              <w:t>33.3</w:t>
            </w:r>
            <w:r w:rsidR="006708D2">
              <w:t>%</w:t>
            </w:r>
          </w:p>
        </w:tc>
        <w:tc>
          <w:tcPr>
            <w:tcW w:w="40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23793D54" w14:textId="60B60AD5" w:rsidR="006B4B2A" w:rsidRPr="00832A5B" w:rsidRDefault="006B4B2A" w:rsidP="006B4B2A">
            <w:pPr>
              <w:pStyle w:val="TableText0"/>
              <w:jc w:val="center"/>
            </w:pPr>
            <w:r w:rsidRPr="00832A5B">
              <w:t>0</w:t>
            </w:r>
            <w:r w:rsidR="006708D2">
              <w:t>%</w:t>
            </w:r>
          </w:p>
        </w:tc>
        <w:tc>
          <w:tcPr>
            <w:tcW w:w="613"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7D3271F0" w14:textId="77777777" w:rsidR="006B4B2A" w:rsidRPr="00832A5B" w:rsidRDefault="006B4B2A" w:rsidP="006B4B2A">
            <w:pPr>
              <w:pStyle w:val="TableText0"/>
              <w:jc w:val="center"/>
            </w:pPr>
            <w:r w:rsidRPr="00832A5B">
              <w:t xml:space="preserve">44.1% </w:t>
            </w:r>
            <w:r w:rsidRPr="00832A5B">
              <w:br/>
              <w:t>(23.61, 64.64)</w:t>
            </w:r>
          </w:p>
        </w:tc>
      </w:tr>
      <w:tr w:rsidR="00027578" w:rsidRPr="00832A5B" w14:paraId="53B0710B" w14:textId="77777777" w:rsidTr="002079B8">
        <w:trPr>
          <w:cantSplit/>
        </w:trPr>
        <w:tc>
          <w:tcPr>
            <w:tcW w:w="79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33FA9B82" w14:textId="6BDB113D" w:rsidR="00801553" w:rsidRPr="00832A5B" w:rsidRDefault="009A3F89" w:rsidP="006B4B2A">
            <w:pPr>
              <w:pStyle w:val="TableText0"/>
            </w:pPr>
            <w:r w:rsidRPr="00832A5B">
              <w:t xml:space="preserve">Proportion of positive pruritic assessments for </w:t>
            </w:r>
            <w:r w:rsidRPr="00832A5B">
              <w:rPr>
                <w:bCs w:val="0"/>
                <w:szCs w:val="20"/>
              </w:rPr>
              <w:t>≥50% of the time</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302C9DC6" w14:textId="56B7FD07" w:rsidR="00801553" w:rsidRPr="00832A5B" w:rsidRDefault="007A0C02" w:rsidP="006B4B2A">
            <w:pPr>
              <w:pStyle w:val="TableText0"/>
              <w:jc w:val="center"/>
            </w:pPr>
            <w:r w:rsidRPr="00832A5B">
              <w:t>17</w:t>
            </w:r>
            <w:r w:rsidR="0098668B" w:rsidRPr="00832A5B">
              <w:t>/23</w:t>
            </w:r>
          </w:p>
        </w:tc>
        <w:tc>
          <w:tcPr>
            <w:tcW w:w="4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3AAD7CB6" w14:textId="3C839733" w:rsidR="00801553" w:rsidRPr="00832A5B" w:rsidRDefault="0098668B" w:rsidP="006B4B2A">
            <w:pPr>
              <w:pStyle w:val="TableText0"/>
              <w:jc w:val="center"/>
            </w:pPr>
            <w:r w:rsidRPr="00832A5B">
              <w:t>9/19</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2C962C68" w14:textId="7B805596" w:rsidR="00801553" w:rsidRPr="00832A5B" w:rsidRDefault="0098668B" w:rsidP="006B4B2A">
            <w:pPr>
              <w:pStyle w:val="TableText0"/>
              <w:jc w:val="center"/>
            </w:pPr>
            <w:r w:rsidRPr="00832A5B">
              <w:t>26/42</w:t>
            </w:r>
          </w:p>
        </w:tc>
        <w:tc>
          <w:tcPr>
            <w:tcW w:w="399"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183266E7" w14:textId="46346989" w:rsidR="00801553" w:rsidRPr="00832A5B" w:rsidRDefault="007A0C02" w:rsidP="006B4B2A">
            <w:pPr>
              <w:pStyle w:val="TableText0"/>
              <w:jc w:val="center"/>
            </w:pPr>
            <w:r w:rsidRPr="00832A5B">
              <w:t>4/20</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60A26C94" w14:textId="4852A347" w:rsidR="00801553" w:rsidRPr="00832A5B" w:rsidRDefault="0098668B" w:rsidP="006B4B2A">
            <w:pPr>
              <w:pStyle w:val="TableText0"/>
              <w:jc w:val="center"/>
            </w:pPr>
            <w:r w:rsidRPr="00832A5B">
              <w:t>73.9</w:t>
            </w:r>
          </w:p>
        </w:tc>
        <w:tc>
          <w:tcPr>
            <w:tcW w:w="46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522C609A" w14:textId="04CFB510" w:rsidR="00801553" w:rsidRPr="00832A5B" w:rsidRDefault="0098668B" w:rsidP="006B4B2A">
            <w:pPr>
              <w:pStyle w:val="TableText0"/>
              <w:jc w:val="center"/>
            </w:pPr>
            <w:r w:rsidRPr="00832A5B">
              <w:t>47.4</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0B82D0EF" w14:textId="1893679A" w:rsidR="00801553" w:rsidRPr="00832A5B" w:rsidRDefault="001924A3" w:rsidP="006B4B2A">
            <w:pPr>
              <w:pStyle w:val="TableText0"/>
              <w:jc w:val="center"/>
            </w:pPr>
            <w:r w:rsidRPr="00832A5B">
              <w:t>47</w:t>
            </w:r>
          </w:p>
        </w:tc>
        <w:tc>
          <w:tcPr>
            <w:tcW w:w="40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34962443" w14:textId="2C910933" w:rsidR="00801553" w:rsidRPr="00832A5B" w:rsidRDefault="007A0C02" w:rsidP="006B4B2A">
            <w:pPr>
              <w:pStyle w:val="TableText0"/>
              <w:jc w:val="center"/>
            </w:pPr>
            <w:r w:rsidRPr="00832A5B">
              <w:t>20</w:t>
            </w:r>
          </w:p>
        </w:tc>
        <w:tc>
          <w:tcPr>
            <w:tcW w:w="613"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20" w:type="dxa"/>
              <w:right w:w="20" w:type="dxa"/>
            </w:tcMar>
            <w:vAlign w:val="center"/>
          </w:tcPr>
          <w:p w14:paraId="7EF9E418" w14:textId="63882009" w:rsidR="00801553" w:rsidRPr="00832A5B" w:rsidRDefault="00BE20E7" w:rsidP="006B4B2A">
            <w:pPr>
              <w:pStyle w:val="TableText0"/>
              <w:jc w:val="center"/>
            </w:pPr>
            <w:r w:rsidRPr="00832A5B">
              <w:t>53.9%</w:t>
            </w:r>
          </w:p>
        </w:tc>
      </w:tr>
    </w:tbl>
    <w:p w14:paraId="1AFE91D6" w14:textId="77777777" w:rsidR="00404D38" w:rsidRPr="008250C3" w:rsidRDefault="00404D38" w:rsidP="008250C3">
      <w:pPr>
        <w:pStyle w:val="Tabletext"/>
        <w:rPr>
          <w:sz w:val="18"/>
          <w:szCs w:val="22"/>
        </w:rPr>
      </w:pPr>
      <w:r w:rsidRPr="008250C3">
        <w:rPr>
          <w:sz w:val="18"/>
          <w:szCs w:val="22"/>
        </w:rPr>
        <w:t>Source: Table 10, odevixibat PSD, July 2024 PBAC meeting</w:t>
      </w:r>
    </w:p>
    <w:p w14:paraId="332D87B9" w14:textId="77777777" w:rsidR="00404D38" w:rsidRPr="008250C3" w:rsidRDefault="00404D38" w:rsidP="008250C3">
      <w:pPr>
        <w:pStyle w:val="Tabletext"/>
        <w:rPr>
          <w:sz w:val="18"/>
          <w:szCs w:val="22"/>
        </w:rPr>
      </w:pPr>
      <w:r w:rsidRPr="008250C3">
        <w:rPr>
          <w:sz w:val="18"/>
          <w:szCs w:val="22"/>
        </w:rPr>
        <w:t>HR = hazard ratio; PBO = placebo; RD = risk difference; TEAE = treatment emergent adverse event; sBA = serum bile acid; NR = not reported; NE = not evaluable.</w:t>
      </w:r>
    </w:p>
    <w:p w14:paraId="74BC9AE5" w14:textId="545BEAF4" w:rsidR="00404D38" w:rsidRDefault="00404D38" w:rsidP="008250C3">
      <w:pPr>
        <w:pStyle w:val="Tabletext"/>
        <w:rPr>
          <w:sz w:val="18"/>
          <w:szCs w:val="22"/>
        </w:rPr>
      </w:pPr>
      <w:r w:rsidRPr="008250C3">
        <w:rPr>
          <w:sz w:val="18"/>
          <w:szCs w:val="22"/>
        </w:rPr>
        <w:t>Note: RD for sBA response was the adjusted difference between the 40</w:t>
      </w:r>
      <w:r w:rsidR="0017081E">
        <w:rPr>
          <w:sz w:val="18"/>
          <w:szCs w:val="22"/>
        </w:rPr>
        <w:t> mcg</w:t>
      </w:r>
      <w:r w:rsidRPr="008250C3">
        <w:rPr>
          <w:sz w:val="18"/>
          <w:szCs w:val="22"/>
        </w:rPr>
        <w:t xml:space="preserve">/kg and placebo as this was the only comparison demonstrating statistical significance. </w:t>
      </w:r>
    </w:p>
    <w:p w14:paraId="59C61335" w14:textId="00CC9013" w:rsidR="00D65923" w:rsidRPr="00D65923" w:rsidRDefault="00D65923" w:rsidP="008250C3">
      <w:pPr>
        <w:pStyle w:val="Tabletext"/>
        <w:rPr>
          <w:bCs/>
          <w:sz w:val="18"/>
          <w:szCs w:val="18"/>
        </w:rPr>
      </w:pPr>
      <w:r w:rsidRPr="00D65923">
        <w:rPr>
          <w:bCs/>
          <w:sz w:val="18"/>
          <w:szCs w:val="18"/>
        </w:rPr>
        <w:t>1. adjusted RD 40</w:t>
      </w:r>
      <w:r w:rsidR="0017081E">
        <w:rPr>
          <w:bCs/>
          <w:sz w:val="18"/>
          <w:szCs w:val="18"/>
        </w:rPr>
        <w:t> mcg</w:t>
      </w:r>
      <w:r w:rsidRPr="00D65923">
        <w:rPr>
          <w:bCs/>
          <w:sz w:val="18"/>
          <w:szCs w:val="18"/>
        </w:rPr>
        <w:t>/kg/day vs placebo</w:t>
      </w:r>
    </w:p>
    <w:p w14:paraId="028F4978" w14:textId="54373544" w:rsidR="00404D38" w:rsidRPr="00832A5B" w:rsidRDefault="00404D38" w:rsidP="00404D38">
      <w:pPr>
        <w:pStyle w:val="3-BodyText"/>
        <w:numPr>
          <w:ilvl w:val="1"/>
          <w:numId w:val="1"/>
        </w:numPr>
      </w:pPr>
      <w:r w:rsidRPr="00832A5B">
        <w:t>On the basis of direct comparison evidence presented, for every 100 patients treated with odevixibat (40</w:t>
      </w:r>
      <w:r w:rsidR="0017081E">
        <w:t> mcg</w:t>
      </w:r>
      <w:r w:rsidRPr="00832A5B">
        <w:t>/kg/day) in comparison with placebo after 24 weeks of treatment:</w:t>
      </w:r>
    </w:p>
    <w:p w14:paraId="4E0220E3" w14:textId="77777777" w:rsidR="00404D38" w:rsidRPr="00832A5B" w:rsidRDefault="00404D38" w:rsidP="007C21AA">
      <w:pPr>
        <w:pStyle w:val="3-BodyText"/>
        <w:numPr>
          <w:ilvl w:val="0"/>
          <w:numId w:val="12"/>
        </w:numPr>
        <w:ind w:left="1080"/>
      </w:pPr>
      <w:r w:rsidRPr="00832A5B">
        <w:t>Approximately 44 additional patients will achieve a sBA response (at least a 70% reduction in sBA concentrations from baseline or reaching ≤70 µmol).</w:t>
      </w:r>
    </w:p>
    <w:p w14:paraId="1440B05A" w14:textId="7766A219" w:rsidR="0016166D" w:rsidRPr="00832A5B" w:rsidRDefault="0016166D" w:rsidP="007C21AA">
      <w:pPr>
        <w:pStyle w:val="3-BodyText"/>
        <w:numPr>
          <w:ilvl w:val="0"/>
          <w:numId w:val="12"/>
        </w:numPr>
        <w:ind w:left="1080"/>
      </w:pPr>
      <w:r w:rsidRPr="00832A5B">
        <w:t>Approximately</w:t>
      </w:r>
      <w:r w:rsidR="002033D2" w:rsidRPr="00832A5B">
        <w:t xml:space="preserve"> </w:t>
      </w:r>
      <w:r w:rsidR="007D0DC9" w:rsidRPr="00832A5B">
        <w:t>54</w:t>
      </w:r>
      <w:r w:rsidR="00F40F20" w:rsidRPr="00832A5B">
        <w:t xml:space="preserve"> </w:t>
      </w:r>
      <w:r w:rsidRPr="00832A5B">
        <w:t>additional patients will achieve a positive prurit</w:t>
      </w:r>
      <w:r w:rsidR="0082620E">
        <w:t>u</w:t>
      </w:r>
      <w:r w:rsidRPr="00832A5B">
        <w:t>s assessment</w:t>
      </w:r>
      <w:r w:rsidR="007A42A7" w:rsidRPr="00832A5B">
        <w:t xml:space="preserve"> for </w:t>
      </w:r>
      <w:r w:rsidR="007A42A7" w:rsidRPr="00832A5B">
        <w:rPr>
          <w:rFonts w:cstheme="minorHAnsi"/>
        </w:rPr>
        <w:t>≥</w:t>
      </w:r>
      <w:r w:rsidR="007A42A7" w:rsidRPr="00832A5B">
        <w:t xml:space="preserve"> 50% of the time</w:t>
      </w:r>
      <w:r w:rsidRPr="00832A5B">
        <w:t>.</w:t>
      </w:r>
    </w:p>
    <w:p w14:paraId="043ED300" w14:textId="4BAC5733" w:rsidR="00BE20E7" w:rsidRPr="00832A5B" w:rsidRDefault="00BE20E7" w:rsidP="00BE20E7">
      <w:pPr>
        <w:pStyle w:val="3-BodyText"/>
        <w:numPr>
          <w:ilvl w:val="1"/>
          <w:numId w:val="1"/>
        </w:numPr>
      </w:pPr>
      <w:r w:rsidRPr="00832A5B">
        <w:lastRenderedPageBreak/>
        <w:t>On the basis of direct comparison evidence presented, for every 100 patients treated with odevixibat (120</w:t>
      </w:r>
      <w:r w:rsidR="0017081E">
        <w:t> mcg</w:t>
      </w:r>
      <w:r w:rsidRPr="00832A5B">
        <w:t>/kg/day) in comparison with placebo after 24 weeks of treatment:</w:t>
      </w:r>
    </w:p>
    <w:p w14:paraId="79315F58" w14:textId="1652EDD7" w:rsidR="00BE20E7" w:rsidRPr="00832A5B" w:rsidRDefault="00BE20E7" w:rsidP="00BE20E7">
      <w:pPr>
        <w:pStyle w:val="3-BodyText"/>
        <w:numPr>
          <w:ilvl w:val="0"/>
          <w:numId w:val="12"/>
        </w:numPr>
        <w:ind w:left="1080"/>
      </w:pPr>
      <w:r w:rsidRPr="00832A5B">
        <w:t>Approximately 21 additional patients will achieve a sBA response (at least a 70% reduction in sBA concentrations from baseline or reaching ≤70</w:t>
      </w:r>
      <w:r w:rsidR="00363719">
        <w:t> </w:t>
      </w:r>
      <w:r w:rsidRPr="00832A5B">
        <w:t>µmol).</w:t>
      </w:r>
    </w:p>
    <w:p w14:paraId="26267BC7" w14:textId="510F47BF" w:rsidR="00BE20E7" w:rsidRPr="00832A5B" w:rsidRDefault="00BE20E7" w:rsidP="00D7182C">
      <w:pPr>
        <w:pStyle w:val="3-BodyText"/>
        <w:numPr>
          <w:ilvl w:val="0"/>
          <w:numId w:val="12"/>
        </w:numPr>
        <w:ind w:left="1080"/>
      </w:pPr>
      <w:r w:rsidRPr="00832A5B">
        <w:t>Approximately 27 additional patients will achieve a positive prurit</w:t>
      </w:r>
      <w:r w:rsidR="0082620E">
        <w:t>u</w:t>
      </w:r>
      <w:r w:rsidRPr="00832A5B">
        <w:t xml:space="preserve">s assessment for </w:t>
      </w:r>
      <w:r w:rsidRPr="00832A5B">
        <w:rPr>
          <w:rFonts w:cstheme="minorHAnsi"/>
        </w:rPr>
        <w:t>≥</w:t>
      </w:r>
      <w:r w:rsidRPr="00832A5B">
        <w:t xml:space="preserve"> 50% of the time.</w:t>
      </w:r>
    </w:p>
    <w:p w14:paraId="42B48952" w14:textId="77777777" w:rsidR="00404D38" w:rsidRPr="0098262F" w:rsidRDefault="00404D38" w:rsidP="00404D38">
      <w:pPr>
        <w:pStyle w:val="4-SubsectionHeading"/>
      </w:pPr>
      <w:bookmarkStart w:id="65" w:name="_Toc22897644"/>
      <w:bookmarkStart w:id="66" w:name="_Toc184822916"/>
      <w:bookmarkStart w:id="67" w:name="_Toc188451879"/>
      <w:r w:rsidRPr="0098262F">
        <w:t>Clinical claim</w:t>
      </w:r>
      <w:bookmarkEnd w:id="65"/>
      <w:bookmarkEnd w:id="66"/>
      <w:bookmarkEnd w:id="67"/>
    </w:p>
    <w:p w14:paraId="2304EC00" w14:textId="77777777" w:rsidR="00404D38" w:rsidRPr="00DB5F87" w:rsidRDefault="00404D38" w:rsidP="0041247B">
      <w:pPr>
        <w:pStyle w:val="3-BodyText"/>
        <w:numPr>
          <w:ilvl w:val="1"/>
          <w:numId w:val="1"/>
        </w:numPr>
        <w:spacing w:before="0"/>
        <w:rPr>
          <w:rFonts w:eastAsia="Calibri"/>
        </w:rPr>
      </w:pPr>
      <w:r w:rsidRPr="00DB5F87">
        <w:rPr>
          <w:rFonts w:eastAsia="Calibri"/>
        </w:rPr>
        <w:t xml:space="preserve">The resubmission described odevixibat as superior in terms of effectiveness compared to placebo. </w:t>
      </w:r>
    </w:p>
    <w:p w14:paraId="0EDE9458" w14:textId="5066EAC2" w:rsidR="00404D38" w:rsidRPr="00DB5F87" w:rsidRDefault="00404D38" w:rsidP="0041247B">
      <w:pPr>
        <w:pStyle w:val="3-BodyText"/>
        <w:numPr>
          <w:ilvl w:val="1"/>
          <w:numId w:val="1"/>
        </w:numPr>
        <w:spacing w:before="0"/>
        <w:rPr>
          <w:rFonts w:eastAsia="Calibri"/>
        </w:rPr>
      </w:pPr>
      <w:r w:rsidRPr="00DB5F87">
        <w:rPr>
          <w:rFonts w:eastAsia="Calibri"/>
        </w:rPr>
        <w:t xml:space="preserve">The PBAC has previously considered that odevixibat was superior in terms of effectiveness compared to placebo for patients with PFIC1 and PFIC2 (based on the results from PEDFIC 1) but noted that the patient numbers were </w:t>
      </w:r>
      <w:r w:rsidR="000E79EF" w:rsidRPr="00DB5F87">
        <w:rPr>
          <w:rFonts w:eastAsia="Calibri"/>
        </w:rPr>
        <w:t>small,</w:t>
      </w:r>
      <w:r w:rsidRPr="00DB5F87">
        <w:rPr>
          <w:rFonts w:eastAsia="Calibri"/>
        </w:rPr>
        <w:t xml:space="preserve"> and the trial was of a short duration, only providing 24 weeks of comparative data (paragraph 7.12, odevixibat PSD, July 2024 PBAC meeting). </w:t>
      </w:r>
      <w:r w:rsidR="00E440C8">
        <w:rPr>
          <w:rFonts w:eastAsia="Calibri"/>
        </w:rPr>
        <w:t>The PBAC noted that the clinical data did not support any incremental benefit of the 120</w:t>
      </w:r>
      <w:r w:rsidR="0017081E">
        <w:rPr>
          <w:rFonts w:eastAsia="Calibri"/>
        </w:rPr>
        <w:t> mcg</w:t>
      </w:r>
      <w:r w:rsidR="00E440C8">
        <w:rPr>
          <w:rFonts w:eastAsia="Calibri"/>
        </w:rPr>
        <w:t>/kg dose over the 40</w:t>
      </w:r>
      <w:r w:rsidR="0017081E">
        <w:rPr>
          <w:rFonts w:eastAsia="Calibri"/>
        </w:rPr>
        <w:t> mcg</w:t>
      </w:r>
      <w:r w:rsidR="00E440C8">
        <w:rPr>
          <w:rFonts w:eastAsia="Calibri"/>
        </w:rPr>
        <w:t>/kg dose and that the point estimates of benefit for the higher dose were lower</w:t>
      </w:r>
      <w:r w:rsidR="00592927">
        <w:rPr>
          <w:rFonts w:eastAsia="Calibri"/>
        </w:rPr>
        <w:t xml:space="preserve"> (see </w:t>
      </w:r>
      <w:r w:rsidR="00592927">
        <w:rPr>
          <w:rFonts w:eastAsia="Calibri"/>
        </w:rPr>
        <w:fldChar w:fldCharType="begin" w:fldLock="1"/>
      </w:r>
      <w:r w:rsidR="00592927">
        <w:rPr>
          <w:rFonts w:eastAsia="Calibri"/>
        </w:rPr>
        <w:instrText xml:space="preserve"> REF _Ref184911084 \h </w:instrText>
      </w:r>
      <w:r w:rsidR="00592927">
        <w:rPr>
          <w:rFonts w:eastAsia="Calibri"/>
        </w:rPr>
      </w:r>
      <w:r w:rsidR="00592927">
        <w:rPr>
          <w:rFonts w:eastAsia="Calibri"/>
        </w:rPr>
        <w:fldChar w:fldCharType="separate"/>
      </w:r>
      <w:r w:rsidR="00592927" w:rsidRPr="0098262F">
        <w:t xml:space="preserve">Table </w:t>
      </w:r>
      <w:r w:rsidR="00592927">
        <w:rPr>
          <w:noProof/>
        </w:rPr>
        <w:t>6</w:t>
      </w:r>
      <w:r w:rsidR="00592927">
        <w:rPr>
          <w:rFonts w:eastAsia="Calibri"/>
        </w:rPr>
        <w:fldChar w:fldCharType="end"/>
      </w:r>
      <w:r w:rsidR="00592927">
        <w:rPr>
          <w:rFonts w:eastAsia="Calibri"/>
        </w:rPr>
        <w:t>)</w:t>
      </w:r>
      <w:r w:rsidR="00E440C8">
        <w:rPr>
          <w:rFonts w:eastAsia="Calibri"/>
        </w:rPr>
        <w:t xml:space="preserve">. </w:t>
      </w:r>
      <w:r w:rsidRPr="00DB5F87">
        <w:rPr>
          <w:rFonts w:eastAsia="Calibri"/>
        </w:rPr>
        <w:t>Further, placebo was not the nominated comparator and therefore results of PEDFIC</w:t>
      </w:r>
      <w:r w:rsidR="0017081E">
        <w:rPr>
          <w:rFonts w:eastAsia="Calibri"/>
        </w:rPr>
        <w:t> </w:t>
      </w:r>
      <w:r w:rsidRPr="00DB5F87">
        <w:rPr>
          <w:rFonts w:eastAsia="Calibri"/>
        </w:rPr>
        <w:t xml:space="preserve">1 may not be sufficient to support a clinical claim compared to the nominated comparator of </w:t>
      </w:r>
      <w:proofErr w:type="spellStart"/>
      <w:r w:rsidRPr="00DB5F87">
        <w:rPr>
          <w:rFonts w:eastAsia="Calibri"/>
        </w:rPr>
        <w:t>SoC.</w:t>
      </w:r>
      <w:proofErr w:type="spellEnd"/>
      <w:r w:rsidRPr="00DB5F87">
        <w:rPr>
          <w:rFonts w:eastAsia="Calibri"/>
        </w:rPr>
        <w:t xml:space="preserve"> Given no new evidence was presented</w:t>
      </w:r>
      <w:r w:rsidR="00414D82" w:rsidRPr="00DB5F87">
        <w:rPr>
          <w:rFonts w:eastAsia="Calibri"/>
        </w:rPr>
        <w:t>,</w:t>
      </w:r>
      <w:r w:rsidRPr="00DB5F87">
        <w:rPr>
          <w:rFonts w:eastAsia="Calibri"/>
        </w:rPr>
        <w:t xml:space="preserve"> </w:t>
      </w:r>
      <w:r w:rsidR="00357DAD" w:rsidRPr="00DB5F87">
        <w:rPr>
          <w:rFonts w:eastAsia="Calibri"/>
        </w:rPr>
        <w:t>the ESC considered that</w:t>
      </w:r>
      <w:r w:rsidRPr="00DB5F87">
        <w:rPr>
          <w:rFonts w:eastAsia="Calibri"/>
        </w:rPr>
        <w:t xml:space="preserve"> the same conclusion regarding comparative efficacy between odevixibat and placebo </w:t>
      </w:r>
      <w:r w:rsidR="00C52A5D" w:rsidRPr="00DB5F87">
        <w:rPr>
          <w:rFonts w:eastAsia="Calibri"/>
        </w:rPr>
        <w:t>was reasonable</w:t>
      </w:r>
      <w:r w:rsidRPr="00DB5F87">
        <w:rPr>
          <w:rFonts w:eastAsia="Calibri"/>
        </w:rPr>
        <w:t>.</w:t>
      </w:r>
    </w:p>
    <w:p w14:paraId="0BEDAD5E" w14:textId="45EE0AB3" w:rsidR="00404D38" w:rsidRPr="00DB5F87" w:rsidRDefault="00404D38" w:rsidP="0041247B">
      <w:pPr>
        <w:pStyle w:val="3-BodyText"/>
        <w:numPr>
          <w:ilvl w:val="1"/>
          <w:numId w:val="1"/>
        </w:numPr>
        <w:spacing w:before="0"/>
        <w:rPr>
          <w:rFonts w:eastAsia="Calibri"/>
        </w:rPr>
      </w:pPr>
      <w:r w:rsidRPr="00DB5F87">
        <w:rPr>
          <w:rFonts w:eastAsia="Calibri"/>
        </w:rPr>
        <w:t xml:space="preserve">The </w:t>
      </w:r>
      <w:r w:rsidR="00F36602" w:rsidRPr="00DB5F87">
        <w:rPr>
          <w:rFonts w:eastAsia="Calibri"/>
        </w:rPr>
        <w:t>re</w:t>
      </w:r>
      <w:r w:rsidRPr="00DB5F87">
        <w:rPr>
          <w:rFonts w:eastAsia="Calibri"/>
        </w:rPr>
        <w:t xml:space="preserve">submission described odevixibat as superior in terms of </w:t>
      </w:r>
      <w:r w:rsidR="00E15FAA" w:rsidRPr="00DB5F87">
        <w:rPr>
          <w:rFonts w:eastAsia="Calibri"/>
        </w:rPr>
        <w:t>eff</w:t>
      </w:r>
      <w:r w:rsidR="00F02505" w:rsidRPr="00DB5F87">
        <w:rPr>
          <w:rFonts w:eastAsia="Calibri"/>
        </w:rPr>
        <w:t xml:space="preserve">ectiveness </w:t>
      </w:r>
      <w:r w:rsidRPr="00DB5F87">
        <w:rPr>
          <w:rFonts w:eastAsia="Calibri"/>
        </w:rPr>
        <w:t xml:space="preserve">compared to </w:t>
      </w:r>
      <w:proofErr w:type="spellStart"/>
      <w:r w:rsidRPr="00DB5F87">
        <w:rPr>
          <w:rFonts w:eastAsia="Calibri"/>
        </w:rPr>
        <w:t>SoC.</w:t>
      </w:r>
      <w:proofErr w:type="spellEnd"/>
    </w:p>
    <w:p w14:paraId="3820A7DF" w14:textId="0B53B39B" w:rsidR="00404D38" w:rsidRPr="00DB5F87" w:rsidRDefault="00404D38" w:rsidP="0041247B">
      <w:pPr>
        <w:pStyle w:val="3-BodyText"/>
        <w:numPr>
          <w:ilvl w:val="1"/>
          <w:numId w:val="1"/>
        </w:numPr>
        <w:spacing w:before="0"/>
        <w:rPr>
          <w:rFonts w:eastAsia="Calibri"/>
        </w:rPr>
      </w:pPr>
      <w:r w:rsidRPr="00DB5F87">
        <w:rPr>
          <w:rFonts w:eastAsia="Calibri"/>
        </w:rPr>
        <w:t>The PBAC has previously considered that the claim of superior effectiveness against SOC was uncertain, but possibly supported based on the results from OvEC Part B. The magnitude of benefit versus SOC was highly uncertain given the small patient numbers, limited comparative data, and likely transitivity issues (</w:t>
      </w:r>
      <w:r w:rsidR="00F36602" w:rsidRPr="00DB5F87">
        <w:rPr>
          <w:rFonts w:eastAsia="Calibri"/>
        </w:rPr>
        <w:t>p</w:t>
      </w:r>
      <w:r w:rsidRPr="00DB5F87">
        <w:rPr>
          <w:rFonts w:eastAsia="Calibri"/>
        </w:rPr>
        <w:t>aragraph 7.13, odevixibat PSD, July 2024 PBAC meeting). Given no new evidence was presented</w:t>
      </w:r>
      <w:r w:rsidR="00414D82" w:rsidRPr="00DB5F87">
        <w:rPr>
          <w:rFonts w:eastAsia="Calibri"/>
        </w:rPr>
        <w:t>,</w:t>
      </w:r>
      <w:r w:rsidRPr="00DB5F87">
        <w:rPr>
          <w:rFonts w:eastAsia="Calibri"/>
        </w:rPr>
        <w:t xml:space="preserve"> </w:t>
      </w:r>
      <w:r w:rsidR="00C52A5D" w:rsidRPr="00DB5F87">
        <w:rPr>
          <w:rFonts w:eastAsia="Calibri"/>
        </w:rPr>
        <w:t>the ESC considered</w:t>
      </w:r>
      <w:r w:rsidRPr="00DB5F87">
        <w:rPr>
          <w:rFonts w:eastAsia="Calibri"/>
        </w:rPr>
        <w:t xml:space="preserve"> that the same conclusion regarding comparative efficacy between odevixibat and SoC </w:t>
      </w:r>
      <w:r w:rsidR="00C52A5D" w:rsidRPr="00DB5F87">
        <w:rPr>
          <w:rFonts w:eastAsia="Calibri"/>
        </w:rPr>
        <w:t>was reasonable</w:t>
      </w:r>
      <w:r w:rsidRPr="00DB5F87">
        <w:rPr>
          <w:rFonts w:eastAsia="Calibri"/>
        </w:rPr>
        <w:t>.</w:t>
      </w:r>
    </w:p>
    <w:p w14:paraId="57D4DCBE" w14:textId="3B25F904" w:rsidR="00404D38" w:rsidRPr="00DB5F87" w:rsidRDefault="00404D38" w:rsidP="0041247B">
      <w:pPr>
        <w:pStyle w:val="3-BodyText"/>
        <w:numPr>
          <w:ilvl w:val="1"/>
          <w:numId w:val="1"/>
        </w:numPr>
        <w:spacing w:before="0"/>
        <w:rPr>
          <w:rFonts w:eastAsia="Calibri"/>
        </w:rPr>
      </w:pPr>
      <w:r w:rsidRPr="00DB5F87">
        <w:rPr>
          <w:rFonts w:eastAsia="Calibri"/>
        </w:rPr>
        <w:t xml:space="preserve">The </w:t>
      </w:r>
      <w:r w:rsidR="00F36602" w:rsidRPr="00DB5F87">
        <w:rPr>
          <w:rFonts w:eastAsia="Calibri"/>
        </w:rPr>
        <w:t>re</w:t>
      </w:r>
      <w:r w:rsidRPr="00DB5F87">
        <w:rPr>
          <w:rFonts w:eastAsia="Calibri"/>
        </w:rPr>
        <w:t xml:space="preserve">submission described odevixibat as </w:t>
      </w:r>
      <w:bookmarkStart w:id="68" w:name="_Toc22897645"/>
      <w:bookmarkStart w:id="69" w:name="_Toc184822917"/>
      <w:r w:rsidRPr="00DB5F87">
        <w:rPr>
          <w:rFonts w:eastAsia="Calibri"/>
        </w:rPr>
        <w:t>“having uncertain comparative safety compared with best supportive care given the lack of comparative data. However, the significance of surgical interventions including stoma are noted for the comparator”.</w:t>
      </w:r>
    </w:p>
    <w:p w14:paraId="1C2550D9" w14:textId="076A4A09" w:rsidR="00404D38" w:rsidRPr="00F70EF3" w:rsidRDefault="00404D38" w:rsidP="0041247B">
      <w:pPr>
        <w:pStyle w:val="3-BodyText"/>
        <w:numPr>
          <w:ilvl w:val="1"/>
          <w:numId w:val="1"/>
        </w:numPr>
        <w:spacing w:before="0"/>
        <w:rPr>
          <w:rFonts w:eastAsia="Calibri"/>
        </w:rPr>
      </w:pPr>
      <w:r w:rsidRPr="00DB5F87">
        <w:rPr>
          <w:rFonts w:eastAsia="Calibri"/>
        </w:rPr>
        <w:t xml:space="preserve">The PBAC has previously considered the clinical claim that odevixibat is non-inferior in terms of safety to SoC to be inadequately supported, given the lack of comparative data (paragraph 7.14, odevixibat PSD, July 2024 PBAC meeting). Given no new evidence </w:t>
      </w:r>
      <w:r w:rsidRPr="00F70EF3">
        <w:rPr>
          <w:rFonts w:eastAsia="Calibri"/>
        </w:rPr>
        <w:t>was presented</w:t>
      </w:r>
      <w:r w:rsidR="00414D82" w:rsidRPr="00F70EF3">
        <w:rPr>
          <w:rFonts w:eastAsia="Calibri"/>
        </w:rPr>
        <w:t>, the ESC considered</w:t>
      </w:r>
      <w:r w:rsidRPr="00F70EF3">
        <w:rPr>
          <w:rFonts w:eastAsia="Calibri"/>
        </w:rPr>
        <w:t xml:space="preserve"> the same conclusion regarding comparative safety between odevixibat and SoC </w:t>
      </w:r>
      <w:r w:rsidR="00414D82" w:rsidRPr="00F70EF3">
        <w:rPr>
          <w:rFonts w:eastAsia="Calibri"/>
        </w:rPr>
        <w:t>was reasonable</w:t>
      </w:r>
      <w:r w:rsidRPr="00F70EF3">
        <w:rPr>
          <w:rFonts w:eastAsia="Calibri"/>
        </w:rPr>
        <w:t xml:space="preserve">. </w:t>
      </w:r>
    </w:p>
    <w:p w14:paraId="37DCCCC4" w14:textId="3F1F9FCD" w:rsidR="0030476B" w:rsidRPr="00F70EF3" w:rsidRDefault="00FA6E8B" w:rsidP="0030476B">
      <w:pPr>
        <w:widowControl w:val="0"/>
        <w:numPr>
          <w:ilvl w:val="1"/>
          <w:numId w:val="1"/>
        </w:numPr>
        <w:spacing w:after="120"/>
        <w:rPr>
          <w:rFonts w:asciiTheme="minorHAnsi" w:hAnsiTheme="minorHAnsi"/>
          <w:snapToGrid w:val="0"/>
          <w:szCs w:val="20"/>
        </w:rPr>
      </w:pPr>
      <w:bookmarkStart w:id="70" w:name="_Hlk76376200"/>
      <w:r w:rsidRPr="00F70EF3">
        <w:rPr>
          <w:rFonts w:asciiTheme="minorHAnsi" w:hAnsiTheme="minorHAnsi"/>
          <w:iCs/>
          <w:snapToGrid w:val="0"/>
        </w:rPr>
        <w:lastRenderedPageBreak/>
        <w:t xml:space="preserve">Given that no new comparative </w:t>
      </w:r>
      <w:r w:rsidR="00E833E5" w:rsidRPr="00F70EF3">
        <w:rPr>
          <w:rFonts w:asciiTheme="minorHAnsi" w:hAnsiTheme="minorHAnsi"/>
          <w:iCs/>
          <w:snapToGrid w:val="0"/>
        </w:rPr>
        <w:t>data were presented, t</w:t>
      </w:r>
      <w:r w:rsidR="0030476B" w:rsidRPr="00F70EF3">
        <w:rPr>
          <w:rFonts w:asciiTheme="minorHAnsi" w:hAnsiTheme="minorHAnsi"/>
          <w:iCs/>
          <w:snapToGrid w:val="0"/>
        </w:rPr>
        <w:t>he</w:t>
      </w:r>
      <w:r w:rsidR="0030476B" w:rsidRPr="00F70EF3">
        <w:rPr>
          <w:rFonts w:asciiTheme="minorHAnsi" w:hAnsiTheme="minorHAnsi"/>
          <w:snapToGrid w:val="0"/>
          <w:szCs w:val="20"/>
        </w:rPr>
        <w:t xml:space="preserve"> PBAC </w:t>
      </w:r>
      <w:r w:rsidR="00E833E5" w:rsidRPr="00F70EF3">
        <w:rPr>
          <w:rFonts w:asciiTheme="minorHAnsi" w:hAnsiTheme="minorHAnsi"/>
          <w:snapToGrid w:val="0"/>
          <w:szCs w:val="20"/>
        </w:rPr>
        <w:t xml:space="preserve">again </w:t>
      </w:r>
      <w:r w:rsidR="0030476B" w:rsidRPr="00F70EF3">
        <w:rPr>
          <w:rFonts w:asciiTheme="minorHAnsi" w:hAnsiTheme="minorHAnsi"/>
          <w:snapToGrid w:val="0"/>
          <w:szCs w:val="20"/>
        </w:rPr>
        <w:t>considered that the claim of superior comparative effectiveness</w:t>
      </w:r>
      <w:r w:rsidR="00E833E5" w:rsidRPr="00F70EF3">
        <w:rPr>
          <w:rFonts w:asciiTheme="minorHAnsi" w:hAnsiTheme="minorHAnsi"/>
          <w:snapToGrid w:val="0"/>
          <w:szCs w:val="20"/>
        </w:rPr>
        <w:t xml:space="preserve"> compared to </w:t>
      </w:r>
      <w:r w:rsidR="00642AB2" w:rsidRPr="00F70EF3">
        <w:rPr>
          <w:rFonts w:asciiTheme="minorHAnsi" w:hAnsiTheme="minorHAnsi"/>
          <w:snapToGrid w:val="0"/>
          <w:szCs w:val="20"/>
        </w:rPr>
        <w:t>placebo was su</w:t>
      </w:r>
      <w:r w:rsidR="008E69C1" w:rsidRPr="00F70EF3">
        <w:rPr>
          <w:rFonts w:asciiTheme="minorHAnsi" w:hAnsiTheme="minorHAnsi"/>
          <w:snapToGrid w:val="0"/>
          <w:szCs w:val="20"/>
        </w:rPr>
        <w:t>pported</w:t>
      </w:r>
      <w:r w:rsidR="0015312B" w:rsidRPr="00F70EF3">
        <w:rPr>
          <w:rFonts w:asciiTheme="minorHAnsi" w:hAnsiTheme="minorHAnsi"/>
          <w:snapToGrid w:val="0"/>
          <w:szCs w:val="20"/>
        </w:rPr>
        <w:t xml:space="preserve">, but the </w:t>
      </w:r>
      <w:r w:rsidR="001F2FC2" w:rsidRPr="00F70EF3">
        <w:rPr>
          <w:rFonts w:asciiTheme="minorHAnsi" w:hAnsiTheme="minorHAnsi"/>
          <w:snapToGrid w:val="0"/>
          <w:szCs w:val="20"/>
        </w:rPr>
        <w:t xml:space="preserve">claim of </w:t>
      </w:r>
      <w:r w:rsidR="00F06F19" w:rsidRPr="00F70EF3">
        <w:rPr>
          <w:rFonts w:asciiTheme="minorHAnsi" w:hAnsiTheme="minorHAnsi"/>
          <w:snapToGrid w:val="0"/>
          <w:szCs w:val="20"/>
        </w:rPr>
        <w:t xml:space="preserve">superior comparative effectiveness compared to </w:t>
      </w:r>
      <w:r w:rsidR="00AF65AF" w:rsidRPr="00F70EF3">
        <w:rPr>
          <w:rFonts w:asciiTheme="minorHAnsi" w:hAnsiTheme="minorHAnsi"/>
          <w:snapToGrid w:val="0"/>
          <w:szCs w:val="20"/>
        </w:rPr>
        <w:t>S</w:t>
      </w:r>
      <w:r w:rsidR="004A5F38" w:rsidRPr="00F70EF3">
        <w:rPr>
          <w:rFonts w:asciiTheme="minorHAnsi" w:hAnsiTheme="minorHAnsi"/>
          <w:snapToGrid w:val="0"/>
          <w:szCs w:val="20"/>
        </w:rPr>
        <w:t>o</w:t>
      </w:r>
      <w:r w:rsidR="00AF65AF" w:rsidRPr="00F70EF3">
        <w:rPr>
          <w:rFonts w:asciiTheme="minorHAnsi" w:hAnsiTheme="minorHAnsi"/>
          <w:snapToGrid w:val="0"/>
          <w:szCs w:val="20"/>
        </w:rPr>
        <w:t xml:space="preserve">C was </w:t>
      </w:r>
      <w:r w:rsidR="00207FAE" w:rsidRPr="00F70EF3">
        <w:rPr>
          <w:rFonts w:asciiTheme="minorHAnsi" w:hAnsiTheme="minorHAnsi"/>
          <w:snapToGrid w:val="0"/>
          <w:szCs w:val="20"/>
        </w:rPr>
        <w:t>uncertain.</w:t>
      </w:r>
    </w:p>
    <w:p w14:paraId="3C368241" w14:textId="4FED0708" w:rsidR="0030476B" w:rsidRPr="00F70EF3" w:rsidRDefault="0030476B" w:rsidP="0030476B">
      <w:pPr>
        <w:widowControl w:val="0"/>
        <w:numPr>
          <w:ilvl w:val="1"/>
          <w:numId w:val="1"/>
        </w:numPr>
        <w:spacing w:after="120"/>
        <w:rPr>
          <w:rFonts w:asciiTheme="minorHAnsi" w:hAnsiTheme="minorHAnsi"/>
          <w:snapToGrid w:val="0"/>
          <w:szCs w:val="20"/>
        </w:rPr>
      </w:pPr>
      <w:r w:rsidRPr="00F70EF3">
        <w:rPr>
          <w:rFonts w:asciiTheme="minorHAnsi" w:hAnsiTheme="minorHAnsi"/>
          <w:snapToGrid w:val="0"/>
          <w:szCs w:val="20"/>
        </w:rPr>
        <w:t xml:space="preserve">The PBAC </w:t>
      </w:r>
      <w:r w:rsidR="001A04A6" w:rsidRPr="00F70EF3">
        <w:rPr>
          <w:rFonts w:asciiTheme="minorHAnsi" w:hAnsiTheme="minorHAnsi"/>
          <w:snapToGrid w:val="0"/>
          <w:szCs w:val="20"/>
        </w:rPr>
        <w:t xml:space="preserve">again </w:t>
      </w:r>
      <w:r w:rsidRPr="00F70EF3">
        <w:rPr>
          <w:rFonts w:asciiTheme="minorHAnsi" w:hAnsiTheme="minorHAnsi"/>
          <w:snapToGrid w:val="0"/>
          <w:szCs w:val="20"/>
        </w:rPr>
        <w:t xml:space="preserve">considered that the claim non-inferior comparative safety </w:t>
      </w:r>
      <w:r w:rsidR="001A04A6" w:rsidRPr="00F70EF3">
        <w:rPr>
          <w:rFonts w:asciiTheme="minorHAnsi" w:hAnsiTheme="minorHAnsi"/>
          <w:snapToGrid w:val="0"/>
          <w:szCs w:val="20"/>
        </w:rPr>
        <w:t>compared to S</w:t>
      </w:r>
      <w:r w:rsidR="004A5F38" w:rsidRPr="00F70EF3">
        <w:rPr>
          <w:rFonts w:asciiTheme="minorHAnsi" w:hAnsiTheme="minorHAnsi"/>
          <w:snapToGrid w:val="0"/>
          <w:szCs w:val="20"/>
        </w:rPr>
        <w:t>o</w:t>
      </w:r>
      <w:r w:rsidR="001A04A6" w:rsidRPr="00F70EF3">
        <w:rPr>
          <w:rFonts w:asciiTheme="minorHAnsi" w:hAnsiTheme="minorHAnsi"/>
          <w:snapToGrid w:val="0"/>
          <w:szCs w:val="20"/>
        </w:rPr>
        <w:t xml:space="preserve">C </w:t>
      </w:r>
      <w:r w:rsidRPr="00F70EF3">
        <w:rPr>
          <w:rFonts w:asciiTheme="minorHAnsi" w:hAnsiTheme="minorHAnsi"/>
          <w:snapToGrid w:val="0"/>
          <w:szCs w:val="20"/>
        </w:rPr>
        <w:t>was not adequately supported by the data.</w:t>
      </w:r>
      <w:bookmarkEnd w:id="70"/>
    </w:p>
    <w:p w14:paraId="5E9B56EB" w14:textId="77777777" w:rsidR="00404D38" w:rsidRPr="0098262F" w:rsidRDefault="00404D38" w:rsidP="00404D38">
      <w:pPr>
        <w:pStyle w:val="4-SubsectionHeading"/>
      </w:pPr>
      <w:bookmarkStart w:id="71" w:name="_Toc188451880"/>
      <w:r w:rsidRPr="00F70EF3">
        <w:t>Economic analysis</w:t>
      </w:r>
      <w:bookmarkEnd w:id="68"/>
      <w:bookmarkEnd w:id="71"/>
      <w:r w:rsidRPr="0098262F">
        <w:t xml:space="preserve"> </w:t>
      </w:r>
      <w:bookmarkEnd w:id="69"/>
    </w:p>
    <w:p w14:paraId="246D4018" w14:textId="78182AEA" w:rsidR="00F705C6" w:rsidRPr="00DB5F87" w:rsidRDefault="00404D38" w:rsidP="00F705C6">
      <w:pPr>
        <w:pStyle w:val="3-BodyText"/>
        <w:numPr>
          <w:ilvl w:val="1"/>
          <w:numId w:val="1"/>
        </w:numPr>
        <w:spacing w:before="0"/>
      </w:pPr>
      <w:r w:rsidRPr="00DB5F87">
        <w:rPr>
          <w:color w:val="000000" w:themeColor="text1"/>
        </w:rPr>
        <w:t xml:space="preserve">The resubmission presented a cost-utility analysis (CUA) of </w:t>
      </w:r>
      <w:proofErr w:type="spellStart"/>
      <w:r w:rsidRPr="00DB5F87">
        <w:rPr>
          <w:color w:val="000000" w:themeColor="text1"/>
        </w:rPr>
        <w:t>odevixibat</w:t>
      </w:r>
      <w:proofErr w:type="spellEnd"/>
      <w:r w:rsidRPr="00DB5F87">
        <w:rPr>
          <w:color w:val="000000" w:themeColor="text1"/>
        </w:rPr>
        <w:t xml:space="preserve"> compared to </w:t>
      </w:r>
      <w:proofErr w:type="spellStart"/>
      <w:r w:rsidRPr="00DB5F87">
        <w:rPr>
          <w:color w:val="000000" w:themeColor="text1"/>
        </w:rPr>
        <w:t>SoC.</w:t>
      </w:r>
      <w:proofErr w:type="spellEnd"/>
      <w:r w:rsidRPr="00DB5F87">
        <w:rPr>
          <w:color w:val="000000" w:themeColor="text1"/>
        </w:rPr>
        <w:t xml:space="preserve"> </w:t>
      </w:r>
      <w:r w:rsidR="00F705C6" w:rsidRPr="00DB5F87">
        <w:rPr>
          <w:color w:val="000000" w:themeColor="text1"/>
        </w:rPr>
        <w:t xml:space="preserve">The overall structure of the CUA model considered by the PBAC at its July 2024 meeting was unchanged, though the resubmission used different inputs and assumptions to address several issues raised by the PBAC. </w:t>
      </w:r>
      <w:r w:rsidR="00B21BFD" w:rsidRPr="00DB5F87">
        <w:rPr>
          <w:color w:val="000000" w:themeColor="text1"/>
        </w:rPr>
        <w:t xml:space="preserve">The ESC considered that the economic model presented in the resubmission was not </w:t>
      </w:r>
      <w:r w:rsidR="00A53594" w:rsidRPr="00DB5F87">
        <w:rPr>
          <w:color w:val="000000" w:themeColor="text1"/>
        </w:rPr>
        <w:t xml:space="preserve">reliable </w:t>
      </w:r>
      <w:r w:rsidR="00B21BFD" w:rsidRPr="00DB5F87">
        <w:rPr>
          <w:color w:val="000000" w:themeColor="text1"/>
        </w:rPr>
        <w:t>for decision making</w:t>
      </w:r>
      <w:r w:rsidR="00A53594" w:rsidRPr="00DB5F87">
        <w:rPr>
          <w:color w:val="000000" w:themeColor="text1"/>
        </w:rPr>
        <w:t xml:space="preserve"> because of </w:t>
      </w:r>
      <w:r w:rsidR="001149AD" w:rsidRPr="00DB5F87">
        <w:rPr>
          <w:color w:val="000000" w:themeColor="text1"/>
        </w:rPr>
        <w:t>both implausible</w:t>
      </w:r>
      <w:r w:rsidR="00A53594" w:rsidRPr="00DB5F87">
        <w:rPr>
          <w:color w:val="000000" w:themeColor="text1"/>
        </w:rPr>
        <w:t xml:space="preserve"> structural assumptions and</w:t>
      </w:r>
      <w:r w:rsidR="00B21BFD" w:rsidRPr="00DB5F87">
        <w:rPr>
          <w:color w:val="000000" w:themeColor="text1"/>
        </w:rPr>
        <w:t xml:space="preserve"> </w:t>
      </w:r>
      <w:r w:rsidR="00E440C8">
        <w:rPr>
          <w:color w:val="000000" w:themeColor="text1"/>
        </w:rPr>
        <w:t xml:space="preserve">continuing </w:t>
      </w:r>
      <w:r w:rsidR="001149AD" w:rsidRPr="00DB5F87">
        <w:rPr>
          <w:color w:val="000000" w:themeColor="text1"/>
        </w:rPr>
        <w:t xml:space="preserve">uncertainty in </w:t>
      </w:r>
      <w:r w:rsidR="00A53594" w:rsidRPr="00DB5F87">
        <w:rPr>
          <w:color w:val="000000" w:themeColor="text1"/>
        </w:rPr>
        <w:t>data inputs</w:t>
      </w:r>
      <w:r w:rsidR="007A42A7" w:rsidRPr="00DB5F87">
        <w:rPr>
          <w:color w:val="000000" w:themeColor="text1"/>
        </w:rPr>
        <w:t xml:space="preserve"> </w:t>
      </w:r>
      <w:r w:rsidR="00B21BFD" w:rsidRPr="00DB5F87">
        <w:rPr>
          <w:color w:val="000000" w:themeColor="text1"/>
        </w:rPr>
        <w:t xml:space="preserve">(see paragraph </w:t>
      </w:r>
      <w:r w:rsidR="00B21BFD" w:rsidRPr="00DB5F87">
        <w:rPr>
          <w:color w:val="000000" w:themeColor="text1"/>
        </w:rPr>
        <w:fldChar w:fldCharType="begin" w:fldLock="1"/>
      </w:r>
      <w:r w:rsidR="00B21BFD" w:rsidRPr="00DB5F87">
        <w:rPr>
          <w:color w:val="000000" w:themeColor="text1"/>
        </w:rPr>
        <w:instrText xml:space="preserve"> REF _Ref190604021 \r \h  \* MERGEFORMAT </w:instrText>
      </w:r>
      <w:r w:rsidR="00B21BFD" w:rsidRPr="00DB5F87">
        <w:rPr>
          <w:color w:val="000000" w:themeColor="text1"/>
        </w:rPr>
      </w:r>
      <w:r w:rsidR="00B21BFD" w:rsidRPr="00DB5F87">
        <w:rPr>
          <w:color w:val="000000" w:themeColor="text1"/>
        </w:rPr>
        <w:fldChar w:fldCharType="separate"/>
      </w:r>
      <w:r w:rsidR="002F3877">
        <w:rPr>
          <w:color w:val="000000" w:themeColor="text1"/>
        </w:rPr>
        <w:t>6.49</w:t>
      </w:r>
      <w:r w:rsidR="00B21BFD" w:rsidRPr="00DB5F87">
        <w:rPr>
          <w:color w:val="000000" w:themeColor="text1"/>
        </w:rPr>
        <w:fldChar w:fldCharType="end"/>
      </w:r>
      <w:r w:rsidR="00B21BFD" w:rsidRPr="00DB5F87">
        <w:rPr>
          <w:color w:val="000000" w:themeColor="text1"/>
        </w:rPr>
        <w:t xml:space="preserve">). </w:t>
      </w:r>
    </w:p>
    <w:p w14:paraId="08625728" w14:textId="44A90DC2" w:rsidR="00404D38" w:rsidRPr="00FA615E" w:rsidRDefault="00404D38" w:rsidP="00F27FFE">
      <w:pPr>
        <w:pStyle w:val="3-BodyText"/>
        <w:numPr>
          <w:ilvl w:val="1"/>
          <w:numId w:val="1"/>
        </w:numPr>
        <w:spacing w:before="0"/>
        <w:rPr>
          <w:b/>
          <w:bCs/>
          <w:color w:val="000000" w:themeColor="text1"/>
        </w:rPr>
      </w:pPr>
      <w:r w:rsidRPr="00D33C2C">
        <w:t>The key components of the economic evaluation are presented in</w:t>
      </w:r>
      <w:r>
        <w:t xml:space="preserve"> </w:t>
      </w:r>
      <w:r>
        <w:fldChar w:fldCharType="begin" w:fldLock="1"/>
      </w:r>
      <w:r>
        <w:instrText xml:space="preserve"> REF _Ref184937478 \h </w:instrText>
      </w:r>
      <w:r>
        <w:fldChar w:fldCharType="separate"/>
      </w:r>
      <w:r w:rsidR="00382EF0" w:rsidRPr="0098262F">
        <w:t xml:space="preserve">Table </w:t>
      </w:r>
      <w:r w:rsidR="00382EF0">
        <w:rPr>
          <w:noProof/>
        </w:rPr>
        <w:t>12</w:t>
      </w:r>
      <w:r>
        <w:fldChar w:fldCharType="end"/>
      </w:r>
      <w:r>
        <w:t>.</w:t>
      </w:r>
    </w:p>
    <w:p w14:paraId="3FB64E95" w14:textId="555A1854" w:rsidR="00404D38" w:rsidRPr="0098262F" w:rsidRDefault="00404D38" w:rsidP="003D5175">
      <w:pPr>
        <w:pStyle w:val="Caption"/>
        <w:jc w:val="left"/>
        <w:rPr>
          <w:rStyle w:val="CommentReference"/>
          <w:b/>
          <w:szCs w:val="24"/>
        </w:rPr>
      </w:pPr>
      <w:bookmarkStart w:id="72" w:name="_Ref184937478"/>
      <w:r w:rsidRPr="0098262F">
        <w:t xml:space="preserve">Table </w:t>
      </w:r>
      <w:r w:rsidR="00382EF0">
        <w:fldChar w:fldCharType="begin" w:fldLock="1"/>
      </w:r>
      <w:r w:rsidR="00382EF0">
        <w:instrText xml:space="preserve"> SEQ Table \* ARABIC </w:instrText>
      </w:r>
      <w:r w:rsidR="00382EF0">
        <w:fldChar w:fldCharType="separate"/>
      </w:r>
      <w:r w:rsidR="00382EF0">
        <w:rPr>
          <w:noProof/>
        </w:rPr>
        <w:t>12</w:t>
      </w:r>
      <w:r w:rsidR="00382EF0">
        <w:rPr>
          <w:noProof/>
        </w:rPr>
        <w:fldChar w:fldCharType="end"/>
      </w:r>
      <w:bookmarkEnd w:id="72"/>
      <w:r w:rsidRPr="0098262F">
        <w:t>:</w:t>
      </w:r>
      <w:r w:rsidRPr="0098262F">
        <w:rPr>
          <w:rStyle w:val="CommentReference"/>
          <w:b/>
          <w:szCs w:val="24"/>
        </w:rPr>
        <w:t xml:space="preserve"> 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Table 12: Summary of model structure, key inputs and rationale"/>
      </w:tblPr>
      <w:tblGrid>
        <w:gridCol w:w="1414"/>
        <w:gridCol w:w="7603"/>
      </w:tblGrid>
      <w:tr w:rsidR="00404D38" w:rsidRPr="00D33C2C" w14:paraId="56CEE0E5" w14:textId="77777777" w:rsidTr="007D00DA">
        <w:trPr>
          <w:cantSplit/>
          <w:tblHeader/>
        </w:trPr>
        <w:tc>
          <w:tcPr>
            <w:tcW w:w="784" w:type="pct"/>
            <w:shd w:val="clear" w:color="auto" w:fill="auto"/>
            <w:vAlign w:val="center"/>
          </w:tcPr>
          <w:p w14:paraId="4FF174AF" w14:textId="77777777" w:rsidR="00404D38" w:rsidRPr="00D33C2C" w:rsidRDefault="00404D38" w:rsidP="003D5175">
            <w:pPr>
              <w:pStyle w:val="In-tableHeading"/>
              <w:keepNext/>
              <w:keepLines/>
              <w:framePr w:hSpace="0" w:wrap="auto" w:vAnchor="margin" w:yAlign="inline"/>
              <w:suppressOverlap w:val="0"/>
              <w:rPr>
                <w:lang w:val="en-AU"/>
              </w:rPr>
            </w:pPr>
            <w:r w:rsidRPr="00D33C2C">
              <w:rPr>
                <w:lang w:val="en-AU"/>
              </w:rPr>
              <w:t>Component</w:t>
            </w:r>
          </w:p>
        </w:tc>
        <w:tc>
          <w:tcPr>
            <w:tcW w:w="4216" w:type="pct"/>
            <w:shd w:val="clear" w:color="auto" w:fill="auto"/>
            <w:vAlign w:val="center"/>
          </w:tcPr>
          <w:p w14:paraId="7D162D25" w14:textId="77777777" w:rsidR="00404D38" w:rsidRPr="00D33C2C" w:rsidRDefault="00404D38" w:rsidP="003D5175">
            <w:pPr>
              <w:pStyle w:val="In-tableHeading"/>
              <w:keepNext/>
              <w:keepLines/>
              <w:framePr w:hSpace="0" w:wrap="auto" w:vAnchor="margin" w:yAlign="inline"/>
              <w:suppressOverlap w:val="0"/>
              <w:rPr>
                <w:lang w:val="en-AU"/>
              </w:rPr>
            </w:pPr>
            <w:r>
              <w:rPr>
                <w:lang w:val="en-AU"/>
              </w:rPr>
              <w:t>Resubmissions approach and comments</w:t>
            </w:r>
          </w:p>
        </w:tc>
      </w:tr>
      <w:tr w:rsidR="00404D38" w:rsidRPr="00D33C2C" w14:paraId="24365A94" w14:textId="77777777" w:rsidTr="007D00DA">
        <w:trPr>
          <w:cantSplit/>
        </w:trPr>
        <w:tc>
          <w:tcPr>
            <w:tcW w:w="784" w:type="pct"/>
            <w:shd w:val="clear" w:color="auto" w:fill="DBE5F1" w:themeFill="accent1" w:themeFillTint="33"/>
            <w:vAlign w:val="center"/>
          </w:tcPr>
          <w:p w14:paraId="5996A627" w14:textId="77777777" w:rsidR="00404D38" w:rsidRPr="00D33C2C" w:rsidRDefault="00404D38" w:rsidP="003D5175">
            <w:pPr>
              <w:pStyle w:val="TableText0"/>
            </w:pPr>
            <w:r w:rsidRPr="00D33C2C">
              <w:t>Treatments</w:t>
            </w:r>
          </w:p>
        </w:tc>
        <w:tc>
          <w:tcPr>
            <w:tcW w:w="4216" w:type="pct"/>
            <w:shd w:val="clear" w:color="auto" w:fill="DBE5F1" w:themeFill="accent1" w:themeFillTint="33"/>
            <w:vAlign w:val="center"/>
          </w:tcPr>
          <w:p w14:paraId="037114C4" w14:textId="77777777" w:rsidR="00404D38" w:rsidRPr="00D33C2C" w:rsidRDefault="00404D38" w:rsidP="003D5175">
            <w:pPr>
              <w:pStyle w:val="TableText0"/>
            </w:pPr>
            <w:r w:rsidRPr="00D33C2C">
              <w:t xml:space="preserve">Odevixibat vs SOC </w:t>
            </w:r>
          </w:p>
        </w:tc>
      </w:tr>
      <w:tr w:rsidR="00404D38" w:rsidRPr="00D33C2C" w14:paraId="43DF278B" w14:textId="77777777" w:rsidTr="007D00DA">
        <w:trPr>
          <w:cantSplit/>
        </w:trPr>
        <w:tc>
          <w:tcPr>
            <w:tcW w:w="784" w:type="pct"/>
            <w:shd w:val="clear" w:color="auto" w:fill="auto"/>
            <w:vAlign w:val="center"/>
          </w:tcPr>
          <w:p w14:paraId="543D9C28" w14:textId="77777777" w:rsidR="00404D38" w:rsidRPr="00D33C2C" w:rsidRDefault="00404D38" w:rsidP="003D5175">
            <w:pPr>
              <w:pStyle w:val="TableText0"/>
            </w:pPr>
            <w:r w:rsidRPr="00D33C2C">
              <w:t>Time horizon</w:t>
            </w:r>
          </w:p>
        </w:tc>
        <w:tc>
          <w:tcPr>
            <w:tcW w:w="4216" w:type="pct"/>
            <w:shd w:val="clear" w:color="auto" w:fill="auto"/>
            <w:vAlign w:val="center"/>
          </w:tcPr>
          <w:p w14:paraId="5A9C93CE" w14:textId="037A0562" w:rsidR="00404D38" w:rsidRPr="00D33C2C" w:rsidRDefault="00F27FFE" w:rsidP="003D5175">
            <w:pPr>
              <w:pStyle w:val="TableText0"/>
            </w:pPr>
            <w:r>
              <w:t>50 years (reduced from 100 years from July 2024)</w:t>
            </w:r>
          </w:p>
        </w:tc>
      </w:tr>
      <w:tr w:rsidR="00404D38" w:rsidRPr="00D33C2C" w14:paraId="0C2BE746" w14:textId="77777777" w:rsidTr="007D00DA">
        <w:trPr>
          <w:cantSplit/>
        </w:trPr>
        <w:tc>
          <w:tcPr>
            <w:tcW w:w="784" w:type="pct"/>
            <w:shd w:val="clear" w:color="auto" w:fill="DBE5F1" w:themeFill="accent1" w:themeFillTint="33"/>
            <w:vAlign w:val="center"/>
          </w:tcPr>
          <w:p w14:paraId="62FCD3F0" w14:textId="77777777" w:rsidR="00404D38" w:rsidRPr="00D33C2C" w:rsidRDefault="00404D38" w:rsidP="003D5175">
            <w:pPr>
              <w:pStyle w:val="TableText0"/>
            </w:pPr>
            <w:r w:rsidRPr="00D33C2C">
              <w:t>Outcomes</w:t>
            </w:r>
          </w:p>
        </w:tc>
        <w:tc>
          <w:tcPr>
            <w:tcW w:w="4216" w:type="pct"/>
            <w:shd w:val="clear" w:color="auto" w:fill="DBE5F1" w:themeFill="accent1" w:themeFillTint="33"/>
            <w:vAlign w:val="center"/>
          </w:tcPr>
          <w:p w14:paraId="185B933A" w14:textId="77777777" w:rsidR="00404D38" w:rsidRPr="00D33C2C" w:rsidRDefault="00404D38" w:rsidP="003D5175">
            <w:pPr>
              <w:pStyle w:val="TableText0"/>
            </w:pPr>
            <w:r w:rsidRPr="00D33C2C">
              <w:t xml:space="preserve">QALYs and LYG </w:t>
            </w:r>
          </w:p>
        </w:tc>
      </w:tr>
      <w:tr w:rsidR="00404D38" w:rsidRPr="00D33C2C" w14:paraId="62BD805B" w14:textId="77777777" w:rsidTr="007D00DA">
        <w:trPr>
          <w:cantSplit/>
        </w:trPr>
        <w:tc>
          <w:tcPr>
            <w:tcW w:w="784" w:type="pct"/>
            <w:shd w:val="clear" w:color="auto" w:fill="DBE5F1" w:themeFill="accent1" w:themeFillTint="33"/>
            <w:vAlign w:val="center"/>
          </w:tcPr>
          <w:p w14:paraId="0B541BAF" w14:textId="77777777" w:rsidR="00404D38" w:rsidRPr="00D33C2C" w:rsidRDefault="00404D38" w:rsidP="003D5175">
            <w:pPr>
              <w:pStyle w:val="TableText0"/>
            </w:pPr>
            <w:r w:rsidRPr="00D33C2C">
              <w:t>Methods used to generate results</w:t>
            </w:r>
          </w:p>
        </w:tc>
        <w:tc>
          <w:tcPr>
            <w:tcW w:w="4216" w:type="pct"/>
            <w:shd w:val="clear" w:color="auto" w:fill="DBE5F1" w:themeFill="accent1" w:themeFillTint="33"/>
            <w:vAlign w:val="center"/>
          </w:tcPr>
          <w:p w14:paraId="34B6C558" w14:textId="77777777" w:rsidR="00404D38" w:rsidRPr="00D33C2C" w:rsidRDefault="00404D38" w:rsidP="003D5175">
            <w:pPr>
              <w:pStyle w:val="TableText0"/>
            </w:pPr>
            <w:r w:rsidRPr="00D33C2C">
              <w:t>Markov state transition model</w:t>
            </w:r>
          </w:p>
        </w:tc>
      </w:tr>
      <w:tr w:rsidR="00404D38" w:rsidRPr="00D33C2C" w14:paraId="0E1B3F47" w14:textId="77777777" w:rsidTr="007D00DA">
        <w:trPr>
          <w:cantSplit/>
        </w:trPr>
        <w:tc>
          <w:tcPr>
            <w:tcW w:w="784" w:type="pct"/>
            <w:shd w:val="clear" w:color="auto" w:fill="DBE5F1" w:themeFill="accent1" w:themeFillTint="33"/>
            <w:vAlign w:val="center"/>
          </w:tcPr>
          <w:p w14:paraId="1AF21687" w14:textId="77777777" w:rsidR="00404D38" w:rsidRPr="00D33C2C" w:rsidRDefault="00404D38" w:rsidP="003D5175">
            <w:pPr>
              <w:pStyle w:val="TableText0"/>
            </w:pPr>
            <w:r w:rsidRPr="00D33C2C">
              <w:t>Health states</w:t>
            </w:r>
          </w:p>
        </w:tc>
        <w:tc>
          <w:tcPr>
            <w:tcW w:w="4216" w:type="pct"/>
            <w:shd w:val="clear" w:color="auto" w:fill="DBE5F1" w:themeFill="accent1" w:themeFillTint="33"/>
            <w:vAlign w:val="center"/>
          </w:tcPr>
          <w:p w14:paraId="5456E8FF" w14:textId="77777777" w:rsidR="00404D38" w:rsidRPr="00D33C2C" w:rsidRDefault="00404D38" w:rsidP="003D5175">
            <w:pPr>
              <w:pStyle w:val="TableText0"/>
            </w:pPr>
            <w:r w:rsidRPr="00D33C2C">
              <w:t xml:space="preserve">Response to treatment was defined as ‘pruritus response with or without sBA response’. </w:t>
            </w:r>
          </w:p>
          <w:p w14:paraId="25356212" w14:textId="77777777" w:rsidR="00404D38" w:rsidRPr="00D33C2C" w:rsidRDefault="00404D38" w:rsidP="003D5175">
            <w:pPr>
              <w:pStyle w:val="TableText0"/>
            </w:pPr>
            <w:r w:rsidRPr="00D33C2C">
              <w:t>7 heath states capture disease progression:</w:t>
            </w:r>
          </w:p>
          <w:p w14:paraId="0C000171" w14:textId="77777777" w:rsidR="00404D38" w:rsidRPr="00D33C2C" w:rsidRDefault="00404D38" w:rsidP="007C21AA">
            <w:pPr>
              <w:pStyle w:val="TableText0"/>
              <w:numPr>
                <w:ilvl w:val="0"/>
                <w:numId w:val="14"/>
              </w:numPr>
              <w:ind w:left="360"/>
            </w:pPr>
            <w:r w:rsidRPr="00D33C2C">
              <w:t>‘No PEBD, response’ – response to odevixibat or SOC</w:t>
            </w:r>
          </w:p>
          <w:p w14:paraId="774408AA" w14:textId="77777777" w:rsidR="00404D38" w:rsidRPr="00D33C2C" w:rsidRDefault="00404D38" w:rsidP="007C21AA">
            <w:pPr>
              <w:pStyle w:val="TableText0"/>
              <w:numPr>
                <w:ilvl w:val="0"/>
                <w:numId w:val="14"/>
              </w:numPr>
              <w:ind w:left="360"/>
            </w:pPr>
            <w:r w:rsidRPr="00D33C2C">
              <w:t xml:space="preserve">‘No PEBD, no response’ – loss of response or no response to odevixibat or SOC </w:t>
            </w:r>
          </w:p>
          <w:p w14:paraId="080D5FF1" w14:textId="77777777" w:rsidR="00404D38" w:rsidRPr="00D33C2C" w:rsidRDefault="00404D38" w:rsidP="007C21AA">
            <w:pPr>
              <w:pStyle w:val="TableText0"/>
              <w:numPr>
                <w:ilvl w:val="0"/>
                <w:numId w:val="14"/>
              </w:numPr>
              <w:ind w:left="360"/>
            </w:pPr>
            <w:r w:rsidRPr="00D33C2C">
              <w:t>‘PEBD, response’ – achieving response after PEBD</w:t>
            </w:r>
          </w:p>
          <w:p w14:paraId="04264F89" w14:textId="77777777" w:rsidR="00404D38" w:rsidRPr="00D33C2C" w:rsidRDefault="00404D38" w:rsidP="007C21AA">
            <w:pPr>
              <w:pStyle w:val="TableText0"/>
              <w:numPr>
                <w:ilvl w:val="0"/>
                <w:numId w:val="14"/>
              </w:numPr>
              <w:ind w:left="360"/>
            </w:pPr>
            <w:r w:rsidRPr="00D33C2C">
              <w:t xml:space="preserve">‘PEBD, no response' – loss of response or no response after PEBD </w:t>
            </w:r>
          </w:p>
          <w:p w14:paraId="4CC5E9F9" w14:textId="77777777" w:rsidR="00404D38" w:rsidRPr="00D33C2C" w:rsidRDefault="00404D38" w:rsidP="007C21AA">
            <w:pPr>
              <w:pStyle w:val="TableText0"/>
              <w:numPr>
                <w:ilvl w:val="0"/>
                <w:numId w:val="14"/>
              </w:numPr>
              <w:ind w:left="360"/>
            </w:pPr>
            <w:r w:rsidRPr="00D33C2C">
              <w:t>Liver Transplant (LT)</w:t>
            </w:r>
          </w:p>
          <w:p w14:paraId="5FADDFEE" w14:textId="77777777" w:rsidR="00404D38" w:rsidRPr="00D33C2C" w:rsidRDefault="00404D38" w:rsidP="007C21AA">
            <w:pPr>
              <w:pStyle w:val="TableText0"/>
              <w:numPr>
                <w:ilvl w:val="0"/>
                <w:numId w:val="14"/>
              </w:numPr>
              <w:ind w:left="360"/>
            </w:pPr>
            <w:r w:rsidRPr="00D33C2C">
              <w:t>Post-LT</w:t>
            </w:r>
          </w:p>
          <w:p w14:paraId="2C748B93" w14:textId="77777777" w:rsidR="00404D38" w:rsidRPr="00D33C2C" w:rsidRDefault="00404D38" w:rsidP="007C21AA">
            <w:pPr>
              <w:pStyle w:val="TableText0"/>
              <w:numPr>
                <w:ilvl w:val="0"/>
                <w:numId w:val="14"/>
              </w:numPr>
              <w:ind w:left="360"/>
            </w:pPr>
            <w:r w:rsidRPr="00D33C2C">
              <w:t>Death</w:t>
            </w:r>
          </w:p>
        </w:tc>
      </w:tr>
      <w:tr w:rsidR="00404D38" w:rsidRPr="00D33C2C" w14:paraId="0FD6B399" w14:textId="77777777" w:rsidTr="007D00DA">
        <w:trPr>
          <w:cantSplit/>
        </w:trPr>
        <w:tc>
          <w:tcPr>
            <w:tcW w:w="784" w:type="pct"/>
            <w:shd w:val="clear" w:color="auto" w:fill="DBE5F1" w:themeFill="accent1" w:themeFillTint="33"/>
            <w:vAlign w:val="center"/>
          </w:tcPr>
          <w:p w14:paraId="46573519" w14:textId="77777777" w:rsidR="00404D38" w:rsidRPr="00D33C2C" w:rsidRDefault="00404D38" w:rsidP="003D5175">
            <w:pPr>
              <w:pStyle w:val="TableText0"/>
            </w:pPr>
            <w:r w:rsidRPr="00D33C2C">
              <w:t>Cycle length</w:t>
            </w:r>
          </w:p>
        </w:tc>
        <w:tc>
          <w:tcPr>
            <w:tcW w:w="4216" w:type="pct"/>
            <w:shd w:val="clear" w:color="auto" w:fill="DBE5F1" w:themeFill="accent1" w:themeFillTint="33"/>
            <w:vAlign w:val="center"/>
          </w:tcPr>
          <w:p w14:paraId="1A9CE3AA" w14:textId="77777777" w:rsidR="00404D38" w:rsidRPr="00D33C2C" w:rsidRDefault="00404D38" w:rsidP="003D5175">
            <w:pPr>
              <w:pStyle w:val="TableText0"/>
            </w:pPr>
            <w:r w:rsidRPr="00D33C2C">
              <w:t>1 year</w:t>
            </w:r>
          </w:p>
        </w:tc>
      </w:tr>
      <w:tr w:rsidR="00404D38" w:rsidRPr="00D33C2C" w14:paraId="3A2B4DF5" w14:textId="77777777" w:rsidTr="007D00DA">
        <w:trPr>
          <w:cantSplit/>
        </w:trPr>
        <w:tc>
          <w:tcPr>
            <w:tcW w:w="784" w:type="pct"/>
            <w:shd w:val="clear" w:color="auto" w:fill="auto"/>
            <w:vAlign w:val="center"/>
          </w:tcPr>
          <w:p w14:paraId="3AB4A8F5" w14:textId="77777777" w:rsidR="00404D38" w:rsidRPr="00D33C2C" w:rsidRDefault="00404D38" w:rsidP="003D5175">
            <w:pPr>
              <w:pStyle w:val="TableText0"/>
            </w:pPr>
            <w:r w:rsidRPr="00D33C2C">
              <w:t>Transition probabilities</w:t>
            </w:r>
          </w:p>
          <w:p w14:paraId="3FC29792" w14:textId="77777777" w:rsidR="00404D38" w:rsidRPr="00D33C2C" w:rsidRDefault="00404D38" w:rsidP="003D5175">
            <w:pPr>
              <w:pStyle w:val="TableText0"/>
            </w:pPr>
          </w:p>
        </w:tc>
        <w:tc>
          <w:tcPr>
            <w:tcW w:w="4216" w:type="pct"/>
            <w:shd w:val="clear" w:color="auto" w:fill="auto"/>
            <w:vAlign w:val="center"/>
          </w:tcPr>
          <w:p w14:paraId="273D8A57" w14:textId="2F9B3D6A" w:rsidR="00404D38" w:rsidRPr="00D33C2C" w:rsidRDefault="00404D38" w:rsidP="003D5175">
            <w:pPr>
              <w:pStyle w:val="TableText0"/>
            </w:pPr>
            <w:r w:rsidRPr="00D33C2C">
              <w:t xml:space="preserve">The </w:t>
            </w:r>
            <w:r>
              <w:t xml:space="preserve">resubmission </w:t>
            </w:r>
            <w:r w:rsidRPr="00D33C2C">
              <w:t xml:space="preserve">model </w:t>
            </w:r>
            <w:r>
              <w:t>maintained the use of</w:t>
            </w:r>
            <w:r w:rsidRPr="00D33C2C">
              <w:t xml:space="preserve"> OvEC </w:t>
            </w:r>
            <w:r>
              <w:t xml:space="preserve">data in the base case.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2061"/>
              <w:gridCol w:w="5000"/>
            </w:tblGrid>
            <w:tr w:rsidR="00404D38" w:rsidRPr="00D33C2C" w14:paraId="38CA8383" w14:textId="77777777" w:rsidTr="00AC13C1">
              <w:trPr>
                <w:trHeight w:val="20"/>
              </w:trPr>
              <w:tc>
                <w:tcPr>
                  <w:tcW w:w="421" w:type="dxa"/>
                  <w:vAlign w:val="center"/>
                </w:tcPr>
                <w:p w14:paraId="7EF0FE53" w14:textId="77777777" w:rsidR="00404D38" w:rsidRPr="00D33C2C" w:rsidRDefault="00404D38" w:rsidP="00111713">
                  <w:pPr>
                    <w:pStyle w:val="Tabletext"/>
                    <w:keepNext/>
                    <w:keepLines/>
                    <w:rPr>
                      <w:rStyle w:val="ReporttextChar"/>
                      <w:rFonts w:ascii="Arial Narrow" w:hAnsi="Arial Narrow" w:cstheme="minorHAnsi"/>
                      <w:b/>
                      <w:sz w:val="20"/>
                      <w:szCs w:val="20"/>
                    </w:rPr>
                  </w:pPr>
                  <w:r w:rsidRPr="00D33C2C">
                    <w:rPr>
                      <w:rStyle w:val="ReporttextChar"/>
                      <w:rFonts w:ascii="Arial Narrow" w:hAnsi="Arial Narrow" w:cstheme="minorHAnsi"/>
                      <w:b/>
                      <w:sz w:val="20"/>
                      <w:szCs w:val="20"/>
                    </w:rPr>
                    <w:t>No.</w:t>
                  </w:r>
                </w:p>
              </w:tc>
              <w:tc>
                <w:tcPr>
                  <w:tcW w:w="2077" w:type="dxa"/>
                  <w:vAlign w:val="center"/>
                </w:tcPr>
                <w:p w14:paraId="7E59A45E" w14:textId="77777777" w:rsidR="00404D38" w:rsidRPr="00D33C2C" w:rsidRDefault="00404D38" w:rsidP="00111713">
                  <w:pPr>
                    <w:pStyle w:val="Tabletext"/>
                    <w:keepNext/>
                    <w:keepLines/>
                    <w:rPr>
                      <w:rStyle w:val="ReporttextChar"/>
                      <w:rFonts w:ascii="Arial Narrow" w:hAnsi="Arial Narrow" w:cstheme="minorHAnsi"/>
                      <w:b/>
                      <w:sz w:val="20"/>
                      <w:szCs w:val="20"/>
                    </w:rPr>
                  </w:pPr>
                  <w:r w:rsidRPr="00D33C2C">
                    <w:rPr>
                      <w:rStyle w:val="ReporttextChar"/>
                      <w:rFonts w:ascii="Arial Narrow" w:hAnsi="Arial Narrow" w:cstheme="minorHAnsi"/>
                      <w:b/>
                      <w:sz w:val="20"/>
                      <w:szCs w:val="20"/>
                    </w:rPr>
                    <w:t>Transition</w:t>
                  </w:r>
                </w:p>
              </w:tc>
              <w:tc>
                <w:tcPr>
                  <w:tcW w:w="5039" w:type="dxa"/>
                  <w:vAlign w:val="center"/>
                </w:tcPr>
                <w:p w14:paraId="5003B1D8" w14:textId="77777777" w:rsidR="00404D38" w:rsidRPr="00D33C2C" w:rsidRDefault="00404D38" w:rsidP="00111713">
                  <w:pPr>
                    <w:pStyle w:val="Tabletext"/>
                    <w:keepNext/>
                    <w:keepLines/>
                    <w:rPr>
                      <w:rStyle w:val="ReporttextChar"/>
                      <w:rFonts w:ascii="Arial Narrow" w:hAnsi="Arial Narrow" w:cs="Times New Roman"/>
                      <w:b/>
                      <w:bCs/>
                      <w:sz w:val="20"/>
                      <w:szCs w:val="20"/>
                    </w:rPr>
                  </w:pPr>
                  <w:r w:rsidRPr="00D33C2C">
                    <w:rPr>
                      <w:rStyle w:val="ReporttextChar"/>
                      <w:rFonts w:ascii="Arial Narrow" w:hAnsi="Arial Narrow" w:cstheme="minorHAnsi"/>
                      <w:b/>
                      <w:sz w:val="20"/>
                      <w:szCs w:val="20"/>
                    </w:rPr>
                    <w:t>Source used in model</w:t>
                  </w:r>
                </w:p>
              </w:tc>
            </w:tr>
            <w:tr w:rsidR="00404D38" w:rsidRPr="00D33C2C" w14:paraId="0BDB1D77" w14:textId="77777777" w:rsidTr="00AC13C1">
              <w:trPr>
                <w:trHeight w:val="20"/>
              </w:trPr>
              <w:tc>
                <w:tcPr>
                  <w:tcW w:w="421" w:type="dxa"/>
                  <w:vAlign w:val="center"/>
                </w:tcPr>
                <w:p w14:paraId="4C23FC79" w14:textId="77777777" w:rsidR="00404D38" w:rsidRPr="00D33C2C" w:rsidRDefault="00404D38" w:rsidP="00111713">
                  <w:pPr>
                    <w:pStyle w:val="Tabletext"/>
                    <w:keepNext/>
                    <w:keepLines/>
                    <w:rPr>
                      <w:rStyle w:val="ReporttextChar"/>
                      <w:rFonts w:ascii="Arial Narrow" w:hAnsi="Arial Narrow" w:cstheme="minorHAnsi"/>
                      <w:bCs/>
                      <w:sz w:val="20"/>
                      <w:szCs w:val="20"/>
                    </w:rPr>
                  </w:pPr>
                  <w:r w:rsidRPr="00D33C2C">
                    <w:rPr>
                      <w:rStyle w:val="ReporttextChar"/>
                      <w:rFonts w:ascii="Arial Narrow" w:hAnsi="Arial Narrow" w:cstheme="minorHAnsi"/>
                      <w:bCs/>
                      <w:sz w:val="20"/>
                      <w:szCs w:val="20"/>
                    </w:rPr>
                    <w:t>0</w:t>
                  </w:r>
                </w:p>
              </w:tc>
              <w:tc>
                <w:tcPr>
                  <w:tcW w:w="2077" w:type="dxa"/>
                  <w:vAlign w:val="center"/>
                </w:tcPr>
                <w:p w14:paraId="1B999D87" w14:textId="77777777" w:rsidR="00404D38" w:rsidRPr="00D33C2C" w:rsidRDefault="00404D38" w:rsidP="00111713">
                  <w:pPr>
                    <w:pStyle w:val="Tabletext"/>
                    <w:keepNext/>
                    <w:keepLines/>
                    <w:rPr>
                      <w:rStyle w:val="ReporttextChar"/>
                      <w:rFonts w:ascii="Arial Narrow" w:hAnsi="Arial Narrow" w:cstheme="minorHAnsi"/>
                      <w:bCs/>
                      <w:sz w:val="20"/>
                      <w:szCs w:val="20"/>
                    </w:rPr>
                  </w:pPr>
                  <w:r w:rsidRPr="00D33C2C">
                    <w:rPr>
                      <w:szCs w:val="20"/>
                    </w:rPr>
                    <w:t>No PEBD, response</w:t>
                  </w:r>
                </w:p>
              </w:tc>
              <w:tc>
                <w:tcPr>
                  <w:tcW w:w="5039" w:type="dxa"/>
                  <w:vAlign w:val="center"/>
                </w:tcPr>
                <w:p w14:paraId="6F3D0946" w14:textId="77777777" w:rsidR="00404D38" w:rsidRDefault="00404D38" w:rsidP="00111713">
                  <w:pPr>
                    <w:pStyle w:val="Tabletext"/>
                    <w:keepNext/>
                    <w:keepLines/>
                    <w:rPr>
                      <w:rStyle w:val="ReporttextChar"/>
                      <w:rFonts w:ascii="Arial Narrow" w:hAnsi="Arial Narrow" w:cstheme="minorBidi"/>
                      <w:lang w:val="en-AU"/>
                    </w:rPr>
                  </w:pPr>
                  <w:r w:rsidRPr="11739D53">
                    <w:rPr>
                      <w:rStyle w:val="ReporttextChar"/>
                      <w:rFonts w:ascii="Arial Narrow" w:hAnsi="Arial Narrow" w:cstheme="minorBidi"/>
                      <w:sz w:val="20"/>
                      <w:szCs w:val="20"/>
                      <w:lang w:val="en-AU"/>
                    </w:rPr>
                    <w:t>Odevixibat response was changed in the resubmission from 62.28% (OvEC) to 43.5% (PEDFIC 1, 24 weeks response)</w:t>
                  </w:r>
                </w:p>
                <w:p w14:paraId="1399BC57" w14:textId="0C5AABD9" w:rsidR="00404D38" w:rsidRPr="00D33C2C" w:rsidRDefault="00404D38" w:rsidP="00111713">
                  <w:pPr>
                    <w:pStyle w:val="Tabletext"/>
                    <w:keepNext/>
                    <w:keepLines/>
                    <w:rPr>
                      <w:rStyle w:val="ReporttextChar"/>
                      <w:rFonts w:ascii="Arial Narrow" w:hAnsi="Arial Narrow" w:cstheme="minorBidi"/>
                      <w:sz w:val="20"/>
                      <w:szCs w:val="20"/>
                      <w:lang w:val="en-AU"/>
                    </w:rPr>
                  </w:pPr>
                  <w:r w:rsidRPr="11739D53">
                    <w:rPr>
                      <w:rStyle w:val="ReporttextChar"/>
                      <w:rFonts w:ascii="Arial Narrow" w:hAnsi="Arial Narrow" w:cstheme="minorBidi"/>
                      <w:sz w:val="20"/>
                      <w:szCs w:val="20"/>
                      <w:lang w:val="en-AU"/>
                    </w:rPr>
                    <w:t>S</w:t>
                  </w:r>
                  <w:r w:rsidR="00362F1E">
                    <w:rPr>
                      <w:rStyle w:val="ReporttextChar"/>
                      <w:rFonts w:ascii="Arial Narrow" w:hAnsi="Arial Narrow" w:cstheme="minorBidi"/>
                      <w:sz w:val="20"/>
                      <w:szCs w:val="20"/>
                      <w:lang w:val="en-AU"/>
                    </w:rPr>
                    <w:t>o</w:t>
                  </w:r>
                  <w:r w:rsidRPr="11739D53">
                    <w:rPr>
                      <w:rStyle w:val="ReporttextChar"/>
                      <w:rFonts w:ascii="Arial Narrow" w:hAnsi="Arial Narrow" w:cstheme="minorBidi"/>
                      <w:sz w:val="20"/>
                      <w:szCs w:val="20"/>
                      <w:lang w:val="en-AU"/>
                    </w:rPr>
                    <w:t>C response was maintained at 0%.</w:t>
                  </w:r>
                </w:p>
              </w:tc>
            </w:tr>
            <w:tr w:rsidR="00404D38" w:rsidRPr="00D33C2C" w14:paraId="1ED5E015" w14:textId="77777777" w:rsidTr="00AC13C1">
              <w:trPr>
                <w:trHeight w:val="20"/>
              </w:trPr>
              <w:tc>
                <w:tcPr>
                  <w:tcW w:w="421" w:type="dxa"/>
                  <w:vAlign w:val="center"/>
                </w:tcPr>
                <w:p w14:paraId="7006191F"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1</w:t>
                  </w:r>
                </w:p>
              </w:tc>
              <w:tc>
                <w:tcPr>
                  <w:tcW w:w="2077" w:type="dxa"/>
                  <w:vAlign w:val="center"/>
                </w:tcPr>
                <w:p w14:paraId="34FEB1A0" w14:textId="77777777" w:rsidR="00404D38" w:rsidRPr="00D33C2C" w:rsidRDefault="00404D38" w:rsidP="00111713">
                  <w:pPr>
                    <w:pStyle w:val="Tabletext"/>
                    <w:keepNext/>
                    <w:keepLines/>
                    <w:rPr>
                      <w:szCs w:val="20"/>
                    </w:rPr>
                  </w:pPr>
                  <w:r w:rsidRPr="00D33C2C">
                    <w:rPr>
                      <w:szCs w:val="20"/>
                    </w:rPr>
                    <w:t>No PEBD, no response (or loss of response)</w:t>
                  </w:r>
                </w:p>
              </w:tc>
              <w:tc>
                <w:tcPr>
                  <w:tcW w:w="5039" w:type="dxa"/>
                  <w:vAlign w:val="center"/>
                </w:tcPr>
                <w:p w14:paraId="29F1083D" w14:textId="77777777" w:rsidR="00404D38" w:rsidRPr="00D33C2C" w:rsidRDefault="00404D38" w:rsidP="00111713">
                  <w:pPr>
                    <w:pStyle w:val="Tabletext"/>
                    <w:keepNext/>
                    <w:keepLines/>
                  </w:pPr>
                  <w:r w:rsidRPr="00D33C2C">
                    <w:rPr>
                      <w:szCs w:val="20"/>
                    </w:rPr>
                    <w:t>O</w:t>
                  </w:r>
                  <w:r w:rsidRPr="00D33C2C">
                    <w:t xml:space="preserve">devixibat annual discontinuation was </w:t>
                  </w:r>
                  <w:r>
                    <w:t xml:space="preserve">increased in the resubmission, from </w:t>
                  </w:r>
                  <w:r w:rsidRPr="00D33C2C">
                    <w:t>3.53%</w:t>
                  </w:r>
                  <w:r>
                    <w:t xml:space="preserve"> to 12.01% based on updated PEDFIC 2 data of </w:t>
                  </w:r>
                  <w:r w:rsidRPr="001D455F">
                    <w:t>33 patients discontinuing over a total average follow up of 115.61 weeks</w:t>
                  </w:r>
                  <w:r>
                    <w:t>.</w:t>
                  </w:r>
                </w:p>
              </w:tc>
            </w:tr>
            <w:tr w:rsidR="00404D38" w:rsidRPr="00D33C2C" w14:paraId="10DC9E8D" w14:textId="77777777" w:rsidTr="00AC13C1">
              <w:trPr>
                <w:trHeight w:val="20"/>
              </w:trPr>
              <w:tc>
                <w:tcPr>
                  <w:tcW w:w="421" w:type="dxa"/>
                  <w:shd w:val="clear" w:color="auto" w:fill="DBE5F1" w:themeFill="accent1" w:themeFillTint="33"/>
                  <w:vAlign w:val="center"/>
                </w:tcPr>
                <w:p w14:paraId="0E0249E4"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2</w:t>
                  </w:r>
                </w:p>
              </w:tc>
              <w:tc>
                <w:tcPr>
                  <w:tcW w:w="2077" w:type="dxa"/>
                  <w:shd w:val="clear" w:color="auto" w:fill="DBE5F1" w:themeFill="accent1" w:themeFillTint="33"/>
                  <w:vAlign w:val="center"/>
                </w:tcPr>
                <w:p w14:paraId="08D97584" w14:textId="77777777" w:rsidR="00404D38" w:rsidRPr="00D33C2C" w:rsidRDefault="00404D38" w:rsidP="00111713">
                  <w:pPr>
                    <w:pStyle w:val="Tabletext"/>
                    <w:keepNext/>
                    <w:keepLines/>
                    <w:rPr>
                      <w:szCs w:val="20"/>
                    </w:rPr>
                  </w:pPr>
                  <w:r w:rsidRPr="00D33C2C">
                    <w:rPr>
                      <w:szCs w:val="20"/>
                    </w:rPr>
                    <w:t>PEBD, response</w:t>
                  </w:r>
                </w:p>
              </w:tc>
              <w:tc>
                <w:tcPr>
                  <w:tcW w:w="5039" w:type="dxa"/>
                  <w:shd w:val="clear" w:color="auto" w:fill="DBE5F1" w:themeFill="accent1" w:themeFillTint="33"/>
                  <w:vAlign w:val="center"/>
                </w:tcPr>
                <w:p w14:paraId="197DF996" w14:textId="77777777" w:rsidR="00404D38" w:rsidRPr="00D33C2C" w:rsidRDefault="00404D38" w:rsidP="00111713">
                  <w:pPr>
                    <w:pStyle w:val="Tabletext"/>
                    <w:keepNext/>
                    <w:keepLines/>
                    <w:rPr>
                      <w:i/>
                      <w:iCs/>
                      <w:szCs w:val="20"/>
                    </w:rPr>
                  </w:pPr>
                  <w:r w:rsidRPr="00D33C2C">
                    <w:rPr>
                      <w:szCs w:val="20"/>
                    </w:rPr>
                    <w:t xml:space="preserve">PEBD response based on OvEC data (32.3%). </w:t>
                  </w:r>
                </w:p>
              </w:tc>
            </w:tr>
            <w:tr w:rsidR="00404D38" w:rsidRPr="00D33C2C" w14:paraId="3DFB4036" w14:textId="77777777" w:rsidTr="00AC13C1">
              <w:trPr>
                <w:trHeight w:val="20"/>
              </w:trPr>
              <w:tc>
                <w:tcPr>
                  <w:tcW w:w="421" w:type="dxa"/>
                  <w:shd w:val="clear" w:color="auto" w:fill="DBE5F1" w:themeFill="accent1" w:themeFillTint="33"/>
                  <w:vAlign w:val="center"/>
                </w:tcPr>
                <w:p w14:paraId="7ABB3D64"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3</w:t>
                  </w:r>
                </w:p>
              </w:tc>
              <w:tc>
                <w:tcPr>
                  <w:tcW w:w="2077" w:type="dxa"/>
                  <w:shd w:val="clear" w:color="auto" w:fill="DBE5F1" w:themeFill="accent1" w:themeFillTint="33"/>
                  <w:vAlign w:val="center"/>
                </w:tcPr>
                <w:p w14:paraId="7C2F320A" w14:textId="77777777" w:rsidR="00404D38" w:rsidRPr="00D33C2C" w:rsidRDefault="00404D38" w:rsidP="00111713">
                  <w:pPr>
                    <w:pStyle w:val="Tabletext"/>
                    <w:keepNext/>
                    <w:keepLines/>
                    <w:rPr>
                      <w:szCs w:val="20"/>
                    </w:rPr>
                  </w:pPr>
                  <w:r w:rsidRPr="00D33C2C">
                    <w:rPr>
                      <w:szCs w:val="20"/>
                    </w:rPr>
                    <w:t>PEBD, no response</w:t>
                  </w:r>
                </w:p>
              </w:tc>
              <w:tc>
                <w:tcPr>
                  <w:tcW w:w="5039" w:type="dxa"/>
                  <w:shd w:val="clear" w:color="auto" w:fill="DBE5F1" w:themeFill="accent1" w:themeFillTint="33"/>
                  <w:vAlign w:val="center"/>
                </w:tcPr>
                <w:p w14:paraId="399FAEA2" w14:textId="77777777" w:rsidR="00404D38" w:rsidRPr="00D33C2C" w:rsidRDefault="00404D38" w:rsidP="00111713">
                  <w:pPr>
                    <w:pStyle w:val="Tabletext"/>
                    <w:keepNext/>
                    <w:keepLines/>
                    <w:rPr>
                      <w:szCs w:val="20"/>
                    </w:rPr>
                  </w:pPr>
                  <w:r w:rsidRPr="00D33C2C">
                    <w:rPr>
                      <w:szCs w:val="20"/>
                    </w:rPr>
                    <w:t>PEBD no response was the complement to no.2 (67.7%)</w:t>
                  </w:r>
                </w:p>
              </w:tc>
            </w:tr>
            <w:tr w:rsidR="00404D38" w:rsidRPr="00D33C2C" w14:paraId="5C8DC972" w14:textId="77777777" w:rsidTr="00AC13C1">
              <w:trPr>
                <w:trHeight w:val="20"/>
              </w:trPr>
              <w:tc>
                <w:tcPr>
                  <w:tcW w:w="421" w:type="dxa"/>
                  <w:shd w:val="clear" w:color="auto" w:fill="DBE5F1" w:themeFill="accent1" w:themeFillTint="33"/>
                  <w:vAlign w:val="center"/>
                </w:tcPr>
                <w:p w14:paraId="6ADB3CC5"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4</w:t>
                  </w:r>
                </w:p>
              </w:tc>
              <w:tc>
                <w:tcPr>
                  <w:tcW w:w="2077" w:type="dxa"/>
                  <w:shd w:val="clear" w:color="auto" w:fill="DBE5F1" w:themeFill="accent1" w:themeFillTint="33"/>
                  <w:vAlign w:val="center"/>
                </w:tcPr>
                <w:p w14:paraId="77B733A5" w14:textId="77777777" w:rsidR="00404D38" w:rsidRPr="00D33C2C" w:rsidRDefault="00404D38" w:rsidP="00111713">
                  <w:pPr>
                    <w:pStyle w:val="Tabletext"/>
                    <w:keepNext/>
                    <w:keepLines/>
                    <w:rPr>
                      <w:szCs w:val="20"/>
                    </w:rPr>
                  </w:pPr>
                  <w:r w:rsidRPr="00D33C2C">
                    <w:rPr>
                      <w:szCs w:val="20"/>
                    </w:rPr>
                    <w:t>Loss of response to PEBD</w:t>
                  </w:r>
                </w:p>
              </w:tc>
              <w:tc>
                <w:tcPr>
                  <w:tcW w:w="5039" w:type="dxa"/>
                  <w:shd w:val="clear" w:color="auto" w:fill="DBE5F1" w:themeFill="accent1" w:themeFillTint="33"/>
                  <w:vAlign w:val="center"/>
                </w:tcPr>
                <w:p w14:paraId="4A45384D" w14:textId="77777777" w:rsidR="00404D38" w:rsidRPr="00D33C2C" w:rsidRDefault="00404D38" w:rsidP="00111713">
                  <w:pPr>
                    <w:pStyle w:val="Tabletext"/>
                    <w:keepNext/>
                    <w:keepLines/>
                    <w:rPr>
                      <w:szCs w:val="20"/>
                    </w:rPr>
                  </w:pPr>
                  <w:r w:rsidRPr="00D33C2C">
                    <w:rPr>
                      <w:szCs w:val="20"/>
                    </w:rPr>
                    <w:t>PEBD loss of response assumed to be 5%</w:t>
                  </w:r>
                </w:p>
              </w:tc>
            </w:tr>
            <w:tr w:rsidR="00404D38" w:rsidRPr="00D33C2C" w14:paraId="4EF470AB" w14:textId="77777777" w:rsidTr="00AC13C1">
              <w:trPr>
                <w:trHeight w:val="20"/>
              </w:trPr>
              <w:tc>
                <w:tcPr>
                  <w:tcW w:w="421" w:type="dxa"/>
                  <w:shd w:val="clear" w:color="auto" w:fill="DBE5F1" w:themeFill="accent1" w:themeFillTint="33"/>
                  <w:vAlign w:val="center"/>
                </w:tcPr>
                <w:p w14:paraId="467614B2"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5</w:t>
                  </w:r>
                </w:p>
              </w:tc>
              <w:tc>
                <w:tcPr>
                  <w:tcW w:w="2077" w:type="dxa"/>
                  <w:shd w:val="clear" w:color="auto" w:fill="DBE5F1" w:themeFill="accent1" w:themeFillTint="33"/>
                  <w:vAlign w:val="center"/>
                </w:tcPr>
                <w:p w14:paraId="3B04DB4A" w14:textId="77777777" w:rsidR="00404D38" w:rsidRPr="00D33C2C" w:rsidRDefault="00404D38" w:rsidP="00111713">
                  <w:pPr>
                    <w:pStyle w:val="Tabletext"/>
                    <w:keepNext/>
                    <w:keepLines/>
                    <w:rPr>
                      <w:szCs w:val="20"/>
                    </w:rPr>
                  </w:pPr>
                  <w:r w:rsidRPr="00D33C2C">
                    <w:rPr>
                      <w:szCs w:val="20"/>
                    </w:rPr>
                    <w:t>LT without PEBD</w:t>
                  </w:r>
                </w:p>
              </w:tc>
              <w:tc>
                <w:tcPr>
                  <w:tcW w:w="5039" w:type="dxa"/>
                  <w:shd w:val="clear" w:color="auto" w:fill="DBE5F1" w:themeFill="accent1" w:themeFillTint="33"/>
                  <w:vAlign w:val="center"/>
                </w:tcPr>
                <w:p w14:paraId="445D6B91" w14:textId="77777777" w:rsidR="00404D38" w:rsidRPr="00D33C2C" w:rsidRDefault="00404D38" w:rsidP="00111713">
                  <w:pPr>
                    <w:pStyle w:val="Tabletext"/>
                    <w:keepNext/>
                    <w:keepLines/>
                    <w:rPr>
                      <w:szCs w:val="20"/>
                    </w:rPr>
                  </w:pPr>
                  <w:r w:rsidRPr="00D33C2C">
                    <w:rPr>
                      <w:szCs w:val="20"/>
                    </w:rPr>
                    <w:t xml:space="preserve">Based on OvEC </w:t>
                  </w:r>
                  <w:r w:rsidRPr="00D33C2C">
                    <w:t>(2.47%)</w:t>
                  </w:r>
                </w:p>
              </w:tc>
            </w:tr>
            <w:tr w:rsidR="00404D38" w:rsidRPr="00D33C2C" w14:paraId="0700C172" w14:textId="77777777" w:rsidTr="00AC13C1">
              <w:trPr>
                <w:trHeight w:val="20"/>
              </w:trPr>
              <w:tc>
                <w:tcPr>
                  <w:tcW w:w="421" w:type="dxa"/>
                  <w:shd w:val="clear" w:color="auto" w:fill="DBE5F1" w:themeFill="accent1" w:themeFillTint="33"/>
                  <w:vAlign w:val="center"/>
                </w:tcPr>
                <w:p w14:paraId="1293258B"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6</w:t>
                  </w:r>
                </w:p>
              </w:tc>
              <w:tc>
                <w:tcPr>
                  <w:tcW w:w="2077" w:type="dxa"/>
                  <w:shd w:val="clear" w:color="auto" w:fill="DBE5F1" w:themeFill="accent1" w:themeFillTint="33"/>
                  <w:vAlign w:val="center"/>
                </w:tcPr>
                <w:p w14:paraId="3213FBAC" w14:textId="77777777" w:rsidR="00404D38" w:rsidRPr="00D33C2C" w:rsidRDefault="00404D38" w:rsidP="00111713">
                  <w:pPr>
                    <w:pStyle w:val="Tabletext"/>
                    <w:keepNext/>
                    <w:keepLines/>
                    <w:rPr>
                      <w:szCs w:val="20"/>
                    </w:rPr>
                  </w:pPr>
                  <w:r w:rsidRPr="00D33C2C">
                    <w:rPr>
                      <w:szCs w:val="20"/>
                    </w:rPr>
                    <w:t>LT after PEBD response</w:t>
                  </w:r>
                </w:p>
              </w:tc>
              <w:tc>
                <w:tcPr>
                  <w:tcW w:w="5039" w:type="dxa"/>
                  <w:shd w:val="clear" w:color="auto" w:fill="DBE5F1" w:themeFill="accent1" w:themeFillTint="33"/>
                  <w:vAlign w:val="center"/>
                </w:tcPr>
                <w:p w14:paraId="43AAB579" w14:textId="77777777" w:rsidR="00404D38" w:rsidRPr="00D33C2C" w:rsidRDefault="00404D38" w:rsidP="00111713">
                  <w:pPr>
                    <w:pStyle w:val="Tabletext"/>
                    <w:keepNext/>
                    <w:keepLines/>
                    <w:rPr>
                      <w:szCs w:val="20"/>
                    </w:rPr>
                  </w:pPr>
                  <w:r w:rsidRPr="00D33C2C">
                    <w:rPr>
                      <w:szCs w:val="20"/>
                    </w:rPr>
                    <w:t>Assumed to be 0%</w:t>
                  </w:r>
                </w:p>
              </w:tc>
            </w:tr>
            <w:tr w:rsidR="00404D38" w:rsidRPr="00D33C2C" w14:paraId="5E58AE45" w14:textId="77777777" w:rsidTr="00AC13C1">
              <w:trPr>
                <w:trHeight w:val="20"/>
              </w:trPr>
              <w:tc>
                <w:tcPr>
                  <w:tcW w:w="421" w:type="dxa"/>
                  <w:shd w:val="clear" w:color="auto" w:fill="DBE5F1" w:themeFill="accent1" w:themeFillTint="33"/>
                  <w:vAlign w:val="center"/>
                </w:tcPr>
                <w:p w14:paraId="4309E7C3"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7</w:t>
                  </w:r>
                </w:p>
              </w:tc>
              <w:tc>
                <w:tcPr>
                  <w:tcW w:w="2077" w:type="dxa"/>
                  <w:shd w:val="clear" w:color="auto" w:fill="DBE5F1" w:themeFill="accent1" w:themeFillTint="33"/>
                  <w:vAlign w:val="center"/>
                </w:tcPr>
                <w:p w14:paraId="6E0D0A44" w14:textId="77777777" w:rsidR="00404D38" w:rsidRPr="00D33C2C" w:rsidRDefault="00404D38" w:rsidP="00111713">
                  <w:pPr>
                    <w:pStyle w:val="Tabletext"/>
                    <w:keepNext/>
                    <w:keepLines/>
                    <w:rPr>
                      <w:szCs w:val="20"/>
                    </w:rPr>
                  </w:pPr>
                  <w:r w:rsidRPr="00D33C2C">
                    <w:rPr>
                      <w:szCs w:val="20"/>
                    </w:rPr>
                    <w:t>LT after PEBD non-response</w:t>
                  </w:r>
                </w:p>
              </w:tc>
              <w:tc>
                <w:tcPr>
                  <w:tcW w:w="5039" w:type="dxa"/>
                  <w:shd w:val="clear" w:color="auto" w:fill="DBE5F1" w:themeFill="accent1" w:themeFillTint="33"/>
                  <w:vAlign w:val="center"/>
                </w:tcPr>
                <w:p w14:paraId="054FB829" w14:textId="77777777" w:rsidR="00404D38" w:rsidRPr="00D33C2C" w:rsidRDefault="00404D38" w:rsidP="00111713">
                  <w:pPr>
                    <w:pStyle w:val="Tabletext"/>
                    <w:keepNext/>
                    <w:keepLines/>
                    <w:rPr>
                      <w:szCs w:val="20"/>
                    </w:rPr>
                  </w:pPr>
                  <w:r w:rsidRPr="00D33C2C">
                    <w:rPr>
                      <w:szCs w:val="20"/>
                    </w:rPr>
                    <w:t>Based on NAPPED data for PFIC1 and PFIC2 then estimated a joint probability using PFIC1 and 2 proportions from PEDFIC 1 (27% PFIC1 and 73% PFIC2) (9.9%)</w:t>
                  </w:r>
                </w:p>
              </w:tc>
            </w:tr>
            <w:tr w:rsidR="00404D38" w:rsidRPr="00D33C2C" w14:paraId="3F7AF6ED" w14:textId="77777777" w:rsidTr="00AC13C1">
              <w:trPr>
                <w:trHeight w:val="20"/>
              </w:trPr>
              <w:tc>
                <w:tcPr>
                  <w:tcW w:w="421" w:type="dxa"/>
                  <w:shd w:val="clear" w:color="auto" w:fill="DBE5F1" w:themeFill="accent1" w:themeFillTint="33"/>
                  <w:vAlign w:val="center"/>
                </w:tcPr>
                <w:p w14:paraId="0B2281CF"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lastRenderedPageBreak/>
                    <w:t>8</w:t>
                  </w:r>
                </w:p>
              </w:tc>
              <w:tc>
                <w:tcPr>
                  <w:tcW w:w="2077" w:type="dxa"/>
                  <w:shd w:val="clear" w:color="auto" w:fill="DBE5F1" w:themeFill="accent1" w:themeFillTint="33"/>
                  <w:vAlign w:val="center"/>
                </w:tcPr>
                <w:p w14:paraId="45DA9586" w14:textId="77777777" w:rsidR="00404D38" w:rsidRPr="00D33C2C" w:rsidRDefault="00404D38" w:rsidP="00111713">
                  <w:pPr>
                    <w:pStyle w:val="Tabletext"/>
                    <w:keepNext/>
                    <w:keepLines/>
                    <w:rPr>
                      <w:szCs w:val="20"/>
                    </w:rPr>
                  </w:pPr>
                  <w:r w:rsidRPr="00D33C2C">
                    <w:rPr>
                      <w:szCs w:val="20"/>
                    </w:rPr>
                    <w:t>LT to post-LT</w:t>
                  </w:r>
                </w:p>
              </w:tc>
              <w:tc>
                <w:tcPr>
                  <w:tcW w:w="5039" w:type="dxa"/>
                  <w:shd w:val="clear" w:color="auto" w:fill="DBE5F1" w:themeFill="accent1" w:themeFillTint="33"/>
                  <w:vAlign w:val="center"/>
                </w:tcPr>
                <w:p w14:paraId="6DA71FC7" w14:textId="77777777" w:rsidR="00404D38" w:rsidRPr="00D33C2C" w:rsidRDefault="00404D38" w:rsidP="00111713">
                  <w:pPr>
                    <w:pStyle w:val="Tabletext"/>
                    <w:keepNext/>
                    <w:keepLines/>
                    <w:rPr>
                      <w:szCs w:val="20"/>
                    </w:rPr>
                  </w:pPr>
                  <w:r w:rsidRPr="00D33C2C">
                    <w:rPr>
                      <w:szCs w:val="20"/>
                    </w:rPr>
                    <w:t>Complement of no.9 (</w:t>
                  </w:r>
                  <w:r w:rsidRPr="00D33C2C">
                    <w:t xml:space="preserve">re-transplant) </w:t>
                  </w:r>
                  <w:r w:rsidRPr="00D33C2C">
                    <w:rPr>
                      <w:szCs w:val="20"/>
                    </w:rPr>
                    <w:t>and no.10 (acute post LT mortality) (78.8%)</w:t>
                  </w:r>
                </w:p>
              </w:tc>
            </w:tr>
            <w:tr w:rsidR="00404D38" w:rsidRPr="00D33C2C" w14:paraId="43D1C5C6" w14:textId="77777777" w:rsidTr="00AC13C1">
              <w:trPr>
                <w:trHeight w:val="20"/>
              </w:trPr>
              <w:tc>
                <w:tcPr>
                  <w:tcW w:w="421" w:type="dxa"/>
                  <w:shd w:val="clear" w:color="auto" w:fill="DBE5F1" w:themeFill="accent1" w:themeFillTint="33"/>
                  <w:vAlign w:val="center"/>
                </w:tcPr>
                <w:p w14:paraId="6B5FAFA5" w14:textId="77777777" w:rsidR="00404D38" w:rsidRPr="00D33C2C" w:rsidRDefault="00404D38" w:rsidP="00111713">
                  <w:pPr>
                    <w:pStyle w:val="Tabletext"/>
                    <w:keepNext/>
                    <w:keepLines/>
                    <w:rPr>
                      <w:szCs w:val="20"/>
                    </w:rPr>
                  </w:pPr>
                  <w:r w:rsidRPr="00D33C2C">
                    <w:rPr>
                      <w:rStyle w:val="ReporttextChar"/>
                      <w:rFonts w:ascii="Arial Narrow" w:hAnsi="Arial Narrow" w:cstheme="minorHAnsi"/>
                      <w:sz w:val="20"/>
                      <w:szCs w:val="20"/>
                    </w:rPr>
                    <w:t>9</w:t>
                  </w:r>
                </w:p>
              </w:tc>
              <w:tc>
                <w:tcPr>
                  <w:tcW w:w="2077" w:type="dxa"/>
                  <w:shd w:val="clear" w:color="auto" w:fill="DBE5F1" w:themeFill="accent1" w:themeFillTint="33"/>
                  <w:vAlign w:val="center"/>
                </w:tcPr>
                <w:p w14:paraId="50E24D11" w14:textId="77777777" w:rsidR="00404D38" w:rsidRPr="00D33C2C" w:rsidRDefault="00404D38" w:rsidP="00111713">
                  <w:pPr>
                    <w:pStyle w:val="Tabletext"/>
                    <w:keepNext/>
                    <w:keepLines/>
                    <w:rPr>
                      <w:szCs w:val="20"/>
                    </w:rPr>
                  </w:pPr>
                  <w:r w:rsidRPr="00D33C2C">
                    <w:rPr>
                      <w:szCs w:val="20"/>
                    </w:rPr>
                    <w:t>Re-transplant</w:t>
                  </w:r>
                </w:p>
              </w:tc>
              <w:tc>
                <w:tcPr>
                  <w:tcW w:w="5039" w:type="dxa"/>
                  <w:shd w:val="clear" w:color="auto" w:fill="DBE5F1" w:themeFill="accent1" w:themeFillTint="33"/>
                  <w:vAlign w:val="center"/>
                </w:tcPr>
                <w:p w14:paraId="14B37665" w14:textId="6DF64BBD" w:rsidR="00404D38" w:rsidRPr="00D33C2C" w:rsidRDefault="00404D38" w:rsidP="00111713">
                  <w:pPr>
                    <w:pStyle w:val="Tabletext"/>
                    <w:keepNext/>
                    <w:keepLines/>
                    <w:rPr>
                      <w:szCs w:val="20"/>
                    </w:rPr>
                  </w:pPr>
                  <w:r w:rsidRPr="00D33C2C">
                    <w:rPr>
                      <w:rFonts w:cstheme="minorHAnsi"/>
                      <w:szCs w:val="20"/>
                    </w:rPr>
                    <w:t>Based on Bull 2018 (</w:t>
                  </w:r>
                  <w:r w:rsidRPr="00D33C2C">
                    <w:t>a retrospective multi-centre study of 42 PFIC1 and 60 PFIC2 patients who had previously undergone LT over the median follow-up time of 3.6 years</w:t>
                  </w:r>
                  <w:r w:rsidR="000E79EF" w:rsidRPr="00D33C2C">
                    <w:t>),</w:t>
                  </w:r>
                  <w:r w:rsidRPr="00D33C2C">
                    <w:t xml:space="preserve"> and a weighted probability was estimated based on PFIC1 and PFIC2 proportions from PEDFIC1 (9.81%)</w:t>
                  </w:r>
                </w:p>
              </w:tc>
            </w:tr>
            <w:tr w:rsidR="00404D38" w:rsidRPr="00D33C2C" w14:paraId="0813F4BF" w14:textId="77777777" w:rsidTr="00AC13C1">
              <w:trPr>
                <w:trHeight w:val="20"/>
              </w:trPr>
              <w:tc>
                <w:tcPr>
                  <w:tcW w:w="421" w:type="dxa"/>
                  <w:shd w:val="clear" w:color="auto" w:fill="DBE5F1" w:themeFill="accent1" w:themeFillTint="33"/>
                  <w:vAlign w:val="center"/>
                </w:tcPr>
                <w:p w14:paraId="619D28E6" w14:textId="77777777" w:rsidR="00404D38" w:rsidRPr="00D33C2C" w:rsidRDefault="00404D38" w:rsidP="00111713">
                  <w:pPr>
                    <w:pStyle w:val="Tabletext"/>
                    <w:keepNext/>
                    <w:keepLines/>
                    <w:rPr>
                      <w:szCs w:val="20"/>
                    </w:rPr>
                  </w:pPr>
                  <w:r w:rsidRPr="00D33C2C">
                    <w:rPr>
                      <w:szCs w:val="20"/>
                    </w:rPr>
                    <w:t>10</w:t>
                  </w:r>
                </w:p>
              </w:tc>
              <w:tc>
                <w:tcPr>
                  <w:tcW w:w="2077" w:type="dxa"/>
                  <w:shd w:val="clear" w:color="auto" w:fill="DBE5F1" w:themeFill="accent1" w:themeFillTint="33"/>
                  <w:vAlign w:val="center"/>
                </w:tcPr>
                <w:p w14:paraId="6536F5F0" w14:textId="77777777" w:rsidR="00404D38" w:rsidRPr="00D33C2C" w:rsidRDefault="00404D38" w:rsidP="00111713">
                  <w:pPr>
                    <w:pStyle w:val="Tabletext"/>
                    <w:keepNext/>
                    <w:keepLines/>
                    <w:rPr>
                      <w:szCs w:val="20"/>
                    </w:rPr>
                  </w:pPr>
                  <w:r w:rsidRPr="00D33C2C">
                    <w:rPr>
                      <w:szCs w:val="20"/>
                    </w:rPr>
                    <w:t>Mortality</w:t>
                  </w:r>
                </w:p>
              </w:tc>
              <w:tc>
                <w:tcPr>
                  <w:tcW w:w="5039" w:type="dxa"/>
                  <w:shd w:val="clear" w:color="auto" w:fill="DBE5F1" w:themeFill="accent1" w:themeFillTint="33"/>
                  <w:vAlign w:val="center"/>
                </w:tcPr>
                <w:p w14:paraId="0885F818" w14:textId="77777777" w:rsidR="00404D38" w:rsidRPr="00D33C2C" w:rsidRDefault="00404D38" w:rsidP="00111713">
                  <w:pPr>
                    <w:pStyle w:val="ReporttextSource"/>
                    <w:keepNext/>
                    <w:keepLines/>
                    <w:spacing w:before="0" w:after="0" w:line="240" w:lineRule="auto"/>
                    <w:jc w:val="left"/>
                    <w:rPr>
                      <w:rFonts w:ascii="Arial Narrow" w:hAnsi="Arial Narrow"/>
                      <w:sz w:val="20"/>
                      <w:szCs w:val="20"/>
                      <w:lang w:val="en-AU"/>
                    </w:rPr>
                  </w:pPr>
                  <w:r w:rsidRPr="00D33C2C">
                    <w:rPr>
                      <w:rFonts w:ascii="Arial Narrow" w:hAnsi="Arial Narrow"/>
                      <w:sz w:val="20"/>
                      <w:szCs w:val="20"/>
                      <w:lang w:val="en-AU"/>
                    </w:rPr>
                    <w:t>Pre-LT mortality was based on OvEC (0.38%)</w:t>
                  </w:r>
                </w:p>
                <w:p w14:paraId="168B6685" w14:textId="77777777" w:rsidR="00404D38" w:rsidRPr="00D33C2C" w:rsidRDefault="00404D38" w:rsidP="00111713">
                  <w:pPr>
                    <w:pStyle w:val="ReporttextSource"/>
                    <w:keepNext/>
                    <w:keepLines/>
                    <w:spacing w:before="0" w:after="0" w:line="240" w:lineRule="auto"/>
                    <w:jc w:val="left"/>
                    <w:rPr>
                      <w:rFonts w:ascii="Arial Narrow" w:hAnsi="Arial Narrow"/>
                      <w:sz w:val="20"/>
                      <w:szCs w:val="20"/>
                      <w:lang w:val="en-AU"/>
                    </w:rPr>
                  </w:pPr>
                  <w:r w:rsidRPr="00D33C2C">
                    <w:rPr>
                      <w:rFonts w:ascii="Arial Narrow" w:hAnsi="Arial Narrow"/>
                      <w:sz w:val="20"/>
                      <w:szCs w:val="20"/>
                      <w:lang w:val="en-AU"/>
                    </w:rPr>
                    <w:t xml:space="preserve">Acute (1 year) post-LT mortality from meta-analysis of Wanty 2004, Hori 2011, </w:t>
                  </w:r>
                  <w:proofErr w:type="spellStart"/>
                  <w:r w:rsidRPr="00D33C2C">
                    <w:rPr>
                      <w:rFonts w:ascii="Arial Narrow" w:hAnsi="Arial Narrow"/>
                      <w:sz w:val="20"/>
                      <w:szCs w:val="20"/>
                      <w:lang w:val="en-AU"/>
                    </w:rPr>
                    <w:t>Aydogdu</w:t>
                  </w:r>
                  <w:proofErr w:type="spellEnd"/>
                  <w:r w:rsidRPr="00D33C2C">
                    <w:rPr>
                      <w:rFonts w:ascii="Arial Narrow" w:hAnsi="Arial Narrow"/>
                      <w:sz w:val="20"/>
                      <w:szCs w:val="20"/>
                      <w:lang w:val="en-AU"/>
                    </w:rPr>
                    <w:t xml:space="preserve"> 2007, and</w:t>
                  </w:r>
                  <w:r w:rsidRPr="00D33C2C">
                    <w:rPr>
                      <w:lang w:val="en-AU"/>
                    </w:rPr>
                    <w:t xml:space="preserve"> </w:t>
                  </w:r>
                  <w:proofErr w:type="spellStart"/>
                  <w:r w:rsidRPr="00D33C2C">
                    <w:rPr>
                      <w:rFonts w:ascii="Arial Narrow" w:hAnsi="Arial Narrow"/>
                      <w:sz w:val="20"/>
                      <w:szCs w:val="20"/>
                      <w:lang w:val="en-AU"/>
                    </w:rPr>
                    <w:t>Valamparampil</w:t>
                  </w:r>
                  <w:proofErr w:type="spellEnd"/>
                  <w:r w:rsidRPr="00D33C2C">
                    <w:rPr>
                      <w:rFonts w:ascii="Arial Narrow" w:hAnsi="Arial Narrow"/>
                      <w:sz w:val="20"/>
                      <w:szCs w:val="20"/>
                      <w:lang w:val="en-AU"/>
                    </w:rPr>
                    <w:t xml:space="preserve"> 2019.</w:t>
                  </w:r>
                </w:p>
                <w:p w14:paraId="7CE8BFD3" w14:textId="77777777" w:rsidR="00404D38" w:rsidRPr="00D33C2C" w:rsidRDefault="00404D38" w:rsidP="00111713">
                  <w:pPr>
                    <w:pStyle w:val="ReporttextSource"/>
                    <w:keepNext/>
                    <w:keepLines/>
                    <w:spacing w:before="0" w:after="0" w:line="240" w:lineRule="auto"/>
                    <w:jc w:val="left"/>
                    <w:rPr>
                      <w:rFonts w:ascii="Arial Narrow" w:hAnsi="Arial Narrow"/>
                      <w:sz w:val="20"/>
                      <w:szCs w:val="20"/>
                      <w:lang w:val="en-AU"/>
                    </w:rPr>
                  </w:pPr>
                  <w:r w:rsidRPr="00D33C2C">
                    <w:rPr>
                      <w:rFonts w:ascii="Arial Narrow" w:hAnsi="Arial Narrow"/>
                      <w:sz w:val="20"/>
                      <w:szCs w:val="20"/>
                      <w:lang w:val="en-AU"/>
                    </w:rPr>
                    <w:t>Long-term (2-5 year) post-LT mortality was based on pooled data from Hori 2011 and Wanty 2004 (1.91%)</w:t>
                  </w:r>
                </w:p>
              </w:tc>
            </w:tr>
          </w:tbl>
          <w:p w14:paraId="00A0F6DE" w14:textId="77777777" w:rsidR="00404D38" w:rsidRPr="00D33C2C" w:rsidRDefault="00404D38" w:rsidP="003D5175">
            <w:pPr>
              <w:pStyle w:val="Tabletext"/>
              <w:keepNext/>
              <w:keepLines/>
            </w:pPr>
            <w:r w:rsidRPr="0037642B">
              <w:rPr>
                <w:sz w:val="18"/>
                <w:szCs w:val="22"/>
              </w:rPr>
              <w:t xml:space="preserve">Source: Table 3-3 from the resubmission </w:t>
            </w:r>
          </w:p>
        </w:tc>
      </w:tr>
      <w:tr w:rsidR="00404D38" w:rsidRPr="00D33C2C" w14:paraId="76F614DF" w14:textId="77777777" w:rsidTr="007D00DA">
        <w:trPr>
          <w:cantSplit/>
        </w:trPr>
        <w:tc>
          <w:tcPr>
            <w:tcW w:w="784" w:type="pct"/>
            <w:shd w:val="clear" w:color="auto" w:fill="DBE5F1" w:themeFill="accent1" w:themeFillTint="33"/>
            <w:vAlign w:val="center"/>
          </w:tcPr>
          <w:p w14:paraId="2A5A8965" w14:textId="77777777" w:rsidR="00404D38" w:rsidRPr="00D33C2C" w:rsidRDefault="00404D38" w:rsidP="003D5175">
            <w:pPr>
              <w:pStyle w:val="TableText0"/>
            </w:pPr>
            <w:r w:rsidRPr="00D33C2C">
              <w:lastRenderedPageBreak/>
              <w:t>Extrapolation method</w:t>
            </w:r>
          </w:p>
        </w:tc>
        <w:tc>
          <w:tcPr>
            <w:tcW w:w="4216" w:type="pct"/>
            <w:shd w:val="clear" w:color="auto" w:fill="DBE5F1" w:themeFill="accent1" w:themeFillTint="33"/>
            <w:vAlign w:val="center"/>
          </w:tcPr>
          <w:p w14:paraId="6E55C161" w14:textId="77777777" w:rsidR="00404D38" w:rsidRPr="00D33C2C" w:rsidRDefault="00404D38" w:rsidP="003D5175">
            <w:pPr>
              <w:pStyle w:val="TableText0"/>
            </w:pPr>
            <w:r w:rsidRPr="00D33C2C">
              <w:t xml:space="preserve">For transitions to PEBD and LT, exponential models were fitted to OvEC data. </w:t>
            </w:r>
          </w:p>
          <w:p w14:paraId="6AE89056" w14:textId="77777777" w:rsidR="00404D38" w:rsidRPr="00D33C2C" w:rsidRDefault="00404D38" w:rsidP="003D5175">
            <w:pPr>
              <w:pStyle w:val="TableText0"/>
            </w:pPr>
            <w:r w:rsidRPr="00D33C2C">
              <w:t>For transitions to long-term post-LT mortality, an exponential model was fitted to pooled data from two studies (Hori 2011 and Wanty 2004) to informed transitions of long-term post-LT mortality and a weighted average of PFIC 1 (27.4%) and PFIC2 (72.6%).</w:t>
            </w:r>
          </w:p>
        </w:tc>
      </w:tr>
      <w:tr w:rsidR="00404D38" w:rsidRPr="00D33C2C" w14:paraId="67BF79B3" w14:textId="77777777" w:rsidTr="007D00DA">
        <w:trPr>
          <w:cantSplit/>
        </w:trPr>
        <w:tc>
          <w:tcPr>
            <w:tcW w:w="784" w:type="pct"/>
            <w:shd w:val="clear" w:color="auto" w:fill="auto"/>
            <w:vAlign w:val="center"/>
          </w:tcPr>
          <w:p w14:paraId="598BA2ED" w14:textId="77777777" w:rsidR="00404D38" w:rsidRPr="00D33C2C" w:rsidRDefault="00404D38" w:rsidP="003D5175">
            <w:pPr>
              <w:pStyle w:val="TableText0"/>
            </w:pPr>
            <w:r w:rsidRPr="00D33C2C">
              <w:t>Health related quality of life</w:t>
            </w:r>
          </w:p>
        </w:tc>
        <w:tc>
          <w:tcPr>
            <w:tcW w:w="4216" w:type="pct"/>
            <w:shd w:val="clear" w:color="auto" w:fill="auto"/>
            <w:vAlign w:val="center"/>
          </w:tcPr>
          <w:p w14:paraId="02811BF4" w14:textId="527C0107" w:rsidR="000A0590" w:rsidRPr="00D33C2C" w:rsidRDefault="00404D38" w:rsidP="005901EB">
            <w:pPr>
              <w:pStyle w:val="TableText0"/>
              <w:pBdr>
                <w:top w:val="single" w:sz="4" w:space="1" w:color="auto"/>
              </w:pBdr>
            </w:pPr>
            <w:r>
              <w:t>The resubmission maintained the utility for the ‘PEBD, response’ state as below that of the ‘no PEBD, no response’ state. However</w:t>
            </w:r>
            <w:r w:rsidR="0041247B">
              <w:t>,</w:t>
            </w:r>
            <w:r>
              <w:t xml:space="preserve"> the health state utility value was increased from 0.659 to 0.761 in the resubmission.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2"/>
              <w:gridCol w:w="777"/>
              <w:gridCol w:w="5310"/>
            </w:tblGrid>
            <w:tr w:rsidR="00404D38" w:rsidRPr="00D33C2C" w14:paraId="0BDC6982" w14:textId="77777777" w:rsidTr="006A262E">
              <w:trPr>
                <w:trHeight w:val="20"/>
                <w:tblHeader/>
              </w:trPr>
              <w:tc>
                <w:tcPr>
                  <w:tcW w:w="1271" w:type="dxa"/>
                  <w:tcBorders>
                    <w:top w:val="single" w:sz="4" w:space="0" w:color="auto"/>
                    <w:left w:val="single" w:sz="4" w:space="0" w:color="auto"/>
                    <w:bottom w:val="single" w:sz="4" w:space="0" w:color="auto"/>
                    <w:right w:val="single" w:sz="4" w:space="0" w:color="auto"/>
                  </w:tcBorders>
                  <w:vAlign w:val="center"/>
                </w:tcPr>
                <w:p w14:paraId="6CCCC3DB" w14:textId="77777777" w:rsidR="00404D38" w:rsidRPr="00D33C2C" w:rsidRDefault="00404D38" w:rsidP="00111713">
                  <w:pPr>
                    <w:pStyle w:val="In-tableHeading"/>
                    <w:keepNext/>
                    <w:keepLines/>
                    <w:framePr w:hSpace="0" w:wrap="auto" w:vAnchor="margin" w:yAlign="inline"/>
                    <w:pBdr>
                      <w:top w:val="single" w:sz="4" w:space="1" w:color="auto"/>
                    </w:pBdr>
                    <w:suppressOverlap w:val="0"/>
                    <w:jc w:val="center"/>
                    <w:rPr>
                      <w:lang w:val="en-AU"/>
                    </w:rPr>
                  </w:pPr>
                  <w:r w:rsidRPr="00D33C2C">
                    <w:rPr>
                      <w:lang w:val="en-AU"/>
                    </w:rPr>
                    <w:t>Health state</w:t>
                  </w:r>
                </w:p>
              </w:tc>
              <w:tc>
                <w:tcPr>
                  <w:tcW w:w="709" w:type="dxa"/>
                  <w:tcBorders>
                    <w:top w:val="single" w:sz="4" w:space="0" w:color="auto"/>
                    <w:left w:val="single" w:sz="4" w:space="0" w:color="auto"/>
                    <w:bottom w:val="single" w:sz="4" w:space="0" w:color="auto"/>
                    <w:right w:val="single" w:sz="4" w:space="0" w:color="auto"/>
                  </w:tcBorders>
                  <w:vAlign w:val="center"/>
                </w:tcPr>
                <w:p w14:paraId="0682A851" w14:textId="77777777" w:rsidR="00404D38" w:rsidRPr="00D33C2C" w:rsidRDefault="00404D38" w:rsidP="00111713">
                  <w:pPr>
                    <w:pStyle w:val="In-tableHeading"/>
                    <w:keepNext/>
                    <w:keepLines/>
                    <w:framePr w:hSpace="0" w:wrap="auto" w:vAnchor="margin" w:yAlign="inline"/>
                    <w:pBdr>
                      <w:top w:val="single" w:sz="4" w:space="1" w:color="auto"/>
                    </w:pBdr>
                    <w:suppressOverlap w:val="0"/>
                    <w:jc w:val="center"/>
                    <w:rPr>
                      <w:lang w:val="en-AU"/>
                    </w:rPr>
                  </w:pPr>
                  <w:r w:rsidRPr="00D33C2C">
                    <w:rPr>
                      <w:lang w:val="en-AU"/>
                    </w:rPr>
                    <w:t>Utility</w:t>
                  </w:r>
                </w:p>
              </w:tc>
              <w:tc>
                <w:tcPr>
                  <w:tcW w:w="4848" w:type="dxa"/>
                  <w:tcBorders>
                    <w:top w:val="single" w:sz="4" w:space="0" w:color="auto"/>
                    <w:left w:val="single" w:sz="4" w:space="0" w:color="auto"/>
                    <w:bottom w:val="single" w:sz="4" w:space="0" w:color="auto"/>
                    <w:right w:val="single" w:sz="4" w:space="0" w:color="auto"/>
                  </w:tcBorders>
                </w:tcPr>
                <w:p w14:paraId="5D7FD35C" w14:textId="77777777" w:rsidR="00404D38" w:rsidRPr="00D33C2C" w:rsidRDefault="00404D38" w:rsidP="00111713">
                  <w:pPr>
                    <w:pStyle w:val="In-tableHeading"/>
                    <w:keepNext/>
                    <w:keepLines/>
                    <w:framePr w:hSpace="0" w:wrap="auto" w:vAnchor="margin" w:yAlign="inline"/>
                    <w:pBdr>
                      <w:top w:val="single" w:sz="4" w:space="1" w:color="auto"/>
                    </w:pBdr>
                    <w:suppressOverlap w:val="0"/>
                    <w:jc w:val="center"/>
                    <w:rPr>
                      <w:lang w:val="en-AU"/>
                    </w:rPr>
                  </w:pPr>
                  <w:r w:rsidRPr="00D33C2C">
                    <w:rPr>
                      <w:lang w:val="en-AU"/>
                    </w:rPr>
                    <w:t>Source</w:t>
                  </w:r>
                </w:p>
              </w:tc>
            </w:tr>
            <w:tr w:rsidR="00404D38" w:rsidRPr="00D33C2C" w14:paraId="6EECB544" w14:textId="77777777" w:rsidTr="006A262E">
              <w:trPr>
                <w:trHeight w:val="20"/>
              </w:trPr>
              <w:tc>
                <w:tcPr>
                  <w:tcW w:w="1271" w:type="dxa"/>
                  <w:tcBorders>
                    <w:top w:val="single" w:sz="4" w:space="0" w:color="auto"/>
                  </w:tcBorders>
                  <w:shd w:val="clear" w:color="auto" w:fill="DBE5F1" w:themeFill="accent1" w:themeFillTint="33"/>
                  <w:vAlign w:val="center"/>
                </w:tcPr>
                <w:p w14:paraId="21C86816" w14:textId="77777777" w:rsidR="00404D38" w:rsidRPr="00D33C2C" w:rsidRDefault="00404D38" w:rsidP="00111713">
                  <w:pPr>
                    <w:pStyle w:val="TableText0"/>
                  </w:pPr>
                  <w:r w:rsidRPr="00D33C2C">
                    <w:t>No PEBD, response</w:t>
                  </w:r>
                </w:p>
              </w:tc>
              <w:tc>
                <w:tcPr>
                  <w:tcW w:w="709" w:type="dxa"/>
                  <w:tcBorders>
                    <w:top w:val="single" w:sz="4" w:space="0" w:color="auto"/>
                  </w:tcBorders>
                  <w:shd w:val="clear" w:color="auto" w:fill="DBE5F1" w:themeFill="accent1" w:themeFillTint="33"/>
                  <w:vAlign w:val="center"/>
                </w:tcPr>
                <w:p w14:paraId="204DCEE3" w14:textId="77777777" w:rsidR="00404D38" w:rsidRPr="00D33C2C" w:rsidRDefault="00404D38" w:rsidP="00111713">
                  <w:pPr>
                    <w:pStyle w:val="TableText0"/>
                  </w:pPr>
                  <w:r w:rsidRPr="00D33C2C">
                    <w:t>0.91</w:t>
                  </w:r>
                </w:p>
              </w:tc>
              <w:tc>
                <w:tcPr>
                  <w:tcW w:w="4848" w:type="dxa"/>
                  <w:tcBorders>
                    <w:top w:val="single" w:sz="4" w:space="0" w:color="auto"/>
                  </w:tcBorders>
                  <w:shd w:val="clear" w:color="auto" w:fill="DBE5F1" w:themeFill="accent1" w:themeFillTint="33"/>
                  <w:vAlign w:val="center"/>
                </w:tcPr>
                <w:p w14:paraId="6406AB76" w14:textId="77777777" w:rsidR="00404D38" w:rsidRPr="00D33C2C" w:rsidRDefault="00404D38" w:rsidP="00111713">
                  <w:pPr>
                    <w:pStyle w:val="TableText0"/>
                  </w:pPr>
                  <w:r w:rsidRPr="00D33C2C">
                    <w:t>‘Healthy children’ from Kamath 2015</w:t>
                  </w:r>
                </w:p>
              </w:tc>
            </w:tr>
            <w:tr w:rsidR="00404D38" w:rsidRPr="00D33C2C" w14:paraId="4E21BC25" w14:textId="77777777" w:rsidTr="000A0590">
              <w:trPr>
                <w:trHeight w:val="20"/>
              </w:trPr>
              <w:tc>
                <w:tcPr>
                  <w:tcW w:w="1271" w:type="dxa"/>
                  <w:shd w:val="clear" w:color="auto" w:fill="DBE5F1" w:themeFill="accent1" w:themeFillTint="33"/>
                  <w:vAlign w:val="center"/>
                </w:tcPr>
                <w:p w14:paraId="09F2E505" w14:textId="77777777" w:rsidR="00404D38" w:rsidRPr="00D33C2C" w:rsidRDefault="00404D38" w:rsidP="00111713">
                  <w:pPr>
                    <w:pStyle w:val="TableText0"/>
                  </w:pPr>
                  <w:r w:rsidRPr="00D33C2C">
                    <w:t>No PEBD, no response</w:t>
                  </w:r>
                </w:p>
              </w:tc>
              <w:tc>
                <w:tcPr>
                  <w:tcW w:w="709" w:type="dxa"/>
                  <w:shd w:val="clear" w:color="auto" w:fill="DBE5F1" w:themeFill="accent1" w:themeFillTint="33"/>
                  <w:vAlign w:val="center"/>
                </w:tcPr>
                <w:p w14:paraId="4648B946" w14:textId="77777777" w:rsidR="00404D38" w:rsidRPr="00D33C2C" w:rsidRDefault="00404D38" w:rsidP="00111713">
                  <w:pPr>
                    <w:pStyle w:val="TableText0"/>
                  </w:pPr>
                  <w:r w:rsidRPr="00D33C2C">
                    <w:t>0.83</w:t>
                  </w:r>
                </w:p>
              </w:tc>
              <w:tc>
                <w:tcPr>
                  <w:tcW w:w="4848" w:type="dxa"/>
                  <w:shd w:val="clear" w:color="auto" w:fill="DBE5F1" w:themeFill="accent1" w:themeFillTint="33"/>
                  <w:vAlign w:val="center"/>
                </w:tcPr>
                <w:p w14:paraId="6EF87EB4" w14:textId="77777777" w:rsidR="00404D38" w:rsidRPr="00D33C2C" w:rsidRDefault="00404D38" w:rsidP="00111713">
                  <w:pPr>
                    <w:pStyle w:val="TableText0"/>
                  </w:pPr>
                  <w:r w:rsidRPr="00D33C2C">
                    <w:t>‘</w:t>
                  </w:r>
                  <w:r w:rsidRPr="00D33C2C">
                    <w:rPr>
                      <w:rFonts w:cstheme="minorHAnsi"/>
                    </w:rPr>
                    <w:t xml:space="preserve">CIC children’ from </w:t>
                  </w:r>
                  <w:r w:rsidRPr="00D33C2C">
                    <w:t>Kamath 2015; ‘Short stature multiplier’ from Al-</w:t>
                  </w:r>
                  <w:proofErr w:type="spellStart"/>
                  <w:r w:rsidRPr="00D33C2C">
                    <w:t>Uzri</w:t>
                  </w:r>
                  <w:proofErr w:type="spellEnd"/>
                  <w:r w:rsidRPr="00D33C2C">
                    <w:t xml:space="preserve"> 2013</w:t>
                  </w:r>
                </w:p>
              </w:tc>
            </w:tr>
            <w:tr w:rsidR="00404D38" w:rsidRPr="00D33C2C" w14:paraId="4F5D7F05" w14:textId="77777777" w:rsidTr="000A0590">
              <w:trPr>
                <w:trHeight w:val="20"/>
              </w:trPr>
              <w:tc>
                <w:tcPr>
                  <w:tcW w:w="1271" w:type="dxa"/>
                  <w:vAlign w:val="center"/>
                </w:tcPr>
                <w:p w14:paraId="7F3BC1E9" w14:textId="77777777" w:rsidR="00404D38" w:rsidRPr="00D33C2C" w:rsidRDefault="00404D38" w:rsidP="00111713">
                  <w:pPr>
                    <w:pStyle w:val="TableText0"/>
                  </w:pPr>
                  <w:r w:rsidRPr="00D33C2C">
                    <w:t>PEBD, response</w:t>
                  </w:r>
                </w:p>
              </w:tc>
              <w:tc>
                <w:tcPr>
                  <w:tcW w:w="709" w:type="dxa"/>
                  <w:vAlign w:val="center"/>
                </w:tcPr>
                <w:p w14:paraId="328B0C1E" w14:textId="77777777" w:rsidR="00404D38" w:rsidRPr="00D33C2C" w:rsidRDefault="00404D38" w:rsidP="00111713">
                  <w:pPr>
                    <w:pStyle w:val="TableText0"/>
                  </w:pPr>
                  <w:r w:rsidRPr="00D33C2C">
                    <w:t>0.</w:t>
                  </w:r>
                  <w:r>
                    <w:t>761</w:t>
                  </w:r>
                </w:p>
              </w:tc>
              <w:tc>
                <w:tcPr>
                  <w:tcW w:w="4848" w:type="dxa"/>
                  <w:vAlign w:val="center"/>
                </w:tcPr>
                <w:p w14:paraId="1B5CBA23" w14:textId="77777777" w:rsidR="00404D38" w:rsidRPr="00D33C2C" w:rsidRDefault="00404D38" w:rsidP="00111713">
                  <w:pPr>
                    <w:pStyle w:val="TableText0"/>
                  </w:pPr>
                  <w:r>
                    <w:t>A stoma disutility modifier (0.833), based on the a</w:t>
                  </w:r>
                  <w:r w:rsidRPr="00193C99">
                    <w:t>verage of Arseneau 2006 (0.722) and Hornbrook 2011 (0.945)</w:t>
                  </w:r>
                  <w:r>
                    <w:t xml:space="preserve"> was applied to the ‘No PEBD, response state’. </w:t>
                  </w:r>
                </w:p>
              </w:tc>
            </w:tr>
            <w:tr w:rsidR="00404D38" w:rsidRPr="00D33C2C" w14:paraId="7922E53D" w14:textId="77777777" w:rsidTr="000A0590">
              <w:trPr>
                <w:trHeight w:val="20"/>
              </w:trPr>
              <w:tc>
                <w:tcPr>
                  <w:tcW w:w="1271" w:type="dxa"/>
                  <w:shd w:val="clear" w:color="auto" w:fill="DBE5F1" w:themeFill="accent1" w:themeFillTint="33"/>
                  <w:vAlign w:val="center"/>
                </w:tcPr>
                <w:p w14:paraId="50DEC665" w14:textId="77777777" w:rsidR="00404D38" w:rsidRPr="00D33C2C" w:rsidRDefault="00404D38" w:rsidP="00111713">
                  <w:pPr>
                    <w:pStyle w:val="TableText0"/>
                  </w:pPr>
                  <w:r w:rsidRPr="00D33C2C">
                    <w:t>PEBD, no response</w:t>
                  </w:r>
                </w:p>
              </w:tc>
              <w:tc>
                <w:tcPr>
                  <w:tcW w:w="709" w:type="dxa"/>
                  <w:shd w:val="clear" w:color="auto" w:fill="DBE5F1" w:themeFill="accent1" w:themeFillTint="33"/>
                  <w:vAlign w:val="center"/>
                </w:tcPr>
                <w:p w14:paraId="0D6DF9E5" w14:textId="77777777" w:rsidR="00404D38" w:rsidRPr="00D33C2C" w:rsidRDefault="00404D38" w:rsidP="00111713">
                  <w:pPr>
                    <w:pStyle w:val="TableText0"/>
                  </w:pPr>
                  <w:r w:rsidRPr="00D33C2C">
                    <w:t>0.599</w:t>
                  </w:r>
                </w:p>
              </w:tc>
              <w:tc>
                <w:tcPr>
                  <w:tcW w:w="4848" w:type="dxa"/>
                  <w:shd w:val="clear" w:color="auto" w:fill="DBE5F1" w:themeFill="accent1" w:themeFillTint="33"/>
                  <w:vAlign w:val="center"/>
                </w:tcPr>
                <w:p w14:paraId="4F187A91" w14:textId="77777777" w:rsidR="00404D38" w:rsidRPr="00D33C2C" w:rsidRDefault="00404D38" w:rsidP="00111713">
                  <w:pPr>
                    <w:pStyle w:val="TableText0"/>
                  </w:pPr>
                  <w:r w:rsidRPr="00D33C2C">
                    <w:t>‘</w:t>
                  </w:r>
                  <w:r w:rsidRPr="00D33C2C">
                    <w:rPr>
                      <w:rFonts w:cstheme="minorHAnsi"/>
                    </w:rPr>
                    <w:t xml:space="preserve">CIC children’ </w:t>
                  </w:r>
                  <w:r w:rsidRPr="00D33C2C">
                    <w:t>from Kamath 2015; ‘Short stature multiplier’ from Al-</w:t>
                  </w:r>
                  <w:proofErr w:type="spellStart"/>
                  <w:r w:rsidRPr="00D33C2C">
                    <w:t>Uzri</w:t>
                  </w:r>
                  <w:proofErr w:type="spellEnd"/>
                  <w:r w:rsidRPr="00D33C2C">
                    <w:t xml:space="preserve"> 2013; ‘Stoma bag multiplier’ from Hornbrook 2011</w:t>
                  </w:r>
                </w:p>
              </w:tc>
            </w:tr>
            <w:tr w:rsidR="00404D38" w:rsidRPr="00D33C2C" w14:paraId="00A9B916" w14:textId="77777777" w:rsidTr="000A0590">
              <w:trPr>
                <w:trHeight w:val="20"/>
              </w:trPr>
              <w:tc>
                <w:tcPr>
                  <w:tcW w:w="1271" w:type="dxa"/>
                  <w:shd w:val="clear" w:color="auto" w:fill="DBE5F1" w:themeFill="accent1" w:themeFillTint="33"/>
                  <w:vAlign w:val="center"/>
                </w:tcPr>
                <w:p w14:paraId="4AC149D3" w14:textId="77777777" w:rsidR="00404D38" w:rsidRPr="00D33C2C" w:rsidRDefault="00404D38" w:rsidP="00111713">
                  <w:pPr>
                    <w:pStyle w:val="TableText0"/>
                  </w:pPr>
                  <w:r w:rsidRPr="00D33C2C">
                    <w:t>LT</w:t>
                  </w:r>
                </w:p>
              </w:tc>
              <w:tc>
                <w:tcPr>
                  <w:tcW w:w="709" w:type="dxa"/>
                  <w:shd w:val="clear" w:color="auto" w:fill="DBE5F1" w:themeFill="accent1" w:themeFillTint="33"/>
                  <w:vAlign w:val="center"/>
                </w:tcPr>
                <w:p w14:paraId="7439F672" w14:textId="77777777" w:rsidR="00404D38" w:rsidRPr="00D33C2C" w:rsidRDefault="00404D38" w:rsidP="00111713">
                  <w:pPr>
                    <w:pStyle w:val="TableText0"/>
                  </w:pPr>
                  <w:r w:rsidRPr="00D33C2C">
                    <w:t>0.71</w:t>
                  </w:r>
                </w:p>
              </w:tc>
              <w:tc>
                <w:tcPr>
                  <w:tcW w:w="4848" w:type="dxa"/>
                  <w:shd w:val="clear" w:color="auto" w:fill="DBE5F1" w:themeFill="accent1" w:themeFillTint="33"/>
                  <w:vAlign w:val="center"/>
                </w:tcPr>
                <w:p w14:paraId="6EB06899" w14:textId="77777777" w:rsidR="00404D38" w:rsidRPr="00D33C2C" w:rsidRDefault="00404D38" w:rsidP="00111713">
                  <w:pPr>
                    <w:pStyle w:val="TableText0"/>
                  </w:pPr>
                  <w:r w:rsidRPr="00D33C2C">
                    <w:t>‘Severe pruritus patients’ from Kini 2011</w:t>
                  </w:r>
                </w:p>
              </w:tc>
            </w:tr>
            <w:tr w:rsidR="00404D38" w:rsidRPr="00D33C2C" w14:paraId="11502763" w14:textId="77777777" w:rsidTr="000A0590">
              <w:trPr>
                <w:trHeight w:val="20"/>
              </w:trPr>
              <w:tc>
                <w:tcPr>
                  <w:tcW w:w="1271" w:type="dxa"/>
                  <w:shd w:val="clear" w:color="auto" w:fill="DBE5F1" w:themeFill="accent1" w:themeFillTint="33"/>
                  <w:vAlign w:val="center"/>
                </w:tcPr>
                <w:p w14:paraId="0A2E2C14" w14:textId="77777777" w:rsidR="00404D38" w:rsidRPr="00D33C2C" w:rsidRDefault="00404D38" w:rsidP="00111713">
                  <w:pPr>
                    <w:pStyle w:val="TableText0"/>
                  </w:pPr>
                  <w:r w:rsidRPr="00D33C2C">
                    <w:t>Post-LT</w:t>
                  </w:r>
                </w:p>
              </w:tc>
              <w:tc>
                <w:tcPr>
                  <w:tcW w:w="709" w:type="dxa"/>
                  <w:shd w:val="clear" w:color="auto" w:fill="DBE5F1" w:themeFill="accent1" w:themeFillTint="33"/>
                  <w:vAlign w:val="center"/>
                </w:tcPr>
                <w:p w14:paraId="285DBFC1" w14:textId="77777777" w:rsidR="00404D38" w:rsidRPr="00D33C2C" w:rsidRDefault="00404D38" w:rsidP="00111713">
                  <w:pPr>
                    <w:pStyle w:val="TableText0"/>
                    <w:rPr>
                      <w:vertAlign w:val="superscript"/>
                    </w:rPr>
                  </w:pPr>
                  <w:r w:rsidRPr="00D33C2C">
                    <w:t>0.774</w:t>
                  </w:r>
                </w:p>
              </w:tc>
              <w:tc>
                <w:tcPr>
                  <w:tcW w:w="4848" w:type="dxa"/>
                  <w:shd w:val="clear" w:color="auto" w:fill="DBE5F1" w:themeFill="accent1" w:themeFillTint="33"/>
                  <w:vAlign w:val="center"/>
                </w:tcPr>
                <w:p w14:paraId="2F920ED7" w14:textId="77777777" w:rsidR="00404D38" w:rsidRPr="00D33C2C" w:rsidRDefault="00404D38" w:rsidP="00111713">
                  <w:pPr>
                    <w:pStyle w:val="TableText0"/>
                  </w:pPr>
                  <w:r w:rsidRPr="00D33C2C">
                    <w:t xml:space="preserve">‘Post LT children’ from Parma 2017, </w:t>
                  </w:r>
                </w:p>
              </w:tc>
            </w:tr>
          </w:tbl>
          <w:p w14:paraId="4B03B18E" w14:textId="77777777" w:rsidR="00404D38" w:rsidRPr="00D33C2C" w:rsidRDefault="00404D38" w:rsidP="003D5175">
            <w:pPr>
              <w:pStyle w:val="TableFigureFooter"/>
              <w:keepNext/>
              <w:keepLines/>
              <w:spacing w:after="0"/>
              <w:rPr>
                <w:sz w:val="20"/>
              </w:rPr>
            </w:pPr>
          </w:p>
        </w:tc>
      </w:tr>
      <w:tr w:rsidR="00404D38" w:rsidRPr="00D33C2C" w14:paraId="38B82ABA" w14:textId="77777777" w:rsidTr="007D00DA">
        <w:trPr>
          <w:cantSplit/>
        </w:trPr>
        <w:tc>
          <w:tcPr>
            <w:tcW w:w="784" w:type="pct"/>
            <w:shd w:val="clear" w:color="auto" w:fill="auto"/>
            <w:vAlign w:val="center"/>
          </w:tcPr>
          <w:p w14:paraId="37ACB9C5" w14:textId="77777777" w:rsidR="00404D38" w:rsidRPr="00D33C2C" w:rsidRDefault="00404D38" w:rsidP="003D5175">
            <w:pPr>
              <w:pStyle w:val="Tabletext"/>
              <w:keepNext/>
              <w:keepLines/>
            </w:pPr>
            <w:r w:rsidRPr="00D33C2C">
              <w:t xml:space="preserve">Healthcare resource use and costs </w:t>
            </w:r>
          </w:p>
        </w:tc>
        <w:tc>
          <w:tcPr>
            <w:tcW w:w="4216" w:type="pct"/>
            <w:shd w:val="clear" w:color="auto" w:fill="auto"/>
            <w:vAlign w:val="center"/>
          </w:tcPr>
          <w:p w14:paraId="785F8A10" w14:textId="77777777" w:rsidR="00404D38" w:rsidRPr="00D33C2C" w:rsidRDefault="00404D38" w:rsidP="003D5175">
            <w:pPr>
              <w:pStyle w:val="Tabletext"/>
              <w:keepNext/>
              <w:keepLines/>
            </w:pPr>
            <w:r w:rsidRPr="00D33C2C">
              <w:t xml:space="preserve">The </w:t>
            </w:r>
            <w:r>
              <w:t>re</w:t>
            </w:r>
            <w:r w:rsidRPr="00D33C2C">
              <w:t>submission included costs associated with: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6"/>
              <w:gridCol w:w="5373"/>
            </w:tblGrid>
            <w:tr w:rsidR="00404D38" w:rsidRPr="00D33C2C" w14:paraId="469125A6" w14:textId="77777777" w:rsidTr="00AC13C1">
              <w:trPr>
                <w:trHeight w:val="20"/>
              </w:trPr>
              <w:tc>
                <w:tcPr>
                  <w:tcW w:w="2122" w:type="dxa"/>
                </w:tcPr>
                <w:p w14:paraId="04407D4E" w14:textId="77777777" w:rsidR="00404D38" w:rsidRPr="00D33C2C" w:rsidRDefault="00404D38" w:rsidP="00111713">
                  <w:pPr>
                    <w:pStyle w:val="TableText0"/>
                    <w:rPr>
                      <w:rStyle w:val="ReporttextChar"/>
                      <w:rFonts w:ascii="Arial Narrow" w:hAnsi="Arial Narrow" w:cstheme="majorBidi"/>
                      <w:b/>
                      <w:bCs w:val="0"/>
                      <w:sz w:val="20"/>
                    </w:rPr>
                  </w:pPr>
                  <w:r w:rsidRPr="00D33C2C">
                    <w:rPr>
                      <w:rStyle w:val="ReporttextChar"/>
                      <w:rFonts w:ascii="Arial Narrow" w:hAnsi="Arial Narrow" w:cstheme="majorBidi"/>
                      <w:b/>
                      <w:bCs w:val="0"/>
                      <w:sz w:val="20"/>
                    </w:rPr>
                    <w:t xml:space="preserve">Resource use or cost </w:t>
                  </w:r>
                </w:p>
              </w:tc>
              <w:tc>
                <w:tcPr>
                  <w:tcW w:w="5415" w:type="dxa"/>
                  <w:vAlign w:val="center"/>
                </w:tcPr>
                <w:p w14:paraId="3913C59F" w14:textId="77777777" w:rsidR="00404D38" w:rsidRPr="00D33C2C" w:rsidRDefault="00404D38" w:rsidP="00111713">
                  <w:pPr>
                    <w:pStyle w:val="TableText0"/>
                    <w:rPr>
                      <w:rStyle w:val="ReporttextChar"/>
                      <w:rFonts w:ascii="Arial Narrow" w:hAnsi="Arial Narrow" w:cstheme="majorBidi"/>
                      <w:b/>
                      <w:bCs w:val="0"/>
                      <w:sz w:val="20"/>
                    </w:rPr>
                  </w:pPr>
                  <w:r w:rsidRPr="00D33C2C">
                    <w:rPr>
                      <w:rStyle w:val="ReporttextChar"/>
                      <w:rFonts w:ascii="Arial Narrow" w:hAnsi="Arial Narrow" w:cstheme="majorBidi"/>
                      <w:b/>
                      <w:bCs w:val="0"/>
                      <w:sz w:val="20"/>
                    </w:rPr>
                    <w:t>Source used in model</w:t>
                  </w:r>
                </w:p>
              </w:tc>
            </w:tr>
            <w:tr w:rsidR="00404D38" w:rsidRPr="00D33C2C" w14:paraId="5572F9BB" w14:textId="77777777" w:rsidTr="00AC13C1">
              <w:trPr>
                <w:trHeight w:val="20"/>
              </w:trPr>
              <w:tc>
                <w:tcPr>
                  <w:tcW w:w="2122" w:type="dxa"/>
                </w:tcPr>
                <w:p w14:paraId="495E36AF" w14:textId="6FE55AEB" w:rsidR="00404D38" w:rsidRPr="00D33C2C" w:rsidRDefault="00404D38" w:rsidP="00111713">
                  <w:pPr>
                    <w:pStyle w:val="TableText0"/>
                    <w:rPr>
                      <w:rStyle w:val="ReporttextChar"/>
                      <w:rFonts w:ascii="Arial Narrow" w:hAnsi="Arial Narrow" w:cstheme="majorBidi"/>
                      <w:sz w:val="20"/>
                      <w:szCs w:val="20"/>
                      <w:lang w:val="en-AU"/>
                    </w:rPr>
                  </w:pPr>
                  <w:r w:rsidRPr="5BA55586">
                    <w:rPr>
                      <w:rStyle w:val="ReporttextChar"/>
                      <w:rFonts w:ascii="Arial Narrow" w:hAnsi="Arial Narrow" w:cstheme="majorBidi"/>
                      <w:sz w:val="20"/>
                      <w:szCs w:val="20"/>
                      <w:lang w:val="en-AU"/>
                    </w:rPr>
                    <w:t>Odevixibat drug acquisition costs</w:t>
                  </w:r>
                </w:p>
              </w:tc>
              <w:tc>
                <w:tcPr>
                  <w:tcW w:w="5415" w:type="dxa"/>
                  <w:vAlign w:val="center"/>
                </w:tcPr>
                <w:p w14:paraId="3E64A833" w14:textId="7D3E9563" w:rsidR="00404D38" w:rsidRPr="00E16A89" w:rsidRDefault="00404D38" w:rsidP="00111713">
                  <w:pPr>
                    <w:pStyle w:val="TableText0"/>
                    <w:rPr>
                      <w:rStyle w:val="ReporttextChar"/>
                      <w:rFonts w:ascii="Arial Narrow" w:hAnsi="Arial Narrow" w:cstheme="majorBidi"/>
                      <w:sz w:val="20"/>
                      <w:szCs w:val="20"/>
                      <w:lang w:val="en-AU"/>
                    </w:rPr>
                  </w:pPr>
                  <w:r w:rsidRPr="5BA55586">
                    <w:rPr>
                      <w:rStyle w:val="ReporttextChar"/>
                      <w:rFonts w:ascii="Arial Narrow" w:hAnsi="Arial Narrow" w:cstheme="majorBidi"/>
                      <w:sz w:val="20"/>
                      <w:szCs w:val="20"/>
                      <w:lang w:val="en-AU"/>
                    </w:rPr>
                    <w:t>The resubmission assumed a ‘</w:t>
                  </w:r>
                  <w:r w:rsidR="001549E4" w:rsidRPr="001549E4">
                    <w:rPr>
                      <w:rStyle w:val="ReporttextChar"/>
                      <w:rFonts w:ascii="Arial Narrow" w:hAnsi="Arial Narrow" w:cstheme="majorBidi"/>
                      <w:color w:val="000000"/>
                      <w:spacing w:val="50"/>
                      <w:sz w:val="20"/>
                      <w:szCs w:val="20"/>
                      <w:shd w:val="solid" w:color="000000" w:fill="000000"/>
                      <w:fitText w:val="322" w:id="-693991412"/>
                      <w:lang w:val="en-AU"/>
                      <w14:textFill>
                        <w14:solidFill>
                          <w14:srgbClr w14:val="000000">
                            <w14:alpha w14:val="100000"/>
                          </w14:srgbClr>
                        </w14:solidFill>
                      </w14:textFill>
                    </w:rPr>
                    <w:t>|||</w:t>
                  </w:r>
                  <w:r w:rsidR="001549E4" w:rsidRPr="001549E4">
                    <w:rPr>
                      <w:rStyle w:val="ReporttextChar"/>
                      <w:rFonts w:ascii="Arial Narrow" w:hAnsi="Arial Narrow" w:cstheme="majorBidi"/>
                      <w:color w:val="000000"/>
                      <w:spacing w:val="2"/>
                      <w:sz w:val="20"/>
                      <w:szCs w:val="20"/>
                      <w:shd w:val="solid" w:color="000000" w:fill="000000"/>
                      <w:fitText w:val="322" w:id="-693991412"/>
                      <w:lang w:val="en-AU"/>
                      <w14:textFill>
                        <w14:solidFill>
                          <w14:srgbClr w14:val="000000">
                            <w14:alpha w14:val="100000"/>
                          </w14:srgbClr>
                        </w14:solidFill>
                      </w14:textFill>
                    </w:rPr>
                    <w:t>|</w:t>
                  </w:r>
                  <w:r w:rsidR="00BB1289" w:rsidRPr="00BB1289">
                    <w:rPr>
                      <w:rStyle w:val="ReporttextChar"/>
                      <w:rFonts w:ascii="Arial Narrow" w:hAnsi="Arial Narrow" w:cstheme="majorBidi"/>
                      <w:sz w:val="20"/>
                      <w:szCs w:val="20"/>
                      <w:lang w:val="en-AU"/>
                    </w:rPr>
                    <w:t xml:space="preserve"> </w:t>
                  </w:r>
                  <w:r w:rsidR="001549E4" w:rsidRPr="001549E4">
                    <w:rPr>
                      <w:rStyle w:val="ReporttextChar"/>
                      <w:rFonts w:ascii="Arial Narrow" w:hAnsi="Arial Narrow" w:cstheme="majorBidi"/>
                      <w:color w:val="000000"/>
                      <w:spacing w:val="50"/>
                      <w:sz w:val="20"/>
                      <w:szCs w:val="20"/>
                      <w:shd w:val="solid" w:color="000000" w:fill="000000"/>
                      <w:fitText w:val="323" w:id="-693991411"/>
                      <w:lang w:val="en-AU"/>
                      <w14:textFill>
                        <w14:solidFill>
                          <w14:srgbClr w14:val="000000">
                            <w14:alpha w14:val="100000"/>
                          </w14:srgbClr>
                        </w14:solidFill>
                      </w14:textFill>
                    </w:rPr>
                    <w:t>|||</w:t>
                  </w:r>
                  <w:r w:rsidR="001549E4" w:rsidRPr="001549E4">
                    <w:rPr>
                      <w:rStyle w:val="ReporttextChar"/>
                      <w:rFonts w:ascii="Arial Narrow" w:hAnsi="Arial Narrow" w:cstheme="majorBidi"/>
                      <w:color w:val="000000"/>
                      <w:spacing w:val="3"/>
                      <w:sz w:val="20"/>
                      <w:szCs w:val="20"/>
                      <w:shd w:val="solid" w:color="000000" w:fill="000000"/>
                      <w:fitText w:val="323" w:id="-693991411"/>
                      <w:lang w:val="en-AU"/>
                      <w14:textFill>
                        <w14:solidFill>
                          <w14:srgbClr w14:val="000000">
                            <w14:alpha w14:val="100000"/>
                          </w14:srgbClr>
                        </w14:solidFill>
                      </w14:textFill>
                    </w:rPr>
                    <w:t>|</w:t>
                  </w:r>
                  <w:r w:rsidRPr="5BA55586">
                    <w:rPr>
                      <w:rStyle w:val="ReporttextChar"/>
                      <w:rFonts w:ascii="Arial Narrow" w:hAnsi="Arial Narrow" w:cstheme="majorBidi"/>
                      <w:sz w:val="20"/>
                      <w:szCs w:val="20"/>
                      <w:lang w:val="en-AU"/>
                    </w:rPr>
                    <w:t xml:space="preserve"> </w:t>
                  </w:r>
                  <w:r w:rsidR="005901EB">
                    <w:rPr>
                      <w:rStyle w:val="ReporttextChar"/>
                      <w:rFonts w:ascii="Arial Narrow" w:hAnsi="Arial Narrow" w:cstheme="majorBidi"/>
                      <w:sz w:val="20"/>
                      <w:szCs w:val="20"/>
                      <w:lang w:val="en-AU"/>
                    </w:rPr>
                    <w:t>c</w:t>
                  </w:r>
                  <w:r w:rsidRPr="5BA55586">
                    <w:rPr>
                      <w:rStyle w:val="ReporttextChar"/>
                      <w:rFonts w:ascii="Arial Narrow" w:hAnsi="Arial Narrow" w:cstheme="majorBidi"/>
                      <w:sz w:val="20"/>
                      <w:szCs w:val="20"/>
                      <w:lang w:val="en-AU"/>
                    </w:rPr>
                    <w:t>ost’. Specifically,</w:t>
                  </w:r>
                  <w:r w:rsidR="005C44CE">
                    <w:rPr>
                      <w:rStyle w:val="ReporttextChar"/>
                      <w:rFonts w:ascii="Arial Narrow" w:hAnsi="Arial Narrow" w:cstheme="majorBidi"/>
                      <w:sz w:val="20"/>
                      <w:szCs w:val="20"/>
                      <w:lang w:val="en-AU"/>
                    </w:rPr>
                    <w:t xml:space="preserve"> </w:t>
                  </w:r>
                  <w:r w:rsidR="0010297B">
                    <w:rPr>
                      <w:rStyle w:val="ReporttextChar"/>
                      <w:rFonts w:ascii="Arial Narrow" w:hAnsi="Arial Narrow" w:cstheme="majorBidi"/>
                      <w:sz w:val="20"/>
                      <w:szCs w:val="20"/>
                    </w:rPr>
                    <w:t>all</w:t>
                  </w:r>
                  <w:r w:rsidR="00931875">
                    <w:rPr>
                      <w:rStyle w:val="ReporttextChar"/>
                      <w:rFonts w:ascii="Arial Narrow" w:hAnsi="Arial Narrow" w:cstheme="majorBidi"/>
                      <w:sz w:val="20"/>
                      <w:szCs w:val="20"/>
                    </w:rPr>
                    <w:t xml:space="preserve"> </w:t>
                  </w:r>
                  <w:r w:rsidR="005C44CE" w:rsidRPr="5BA55586">
                    <w:rPr>
                      <w:rStyle w:val="ReporttextChar"/>
                      <w:rFonts w:ascii="Arial Narrow" w:hAnsi="Arial Narrow" w:cstheme="majorBidi"/>
                      <w:sz w:val="20"/>
                      <w:szCs w:val="20"/>
                    </w:rPr>
                    <w:t>patients initiate</w:t>
                  </w:r>
                  <w:r w:rsidR="005C44CE">
                    <w:rPr>
                      <w:rStyle w:val="ReporttextChar"/>
                      <w:rFonts w:ascii="Arial Narrow" w:hAnsi="Arial Narrow" w:cstheme="majorBidi"/>
                      <w:sz w:val="20"/>
                      <w:szCs w:val="20"/>
                    </w:rPr>
                    <w:t>d</w:t>
                  </w:r>
                  <w:r w:rsidR="005C44CE" w:rsidRPr="5BA55586">
                    <w:rPr>
                      <w:rStyle w:val="ReporttextChar"/>
                      <w:rFonts w:ascii="Arial Narrow" w:hAnsi="Arial Narrow" w:cstheme="majorBidi"/>
                      <w:sz w:val="20"/>
                      <w:szCs w:val="20"/>
                    </w:rPr>
                    <w:t xml:space="preserve"> at 40</w:t>
                  </w:r>
                  <w:r w:rsidR="0017081E">
                    <w:rPr>
                      <w:rStyle w:val="ReporttextChar"/>
                      <w:rFonts w:ascii="Arial Narrow" w:hAnsi="Arial Narrow" w:cstheme="majorBidi"/>
                      <w:sz w:val="20"/>
                      <w:szCs w:val="20"/>
                    </w:rPr>
                    <w:t> mcg</w:t>
                  </w:r>
                  <w:r w:rsidR="005C44CE" w:rsidRPr="5BA55586">
                    <w:rPr>
                      <w:rStyle w:val="ReporttextChar"/>
                      <w:rFonts w:ascii="Arial Narrow" w:hAnsi="Arial Narrow" w:cstheme="majorBidi"/>
                      <w:sz w:val="20"/>
                      <w:szCs w:val="20"/>
                    </w:rPr>
                    <w:t>/kg</w:t>
                  </w:r>
                  <w:r w:rsidR="005C44CE">
                    <w:rPr>
                      <w:rStyle w:val="ReporttextChar"/>
                      <w:rFonts w:ascii="Arial Narrow" w:hAnsi="Arial Narrow" w:cstheme="majorBidi"/>
                      <w:sz w:val="20"/>
                      <w:szCs w:val="20"/>
                    </w:rPr>
                    <w:t xml:space="preserve"> and </w:t>
                  </w:r>
                  <w:r w:rsidR="001549E4" w:rsidRPr="001549E4">
                    <w:rPr>
                      <w:rStyle w:val="ReporttextChar"/>
                      <w:rFonts w:ascii="Arial Narrow" w:hAnsi="Arial Narrow" w:cstheme="majorBidi"/>
                      <w:color w:val="000000"/>
                      <w:spacing w:val="50"/>
                      <w:sz w:val="20"/>
                      <w:szCs w:val="20"/>
                      <w:shd w:val="solid" w:color="000000" w:fill="000000"/>
                      <w:fitText w:val="322" w:id="-693991410"/>
                      <w14:textFill>
                        <w14:solidFill>
                          <w14:srgbClr w14:val="000000">
                            <w14:alpha w14:val="100000"/>
                          </w14:srgbClr>
                        </w14:solidFill>
                      </w14:textFill>
                    </w:rPr>
                    <w:t>|||</w:t>
                  </w:r>
                  <w:r w:rsidR="001549E4" w:rsidRPr="001549E4">
                    <w:rPr>
                      <w:rStyle w:val="ReporttextChar"/>
                      <w:rFonts w:ascii="Arial Narrow" w:hAnsi="Arial Narrow" w:cstheme="majorBidi"/>
                      <w:color w:val="000000"/>
                      <w:spacing w:val="2"/>
                      <w:sz w:val="20"/>
                      <w:szCs w:val="20"/>
                      <w:shd w:val="solid" w:color="000000" w:fill="000000"/>
                      <w:fitText w:val="322" w:id="-693991410"/>
                      <w14:textFill>
                        <w14:solidFill>
                          <w14:srgbClr w14:val="000000">
                            <w14:alpha w14:val="100000"/>
                          </w14:srgbClr>
                        </w14:solidFill>
                      </w14:textFill>
                    </w:rPr>
                    <w:t>|</w:t>
                  </w:r>
                  <w:r w:rsidR="005C44CE" w:rsidRPr="5BA55586">
                    <w:rPr>
                      <w:rStyle w:val="ReporttextChar"/>
                      <w:rFonts w:ascii="Arial Narrow" w:hAnsi="Arial Narrow" w:cstheme="majorBidi"/>
                      <w:sz w:val="20"/>
                      <w:szCs w:val="20"/>
                    </w:rPr>
                    <w:t xml:space="preserve"> dose escalation to 120 mg/kg was permitted</w:t>
                  </w:r>
                  <w:r w:rsidR="004330A4">
                    <w:rPr>
                      <w:rStyle w:val="ReporttextChar"/>
                      <w:rFonts w:ascii="Arial Narrow" w:hAnsi="Arial Narrow" w:cstheme="majorBidi"/>
                      <w:sz w:val="20"/>
                      <w:szCs w:val="20"/>
                    </w:rPr>
                    <w:t xml:space="preserve">. Thus, all patients received benefits and costs associated with </w:t>
                  </w:r>
                  <w:r w:rsidR="00931875">
                    <w:rPr>
                      <w:rStyle w:val="ReporttextChar"/>
                      <w:rFonts w:ascii="Arial Narrow" w:hAnsi="Arial Narrow" w:cstheme="majorBidi"/>
                      <w:sz w:val="20"/>
                      <w:szCs w:val="20"/>
                    </w:rPr>
                    <w:t>the</w:t>
                  </w:r>
                  <w:r w:rsidR="004330A4">
                    <w:rPr>
                      <w:rStyle w:val="ReporttextChar"/>
                      <w:rFonts w:ascii="Arial Narrow" w:hAnsi="Arial Narrow" w:cstheme="majorBidi"/>
                      <w:sz w:val="20"/>
                      <w:szCs w:val="20"/>
                    </w:rPr>
                    <w:t xml:space="preserve"> 40</w:t>
                  </w:r>
                  <w:r w:rsidR="0017081E">
                    <w:rPr>
                      <w:rStyle w:val="ReporttextChar"/>
                      <w:rFonts w:ascii="Arial Narrow" w:hAnsi="Arial Narrow" w:cstheme="majorBidi"/>
                      <w:sz w:val="20"/>
                      <w:szCs w:val="20"/>
                    </w:rPr>
                    <w:t> mcg</w:t>
                  </w:r>
                  <w:r w:rsidR="004330A4">
                    <w:rPr>
                      <w:rStyle w:val="ReporttextChar"/>
                      <w:rFonts w:ascii="Arial Narrow" w:hAnsi="Arial Narrow" w:cstheme="majorBidi"/>
                      <w:sz w:val="20"/>
                      <w:szCs w:val="20"/>
                    </w:rPr>
                    <w:t>/kg dose</w:t>
                  </w:r>
                  <w:r w:rsidR="00931875">
                    <w:rPr>
                      <w:rStyle w:val="ReporttextChar"/>
                      <w:rFonts w:ascii="Arial Narrow" w:hAnsi="Arial Narrow" w:cstheme="majorBidi"/>
                      <w:sz w:val="20"/>
                      <w:szCs w:val="20"/>
                    </w:rPr>
                    <w:t>.</w:t>
                  </w:r>
                  <w:r w:rsidR="005C44CE" w:rsidRPr="5BA55586">
                    <w:rPr>
                      <w:rStyle w:val="ReporttextChar"/>
                      <w:rFonts w:ascii="Arial Narrow" w:hAnsi="Arial Narrow" w:cstheme="majorBidi"/>
                      <w:sz w:val="20"/>
                      <w:szCs w:val="20"/>
                    </w:rPr>
                    <w:t xml:space="preserve"> </w:t>
                  </w:r>
                  <w:r w:rsidRPr="5BA55586">
                    <w:rPr>
                      <w:rStyle w:val="ReporttextChar"/>
                      <w:rFonts w:ascii="Arial Narrow" w:hAnsi="Arial Narrow" w:cstheme="majorBidi"/>
                      <w:sz w:val="20"/>
                      <w:szCs w:val="20"/>
                      <w:lang w:val="en-AU"/>
                    </w:rPr>
                    <w:t>A per unit price reduction was also applied within this resubmission.</w:t>
                  </w:r>
                </w:p>
                <w:p w14:paraId="1E203A8D" w14:textId="36CE028E" w:rsidR="00404D38" w:rsidRPr="00D33C2C" w:rsidRDefault="00404D38" w:rsidP="00111713">
                  <w:pPr>
                    <w:pStyle w:val="TableText0"/>
                    <w:rPr>
                      <w:rStyle w:val="ReporttextChar"/>
                      <w:rFonts w:ascii="Arial Narrow" w:hAnsi="Arial Narrow" w:cstheme="majorBidi"/>
                      <w:sz w:val="20"/>
                      <w:szCs w:val="20"/>
                      <w:lang w:val="en-AU"/>
                    </w:rPr>
                  </w:pPr>
                  <w:r w:rsidRPr="5BA55586">
                    <w:rPr>
                      <w:rStyle w:val="ReporttextChar"/>
                      <w:rFonts w:ascii="Arial Narrow" w:hAnsi="Arial Narrow" w:cstheme="majorBidi"/>
                      <w:sz w:val="20"/>
                      <w:szCs w:val="20"/>
                      <w:lang w:val="en-AU"/>
                    </w:rPr>
                    <w:t>Odevixibat costs are only incurred in the ‘no PEBD, response’ state</w:t>
                  </w:r>
                </w:p>
              </w:tc>
            </w:tr>
            <w:tr w:rsidR="00404D38" w:rsidRPr="00D33C2C" w14:paraId="14E8289A" w14:textId="77777777" w:rsidTr="00AC13C1">
              <w:trPr>
                <w:trHeight w:val="20"/>
              </w:trPr>
              <w:tc>
                <w:tcPr>
                  <w:tcW w:w="2122" w:type="dxa"/>
                  <w:shd w:val="clear" w:color="auto" w:fill="DBE5F1" w:themeFill="accent1" w:themeFillTint="33"/>
                </w:tcPr>
                <w:p w14:paraId="36E351DA" w14:textId="77777777" w:rsidR="00404D38" w:rsidRPr="00D33C2C" w:rsidRDefault="00404D38" w:rsidP="00111713">
                  <w:pPr>
                    <w:pStyle w:val="TableText0"/>
                  </w:pPr>
                  <w:r w:rsidRPr="00D33C2C">
                    <w:t>Oral therapy drug acquisition cost (UDCA, cholestyramine, rifampicin, and naltrexone)</w:t>
                  </w:r>
                </w:p>
              </w:tc>
              <w:tc>
                <w:tcPr>
                  <w:tcW w:w="5415" w:type="dxa"/>
                  <w:shd w:val="clear" w:color="auto" w:fill="DBE5F1" w:themeFill="accent1" w:themeFillTint="33"/>
                  <w:vAlign w:val="center"/>
                </w:tcPr>
                <w:p w14:paraId="49C7E6A5" w14:textId="77777777" w:rsidR="00404D38" w:rsidRPr="00D33C2C" w:rsidRDefault="00404D38" w:rsidP="00111713">
                  <w:pPr>
                    <w:pStyle w:val="TableText0"/>
                  </w:pPr>
                  <w:r w:rsidRPr="00D33C2C">
                    <w:t xml:space="preserve">The proportion of use were informed by PEDFIC 1 (UDCA, rifampicin), a burden of Illness study (HCD 2021; cholestyramine), and the NICE (naltrexone). Both odevixibat and SOC arms receive oral therapies in the ‘no PEBD, response’ and ‘no PEBD, no response’ health states only. </w:t>
                  </w:r>
                </w:p>
              </w:tc>
            </w:tr>
            <w:tr w:rsidR="00404D38" w:rsidRPr="00D33C2C" w14:paraId="7D12A6F4" w14:textId="77777777" w:rsidTr="00AC13C1">
              <w:trPr>
                <w:trHeight w:val="20"/>
              </w:trPr>
              <w:tc>
                <w:tcPr>
                  <w:tcW w:w="2122" w:type="dxa"/>
                  <w:shd w:val="clear" w:color="auto" w:fill="DBE5F1" w:themeFill="accent1" w:themeFillTint="33"/>
                </w:tcPr>
                <w:p w14:paraId="296A5B90" w14:textId="77777777" w:rsidR="00404D38" w:rsidRPr="00D33C2C" w:rsidRDefault="00404D38" w:rsidP="00111713">
                  <w:pPr>
                    <w:pStyle w:val="TableText0"/>
                  </w:pPr>
                  <w:r w:rsidRPr="00D33C2C">
                    <w:t>LT costs (including surgery, immunosuppression, monitoring, and complications)</w:t>
                  </w:r>
                </w:p>
              </w:tc>
              <w:tc>
                <w:tcPr>
                  <w:tcW w:w="5415" w:type="dxa"/>
                  <w:shd w:val="clear" w:color="auto" w:fill="DBE5F1" w:themeFill="accent1" w:themeFillTint="33"/>
                  <w:vAlign w:val="center"/>
                </w:tcPr>
                <w:p w14:paraId="70475EF4" w14:textId="77777777" w:rsidR="00404D38" w:rsidRPr="00D33C2C" w:rsidRDefault="00404D38" w:rsidP="00111713">
                  <w:pPr>
                    <w:pStyle w:val="TableText0"/>
                  </w:pPr>
                  <w:r w:rsidRPr="00D33C2C">
                    <w:t>Pre-transplant costs were based on the McElroy 2017 and LT and organ retrieval costs were sourced from NHCDC. Post-LT costs were also based on McElroy 2017 and include outpatient visits, blood tests, imaging tests and inpatient admission</w:t>
                  </w:r>
                </w:p>
              </w:tc>
            </w:tr>
            <w:tr w:rsidR="00404D38" w:rsidRPr="00D33C2C" w14:paraId="6D826C97" w14:textId="77777777" w:rsidTr="00AC13C1">
              <w:trPr>
                <w:trHeight w:val="20"/>
              </w:trPr>
              <w:tc>
                <w:tcPr>
                  <w:tcW w:w="2122" w:type="dxa"/>
                  <w:shd w:val="clear" w:color="auto" w:fill="DBE5F1" w:themeFill="accent1" w:themeFillTint="33"/>
                </w:tcPr>
                <w:p w14:paraId="4F9BE9A2" w14:textId="77777777" w:rsidR="00404D38" w:rsidRPr="00D33C2C" w:rsidRDefault="00404D38" w:rsidP="00111713">
                  <w:pPr>
                    <w:pStyle w:val="TableText0"/>
                  </w:pPr>
                  <w:r w:rsidRPr="00D33C2C">
                    <w:t>PEBD costs (including surgery, reoperations, complications, and monitoring)</w:t>
                  </w:r>
                </w:p>
              </w:tc>
              <w:tc>
                <w:tcPr>
                  <w:tcW w:w="5415" w:type="dxa"/>
                  <w:shd w:val="clear" w:color="auto" w:fill="DBE5F1" w:themeFill="accent1" w:themeFillTint="33"/>
                  <w:vAlign w:val="center"/>
                </w:tcPr>
                <w:p w14:paraId="2B5EC398" w14:textId="77777777" w:rsidR="00404D38" w:rsidRPr="00D33C2C" w:rsidRDefault="00404D38" w:rsidP="00111713">
                  <w:pPr>
                    <w:pStyle w:val="TableText0"/>
                  </w:pPr>
                  <w:r w:rsidRPr="00D33C2C">
                    <w:t>The proportion of patients with complications (re</w:t>
                  </w:r>
                  <w:r w:rsidRPr="00D33C2C">
                    <w:noBreakHyphen/>
                    <w:t xml:space="preserve">operations, infection or bowel prolapse) was informed by </w:t>
                  </w:r>
                  <w:proofErr w:type="spellStart"/>
                  <w:r w:rsidRPr="00D33C2C">
                    <w:t>Bjornland</w:t>
                  </w:r>
                  <w:proofErr w:type="spellEnd"/>
                  <w:r w:rsidRPr="00D33C2C">
                    <w:t xml:space="preserve"> 2021. The weighted average cost of PEBD and associated complications was applied once-off for new patients entering the PEBD health state. The unit costs, mean number of </w:t>
                  </w:r>
                  <w:r w:rsidRPr="00D33C2C">
                    <w:lastRenderedPageBreak/>
                    <w:t>visits, and the proportion of patients who have clinical were informed by the HCD 2021 burden of illness study.</w:t>
                  </w:r>
                </w:p>
              </w:tc>
            </w:tr>
            <w:tr w:rsidR="00404D38" w:rsidRPr="00D33C2C" w14:paraId="17493CBE" w14:textId="77777777" w:rsidTr="00AC13C1">
              <w:trPr>
                <w:trHeight w:val="20"/>
              </w:trPr>
              <w:tc>
                <w:tcPr>
                  <w:tcW w:w="2122" w:type="dxa"/>
                </w:tcPr>
                <w:p w14:paraId="3F8CDCE9" w14:textId="77777777" w:rsidR="00404D38" w:rsidRPr="00D33C2C" w:rsidRDefault="00404D38" w:rsidP="00111713">
                  <w:pPr>
                    <w:pStyle w:val="TableText0"/>
                  </w:pPr>
                  <w:r w:rsidRPr="00D33C2C">
                    <w:lastRenderedPageBreak/>
                    <w:t>AE</w:t>
                  </w:r>
                </w:p>
              </w:tc>
              <w:tc>
                <w:tcPr>
                  <w:tcW w:w="5415" w:type="dxa"/>
                  <w:vAlign w:val="center"/>
                </w:tcPr>
                <w:p w14:paraId="1A039A75" w14:textId="09D8C99E" w:rsidR="00404D38" w:rsidRPr="00D33C2C" w:rsidRDefault="00404D38" w:rsidP="00111713">
                  <w:pPr>
                    <w:pStyle w:val="TableText0"/>
                  </w:pPr>
                  <w:r w:rsidRPr="00D33C2C">
                    <w:t xml:space="preserve">AE events included </w:t>
                  </w:r>
                  <w:r>
                    <w:t xml:space="preserve">in the odevixibat arm </w:t>
                  </w:r>
                  <w:r w:rsidRPr="00D33C2C">
                    <w:t xml:space="preserve">were </w:t>
                  </w:r>
                  <w:r>
                    <w:t xml:space="preserve">changed </w:t>
                  </w:r>
                  <w:r w:rsidR="0037642B">
                    <w:t xml:space="preserve">from </w:t>
                  </w:r>
                  <w:r w:rsidR="0037642B" w:rsidRPr="00D33C2C">
                    <w:t>PEDFIC 1</w:t>
                  </w:r>
                  <w:r w:rsidR="0037642B">
                    <w:t xml:space="preserve"> (24 weeks)</w:t>
                  </w:r>
                  <w:r>
                    <w:t xml:space="preserve"> to PEDFIC 2 (115 weeks) in the resubmission.</w:t>
                  </w:r>
                </w:p>
              </w:tc>
            </w:tr>
            <w:tr w:rsidR="00404D38" w:rsidRPr="00D33C2C" w14:paraId="2A21F199" w14:textId="77777777" w:rsidTr="00AC13C1">
              <w:trPr>
                <w:trHeight w:val="20"/>
              </w:trPr>
              <w:tc>
                <w:tcPr>
                  <w:tcW w:w="2122" w:type="dxa"/>
                  <w:shd w:val="clear" w:color="auto" w:fill="DBE5F1" w:themeFill="accent1" w:themeFillTint="33"/>
                </w:tcPr>
                <w:p w14:paraId="6FAC0E60" w14:textId="77777777" w:rsidR="00404D38" w:rsidRPr="00D33C2C" w:rsidRDefault="00404D38" w:rsidP="00111713">
                  <w:pPr>
                    <w:pStyle w:val="TableText0"/>
                  </w:pPr>
                  <w:r w:rsidRPr="00D33C2C">
                    <w:t>Societal costs including lost productivity (scenario analysis only)</w:t>
                  </w:r>
                </w:p>
              </w:tc>
              <w:tc>
                <w:tcPr>
                  <w:tcW w:w="5415" w:type="dxa"/>
                  <w:shd w:val="clear" w:color="auto" w:fill="DBE5F1" w:themeFill="accent1" w:themeFillTint="33"/>
                  <w:vAlign w:val="center"/>
                </w:tcPr>
                <w:p w14:paraId="36B07269" w14:textId="77777777" w:rsidR="00404D38" w:rsidRPr="00D33C2C" w:rsidRDefault="00404D38" w:rsidP="00111713">
                  <w:pPr>
                    <w:pStyle w:val="TableText0"/>
                  </w:pPr>
                  <w:r w:rsidRPr="00D33C2C">
                    <w:t>Lost productivity is based on the proportion of work impairment recorded in the burden of illness study (HCD 2021).</w:t>
                  </w:r>
                </w:p>
              </w:tc>
            </w:tr>
          </w:tbl>
          <w:p w14:paraId="733E510C" w14:textId="77777777" w:rsidR="00404D38" w:rsidRPr="00D33C2C" w:rsidRDefault="00404D38" w:rsidP="003D5175">
            <w:pPr>
              <w:pStyle w:val="Tabletext"/>
              <w:keepNext/>
              <w:keepLines/>
              <w:rPr>
                <w:i/>
                <w:iCs/>
              </w:rPr>
            </w:pPr>
          </w:p>
        </w:tc>
      </w:tr>
    </w:tbl>
    <w:p w14:paraId="0C4BF4AB" w14:textId="77777777" w:rsidR="00404D38" w:rsidRPr="0098262F" w:rsidRDefault="00404D38" w:rsidP="003D5175">
      <w:pPr>
        <w:pStyle w:val="FooterTableFigure"/>
        <w:keepNext/>
        <w:keepLines/>
        <w:jc w:val="left"/>
      </w:pPr>
      <w:r w:rsidRPr="0098262F">
        <w:lastRenderedPageBreak/>
        <w:t xml:space="preserve">Source: </w:t>
      </w:r>
      <w:r>
        <w:t xml:space="preserve">Modified from Table 11, odevixibat PSD, July 2024 PBAC meeting. Added information from </w:t>
      </w:r>
      <w:r w:rsidRPr="006D063E">
        <w:t>Table 3-3</w:t>
      </w:r>
      <w:r>
        <w:t xml:space="preserve">, p29, </w:t>
      </w:r>
      <w:r w:rsidRPr="006D063E">
        <w:t>p53 of the resubmission</w:t>
      </w:r>
      <w:r>
        <w:t xml:space="preserve"> and </w:t>
      </w:r>
      <w:r w:rsidRPr="006D063E">
        <w:t>‘Transitions’, 20241105 Bylvay PFIC CEM Resubmission excel workbook</w:t>
      </w:r>
      <w:r>
        <w:br/>
        <w:t xml:space="preserve">Abbreviations: </w:t>
      </w:r>
      <w:r w:rsidRPr="00E16A89">
        <w:t xml:space="preserve">ABS = Australian Bureau of Statistics; AEs = adverse events; CDC = Centre for Disease Control; PEBD = Partial external biliary diversion; PFIC = Progressive familial intrahepatic cholestasis; </w:t>
      </w:r>
      <w:proofErr w:type="spellStart"/>
      <w:r w:rsidRPr="00E16A89">
        <w:t>PedsQL</w:t>
      </w:r>
      <w:proofErr w:type="spellEnd"/>
      <w:r w:rsidRPr="00E16A89">
        <w:t xml:space="preserve"> = Paediatric Quality of Life Inventory; EQ-5D = EuroQol-5 Dimension; SOC = standard of care; QALY = quality-adjusted life years; NHCDC = National Hospital Cost Data Collection; UDCA = Ursodeoxycholic acid</w:t>
      </w:r>
      <w:r>
        <w:br/>
        <w:t>Note: Blue shaded cells indicate components that were unchanged from the July 2024 submission</w:t>
      </w:r>
    </w:p>
    <w:p w14:paraId="3AB85E30" w14:textId="3D3E2FB6" w:rsidR="00E15CAB" w:rsidRPr="00DB5F87" w:rsidRDefault="00E15CAB" w:rsidP="00E15CAB">
      <w:pPr>
        <w:pStyle w:val="3-BodyText"/>
        <w:numPr>
          <w:ilvl w:val="1"/>
          <w:numId w:val="1"/>
        </w:numPr>
        <w:spacing w:before="0"/>
        <w:rPr>
          <w:color w:val="000000" w:themeColor="text1"/>
        </w:rPr>
      </w:pPr>
      <w:r w:rsidRPr="00DB5F87">
        <w:rPr>
          <w:color w:val="000000" w:themeColor="text1"/>
        </w:rPr>
        <w:t xml:space="preserve">It was assumed that sBA response was a surrogate for pruritus response in the model. The PBAC has previously considered that use of sBA as a surrogate was reasonable, noting there were a number of issues with the pruritus tool used in PEDFIC 1, the PRUCISION ObsRO instrument (paragraph 7.16, odevixibat PSD, July 2024 PBAC meeting). However, in the resubmission, pruritus response (based on a </w:t>
      </w:r>
      <w:r w:rsidR="000F1167" w:rsidRPr="00DB5F87">
        <w:rPr>
          <w:color w:val="000000" w:themeColor="text1"/>
        </w:rPr>
        <w:t xml:space="preserve">substantially </w:t>
      </w:r>
      <w:r w:rsidRPr="00DB5F87">
        <w:rPr>
          <w:color w:val="000000" w:themeColor="text1"/>
        </w:rPr>
        <w:t>modified version of the ObsRO scale) was proposed as the definition of clinical outcome</w:t>
      </w:r>
      <w:r w:rsidR="00C61713" w:rsidRPr="00DB5F87">
        <w:rPr>
          <w:color w:val="000000" w:themeColor="text1"/>
        </w:rPr>
        <w:t xml:space="preserve"> in the restriction</w:t>
      </w:r>
      <w:r w:rsidRPr="00DB5F87">
        <w:rPr>
          <w:color w:val="000000" w:themeColor="text1"/>
        </w:rPr>
        <w:t xml:space="preserve">, with the resubmission arguing that sBA may be an unreliable marker for monitoring treatment effectiveness (see paragraph </w:t>
      </w:r>
      <w:r w:rsidRPr="00DB5F87">
        <w:rPr>
          <w:color w:val="000000" w:themeColor="text1"/>
        </w:rPr>
        <w:fldChar w:fldCharType="begin" w:fldLock="1"/>
      </w:r>
      <w:r w:rsidRPr="00DB5F87">
        <w:rPr>
          <w:color w:val="000000" w:themeColor="text1"/>
        </w:rPr>
        <w:instrText xml:space="preserve"> REF _Ref184916950 \r \h </w:instrText>
      </w:r>
      <w:r w:rsidR="009972B7" w:rsidRPr="00DB5F87">
        <w:rPr>
          <w:color w:val="000000" w:themeColor="text1"/>
        </w:rPr>
        <w:instrText xml:space="preserve"> \* MERGEFORMAT </w:instrText>
      </w:r>
      <w:r w:rsidRPr="00DB5F87">
        <w:rPr>
          <w:color w:val="000000" w:themeColor="text1"/>
        </w:rPr>
      </w:r>
      <w:r w:rsidRPr="00DB5F87">
        <w:rPr>
          <w:color w:val="000000" w:themeColor="text1"/>
        </w:rPr>
        <w:fldChar w:fldCharType="separate"/>
      </w:r>
      <w:r w:rsidR="002F3877">
        <w:rPr>
          <w:color w:val="000000" w:themeColor="text1"/>
        </w:rPr>
        <w:t>3.7</w:t>
      </w:r>
      <w:r w:rsidRPr="00DB5F87">
        <w:rPr>
          <w:color w:val="000000" w:themeColor="text1"/>
        </w:rPr>
        <w:fldChar w:fldCharType="end"/>
      </w:r>
      <w:r w:rsidRPr="00DB5F87">
        <w:rPr>
          <w:color w:val="000000" w:themeColor="text1"/>
        </w:rPr>
        <w:t xml:space="preserve">). As such, response in the economic evaluation </w:t>
      </w:r>
      <w:r w:rsidR="00C61713" w:rsidRPr="00DB5F87">
        <w:rPr>
          <w:color w:val="000000" w:themeColor="text1"/>
        </w:rPr>
        <w:t>did</w:t>
      </w:r>
      <w:r w:rsidRPr="00DB5F87">
        <w:rPr>
          <w:color w:val="000000" w:themeColor="text1"/>
        </w:rPr>
        <w:t xml:space="preserve"> not align with the proposed clinical response in the requested restriction </w:t>
      </w:r>
      <w:r w:rsidR="00FA3165" w:rsidRPr="00DB5F87">
        <w:rPr>
          <w:color w:val="000000" w:themeColor="text1"/>
        </w:rPr>
        <w:t xml:space="preserve">or </w:t>
      </w:r>
      <w:r w:rsidRPr="00DB5F87">
        <w:rPr>
          <w:color w:val="000000" w:themeColor="text1"/>
        </w:rPr>
        <w:t>likely use in the proposed PBS population.</w:t>
      </w:r>
    </w:p>
    <w:p w14:paraId="2B8F3FF1" w14:textId="3B89994E" w:rsidR="00AE7F4B" w:rsidRPr="00DB5F87" w:rsidRDefault="007D089B" w:rsidP="00124DF5">
      <w:pPr>
        <w:pStyle w:val="3-BodyText"/>
        <w:numPr>
          <w:ilvl w:val="1"/>
          <w:numId w:val="1"/>
        </w:numPr>
        <w:spacing w:before="0"/>
        <w:rPr>
          <w:color w:val="000000" w:themeColor="text1"/>
        </w:rPr>
      </w:pPr>
      <w:bookmarkStart w:id="73" w:name="_Ref187856104"/>
      <w:r w:rsidRPr="00DB5F87">
        <w:rPr>
          <w:color w:val="000000" w:themeColor="text1"/>
        </w:rPr>
        <w:t>The July 2024 submission assumed patients within the modelled evaluation could dose escalate from 40</w:t>
      </w:r>
      <w:r w:rsidR="0017081E">
        <w:rPr>
          <w:color w:val="000000" w:themeColor="text1"/>
        </w:rPr>
        <w:t> mcg</w:t>
      </w:r>
      <w:r w:rsidRPr="00DB5F87">
        <w:rPr>
          <w:color w:val="000000" w:themeColor="text1"/>
        </w:rPr>
        <w:t>/kg to 120</w:t>
      </w:r>
      <w:r w:rsidR="0017081E">
        <w:rPr>
          <w:color w:val="000000" w:themeColor="text1"/>
        </w:rPr>
        <w:t> mcg</w:t>
      </w:r>
      <w:r w:rsidRPr="00DB5F87">
        <w:rPr>
          <w:color w:val="000000" w:themeColor="text1"/>
        </w:rPr>
        <w:t>/kg if no response was observed. Th</w:t>
      </w:r>
      <w:r w:rsidR="002C177E" w:rsidRPr="00DB5F87">
        <w:rPr>
          <w:color w:val="000000" w:themeColor="text1"/>
        </w:rPr>
        <w:t>e</w:t>
      </w:r>
      <w:r w:rsidRPr="00DB5F87">
        <w:rPr>
          <w:color w:val="000000" w:themeColor="text1"/>
        </w:rPr>
        <w:t xml:space="preserve"> resubmission</w:t>
      </w:r>
      <w:r w:rsidR="002C177E" w:rsidRPr="00DB5F87">
        <w:rPr>
          <w:color w:val="000000" w:themeColor="text1"/>
        </w:rPr>
        <w:t xml:space="preserve"> proposed a</w:t>
      </w:r>
      <w:r w:rsidRPr="00DB5F87">
        <w:rPr>
          <w:color w:val="000000" w:themeColor="text1"/>
        </w:rPr>
        <w:t xml:space="preserve"> ‘</w:t>
      </w:r>
      <w:r w:rsidR="001549E4" w:rsidRPr="00DA2049">
        <w:rPr>
          <w:color w:val="000000" w:themeColor="text1"/>
          <w:w w:val="15"/>
          <w:shd w:val="solid" w:color="000000" w:fill="000000"/>
          <w:fitText w:val="-20" w:id="-693991409"/>
          <w14:textFill>
            <w14:solidFill>
              <w14:schemeClr w14:val="tx1">
                <w14:alpha w14:val="100000"/>
              </w14:schemeClr>
            </w14:solidFill>
          </w14:textFill>
        </w:rPr>
        <w:t>|</w:t>
      </w:r>
      <w:r w:rsidR="004A6DE4" w:rsidRPr="00DA2049">
        <w:rPr>
          <w:color w:val="000000" w:themeColor="text1"/>
          <w:w w:val="15"/>
          <w:shd w:val="solid" w:color="000000" w:fill="000000"/>
          <w:fitText w:val="-20" w:id="-693991409"/>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09"/>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1408"/>
          <w14:textFill>
            <w14:solidFill>
              <w14:schemeClr w14:val="tx1">
                <w14:alpha w14:val="100000"/>
              </w14:schemeClr>
            </w14:solidFill>
          </w14:textFill>
        </w:rPr>
        <w:t>|</w:t>
      </w:r>
      <w:r w:rsidR="004A6DE4" w:rsidRPr="00DA2049">
        <w:rPr>
          <w:color w:val="000000" w:themeColor="text1"/>
          <w:w w:val="15"/>
          <w:shd w:val="solid" w:color="000000" w:fill="000000"/>
          <w:fitText w:val="-20" w:id="-693991408"/>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08"/>
          <w14:textFill>
            <w14:solidFill>
              <w14:schemeClr w14:val="tx1">
                <w14:alpha w14:val="100000"/>
              </w14:schemeClr>
            </w14:solidFill>
          </w14:textFill>
        </w:rPr>
        <w:t>|</w:t>
      </w:r>
      <w:r w:rsidRPr="00DB5F87">
        <w:rPr>
          <w:color w:val="000000" w:themeColor="text1"/>
        </w:rPr>
        <w:t xml:space="preserve"> </w:t>
      </w:r>
      <w:r w:rsidR="004C25BF" w:rsidRPr="00DB5F87">
        <w:rPr>
          <w:color w:val="000000" w:themeColor="text1"/>
        </w:rPr>
        <w:t>c</w:t>
      </w:r>
      <w:r w:rsidRPr="00DB5F87">
        <w:rPr>
          <w:color w:val="000000" w:themeColor="text1"/>
        </w:rPr>
        <w:t>ost’</w:t>
      </w:r>
      <w:r w:rsidR="00CF317B" w:rsidRPr="00DB5F87">
        <w:rPr>
          <w:color w:val="000000" w:themeColor="text1"/>
        </w:rPr>
        <w:t xml:space="preserve"> via an expenditure cap </w:t>
      </w:r>
      <w:r w:rsidR="000165BA" w:rsidRPr="00DB5F87">
        <w:rPr>
          <w:color w:val="000000" w:themeColor="text1"/>
        </w:rPr>
        <w:t>(</w:t>
      </w:r>
      <w:r w:rsidR="00CF317B" w:rsidRPr="00DB5F87">
        <w:rPr>
          <w:color w:val="000000" w:themeColor="text1"/>
        </w:rPr>
        <w:t>see</w:t>
      </w:r>
      <w:r w:rsidR="00CB69F6" w:rsidRPr="00DB5F87">
        <w:rPr>
          <w:color w:val="000000" w:themeColor="text1"/>
        </w:rPr>
        <w:t xml:space="preserve"> </w:t>
      </w:r>
      <w:r w:rsidR="00CF317B" w:rsidRPr="00DB5F87">
        <w:rPr>
          <w:color w:val="000000" w:themeColor="text1"/>
        </w:rPr>
        <w:t xml:space="preserve">paragraph </w:t>
      </w:r>
      <w:r w:rsidR="00CF317B" w:rsidRPr="00DB5F87">
        <w:rPr>
          <w:color w:val="000000" w:themeColor="text1"/>
        </w:rPr>
        <w:fldChar w:fldCharType="begin" w:fldLock="1"/>
      </w:r>
      <w:r w:rsidR="00CF317B" w:rsidRPr="00DB5F87">
        <w:rPr>
          <w:color w:val="000000" w:themeColor="text1"/>
        </w:rPr>
        <w:instrText xml:space="preserve"> REF _Ref185079327 \r \h </w:instrText>
      </w:r>
      <w:r w:rsidR="00DB5F87" w:rsidRPr="00DB5F87">
        <w:rPr>
          <w:color w:val="000000" w:themeColor="text1"/>
        </w:rPr>
        <w:instrText xml:space="preserve"> \* MERGEFORMAT </w:instrText>
      </w:r>
      <w:r w:rsidR="00CF317B" w:rsidRPr="00DB5F87">
        <w:rPr>
          <w:color w:val="000000" w:themeColor="text1"/>
        </w:rPr>
      </w:r>
      <w:r w:rsidR="00CF317B" w:rsidRPr="00DB5F87">
        <w:rPr>
          <w:color w:val="000000" w:themeColor="text1"/>
        </w:rPr>
        <w:fldChar w:fldCharType="separate"/>
      </w:r>
      <w:r w:rsidR="002F3877">
        <w:rPr>
          <w:color w:val="000000" w:themeColor="text1"/>
        </w:rPr>
        <w:t>6.67</w:t>
      </w:r>
      <w:r w:rsidR="00CF317B" w:rsidRPr="00DB5F87">
        <w:rPr>
          <w:color w:val="000000" w:themeColor="text1"/>
        </w:rPr>
        <w:fldChar w:fldCharType="end"/>
      </w:r>
      <w:r w:rsidR="00CF317B" w:rsidRPr="00DB5F87">
        <w:rPr>
          <w:color w:val="000000" w:themeColor="text1"/>
        </w:rPr>
        <w:t>) and</w:t>
      </w:r>
      <w:r w:rsidR="00CB69F6" w:rsidRPr="00DB5F87">
        <w:rPr>
          <w:color w:val="000000" w:themeColor="text1"/>
        </w:rPr>
        <w:t xml:space="preserve"> </w:t>
      </w:r>
      <w:r w:rsidR="001549E4" w:rsidRPr="00DA2049">
        <w:rPr>
          <w:color w:val="000000" w:themeColor="text1"/>
          <w:w w:val="15"/>
          <w:shd w:val="solid" w:color="000000" w:fill="000000"/>
          <w:fitText w:val="-20" w:id="-693991424"/>
          <w14:textFill>
            <w14:solidFill>
              <w14:schemeClr w14:val="tx1">
                <w14:alpha w14:val="100000"/>
              </w14:schemeClr>
            </w14:solidFill>
          </w14:textFill>
        </w:rPr>
        <w:t>|</w:t>
      </w:r>
      <w:r w:rsidR="004A6DE4" w:rsidRPr="00DA2049">
        <w:rPr>
          <w:color w:val="000000" w:themeColor="text1"/>
          <w:w w:val="15"/>
          <w:shd w:val="solid" w:color="000000" w:fill="000000"/>
          <w:fitText w:val="-20" w:id="-693991424"/>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24"/>
          <w14:textFill>
            <w14:solidFill>
              <w14:schemeClr w14:val="tx1">
                <w14:alpha w14:val="100000"/>
              </w14:schemeClr>
            </w14:solidFill>
          </w14:textFill>
        </w:rPr>
        <w:t>|</w:t>
      </w:r>
      <w:r w:rsidR="00CF317B" w:rsidRPr="00DB5F87">
        <w:rPr>
          <w:color w:val="000000" w:themeColor="text1"/>
        </w:rPr>
        <w:t xml:space="preserve"> the</w:t>
      </w:r>
      <w:r w:rsidR="00CB69F6" w:rsidRPr="00DB5F87">
        <w:rPr>
          <w:color w:val="000000" w:themeColor="text1"/>
        </w:rPr>
        <w:t xml:space="preserve"> 40</w:t>
      </w:r>
      <w:r w:rsidR="0017081E">
        <w:rPr>
          <w:color w:val="000000" w:themeColor="text1"/>
        </w:rPr>
        <w:t> mcg</w:t>
      </w:r>
      <w:r w:rsidR="00CB69F6" w:rsidRPr="00DB5F87">
        <w:rPr>
          <w:color w:val="000000" w:themeColor="text1"/>
        </w:rPr>
        <w:t>/kg/day dose was considered</w:t>
      </w:r>
      <w:r w:rsidR="00E9676B" w:rsidRPr="00DB5F87">
        <w:rPr>
          <w:color w:val="000000" w:themeColor="text1"/>
        </w:rPr>
        <w:t xml:space="preserve"> in the economic model</w:t>
      </w:r>
      <w:r w:rsidR="00452C61" w:rsidRPr="00DB5F87">
        <w:rPr>
          <w:color w:val="000000" w:themeColor="text1"/>
        </w:rPr>
        <w:t xml:space="preserve">. </w:t>
      </w:r>
      <w:r w:rsidR="00264895" w:rsidRPr="00DB5F87">
        <w:rPr>
          <w:color w:val="000000" w:themeColor="text1"/>
        </w:rPr>
        <w:t xml:space="preserve">The ESC noted that </w:t>
      </w:r>
      <w:r w:rsidR="00A12E11" w:rsidRPr="00DB5F87">
        <w:rPr>
          <w:color w:val="000000" w:themeColor="text1"/>
        </w:rPr>
        <w:t xml:space="preserve">the actual costs of the higher strength capsules remain greater under the requested listing, </w:t>
      </w:r>
      <w:r w:rsidR="00264895" w:rsidRPr="00DB5F87">
        <w:rPr>
          <w:color w:val="000000" w:themeColor="text1"/>
        </w:rPr>
        <w:t xml:space="preserve">as </w:t>
      </w:r>
      <w:r w:rsidR="00A12E11" w:rsidRPr="00DB5F87">
        <w:rPr>
          <w:color w:val="000000" w:themeColor="text1"/>
        </w:rPr>
        <w:t>t</w:t>
      </w:r>
      <w:r w:rsidR="00452C61" w:rsidRPr="00DB5F87">
        <w:rPr>
          <w:color w:val="000000" w:themeColor="text1"/>
        </w:rPr>
        <w:t>h</w:t>
      </w:r>
      <w:r w:rsidR="00A12E11" w:rsidRPr="00DB5F87">
        <w:rPr>
          <w:color w:val="000000" w:themeColor="text1"/>
        </w:rPr>
        <w:t xml:space="preserve">e </w:t>
      </w:r>
      <w:r w:rsidR="00452C61" w:rsidRPr="00DB5F87">
        <w:rPr>
          <w:color w:val="000000" w:themeColor="text1"/>
        </w:rPr>
        <w:t>‘</w:t>
      </w:r>
      <w:r w:rsidR="001549E4" w:rsidRPr="00DA2049">
        <w:rPr>
          <w:color w:val="000000" w:themeColor="text1"/>
          <w:w w:val="15"/>
          <w:shd w:val="solid" w:color="000000" w:fill="000000"/>
          <w:fitText w:val="-20" w:id="-693991423"/>
          <w14:textFill>
            <w14:solidFill>
              <w14:schemeClr w14:val="tx1">
                <w14:alpha w14:val="100000"/>
              </w14:schemeClr>
            </w14:solidFill>
          </w14:textFill>
        </w:rPr>
        <w:t>|</w:t>
      </w:r>
      <w:r w:rsidR="004A6DE4" w:rsidRPr="00DA2049">
        <w:rPr>
          <w:color w:val="000000" w:themeColor="text1"/>
          <w:w w:val="15"/>
          <w:shd w:val="solid" w:color="000000" w:fill="000000"/>
          <w:fitText w:val="-20" w:id="-693991423"/>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23"/>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1422"/>
          <w14:textFill>
            <w14:solidFill>
              <w14:schemeClr w14:val="tx1">
                <w14:alpha w14:val="100000"/>
              </w14:schemeClr>
            </w14:solidFill>
          </w14:textFill>
        </w:rPr>
        <w:t>|</w:t>
      </w:r>
      <w:r w:rsidR="004A6DE4" w:rsidRPr="00DA2049">
        <w:rPr>
          <w:color w:val="000000" w:themeColor="text1"/>
          <w:w w:val="15"/>
          <w:shd w:val="solid" w:color="000000" w:fill="000000"/>
          <w:fitText w:val="-20" w:id="-693991422"/>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22"/>
          <w14:textFill>
            <w14:solidFill>
              <w14:schemeClr w14:val="tx1">
                <w14:alpha w14:val="100000"/>
              </w14:schemeClr>
            </w14:solidFill>
          </w14:textFill>
        </w:rPr>
        <w:t>|</w:t>
      </w:r>
      <w:r w:rsidR="00452C61" w:rsidRPr="00DB5F87">
        <w:rPr>
          <w:color w:val="000000" w:themeColor="text1"/>
        </w:rPr>
        <w:t xml:space="preserve"> </w:t>
      </w:r>
      <w:r w:rsidR="000165BA" w:rsidRPr="00DB5F87">
        <w:rPr>
          <w:color w:val="000000" w:themeColor="text1"/>
        </w:rPr>
        <w:t>c</w:t>
      </w:r>
      <w:r w:rsidR="00452C61" w:rsidRPr="00DB5F87">
        <w:rPr>
          <w:color w:val="000000" w:themeColor="text1"/>
        </w:rPr>
        <w:t xml:space="preserve">ost’ </w:t>
      </w:r>
      <w:r w:rsidR="00A12E11" w:rsidRPr="00DB5F87">
        <w:rPr>
          <w:color w:val="000000" w:themeColor="text1"/>
        </w:rPr>
        <w:t xml:space="preserve">would only </w:t>
      </w:r>
      <w:r w:rsidR="00452C61" w:rsidRPr="00DB5F87">
        <w:rPr>
          <w:color w:val="000000" w:themeColor="text1"/>
        </w:rPr>
        <w:t xml:space="preserve">be </w:t>
      </w:r>
      <w:r w:rsidR="00DF5906" w:rsidRPr="00DB5F87">
        <w:rPr>
          <w:color w:val="000000" w:themeColor="text1"/>
        </w:rPr>
        <w:t>achieved if the</w:t>
      </w:r>
      <w:r w:rsidR="006A478A" w:rsidRPr="00DB5F87">
        <w:rPr>
          <w:color w:val="000000" w:themeColor="text1"/>
        </w:rPr>
        <w:t xml:space="preserve"> </w:t>
      </w:r>
      <w:r w:rsidR="00DF5906" w:rsidRPr="00DB5F87">
        <w:rPr>
          <w:color w:val="000000" w:themeColor="text1"/>
        </w:rPr>
        <w:t>expenditure cap</w:t>
      </w:r>
      <w:r w:rsidR="006A478A" w:rsidRPr="00DB5F87">
        <w:rPr>
          <w:color w:val="000000" w:themeColor="text1"/>
        </w:rPr>
        <w:t xml:space="preserve"> was met. </w:t>
      </w:r>
      <w:r w:rsidR="00264895" w:rsidRPr="00DB5F87">
        <w:rPr>
          <w:color w:val="000000" w:themeColor="text1"/>
        </w:rPr>
        <w:t xml:space="preserve">The </w:t>
      </w:r>
      <w:r w:rsidR="007A42A7" w:rsidRPr="00DB5F87">
        <w:rPr>
          <w:color w:val="000000" w:themeColor="text1"/>
        </w:rPr>
        <w:t xml:space="preserve">ESC considered that the </w:t>
      </w:r>
      <w:r w:rsidR="00264895" w:rsidRPr="00DB5F87">
        <w:rPr>
          <w:color w:val="000000" w:themeColor="text1"/>
        </w:rPr>
        <w:t xml:space="preserve">extent to which this was likely </w:t>
      </w:r>
      <w:r w:rsidR="006A478A" w:rsidRPr="00DB5F87">
        <w:rPr>
          <w:color w:val="000000" w:themeColor="text1"/>
        </w:rPr>
        <w:t>was uncertain</w:t>
      </w:r>
      <w:r w:rsidR="00264895" w:rsidRPr="00DB5F87">
        <w:rPr>
          <w:color w:val="000000" w:themeColor="text1"/>
        </w:rPr>
        <w:t>, given the issues identified in the financial estimates</w:t>
      </w:r>
      <w:r w:rsidR="006A478A" w:rsidRPr="00DB5F87">
        <w:rPr>
          <w:color w:val="000000" w:themeColor="text1"/>
        </w:rPr>
        <w:t xml:space="preserve"> (see paragraph</w:t>
      </w:r>
      <w:r w:rsidR="00BB218F" w:rsidRPr="00DB5F87">
        <w:rPr>
          <w:color w:val="000000" w:themeColor="text1"/>
        </w:rPr>
        <w:t xml:space="preserve"> </w:t>
      </w:r>
      <w:r w:rsidR="002C0198" w:rsidRPr="00DB5F87">
        <w:rPr>
          <w:color w:val="000000" w:themeColor="text1"/>
        </w:rPr>
        <w:fldChar w:fldCharType="begin" w:fldLock="1"/>
      </w:r>
      <w:r w:rsidR="002C0198" w:rsidRPr="00DB5F87">
        <w:rPr>
          <w:color w:val="000000" w:themeColor="text1"/>
        </w:rPr>
        <w:instrText xml:space="preserve"> REF _Ref187866094 \r \h </w:instrText>
      </w:r>
      <w:r w:rsidR="009972B7" w:rsidRPr="00DB5F87">
        <w:rPr>
          <w:color w:val="000000" w:themeColor="text1"/>
        </w:rPr>
        <w:instrText xml:space="preserve"> \* MERGEFORMAT </w:instrText>
      </w:r>
      <w:r w:rsidR="002C0198" w:rsidRPr="00DB5F87">
        <w:rPr>
          <w:color w:val="000000" w:themeColor="text1"/>
        </w:rPr>
      </w:r>
      <w:r w:rsidR="002C0198" w:rsidRPr="00DB5F87">
        <w:rPr>
          <w:color w:val="000000" w:themeColor="text1"/>
        </w:rPr>
        <w:fldChar w:fldCharType="separate"/>
      </w:r>
      <w:r w:rsidR="002F3877">
        <w:rPr>
          <w:color w:val="000000" w:themeColor="text1"/>
        </w:rPr>
        <w:t>6.62</w:t>
      </w:r>
      <w:r w:rsidR="002C0198" w:rsidRPr="00DB5F87">
        <w:rPr>
          <w:color w:val="000000" w:themeColor="text1"/>
        </w:rPr>
        <w:fldChar w:fldCharType="end"/>
      </w:r>
      <w:r w:rsidR="002C0198" w:rsidRPr="00DB5F87">
        <w:rPr>
          <w:color w:val="000000" w:themeColor="text1"/>
        </w:rPr>
        <w:t>).</w:t>
      </w:r>
      <w:r w:rsidR="006A478A" w:rsidRPr="00DB5F87">
        <w:rPr>
          <w:color w:val="000000" w:themeColor="text1"/>
        </w:rPr>
        <w:t xml:space="preserve"> </w:t>
      </w:r>
      <w:r w:rsidR="00F33EE3" w:rsidRPr="00DB5F87">
        <w:rPr>
          <w:color w:val="000000" w:themeColor="text1"/>
        </w:rPr>
        <w:t xml:space="preserve">If the utilisation of odevixibat was below the </w:t>
      </w:r>
      <w:r w:rsidR="00046C7C" w:rsidRPr="00DB5F87">
        <w:rPr>
          <w:color w:val="000000" w:themeColor="text1"/>
        </w:rPr>
        <w:t xml:space="preserve">estimates used to generate the expenditure cap, then there would be no </w:t>
      </w:r>
      <w:r w:rsidR="00DB2937" w:rsidRPr="00DB5F87">
        <w:rPr>
          <w:color w:val="000000" w:themeColor="text1"/>
        </w:rPr>
        <w:t>‘</w:t>
      </w:r>
      <w:r w:rsidR="001549E4" w:rsidRPr="00DA2049">
        <w:rPr>
          <w:color w:val="000000" w:themeColor="text1"/>
          <w:w w:val="15"/>
          <w:shd w:val="solid" w:color="000000" w:fill="000000"/>
          <w:fitText w:val="-20" w:id="-693991421"/>
          <w14:textFill>
            <w14:solidFill>
              <w14:schemeClr w14:val="tx1">
                <w14:alpha w14:val="100000"/>
              </w14:schemeClr>
            </w14:solidFill>
          </w14:textFill>
        </w:rPr>
        <w:t>|</w:t>
      </w:r>
      <w:r w:rsidR="004A6DE4" w:rsidRPr="00DA2049">
        <w:rPr>
          <w:color w:val="000000" w:themeColor="text1"/>
          <w:w w:val="15"/>
          <w:shd w:val="solid" w:color="000000" w:fill="000000"/>
          <w:fitText w:val="-20" w:id="-693991421"/>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21"/>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1420"/>
          <w14:textFill>
            <w14:solidFill>
              <w14:schemeClr w14:val="tx1">
                <w14:alpha w14:val="100000"/>
              </w14:schemeClr>
            </w14:solidFill>
          </w14:textFill>
        </w:rPr>
        <w:t>|</w:t>
      </w:r>
      <w:r w:rsidR="004A6DE4" w:rsidRPr="00DA2049">
        <w:rPr>
          <w:color w:val="000000" w:themeColor="text1"/>
          <w:w w:val="15"/>
          <w:shd w:val="solid" w:color="000000" w:fill="000000"/>
          <w:fitText w:val="-20" w:id="-693991420"/>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20"/>
          <w14:textFill>
            <w14:solidFill>
              <w14:schemeClr w14:val="tx1">
                <w14:alpha w14:val="100000"/>
              </w14:schemeClr>
            </w14:solidFill>
          </w14:textFill>
        </w:rPr>
        <w:t>|</w:t>
      </w:r>
      <w:r w:rsidR="00046C7C" w:rsidRPr="00DB5F87">
        <w:rPr>
          <w:color w:val="000000" w:themeColor="text1"/>
        </w:rPr>
        <w:t xml:space="preserve"> cost</w:t>
      </w:r>
      <w:r w:rsidR="00DB2937" w:rsidRPr="00DB5F87">
        <w:rPr>
          <w:color w:val="000000" w:themeColor="text1"/>
        </w:rPr>
        <w:t>’</w:t>
      </w:r>
      <w:r w:rsidR="00046C7C" w:rsidRPr="00DB5F87">
        <w:rPr>
          <w:color w:val="000000" w:themeColor="text1"/>
        </w:rPr>
        <w:t xml:space="preserve"> and the </w:t>
      </w:r>
      <w:r w:rsidR="00CC61DA" w:rsidRPr="00CC61DA">
        <w:rPr>
          <w:color w:val="000000" w:themeColor="text1"/>
        </w:rPr>
        <w:t xml:space="preserve">incremental cost effectiveness ratio </w:t>
      </w:r>
      <w:r w:rsidR="00CC61DA">
        <w:rPr>
          <w:color w:val="000000" w:themeColor="text1"/>
        </w:rPr>
        <w:t>(</w:t>
      </w:r>
      <w:r w:rsidR="00046C7C" w:rsidRPr="00DB5F87">
        <w:rPr>
          <w:color w:val="000000" w:themeColor="text1"/>
        </w:rPr>
        <w:t>ICER</w:t>
      </w:r>
      <w:r w:rsidR="00CC61DA">
        <w:rPr>
          <w:color w:val="000000" w:themeColor="text1"/>
        </w:rPr>
        <w:t>)</w:t>
      </w:r>
      <w:r w:rsidR="00046C7C" w:rsidRPr="00DB5F87">
        <w:rPr>
          <w:color w:val="000000" w:themeColor="text1"/>
        </w:rPr>
        <w:t xml:space="preserve"> </w:t>
      </w:r>
      <w:r w:rsidR="00264895" w:rsidRPr="00DB5F87">
        <w:rPr>
          <w:color w:val="000000" w:themeColor="text1"/>
        </w:rPr>
        <w:t xml:space="preserve">would </w:t>
      </w:r>
      <w:r w:rsidR="00046C7C" w:rsidRPr="00DB5F87">
        <w:rPr>
          <w:color w:val="000000" w:themeColor="text1"/>
        </w:rPr>
        <w:t xml:space="preserve">be underestimated. </w:t>
      </w:r>
      <w:bookmarkEnd w:id="73"/>
    </w:p>
    <w:p w14:paraId="5904FDBA" w14:textId="5908771F" w:rsidR="001B171D" w:rsidRPr="00DB5F87" w:rsidRDefault="00A12E11" w:rsidP="00124DF5">
      <w:pPr>
        <w:pStyle w:val="3-BodyText"/>
        <w:numPr>
          <w:ilvl w:val="1"/>
          <w:numId w:val="1"/>
        </w:numPr>
        <w:spacing w:before="0"/>
        <w:rPr>
          <w:color w:val="000000" w:themeColor="text1"/>
        </w:rPr>
      </w:pPr>
      <w:bookmarkStart w:id="74" w:name="_Ref187920381"/>
      <w:r w:rsidRPr="00DB5F87">
        <w:rPr>
          <w:color w:val="000000" w:themeColor="text1"/>
        </w:rPr>
        <w:t>The ‘</w:t>
      </w:r>
      <w:r w:rsidR="001549E4" w:rsidRPr="004A6DE4">
        <w:rPr>
          <w:color w:val="000000" w:themeColor="text1"/>
          <w:spacing w:val="5"/>
          <w:w w:val="60"/>
          <w:shd w:val="solid" w:color="000000" w:fill="000000"/>
          <w:fitText w:val="464" w:id="-693991419"/>
          <w14:textFill>
            <w14:solidFill>
              <w14:schemeClr w14:val="tx1">
                <w14:alpha w14:val="100000"/>
              </w14:schemeClr>
            </w14:solidFill>
          </w14:textFill>
        </w:rPr>
        <w:t>|||</w:t>
      </w:r>
      <w:r w:rsidR="004A6DE4" w:rsidRPr="004A6DE4">
        <w:rPr>
          <w:color w:val="000000" w:themeColor="text1"/>
          <w:spacing w:val="5"/>
          <w:w w:val="60"/>
          <w:shd w:val="solid" w:color="000000" w:fill="000000"/>
          <w:fitText w:val="464" w:id="-693991419"/>
          <w14:textFill>
            <w14:solidFill>
              <w14:schemeClr w14:val="tx1">
                <w14:alpha w14:val="100000"/>
              </w14:schemeClr>
            </w14:solidFill>
          </w14:textFill>
        </w:rPr>
        <w:t xml:space="preserve"> </w:t>
      </w:r>
      <w:r w:rsidR="001549E4" w:rsidRPr="004A6DE4">
        <w:rPr>
          <w:color w:val="000000" w:themeColor="text1"/>
          <w:spacing w:val="5"/>
          <w:w w:val="60"/>
          <w:shd w:val="solid" w:color="000000" w:fill="000000"/>
          <w:fitText w:val="464" w:id="-693991419"/>
          <w14:textFill>
            <w14:solidFill>
              <w14:schemeClr w14:val="tx1">
                <w14:alpha w14:val="100000"/>
              </w14:schemeClr>
            </w14:solidFill>
          </w14:textFill>
        </w:rPr>
        <w:t>||</w:t>
      </w:r>
      <w:r w:rsidR="001549E4" w:rsidRPr="004A6DE4">
        <w:rPr>
          <w:color w:val="000000" w:themeColor="text1"/>
          <w:spacing w:val="4"/>
          <w:w w:val="60"/>
          <w:shd w:val="solid" w:color="000000" w:fill="000000"/>
          <w:fitText w:val="464" w:id="-693991419"/>
          <w14:textFill>
            <w14:solidFill>
              <w14:schemeClr w14:val="tx1">
                <w14:alpha w14:val="100000"/>
              </w14:schemeClr>
            </w14:solidFill>
          </w14:textFill>
        </w:rPr>
        <w:t>|</w:t>
      </w:r>
      <w:r w:rsidR="00BB1289" w:rsidRPr="00BB1289">
        <w:rPr>
          <w:color w:val="000000" w:themeColor="text1"/>
        </w:rPr>
        <w:t xml:space="preserve"> </w:t>
      </w:r>
      <w:r w:rsidR="001549E4" w:rsidRPr="004A6DE4">
        <w:rPr>
          <w:color w:val="000000" w:themeColor="text1"/>
          <w:spacing w:val="6"/>
          <w:w w:val="61"/>
          <w:shd w:val="solid" w:color="000000" w:fill="000000"/>
          <w:fitText w:val="476" w:id="-693991418"/>
          <w14:textFill>
            <w14:solidFill>
              <w14:schemeClr w14:val="tx1">
                <w14:alpha w14:val="100000"/>
              </w14:schemeClr>
            </w14:solidFill>
          </w14:textFill>
        </w:rPr>
        <w:t>|||</w:t>
      </w:r>
      <w:r w:rsidR="004A6DE4" w:rsidRPr="004A6DE4">
        <w:rPr>
          <w:color w:val="000000" w:themeColor="text1"/>
          <w:spacing w:val="6"/>
          <w:w w:val="61"/>
          <w:shd w:val="solid" w:color="000000" w:fill="000000"/>
          <w:fitText w:val="476" w:id="-693991418"/>
          <w14:textFill>
            <w14:solidFill>
              <w14:schemeClr w14:val="tx1">
                <w14:alpha w14:val="100000"/>
              </w14:schemeClr>
            </w14:solidFill>
          </w14:textFill>
        </w:rPr>
        <w:t xml:space="preserve"> </w:t>
      </w:r>
      <w:r w:rsidR="001549E4" w:rsidRPr="004A6DE4">
        <w:rPr>
          <w:color w:val="000000" w:themeColor="text1"/>
          <w:spacing w:val="6"/>
          <w:w w:val="61"/>
          <w:shd w:val="solid" w:color="000000" w:fill="000000"/>
          <w:fitText w:val="476" w:id="-693991418"/>
          <w14:textFill>
            <w14:solidFill>
              <w14:schemeClr w14:val="tx1">
                <w14:alpha w14:val="100000"/>
              </w14:schemeClr>
            </w14:solidFill>
          </w14:textFill>
        </w:rPr>
        <w:t>||</w:t>
      </w:r>
      <w:r w:rsidR="001549E4" w:rsidRPr="004A6DE4">
        <w:rPr>
          <w:color w:val="000000" w:themeColor="text1"/>
          <w:spacing w:val="4"/>
          <w:w w:val="61"/>
          <w:shd w:val="solid" w:color="000000" w:fill="000000"/>
          <w:fitText w:val="476" w:id="-693991418"/>
          <w14:textFill>
            <w14:solidFill>
              <w14:schemeClr w14:val="tx1">
                <w14:alpha w14:val="100000"/>
              </w14:schemeClr>
            </w14:solidFill>
          </w14:textFill>
        </w:rPr>
        <w:t>|</w:t>
      </w:r>
      <w:r w:rsidR="00812C09" w:rsidRPr="00DB5F87">
        <w:rPr>
          <w:color w:val="000000" w:themeColor="text1"/>
        </w:rPr>
        <w:t xml:space="preserve"> c</w:t>
      </w:r>
      <w:r w:rsidRPr="00DB5F87">
        <w:rPr>
          <w:color w:val="000000" w:themeColor="text1"/>
        </w:rPr>
        <w:t xml:space="preserve">ost’ </w:t>
      </w:r>
      <w:r w:rsidR="007D089B" w:rsidRPr="00DB5F87">
        <w:rPr>
          <w:color w:val="000000" w:themeColor="text1"/>
        </w:rPr>
        <w:t xml:space="preserve">was implemented in the base case by not allowing any dose escalation. </w:t>
      </w:r>
      <w:r w:rsidRPr="00DB5F87">
        <w:rPr>
          <w:color w:val="000000" w:themeColor="text1"/>
        </w:rPr>
        <w:t>However</w:t>
      </w:r>
      <w:r w:rsidR="008C7E2E" w:rsidRPr="00DB5F87">
        <w:rPr>
          <w:color w:val="000000" w:themeColor="text1"/>
        </w:rPr>
        <w:t>,</w:t>
      </w:r>
      <w:r w:rsidRPr="00DB5F87">
        <w:rPr>
          <w:color w:val="000000" w:themeColor="text1"/>
        </w:rPr>
        <w:t xml:space="preserve"> t</w:t>
      </w:r>
      <w:r w:rsidR="007D089B" w:rsidRPr="00DB5F87">
        <w:rPr>
          <w:color w:val="000000" w:themeColor="text1"/>
        </w:rPr>
        <w:t>he resubmission also changed the assumed response rate</w:t>
      </w:r>
      <w:r w:rsidR="0037642B" w:rsidRPr="00DB5F87">
        <w:rPr>
          <w:color w:val="000000" w:themeColor="text1"/>
        </w:rPr>
        <w:t xml:space="preserve"> from 62.28% (OvEC</w:t>
      </w:r>
      <w:r w:rsidRPr="00DB5F87">
        <w:rPr>
          <w:color w:val="000000" w:themeColor="text1"/>
        </w:rPr>
        <w:t xml:space="preserve">, </w:t>
      </w:r>
      <w:r w:rsidR="008C7E2E" w:rsidRPr="00DB5F87">
        <w:rPr>
          <w:color w:val="000000" w:themeColor="text1"/>
        </w:rPr>
        <w:t>‘</w:t>
      </w:r>
      <w:r w:rsidRPr="00DB5F87">
        <w:rPr>
          <w:color w:val="000000" w:themeColor="text1"/>
        </w:rPr>
        <w:t>combined doses</w:t>
      </w:r>
      <w:r w:rsidR="008C7E2E" w:rsidRPr="00DB5F87">
        <w:rPr>
          <w:color w:val="000000" w:themeColor="text1"/>
        </w:rPr>
        <w:t xml:space="preserve">’ from internal </w:t>
      </w:r>
      <w:r w:rsidR="00CF34FB">
        <w:rPr>
          <w:color w:val="000000" w:themeColor="text1"/>
        </w:rPr>
        <w:t>s</w:t>
      </w:r>
      <w:r w:rsidR="008C7E2E" w:rsidRPr="00DB5F87">
        <w:rPr>
          <w:color w:val="000000" w:themeColor="text1"/>
        </w:rPr>
        <w:t>ponsor data</w:t>
      </w:r>
      <w:r w:rsidR="0037642B" w:rsidRPr="00DB5F87">
        <w:rPr>
          <w:color w:val="000000" w:themeColor="text1"/>
        </w:rPr>
        <w:t>) to 43.5% (PEDFIC 1, 24</w:t>
      </w:r>
      <w:r w:rsidR="00363719">
        <w:rPr>
          <w:color w:val="000000" w:themeColor="text1"/>
        </w:rPr>
        <w:t> </w:t>
      </w:r>
      <w:r w:rsidR="0037642B" w:rsidRPr="00DB5F87">
        <w:rPr>
          <w:color w:val="000000" w:themeColor="text1"/>
        </w:rPr>
        <w:t>weeks response</w:t>
      </w:r>
      <w:r w:rsidR="00E9676B" w:rsidRPr="00DB5F87">
        <w:rPr>
          <w:color w:val="000000" w:themeColor="text1"/>
        </w:rPr>
        <w:t xml:space="preserve"> in patients treated with 40</w:t>
      </w:r>
      <w:r w:rsidR="0017081E">
        <w:rPr>
          <w:color w:val="000000" w:themeColor="text1"/>
        </w:rPr>
        <w:t> mcg</w:t>
      </w:r>
      <w:r w:rsidR="00E9676B" w:rsidRPr="00DB5F87">
        <w:rPr>
          <w:color w:val="000000" w:themeColor="text1"/>
        </w:rPr>
        <w:t>/kg/day</w:t>
      </w:r>
      <w:r w:rsidR="0037642B" w:rsidRPr="00DB5F87">
        <w:rPr>
          <w:color w:val="000000" w:themeColor="text1"/>
        </w:rPr>
        <w:t>)</w:t>
      </w:r>
      <w:r w:rsidR="00C01F97" w:rsidRPr="00DB5F87">
        <w:rPr>
          <w:color w:val="000000" w:themeColor="text1"/>
        </w:rPr>
        <w:t>.</w:t>
      </w:r>
      <w:r w:rsidR="008C7E2E" w:rsidRPr="00DB5F87">
        <w:rPr>
          <w:color w:val="000000" w:themeColor="text1"/>
        </w:rPr>
        <w:t xml:space="preserve"> </w:t>
      </w:r>
      <w:r w:rsidR="001C3296" w:rsidRPr="00DB5F87">
        <w:rPr>
          <w:bCs/>
        </w:rPr>
        <w:t>The PSCR stated that as the PBAC previously challenged the incremental effectiveness of dose escalation, the ‘</w:t>
      </w:r>
      <w:r w:rsidR="001549E4" w:rsidRPr="00DA2049">
        <w:rPr>
          <w:bCs/>
          <w:color w:val="000000"/>
          <w:w w:val="15"/>
          <w:shd w:val="solid" w:color="000000" w:fill="000000"/>
          <w:fitText w:val="-20" w:id="-693991417"/>
          <w14:textFill>
            <w14:solidFill>
              <w14:srgbClr w14:val="000000">
                <w14:alpha w14:val="100000"/>
              </w14:srgbClr>
            </w14:solidFill>
          </w14:textFill>
        </w:rPr>
        <w:t>|</w:t>
      </w:r>
      <w:r w:rsidR="004A6DE4" w:rsidRPr="00DA2049">
        <w:rPr>
          <w:bCs/>
          <w:color w:val="000000"/>
          <w:w w:val="15"/>
          <w:shd w:val="solid" w:color="000000" w:fill="000000"/>
          <w:fitText w:val="-20" w:id="-693991417"/>
          <w14:textFill>
            <w14:solidFill>
              <w14:srgbClr w14:val="000000">
                <w14:alpha w14:val="100000"/>
              </w14:srgbClr>
            </w14:solidFill>
          </w14:textFill>
        </w:rPr>
        <w:t xml:space="preserve"> </w:t>
      </w:r>
      <w:r w:rsidR="001549E4" w:rsidRPr="00DA2049">
        <w:rPr>
          <w:bCs/>
          <w:color w:val="000000"/>
          <w:spacing w:val="-61"/>
          <w:w w:val="15"/>
          <w:shd w:val="solid" w:color="000000" w:fill="000000"/>
          <w:fitText w:val="-20" w:id="-693991417"/>
          <w14:textFill>
            <w14:solidFill>
              <w14:srgbClr w14:val="000000">
                <w14:alpha w14:val="100000"/>
              </w14:srgbClr>
            </w14:solidFill>
          </w14:textFill>
        </w:rPr>
        <w:t>|</w:t>
      </w:r>
      <w:r w:rsidR="00BB1289" w:rsidRPr="00BB1289">
        <w:rPr>
          <w:bCs/>
        </w:rPr>
        <w:t xml:space="preserve"> </w:t>
      </w:r>
      <w:r w:rsidR="001549E4" w:rsidRPr="00DA2049">
        <w:rPr>
          <w:bCs/>
          <w:color w:val="000000"/>
          <w:w w:val="15"/>
          <w:shd w:val="solid" w:color="000000" w:fill="000000"/>
          <w:fitText w:val="-20" w:id="-693991416"/>
          <w14:textFill>
            <w14:solidFill>
              <w14:srgbClr w14:val="000000">
                <w14:alpha w14:val="100000"/>
              </w14:srgbClr>
            </w14:solidFill>
          </w14:textFill>
        </w:rPr>
        <w:t>|</w:t>
      </w:r>
      <w:r w:rsidR="004A6DE4" w:rsidRPr="00DA2049">
        <w:rPr>
          <w:bCs/>
          <w:color w:val="000000"/>
          <w:w w:val="15"/>
          <w:shd w:val="solid" w:color="000000" w:fill="000000"/>
          <w:fitText w:val="-20" w:id="-693991416"/>
          <w14:textFill>
            <w14:solidFill>
              <w14:srgbClr w14:val="000000">
                <w14:alpha w14:val="100000"/>
              </w14:srgbClr>
            </w14:solidFill>
          </w14:textFill>
        </w:rPr>
        <w:t xml:space="preserve"> </w:t>
      </w:r>
      <w:r w:rsidR="001549E4" w:rsidRPr="00DA2049">
        <w:rPr>
          <w:bCs/>
          <w:color w:val="000000"/>
          <w:spacing w:val="-61"/>
          <w:w w:val="15"/>
          <w:shd w:val="solid" w:color="000000" w:fill="000000"/>
          <w:fitText w:val="-20" w:id="-693991416"/>
          <w14:textFill>
            <w14:solidFill>
              <w14:srgbClr w14:val="000000">
                <w14:alpha w14:val="100000"/>
              </w14:srgbClr>
            </w14:solidFill>
          </w14:textFill>
        </w:rPr>
        <w:t>|</w:t>
      </w:r>
      <w:r w:rsidR="001C3296" w:rsidRPr="00DB5F87">
        <w:rPr>
          <w:bCs/>
        </w:rPr>
        <w:t xml:space="preserve"> cost’ intentionally assumes no incremental benefit. </w:t>
      </w:r>
      <w:r w:rsidR="000A4751" w:rsidRPr="00DB5F87">
        <w:rPr>
          <w:color w:val="000000" w:themeColor="text1"/>
        </w:rPr>
        <w:t>The ESC noted that t</w:t>
      </w:r>
      <w:r w:rsidR="00C01F97" w:rsidRPr="00DB5F87">
        <w:rPr>
          <w:color w:val="000000" w:themeColor="text1"/>
        </w:rPr>
        <w:t>his was not reasonable</w:t>
      </w:r>
      <w:r w:rsidR="003D3483" w:rsidRPr="00DB5F87">
        <w:rPr>
          <w:color w:val="000000" w:themeColor="text1"/>
        </w:rPr>
        <w:t>,</w:t>
      </w:r>
      <w:r w:rsidR="000A4751" w:rsidRPr="00DB5F87">
        <w:rPr>
          <w:color w:val="000000" w:themeColor="text1"/>
        </w:rPr>
        <w:t xml:space="preserve"> and</w:t>
      </w:r>
      <w:r w:rsidR="008C7E2E" w:rsidRPr="00DB5F87">
        <w:rPr>
          <w:color w:val="000000" w:themeColor="text1"/>
        </w:rPr>
        <w:t xml:space="preserve"> the response rate should not be impacted</w:t>
      </w:r>
      <w:r w:rsidR="00B834BB" w:rsidRPr="00DB5F87">
        <w:rPr>
          <w:color w:val="000000" w:themeColor="text1"/>
        </w:rPr>
        <w:t xml:space="preserve"> as the proposed PBS population would have access to the higher dosage</w:t>
      </w:r>
      <w:r w:rsidR="002C177E" w:rsidRPr="00DB5F87">
        <w:rPr>
          <w:color w:val="000000" w:themeColor="text1"/>
        </w:rPr>
        <w:t>.</w:t>
      </w:r>
      <w:bookmarkStart w:id="75" w:name="_Ref185260625"/>
      <w:r w:rsidR="001B171D" w:rsidRPr="00DB5F87">
        <w:rPr>
          <w:color w:val="000000" w:themeColor="text1"/>
        </w:rPr>
        <w:t xml:space="preserve"> </w:t>
      </w:r>
      <w:r w:rsidR="00B27271" w:rsidRPr="00DB5F87">
        <w:rPr>
          <w:color w:val="000000" w:themeColor="text1"/>
        </w:rPr>
        <w:t>T</w:t>
      </w:r>
      <w:r w:rsidR="001B171D" w:rsidRPr="00DB5F87">
        <w:rPr>
          <w:color w:val="000000" w:themeColor="text1"/>
        </w:rPr>
        <w:t xml:space="preserve">his </w:t>
      </w:r>
      <w:r w:rsidR="00E15CAB" w:rsidRPr="00DB5F87">
        <w:rPr>
          <w:color w:val="000000" w:themeColor="text1"/>
        </w:rPr>
        <w:t xml:space="preserve">reduction in response rate </w:t>
      </w:r>
      <w:r w:rsidR="00973580" w:rsidRPr="00DB5F87">
        <w:rPr>
          <w:color w:val="000000" w:themeColor="text1"/>
        </w:rPr>
        <w:t xml:space="preserve">also </w:t>
      </w:r>
      <w:r w:rsidR="00E15CAB" w:rsidRPr="00DB5F87">
        <w:rPr>
          <w:color w:val="000000" w:themeColor="text1"/>
        </w:rPr>
        <w:t xml:space="preserve">unexpectedly led to a decrease in the ICER separate to the cost assumption of no </w:t>
      </w:r>
      <w:r w:rsidR="00E15CAB" w:rsidRPr="00DB5F87">
        <w:rPr>
          <w:color w:val="000000" w:themeColor="text1"/>
        </w:rPr>
        <w:lastRenderedPageBreak/>
        <w:t>dose escalation</w:t>
      </w:r>
      <w:r w:rsidR="007C1649" w:rsidRPr="00DB5F87">
        <w:rPr>
          <w:color w:val="000000" w:themeColor="text1"/>
        </w:rPr>
        <w:t>.</w:t>
      </w:r>
      <w:r w:rsidR="00124DF5" w:rsidRPr="00DB5F87">
        <w:rPr>
          <w:color w:val="000000" w:themeColor="text1"/>
        </w:rPr>
        <w:t xml:space="preserve"> </w:t>
      </w:r>
      <w:r w:rsidR="001C3F02">
        <w:rPr>
          <w:color w:val="000000" w:themeColor="text1"/>
        </w:rPr>
        <w:t>I</w:t>
      </w:r>
      <w:r w:rsidR="00124DF5" w:rsidRPr="00DB5F87">
        <w:rPr>
          <w:color w:val="000000" w:themeColor="text1"/>
        </w:rPr>
        <w:t xml:space="preserve">ncreasing the response rate to 62.28% </w:t>
      </w:r>
      <w:r w:rsidR="006A262E" w:rsidRPr="00DB5F87">
        <w:rPr>
          <w:color w:val="000000" w:themeColor="text1"/>
        </w:rPr>
        <w:t xml:space="preserve">increased the ICER by </w:t>
      </w:r>
      <w:r w:rsidR="001549E4" w:rsidRPr="00DA2049">
        <w:rPr>
          <w:color w:val="000000" w:themeColor="text1"/>
          <w:w w:val="15"/>
          <w:shd w:val="solid" w:color="000000" w:fill="000000"/>
          <w:fitText w:val="-20" w:id="-693991415"/>
          <w14:textFill>
            <w14:solidFill>
              <w14:schemeClr w14:val="tx1">
                <w14:alpha w14:val="100000"/>
              </w14:schemeClr>
            </w14:solidFill>
          </w14:textFill>
        </w:rPr>
        <w:t>|</w:t>
      </w:r>
      <w:r w:rsidR="004A6DE4" w:rsidRPr="00DA2049">
        <w:rPr>
          <w:color w:val="000000" w:themeColor="text1"/>
          <w:w w:val="15"/>
          <w:shd w:val="solid" w:color="000000" w:fill="000000"/>
          <w:fitText w:val="-20" w:id="-693991415"/>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15"/>
          <w14:textFill>
            <w14:solidFill>
              <w14:schemeClr w14:val="tx1">
                <w14:alpha w14:val="100000"/>
              </w14:schemeClr>
            </w14:solidFill>
          </w14:textFill>
        </w:rPr>
        <w:t>|</w:t>
      </w:r>
      <w:r w:rsidR="006A262E" w:rsidRPr="00DB5F87">
        <w:rPr>
          <w:color w:val="000000" w:themeColor="text1"/>
        </w:rPr>
        <w:t>%</w:t>
      </w:r>
      <w:r w:rsidR="00124DF5" w:rsidRPr="00DB5F87">
        <w:rPr>
          <w:color w:val="000000" w:themeColor="text1"/>
        </w:rPr>
        <w:t>.</w:t>
      </w:r>
      <w:r w:rsidR="001B171D" w:rsidRPr="00DB5F87">
        <w:rPr>
          <w:color w:val="000000" w:themeColor="text1"/>
        </w:rPr>
        <w:t xml:space="preserve"> </w:t>
      </w:r>
      <w:r w:rsidR="001C3F02">
        <w:rPr>
          <w:bCs/>
        </w:rPr>
        <w:t xml:space="preserve">This </w:t>
      </w:r>
      <w:r w:rsidR="001C3F02" w:rsidRPr="00DB5F87">
        <w:rPr>
          <w:bCs/>
        </w:rPr>
        <w:t xml:space="preserve">paradoxical reduction in the ICER </w:t>
      </w:r>
      <w:r w:rsidR="001C3F02">
        <w:rPr>
          <w:bCs/>
        </w:rPr>
        <w:t>following a</w:t>
      </w:r>
      <w:r w:rsidR="001C3F02" w:rsidRPr="00DB5F87">
        <w:rPr>
          <w:bCs/>
        </w:rPr>
        <w:t xml:space="preserve"> </w:t>
      </w:r>
      <w:r w:rsidR="00CE1C0E" w:rsidRPr="00DB5F87">
        <w:rPr>
          <w:bCs/>
        </w:rPr>
        <w:t xml:space="preserve">reduction in the response rate </w:t>
      </w:r>
      <w:r w:rsidR="001C3F02">
        <w:rPr>
          <w:bCs/>
        </w:rPr>
        <w:t>was</w:t>
      </w:r>
      <w:r w:rsidR="00CE1C0E" w:rsidRPr="00DB5F87">
        <w:rPr>
          <w:bCs/>
        </w:rPr>
        <w:t xml:space="preserve"> due to the model having a separate assumption of benefit for odevixibat treatment in the form of a reduced rate of PEBD surgery. </w:t>
      </w:r>
      <w:r w:rsidR="001B171D" w:rsidRPr="00DB5F87">
        <w:rPr>
          <w:color w:val="000000" w:themeColor="text1"/>
        </w:rPr>
        <w:t xml:space="preserve">Notably, in a hypothetical worse-case scenario where the response rate of odevixibat was set to 0%, the ICER decreased by </w:t>
      </w:r>
      <w:r w:rsidR="001549E4" w:rsidRPr="00DA2049">
        <w:rPr>
          <w:color w:val="000000" w:themeColor="text1"/>
          <w:w w:val="15"/>
          <w:shd w:val="solid" w:color="000000" w:fill="000000"/>
          <w:fitText w:val="-20" w:id="-693991414"/>
          <w14:textFill>
            <w14:solidFill>
              <w14:schemeClr w14:val="tx1">
                <w14:alpha w14:val="100000"/>
              </w14:schemeClr>
            </w14:solidFill>
          </w14:textFill>
        </w:rPr>
        <w:t>|</w:t>
      </w:r>
      <w:r w:rsidR="004A6DE4" w:rsidRPr="00DA2049">
        <w:rPr>
          <w:color w:val="000000" w:themeColor="text1"/>
          <w:w w:val="15"/>
          <w:shd w:val="solid" w:color="000000" w:fill="000000"/>
          <w:fitText w:val="-20" w:id="-693991414"/>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14"/>
          <w14:textFill>
            <w14:solidFill>
              <w14:schemeClr w14:val="tx1">
                <w14:alpha w14:val="100000"/>
              </w14:schemeClr>
            </w14:solidFill>
          </w14:textFill>
        </w:rPr>
        <w:t>|</w:t>
      </w:r>
      <w:r w:rsidR="001B171D" w:rsidRPr="00DB5F87">
        <w:rPr>
          <w:color w:val="000000" w:themeColor="text1"/>
        </w:rPr>
        <w:t>% and still conferred an incremental quality adjusted life year (QALY) gain of 0.64. This suggested that</w:t>
      </w:r>
      <w:r w:rsidR="001C3F02">
        <w:rPr>
          <w:color w:val="000000" w:themeColor="text1"/>
        </w:rPr>
        <w:t>,</w:t>
      </w:r>
      <w:r w:rsidR="001B171D" w:rsidRPr="00DB5F87">
        <w:rPr>
          <w:color w:val="000000" w:themeColor="text1"/>
        </w:rPr>
        <w:t xml:space="preserve"> despite assuming a null treatment effect</w:t>
      </w:r>
      <w:r w:rsidR="000716D8" w:rsidRPr="00DB5F87">
        <w:rPr>
          <w:color w:val="000000" w:themeColor="text1"/>
        </w:rPr>
        <w:t xml:space="preserve"> (0% response</w:t>
      </w:r>
      <w:r w:rsidR="00A85845" w:rsidRPr="00DB5F87">
        <w:rPr>
          <w:color w:val="000000" w:themeColor="text1"/>
        </w:rPr>
        <w:t xml:space="preserve"> with odevix</w:t>
      </w:r>
      <w:r w:rsidR="00D7182C" w:rsidRPr="00DB5F87">
        <w:rPr>
          <w:color w:val="000000" w:themeColor="text1"/>
        </w:rPr>
        <w:t>i</w:t>
      </w:r>
      <w:r w:rsidR="00A85845" w:rsidRPr="00DB5F87">
        <w:rPr>
          <w:color w:val="000000" w:themeColor="text1"/>
        </w:rPr>
        <w:t>bat</w:t>
      </w:r>
      <w:r w:rsidR="000716D8" w:rsidRPr="00DB5F87">
        <w:rPr>
          <w:color w:val="000000" w:themeColor="text1"/>
        </w:rPr>
        <w:t>)</w:t>
      </w:r>
      <w:r w:rsidR="001B171D" w:rsidRPr="00DB5F87">
        <w:rPr>
          <w:color w:val="000000" w:themeColor="text1"/>
        </w:rPr>
        <w:t>, the model still</w:t>
      </w:r>
      <w:r w:rsidR="000716D8" w:rsidRPr="00DB5F87">
        <w:rPr>
          <w:color w:val="000000" w:themeColor="text1"/>
        </w:rPr>
        <w:t>,</w:t>
      </w:r>
      <w:r w:rsidR="001B171D" w:rsidRPr="00DB5F87">
        <w:rPr>
          <w:color w:val="000000" w:themeColor="text1"/>
        </w:rPr>
        <w:t xml:space="preserve"> </w:t>
      </w:r>
      <w:r w:rsidR="000716D8" w:rsidRPr="00DB5F87">
        <w:rPr>
          <w:color w:val="000000" w:themeColor="text1"/>
        </w:rPr>
        <w:t xml:space="preserve">implausibly, </w:t>
      </w:r>
      <w:r w:rsidR="001B171D" w:rsidRPr="00DB5F87">
        <w:rPr>
          <w:color w:val="000000" w:themeColor="text1"/>
        </w:rPr>
        <w:t xml:space="preserve">favoured treatment with odevixibat. This appeared to be largely driven by the difference in rate of PEBD between the SoC and odevixibat arm (see paragraph </w:t>
      </w:r>
      <w:r w:rsidR="001B171D" w:rsidRPr="00DB5F87">
        <w:rPr>
          <w:color w:val="000000" w:themeColor="text1"/>
          <w:highlight w:val="green"/>
        </w:rPr>
        <w:fldChar w:fldCharType="begin" w:fldLock="1"/>
      </w:r>
      <w:r w:rsidR="001B171D" w:rsidRPr="00DB5F87">
        <w:rPr>
          <w:color w:val="000000" w:themeColor="text1"/>
        </w:rPr>
        <w:instrText xml:space="preserve"> REF _Ref184944606 \r \h </w:instrText>
      </w:r>
      <w:r w:rsidR="009972B7" w:rsidRPr="00DB5F87">
        <w:rPr>
          <w:color w:val="000000" w:themeColor="text1"/>
          <w:highlight w:val="green"/>
        </w:rPr>
        <w:instrText xml:space="preserve"> \* MERGEFORMAT </w:instrText>
      </w:r>
      <w:r w:rsidR="001B171D" w:rsidRPr="00DB5F87">
        <w:rPr>
          <w:color w:val="000000" w:themeColor="text1"/>
          <w:highlight w:val="green"/>
        </w:rPr>
      </w:r>
      <w:r w:rsidR="001B171D" w:rsidRPr="00DB5F87">
        <w:rPr>
          <w:color w:val="000000" w:themeColor="text1"/>
          <w:highlight w:val="green"/>
        </w:rPr>
        <w:fldChar w:fldCharType="separate"/>
      </w:r>
      <w:r w:rsidR="002F3877">
        <w:rPr>
          <w:color w:val="000000" w:themeColor="text1"/>
        </w:rPr>
        <w:t>6.40</w:t>
      </w:r>
      <w:r w:rsidR="001B171D" w:rsidRPr="00DB5F87">
        <w:rPr>
          <w:color w:val="000000" w:themeColor="text1"/>
          <w:highlight w:val="green"/>
        </w:rPr>
        <w:fldChar w:fldCharType="end"/>
      </w:r>
      <w:r w:rsidR="001B171D" w:rsidRPr="00DB5F87">
        <w:rPr>
          <w:color w:val="000000" w:themeColor="text1"/>
        </w:rPr>
        <w:t>).</w:t>
      </w:r>
      <w:bookmarkEnd w:id="74"/>
      <w:bookmarkEnd w:id="75"/>
      <w:r w:rsidR="00EC1456" w:rsidRPr="00DB5F87">
        <w:rPr>
          <w:color w:val="000000" w:themeColor="text1"/>
        </w:rPr>
        <w:t xml:space="preserve"> </w:t>
      </w:r>
    </w:p>
    <w:p w14:paraId="6198175C" w14:textId="0623F4A4" w:rsidR="00404D38" w:rsidRPr="00DB5F87" w:rsidRDefault="00404D38" w:rsidP="00AC13C1">
      <w:pPr>
        <w:pStyle w:val="3-BodyText"/>
        <w:numPr>
          <w:ilvl w:val="1"/>
          <w:numId w:val="1"/>
        </w:numPr>
        <w:spacing w:before="0"/>
        <w:rPr>
          <w:color w:val="000000" w:themeColor="text1"/>
        </w:rPr>
      </w:pPr>
      <w:bookmarkStart w:id="76" w:name="_Ref185090121"/>
      <w:bookmarkStart w:id="77" w:name="_Ref190675954"/>
      <w:r w:rsidRPr="00DB5F87">
        <w:rPr>
          <w:color w:val="000000" w:themeColor="text1"/>
        </w:rPr>
        <w:t>The resubmission utilised the discontinuation data from the updated 72-week data-cut of the PEDFIC 2 trial, where 33</w:t>
      </w:r>
      <w:r w:rsidR="00490F89" w:rsidRPr="00DB5F87">
        <w:rPr>
          <w:color w:val="000000" w:themeColor="text1"/>
        </w:rPr>
        <w:t xml:space="preserve"> of 116</w:t>
      </w:r>
      <w:r w:rsidRPr="00DB5F87">
        <w:rPr>
          <w:color w:val="000000" w:themeColor="text1"/>
        </w:rPr>
        <w:t xml:space="preserve"> patients had discontinued over a mean follow up of 115.61 weeks, to inform the loss of response. This equated to an annual probability of discontinuing of 12.01% per 1-year model cycle. It was unclear if it was reasonable to assume that discontinuation in PEDFIC 2 was equivalent to loss of response</w:t>
      </w:r>
      <w:r w:rsidR="001C3F02">
        <w:rPr>
          <w:color w:val="000000" w:themeColor="text1"/>
        </w:rPr>
        <w:t>,</w:t>
      </w:r>
      <w:r w:rsidRPr="00DB5F87">
        <w:rPr>
          <w:color w:val="000000" w:themeColor="text1"/>
        </w:rPr>
        <w:t xml:space="preserve"> as patients may have discontinued for other reasons. </w:t>
      </w:r>
      <w:r w:rsidR="009459E7" w:rsidRPr="00DB5F87">
        <w:rPr>
          <w:color w:val="000000" w:themeColor="text1"/>
        </w:rPr>
        <w:t>T</w:t>
      </w:r>
      <w:r w:rsidR="000C26A4" w:rsidRPr="00DB5F87">
        <w:rPr>
          <w:color w:val="000000" w:themeColor="text1"/>
        </w:rPr>
        <w:t>he ESC noted that</w:t>
      </w:r>
      <w:r w:rsidR="009459E7" w:rsidRPr="00DB5F87">
        <w:rPr>
          <w:color w:val="000000" w:themeColor="text1"/>
        </w:rPr>
        <w:t>,</w:t>
      </w:r>
      <w:r w:rsidR="000C26A4" w:rsidRPr="00DB5F87">
        <w:rPr>
          <w:color w:val="000000" w:themeColor="text1"/>
        </w:rPr>
        <w:t xml:space="preserve"> </w:t>
      </w:r>
      <w:r w:rsidRPr="00DB5F87">
        <w:rPr>
          <w:color w:val="000000" w:themeColor="text1"/>
        </w:rPr>
        <w:t xml:space="preserve">as with the response rate, assuming a </w:t>
      </w:r>
      <w:r w:rsidR="00531420" w:rsidRPr="00DB5F87">
        <w:rPr>
          <w:color w:val="000000" w:themeColor="text1"/>
        </w:rPr>
        <w:t xml:space="preserve">lower </w:t>
      </w:r>
      <w:r w:rsidRPr="00DB5F87">
        <w:rPr>
          <w:color w:val="000000" w:themeColor="text1"/>
        </w:rPr>
        <w:t xml:space="preserve">loss of response paradoxically </w:t>
      </w:r>
      <w:r w:rsidR="00531420" w:rsidRPr="00DB5F87">
        <w:rPr>
          <w:color w:val="000000" w:themeColor="text1"/>
        </w:rPr>
        <w:t xml:space="preserve">increased </w:t>
      </w:r>
      <w:r w:rsidRPr="00DB5F87">
        <w:rPr>
          <w:color w:val="000000" w:themeColor="text1"/>
        </w:rPr>
        <w:t>the ICER</w:t>
      </w:r>
      <w:r w:rsidR="00AE783A" w:rsidRPr="00DB5F87">
        <w:rPr>
          <w:color w:val="000000" w:themeColor="text1"/>
        </w:rPr>
        <w:t>. A</w:t>
      </w:r>
      <w:r w:rsidRPr="00DB5F87">
        <w:rPr>
          <w:color w:val="000000" w:themeColor="text1"/>
        </w:rPr>
        <w:t xml:space="preserve">ssuming a 3.53% annual loss of response (as used in the July 2024 submission) increased the ICER by </w:t>
      </w:r>
      <w:r w:rsidR="001549E4" w:rsidRPr="00DA2049">
        <w:rPr>
          <w:color w:val="000000" w:themeColor="text1"/>
          <w:w w:val="15"/>
          <w:shd w:val="solid" w:color="000000" w:fill="000000"/>
          <w:fitText w:val="-20" w:id="-693991413"/>
          <w14:textFill>
            <w14:solidFill>
              <w14:schemeClr w14:val="tx1">
                <w14:alpha w14:val="100000"/>
              </w14:schemeClr>
            </w14:solidFill>
          </w14:textFill>
        </w:rPr>
        <w:t>|</w:t>
      </w:r>
      <w:r w:rsidR="004A6DE4" w:rsidRPr="00DA2049">
        <w:rPr>
          <w:color w:val="000000" w:themeColor="text1"/>
          <w:w w:val="15"/>
          <w:shd w:val="solid" w:color="000000" w:fill="000000"/>
          <w:fitText w:val="-20" w:id="-693991413"/>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13"/>
          <w14:textFill>
            <w14:solidFill>
              <w14:schemeClr w14:val="tx1">
                <w14:alpha w14:val="100000"/>
              </w14:schemeClr>
            </w14:solidFill>
          </w14:textFill>
        </w:rPr>
        <w:t>|</w:t>
      </w:r>
      <w:r w:rsidRPr="00DB5F87">
        <w:rPr>
          <w:color w:val="000000" w:themeColor="text1"/>
        </w:rPr>
        <w:t>%</w:t>
      </w:r>
      <w:r w:rsidR="00531420" w:rsidRPr="00DB5F87">
        <w:rPr>
          <w:color w:val="000000" w:themeColor="text1"/>
        </w:rPr>
        <w:t>, with</w:t>
      </w:r>
      <w:r w:rsidRPr="00DB5F87">
        <w:rPr>
          <w:color w:val="000000" w:themeColor="text1"/>
        </w:rPr>
        <w:t xml:space="preserve"> </w:t>
      </w:r>
      <w:r w:rsidR="00531420" w:rsidRPr="00DB5F87">
        <w:rPr>
          <w:color w:val="000000" w:themeColor="text1"/>
        </w:rPr>
        <w:t>the higher</w:t>
      </w:r>
      <w:r w:rsidR="006B37D3" w:rsidRPr="00DB5F87">
        <w:rPr>
          <w:color w:val="000000" w:themeColor="text1"/>
        </w:rPr>
        <w:t xml:space="preserve"> drug acquisition costs</w:t>
      </w:r>
      <w:r w:rsidR="00D551C1" w:rsidRPr="00DB5F87">
        <w:rPr>
          <w:color w:val="000000" w:themeColor="text1"/>
        </w:rPr>
        <w:t xml:space="preserve"> due to </w:t>
      </w:r>
      <w:r w:rsidR="00531420" w:rsidRPr="00DB5F87">
        <w:rPr>
          <w:color w:val="000000" w:themeColor="text1"/>
        </w:rPr>
        <w:t xml:space="preserve">lower </w:t>
      </w:r>
      <w:r w:rsidR="00D551C1" w:rsidRPr="00DB5F87">
        <w:rPr>
          <w:color w:val="000000" w:themeColor="text1"/>
        </w:rPr>
        <w:t>discontinuation</w:t>
      </w:r>
      <w:r w:rsidR="006B37D3" w:rsidRPr="00DB5F87">
        <w:rPr>
          <w:color w:val="000000" w:themeColor="text1"/>
        </w:rPr>
        <w:t xml:space="preserve"> </w:t>
      </w:r>
      <w:r w:rsidR="00531420" w:rsidRPr="00DB5F87">
        <w:rPr>
          <w:color w:val="000000" w:themeColor="text1"/>
        </w:rPr>
        <w:t>outweighed</w:t>
      </w:r>
      <w:r w:rsidR="00D551C1" w:rsidRPr="00DB5F87">
        <w:rPr>
          <w:color w:val="000000" w:themeColor="text1"/>
        </w:rPr>
        <w:t xml:space="preserve"> </w:t>
      </w:r>
      <w:r w:rsidR="00440488" w:rsidRPr="00DB5F87">
        <w:rPr>
          <w:color w:val="000000" w:themeColor="text1"/>
        </w:rPr>
        <w:t xml:space="preserve">by </w:t>
      </w:r>
      <w:r w:rsidR="00D551C1" w:rsidRPr="00DB5F87">
        <w:rPr>
          <w:color w:val="000000" w:themeColor="text1"/>
        </w:rPr>
        <w:t xml:space="preserve">the QALY </w:t>
      </w:r>
      <w:r w:rsidR="00531420" w:rsidRPr="00DB5F87">
        <w:rPr>
          <w:color w:val="000000" w:themeColor="text1"/>
        </w:rPr>
        <w:t>gain</w:t>
      </w:r>
      <w:r w:rsidR="00D551C1" w:rsidRPr="00DB5F87">
        <w:rPr>
          <w:color w:val="000000" w:themeColor="text1"/>
        </w:rPr>
        <w:t xml:space="preserve"> </w:t>
      </w:r>
      <w:r w:rsidR="00531420" w:rsidRPr="00DB5F87">
        <w:rPr>
          <w:color w:val="000000" w:themeColor="text1"/>
        </w:rPr>
        <w:t>from longer treatment</w:t>
      </w:r>
      <w:r w:rsidR="00D551C1" w:rsidRPr="00DB5F87">
        <w:rPr>
          <w:color w:val="000000" w:themeColor="text1"/>
        </w:rPr>
        <w:t xml:space="preserve">. </w:t>
      </w:r>
      <w:r w:rsidR="00531420" w:rsidRPr="00DB5F87">
        <w:rPr>
          <w:color w:val="000000" w:themeColor="text1"/>
        </w:rPr>
        <w:t xml:space="preserve">Paradoxically, this meant that a faster loss of response to treatment improved cost effectiveness, which was unreasonable and lacked face validity. </w:t>
      </w:r>
      <w:r w:rsidR="00D551C1" w:rsidRPr="00DB5F87">
        <w:rPr>
          <w:color w:val="000000" w:themeColor="text1"/>
        </w:rPr>
        <w:t>This was because a permanent separate incremental benefit (i.e. lower rate of PEBD) was assumed</w:t>
      </w:r>
      <w:r w:rsidR="00BB2800" w:rsidRPr="00DB5F87">
        <w:rPr>
          <w:color w:val="000000" w:themeColor="text1"/>
        </w:rPr>
        <w:t>,</w:t>
      </w:r>
      <w:r w:rsidR="00D551C1" w:rsidRPr="00DB5F87">
        <w:rPr>
          <w:color w:val="000000" w:themeColor="text1"/>
        </w:rPr>
        <w:t xml:space="preserve"> independent of continuing odevixibat</w:t>
      </w:r>
      <w:r w:rsidR="0000304F" w:rsidRPr="00DB5F87">
        <w:rPr>
          <w:color w:val="000000" w:themeColor="text1"/>
        </w:rPr>
        <w:t xml:space="preserve"> treatment</w:t>
      </w:r>
      <w:r w:rsidR="00440488" w:rsidRPr="00DB5F87">
        <w:rPr>
          <w:color w:val="000000" w:themeColor="text1"/>
        </w:rPr>
        <w:t xml:space="preserve"> </w:t>
      </w:r>
      <w:r w:rsidR="00531420" w:rsidRPr="00DB5F87">
        <w:rPr>
          <w:color w:val="000000" w:themeColor="text1"/>
        </w:rPr>
        <w:t xml:space="preserve">(see paragraph </w:t>
      </w:r>
      <w:r w:rsidR="00531420" w:rsidRPr="00DB5F87">
        <w:rPr>
          <w:color w:val="000000" w:themeColor="text1"/>
        </w:rPr>
        <w:fldChar w:fldCharType="begin" w:fldLock="1"/>
      </w:r>
      <w:r w:rsidR="00531420" w:rsidRPr="00DB5F87">
        <w:rPr>
          <w:color w:val="000000" w:themeColor="text1"/>
        </w:rPr>
        <w:instrText xml:space="preserve"> REF _Ref187672365 \r \h </w:instrText>
      </w:r>
      <w:r w:rsidR="009972B7" w:rsidRPr="00DB5F87">
        <w:rPr>
          <w:color w:val="000000" w:themeColor="text1"/>
        </w:rPr>
        <w:instrText xml:space="preserve"> \* MERGEFORMAT </w:instrText>
      </w:r>
      <w:r w:rsidR="00531420" w:rsidRPr="00DB5F87">
        <w:rPr>
          <w:color w:val="000000" w:themeColor="text1"/>
        </w:rPr>
      </w:r>
      <w:r w:rsidR="00531420" w:rsidRPr="00DB5F87">
        <w:rPr>
          <w:color w:val="000000" w:themeColor="text1"/>
        </w:rPr>
        <w:fldChar w:fldCharType="separate"/>
      </w:r>
      <w:r w:rsidR="002F3877">
        <w:rPr>
          <w:color w:val="000000" w:themeColor="text1"/>
        </w:rPr>
        <w:t>6.40</w:t>
      </w:r>
      <w:r w:rsidR="00531420" w:rsidRPr="00DB5F87">
        <w:rPr>
          <w:color w:val="000000" w:themeColor="text1"/>
        </w:rPr>
        <w:fldChar w:fldCharType="end"/>
      </w:r>
      <w:r w:rsidR="00531420" w:rsidRPr="00DB5F87">
        <w:rPr>
          <w:color w:val="000000" w:themeColor="text1"/>
        </w:rPr>
        <w:t>).</w:t>
      </w:r>
      <w:r w:rsidR="00D551C1" w:rsidRPr="00DB5F87">
        <w:rPr>
          <w:color w:val="000000" w:themeColor="text1"/>
        </w:rPr>
        <w:t xml:space="preserve"> </w:t>
      </w:r>
      <w:bookmarkEnd w:id="76"/>
      <w:r w:rsidR="00EC1456" w:rsidRPr="00DB5F87">
        <w:rPr>
          <w:bCs/>
        </w:rPr>
        <w:t>The PSCR stated that the updated discontinuation data from PEDFIC 2 was more robust than the data applied in the July 2024 submission which was informed by a single patient discontinuing over a 24</w:t>
      </w:r>
      <w:r w:rsidR="00650060" w:rsidRPr="00DB5F87">
        <w:rPr>
          <w:bCs/>
        </w:rPr>
        <w:t>-</w:t>
      </w:r>
      <w:r w:rsidR="00EC1456" w:rsidRPr="00DB5F87">
        <w:rPr>
          <w:bCs/>
        </w:rPr>
        <w:t>week duration of follow-up.</w:t>
      </w:r>
      <w:bookmarkEnd w:id="77"/>
    </w:p>
    <w:p w14:paraId="22C50B73" w14:textId="232E3F69" w:rsidR="00404D38" w:rsidRPr="00DB5F87" w:rsidRDefault="00404D38" w:rsidP="00DC15C2">
      <w:pPr>
        <w:pStyle w:val="3-BodyText"/>
        <w:numPr>
          <w:ilvl w:val="1"/>
          <w:numId w:val="1"/>
        </w:numPr>
        <w:spacing w:before="0"/>
        <w:rPr>
          <w:color w:val="000000" w:themeColor="text1"/>
        </w:rPr>
      </w:pPr>
      <w:r w:rsidRPr="00DB5F87">
        <w:t xml:space="preserve">In the July 2024 submission, </w:t>
      </w:r>
      <w:r w:rsidR="0037642B" w:rsidRPr="00DB5F87">
        <w:t>it was</w:t>
      </w:r>
      <w:r w:rsidRPr="00DB5F87">
        <w:t xml:space="preserve"> assumed that odevixibat treated patients would not undergo PEBD after losing response. </w:t>
      </w:r>
      <w:r w:rsidRPr="00DB5F87">
        <w:rPr>
          <w:color w:val="000000" w:themeColor="text1"/>
        </w:rPr>
        <w:t xml:space="preserve">The PBAC considered this favoured odevixibat and was not likely to reflect clinical practice (paragraph 7.18, odevixibat PSD, July 2024 PBAC meeting). </w:t>
      </w:r>
      <w:r w:rsidRPr="00DB5F87">
        <w:t>In the resubmission, subsequent PEBD was allowed in the odevixibat arm, based on the proportion of patients undergoing PEBD within PEDFIC 2 (3/116 patients with subsequent PEBD over an average follow up of 115</w:t>
      </w:r>
      <w:r w:rsidR="006501E7">
        <w:t> </w:t>
      </w:r>
      <w:r w:rsidRPr="00DB5F87">
        <w:t xml:space="preserve">weeks). </w:t>
      </w:r>
    </w:p>
    <w:p w14:paraId="7C550B3F" w14:textId="2B270785" w:rsidR="00404D38" w:rsidRPr="00DB5F87" w:rsidRDefault="00404D38" w:rsidP="008258AD">
      <w:pPr>
        <w:pStyle w:val="3-BodyText"/>
        <w:numPr>
          <w:ilvl w:val="1"/>
          <w:numId w:val="1"/>
        </w:numPr>
        <w:spacing w:before="0"/>
        <w:rPr>
          <w:color w:val="000000" w:themeColor="text1"/>
        </w:rPr>
      </w:pPr>
      <w:bookmarkStart w:id="78" w:name="_Ref184944606"/>
      <w:bookmarkStart w:id="79" w:name="_Ref190675880"/>
      <w:bookmarkStart w:id="80" w:name="_Ref184945217"/>
      <w:bookmarkStart w:id="81" w:name="_Ref187672365"/>
      <w:r w:rsidRPr="00DB5F87">
        <w:rPr>
          <w:color w:val="000000" w:themeColor="text1"/>
        </w:rPr>
        <w:t xml:space="preserve">Transitions to PEBD </w:t>
      </w:r>
      <w:r w:rsidR="00817260" w:rsidRPr="00DB5F87">
        <w:rPr>
          <w:color w:val="000000" w:themeColor="text1"/>
        </w:rPr>
        <w:t xml:space="preserve">from non-responders </w:t>
      </w:r>
      <w:r w:rsidRPr="00DB5F87">
        <w:rPr>
          <w:color w:val="000000" w:themeColor="text1"/>
        </w:rPr>
        <w:t>in the S</w:t>
      </w:r>
      <w:r w:rsidR="00830B03" w:rsidRPr="00DB5F87">
        <w:rPr>
          <w:color w:val="000000" w:themeColor="text1"/>
        </w:rPr>
        <w:t>o</w:t>
      </w:r>
      <w:r w:rsidRPr="00DB5F87">
        <w:rPr>
          <w:color w:val="000000" w:themeColor="text1"/>
        </w:rPr>
        <w:t>C arm were unchanged from the July 2024 submission</w:t>
      </w:r>
      <w:r w:rsidR="00943673" w:rsidRPr="00DB5F87">
        <w:rPr>
          <w:color w:val="000000" w:themeColor="text1"/>
        </w:rPr>
        <w:t xml:space="preserve"> and</w:t>
      </w:r>
      <w:r w:rsidRPr="00DB5F87">
        <w:rPr>
          <w:color w:val="000000" w:themeColor="text1"/>
        </w:rPr>
        <w:t xml:space="preserve"> based on data from the OvEC study, which could not be independently verified and </w:t>
      </w:r>
      <w:r w:rsidR="00943673" w:rsidRPr="00DB5F87">
        <w:rPr>
          <w:color w:val="000000" w:themeColor="text1"/>
        </w:rPr>
        <w:t>w</w:t>
      </w:r>
      <w:r w:rsidR="005C1AF2" w:rsidRPr="00DB5F87">
        <w:rPr>
          <w:color w:val="000000" w:themeColor="text1"/>
        </w:rPr>
        <w:t>ere</w:t>
      </w:r>
      <w:r w:rsidR="00943673" w:rsidRPr="00DB5F87">
        <w:rPr>
          <w:color w:val="000000" w:themeColor="text1"/>
        </w:rPr>
        <w:t xml:space="preserve"> </w:t>
      </w:r>
      <w:r w:rsidRPr="00DB5F87">
        <w:rPr>
          <w:color w:val="000000" w:themeColor="text1"/>
        </w:rPr>
        <w:t>therefore highly uncertain.</w:t>
      </w:r>
      <w:r w:rsidR="00830B03" w:rsidRPr="00DB5F87">
        <w:rPr>
          <w:color w:val="000000" w:themeColor="text1"/>
        </w:rPr>
        <w:t xml:space="preserve"> </w:t>
      </w:r>
      <w:r w:rsidRPr="00DB5F87">
        <w:rPr>
          <w:color w:val="000000" w:themeColor="text1"/>
        </w:rPr>
        <w:t xml:space="preserve">An annual rate of PEBD of 5.52% was </w:t>
      </w:r>
      <w:r w:rsidR="005C1AF2" w:rsidRPr="00DB5F87">
        <w:rPr>
          <w:color w:val="000000" w:themeColor="text1"/>
        </w:rPr>
        <w:t>applied to</w:t>
      </w:r>
      <w:r w:rsidRPr="00DB5F87">
        <w:rPr>
          <w:color w:val="000000" w:themeColor="text1"/>
        </w:rPr>
        <w:t xml:space="preserve"> the SoC arm, compared to 1.16% in the odevixibat arm. The difference in </w:t>
      </w:r>
      <w:r w:rsidR="00375D39" w:rsidRPr="00DB5F87">
        <w:rPr>
          <w:color w:val="000000" w:themeColor="text1"/>
        </w:rPr>
        <w:t xml:space="preserve">rate </w:t>
      </w:r>
      <w:r w:rsidRPr="00DB5F87">
        <w:rPr>
          <w:color w:val="000000" w:themeColor="text1"/>
        </w:rPr>
        <w:t xml:space="preserve">of PEBD surgery was assumed to be constant over the </w:t>
      </w:r>
      <w:r w:rsidR="000C17F1" w:rsidRPr="00DB5F87">
        <w:rPr>
          <w:color w:val="000000" w:themeColor="text1"/>
        </w:rPr>
        <w:t>50-year</w:t>
      </w:r>
      <w:r w:rsidRPr="00DB5F87">
        <w:rPr>
          <w:color w:val="000000" w:themeColor="text1"/>
        </w:rPr>
        <w:t xml:space="preserve"> time horizon, and irrespective of whether odevixibat arm patients responded to treatment, which </w:t>
      </w:r>
      <w:r w:rsidR="001C3F02">
        <w:rPr>
          <w:color w:val="000000" w:themeColor="text1"/>
        </w:rPr>
        <w:t xml:space="preserve">did </w:t>
      </w:r>
      <w:r w:rsidRPr="00DB5F87">
        <w:rPr>
          <w:color w:val="000000" w:themeColor="text1"/>
        </w:rPr>
        <w:t xml:space="preserve">not </w:t>
      </w:r>
      <w:r w:rsidR="001C3F02">
        <w:rPr>
          <w:color w:val="000000" w:themeColor="text1"/>
        </w:rPr>
        <w:t xml:space="preserve">appear to </w:t>
      </w:r>
      <w:r w:rsidRPr="00DB5F87">
        <w:rPr>
          <w:color w:val="000000" w:themeColor="text1"/>
        </w:rPr>
        <w:t>be clinically plausible.</w:t>
      </w:r>
      <w:bookmarkEnd w:id="78"/>
      <w:r w:rsidR="00375D39" w:rsidRPr="00DB5F87">
        <w:rPr>
          <w:color w:val="000000" w:themeColor="text1"/>
        </w:rPr>
        <w:t xml:space="preserve"> The reduced rate of PEBD for odevixibat patients was a key driver of the model.</w:t>
      </w:r>
      <w:r w:rsidRPr="00DB5F87">
        <w:rPr>
          <w:color w:val="000000" w:themeColor="text1"/>
        </w:rPr>
        <w:t xml:space="preserve"> In addition, the proportion of patients </w:t>
      </w:r>
      <w:r w:rsidRPr="00DB5F87">
        <w:rPr>
          <w:color w:val="000000" w:themeColor="text1"/>
        </w:rPr>
        <w:lastRenderedPageBreak/>
        <w:t xml:space="preserve">undergoing PEBD in current clinical practice is relatively uncertain (see paragraphs </w:t>
      </w:r>
      <w:r w:rsidR="00943673" w:rsidRPr="00DB5F87">
        <w:rPr>
          <w:color w:val="000000" w:themeColor="text1"/>
        </w:rPr>
        <w:fldChar w:fldCharType="begin" w:fldLock="1"/>
      </w:r>
      <w:r w:rsidR="00943673" w:rsidRPr="00DB5F87">
        <w:rPr>
          <w:color w:val="000000" w:themeColor="text1"/>
        </w:rPr>
        <w:instrText xml:space="preserve"> REF _Ref184944841 \r \h </w:instrText>
      </w:r>
      <w:r w:rsidR="009972B7" w:rsidRPr="00DB5F87">
        <w:rPr>
          <w:color w:val="000000" w:themeColor="text1"/>
        </w:rPr>
        <w:instrText xml:space="preserve"> \* MERGEFORMAT </w:instrText>
      </w:r>
      <w:r w:rsidR="00943673" w:rsidRPr="00DB5F87">
        <w:rPr>
          <w:color w:val="000000" w:themeColor="text1"/>
        </w:rPr>
      </w:r>
      <w:r w:rsidR="00943673" w:rsidRPr="00DB5F87">
        <w:rPr>
          <w:color w:val="000000" w:themeColor="text1"/>
        </w:rPr>
        <w:fldChar w:fldCharType="separate"/>
      </w:r>
      <w:r w:rsidR="00E16571">
        <w:rPr>
          <w:color w:val="000000" w:themeColor="text1"/>
        </w:rPr>
        <w:t>5.2</w:t>
      </w:r>
      <w:r w:rsidR="00943673" w:rsidRPr="00DB5F87">
        <w:rPr>
          <w:color w:val="000000" w:themeColor="text1"/>
        </w:rPr>
        <w:fldChar w:fldCharType="end"/>
      </w:r>
      <w:r w:rsidR="00943673" w:rsidRPr="00DB5F87">
        <w:rPr>
          <w:color w:val="000000" w:themeColor="text1"/>
        </w:rPr>
        <w:t xml:space="preserve"> </w:t>
      </w:r>
      <w:r w:rsidR="00E16571">
        <w:rPr>
          <w:color w:val="000000" w:themeColor="text1"/>
        </w:rPr>
        <w:t>and</w:t>
      </w:r>
      <w:r w:rsidR="00E16571" w:rsidRPr="00DB5F87">
        <w:rPr>
          <w:color w:val="000000" w:themeColor="text1"/>
        </w:rPr>
        <w:t xml:space="preserve"> </w:t>
      </w:r>
      <w:r w:rsidRPr="00DB5F87">
        <w:rPr>
          <w:color w:val="000000" w:themeColor="text1"/>
        </w:rPr>
        <w:fldChar w:fldCharType="begin" w:fldLock="1"/>
      </w:r>
      <w:r w:rsidRPr="00DB5F87">
        <w:rPr>
          <w:color w:val="000000" w:themeColor="text1"/>
        </w:rPr>
        <w:instrText xml:space="preserve"> REF _Ref184944864 \r \h </w:instrText>
      </w:r>
      <w:r w:rsidR="009972B7" w:rsidRPr="00DB5F87">
        <w:rPr>
          <w:color w:val="000000" w:themeColor="text1"/>
        </w:rPr>
        <w:instrText xml:space="preserve"> \* MERGEFORMAT </w:instrText>
      </w:r>
      <w:r w:rsidRPr="00DB5F87">
        <w:rPr>
          <w:color w:val="000000" w:themeColor="text1"/>
        </w:rPr>
      </w:r>
      <w:r w:rsidRPr="00DB5F87">
        <w:rPr>
          <w:color w:val="000000" w:themeColor="text1"/>
        </w:rPr>
        <w:fldChar w:fldCharType="separate"/>
      </w:r>
      <w:r w:rsidR="00E16571">
        <w:rPr>
          <w:color w:val="000000" w:themeColor="text1"/>
        </w:rPr>
        <w:t>5.3</w:t>
      </w:r>
      <w:r w:rsidRPr="00DB5F87">
        <w:rPr>
          <w:color w:val="000000" w:themeColor="text1"/>
        </w:rPr>
        <w:fldChar w:fldCharType="end"/>
      </w:r>
      <w:r w:rsidRPr="00DB5F87">
        <w:rPr>
          <w:color w:val="000000" w:themeColor="text1"/>
        </w:rPr>
        <w:t>).</w:t>
      </w:r>
      <w:bookmarkEnd w:id="79"/>
      <w:r w:rsidRPr="00DB5F87">
        <w:rPr>
          <w:color w:val="000000" w:themeColor="text1"/>
        </w:rPr>
        <w:t xml:space="preserve"> </w:t>
      </w:r>
      <w:bookmarkEnd w:id="80"/>
      <w:bookmarkEnd w:id="81"/>
    </w:p>
    <w:p w14:paraId="40B7B4A3" w14:textId="1ED0F9ED" w:rsidR="00FD4F8A" w:rsidRPr="00DB5F87" w:rsidRDefault="00FD4F8A" w:rsidP="008258AD">
      <w:pPr>
        <w:pStyle w:val="3-BodyText"/>
        <w:numPr>
          <w:ilvl w:val="1"/>
          <w:numId w:val="1"/>
        </w:numPr>
        <w:spacing w:before="0"/>
        <w:rPr>
          <w:color w:val="000000" w:themeColor="text1"/>
        </w:rPr>
      </w:pPr>
      <w:bookmarkStart w:id="82" w:name="_Ref190675894"/>
      <w:r w:rsidRPr="00DB5F87">
        <w:rPr>
          <w:color w:val="000000" w:themeColor="text1"/>
        </w:rPr>
        <w:t xml:space="preserve">The resubmission maintained the use of data from OvEC in the base case, which </w:t>
      </w:r>
      <w:r w:rsidR="00375D39" w:rsidRPr="00DB5F87">
        <w:rPr>
          <w:color w:val="000000" w:themeColor="text1"/>
        </w:rPr>
        <w:t xml:space="preserve">were not verifiable, and </w:t>
      </w:r>
      <w:r w:rsidRPr="00DB5F87">
        <w:rPr>
          <w:color w:val="000000" w:themeColor="text1"/>
        </w:rPr>
        <w:t xml:space="preserve">had a substantially less favourable PEBD response compared to NAPPED (32.2% versus 60.15%, respectively). </w:t>
      </w:r>
      <w:r w:rsidRPr="00DB5F87">
        <w:t>As patients in the SoC arm transitioned to PEBD at a higher rate than patients in the odevixibat arm</w:t>
      </w:r>
      <w:r w:rsidR="001C3F02">
        <w:t>,</w:t>
      </w:r>
      <w:r w:rsidRPr="00DB5F87">
        <w:t xml:space="preserve"> the lower response rate </w:t>
      </w:r>
      <w:r w:rsidR="00074FA7" w:rsidRPr="00DB5F87">
        <w:t xml:space="preserve">of PEBD </w:t>
      </w:r>
      <w:r w:rsidRPr="00DB5F87">
        <w:t>favoured odevixibat.</w:t>
      </w:r>
      <w:r w:rsidRPr="00DB5F87">
        <w:rPr>
          <w:color w:val="000000" w:themeColor="text1"/>
        </w:rPr>
        <w:t xml:space="preserve"> </w:t>
      </w:r>
      <w:r w:rsidR="00531420" w:rsidRPr="00DB5F87">
        <w:rPr>
          <w:color w:val="000000" w:themeColor="text1"/>
        </w:rPr>
        <w:t xml:space="preserve">Assuming a 60.15% response rate instead of the 32.2% in the base case increased the ICER by </w:t>
      </w:r>
      <w:r w:rsidR="001549E4" w:rsidRPr="00DA2049">
        <w:rPr>
          <w:color w:val="000000" w:themeColor="text1"/>
          <w:w w:val="15"/>
          <w:shd w:val="solid" w:color="000000" w:fill="000000"/>
          <w:fitText w:val="-20" w:id="-693991412"/>
          <w14:textFill>
            <w14:solidFill>
              <w14:schemeClr w14:val="tx1">
                <w14:alpha w14:val="100000"/>
              </w14:schemeClr>
            </w14:solidFill>
          </w14:textFill>
        </w:rPr>
        <w:t>|</w:t>
      </w:r>
      <w:r w:rsidR="004A6DE4" w:rsidRPr="00DA2049">
        <w:rPr>
          <w:color w:val="000000" w:themeColor="text1"/>
          <w:w w:val="15"/>
          <w:shd w:val="solid" w:color="000000" w:fill="000000"/>
          <w:fitText w:val="-20" w:id="-693991412"/>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412"/>
          <w14:textFill>
            <w14:solidFill>
              <w14:schemeClr w14:val="tx1">
                <w14:alpha w14:val="100000"/>
              </w14:schemeClr>
            </w14:solidFill>
          </w14:textFill>
        </w:rPr>
        <w:t>|</w:t>
      </w:r>
      <w:r w:rsidR="00531420" w:rsidRPr="00DB5F87">
        <w:rPr>
          <w:color w:val="000000" w:themeColor="text1"/>
        </w:rPr>
        <w:t>%.</w:t>
      </w:r>
      <w:bookmarkEnd w:id="82"/>
      <w:r w:rsidR="00531420" w:rsidRPr="00DB5F87">
        <w:rPr>
          <w:color w:val="000000" w:themeColor="text1"/>
        </w:rPr>
        <w:t xml:space="preserve"> </w:t>
      </w:r>
    </w:p>
    <w:p w14:paraId="645AAEAB" w14:textId="2154E337" w:rsidR="00404D38" w:rsidRPr="00DB5F87" w:rsidRDefault="003C551A" w:rsidP="008258AD">
      <w:pPr>
        <w:pStyle w:val="3-BodyText"/>
        <w:numPr>
          <w:ilvl w:val="1"/>
          <w:numId w:val="1"/>
        </w:numPr>
        <w:spacing w:before="0"/>
        <w:rPr>
          <w:color w:val="000000" w:themeColor="text1"/>
        </w:rPr>
      </w:pPr>
      <w:r w:rsidRPr="00DB5F87">
        <w:rPr>
          <w:color w:val="000000" w:themeColor="text1"/>
        </w:rPr>
        <w:t>In the resubmission’s base case the ‘no PEBD, no response’ health state utility remained higher than the ‘PEBD, response’ health state (0.83 vs 0.761)</w:t>
      </w:r>
      <w:r w:rsidR="00A80A71" w:rsidRPr="00DB5F87">
        <w:rPr>
          <w:color w:val="000000" w:themeColor="text1"/>
        </w:rPr>
        <w:t>, though</w:t>
      </w:r>
      <w:r w:rsidRPr="00DB5F87">
        <w:rPr>
          <w:color w:val="000000" w:themeColor="text1"/>
        </w:rPr>
        <w:t xml:space="preserve"> </w:t>
      </w:r>
      <w:r w:rsidR="00A80A71" w:rsidRPr="00DB5F87">
        <w:rPr>
          <w:color w:val="000000" w:themeColor="text1"/>
        </w:rPr>
        <w:t>t</w:t>
      </w:r>
      <w:r w:rsidR="00817260" w:rsidRPr="00DB5F87">
        <w:rPr>
          <w:color w:val="000000" w:themeColor="text1"/>
        </w:rPr>
        <w:t>he resubmission</w:t>
      </w:r>
      <w:r w:rsidR="00A80A71" w:rsidRPr="00DB5F87">
        <w:rPr>
          <w:color w:val="000000" w:themeColor="text1"/>
        </w:rPr>
        <w:t xml:space="preserve"> increased </w:t>
      </w:r>
      <w:r w:rsidR="00817260" w:rsidRPr="00DB5F87">
        <w:rPr>
          <w:color w:val="000000" w:themeColor="text1"/>
        </w:rPr>
        <w:t>the utility in the ‘PEBD, response’ health state</w:t>
      </w:r>
      <w:r w:rsidR="00A80A71" w:rsidRPr="00DB5F87">
        <w:rPr>
          <w:color w:val="000000" w:themeColor="text1"/>
        </w:rPr>
        <w:t xml:space="preserve"> </w:t>
      </w:r>
      <w:r w:rsidR="00876C00" w:rsidRPr="00DB5F87">
        <w:rPr>
          <w:color w:val="000000" w:themeColor="text1"/>
        </w:rPr>
        <w:t xml:space="preserve">from 0.659 </w:t>
      </w:r>
      <w:r w:rsidR="005F0CA3" w:rsidRPr="00DB5F87">
        <w:rPr>
          <w:color w:val="000000" w:themeColor="text1"/>
        </w:rPr>
        <w:t xml:space="preserve">in July 2024 </w:t>
      </w:r>
      <w:r w:rsidR="00876C00" w:rsidRPr="00DB5F87">
        <w:rPr>
          <w:color w:val="000000" w:themeColor="text1"/>
        </w:rPr>
        <w:t xml:space="preserve">to 0.761. </w:t>
      </w:r>
      <w:r w:rsidR="00404D38" w:rsidRPr="00DB5F87">
        <w:rPr>
          <w:color w:val="000000" w:themeColor="text1"/>
        </w:rPr>
        <w:t xml:space="preserve">Within the Facilitated Resolution Pathway Workshop, the significant disutility of stoma in a child was acknowledged. It was suggested that providing additional context as to why utility values are in the direction they are would be </w:t>
      </w:r>
      <w:r w:rsidR="00763A33" w:rsidRPr="00DB5F87">
        <w:rPr>
          <w:color w:val="000000" w:themeColor="text1"/>
        </w:rPr>
        <w:t>required</w:t>
      </w:r>
      <w:r w:rsidR="00404D38" w:rsidRPr="00DB5F87">
        <w:rPr>
          <w:color w:val="000000" w:themeColor="text1"/>
        </w:rPr>
        <w:t xml:space="preserve">, as at face value these did not make sense regarding the ‘no PEBD, no response’ health state </w:t>
      </w:r>
      <w:r w:rsidR="001C3F02" w:rsidRPr="00DB5F87">
        <w:rPr>
          <w:color w:val="000000" w:themeColor="text1"/>
        </w:rPr>
        <w:t>ha</w:t>
      </w:r>
      <w:r w:rsidR="001C3F02">
        <w:rPr>
          <w:color w:val="000000" w:themeColor="text1"/>
        </w:rPr>
        <w:t>ving</w:t>
      </w:r>
      <w:r w:rsidR="001C3F02" w:rsidRPr="00DB5F87">
        <w:rPr>
          <w:color w:val="000000" w:themeColor="text1"/>
        </w:rPr>
        <w:t xml:space="preserve"> </w:t>
      </w:r>
      <w:r w:rsidR="00404D38" w:rsidRPr="00DB5F87">
        <w:rPr>
          <w:color w:val="000000" w:themeColor="text1"/>
        </w:rPr>
        <w:t xml:space="preserve">higher utility (0.83) than the ‘PEBD, response’ state. </w:t>
      </w:r>
      <w:r w:rsidR="00A80A71" w:rsidRPr="00DB5F87">
        <w:rPr>
          <w:color w:val="000000" w:themeColor="text1"/>
        </w:rPr>
        <w:t>The resubmission reemphasised the disutility associated with stoma</w:t>
      </w:r>
      <w:r w:rsidR="00D65ADB">
        <w:rPr>
          <w:color w:val="000000" w:themeColor="text1"/>
        </w:rPr>
        <w:t>. H</w:t>
      </w:r>
      <w:r w:rsidR="00A80A71" w:rsidRPr="00DB5F87">
        <w:rPr>
          <w:color w:val="000000" w:themeColor="text1"/>
        </w:rPr>
        <w:t>owever</w:t>
      </w:r>
      <w:r w:rsidR="00D65ADB">
        <w:rPr>
          <w:color w:val="000000" w:themeColor="text1"/>
        </w:rPr>
        <w:t>,</w:t>
      </w:r>
      <w:r w:rsidR="00A80A71" w:rsidRPr="00DB5F87">
        <w:rPr>
          <w:color w:val="000000" w:themeColor="text1"/>
        </w:rPr>
        <w:t xml:space="preserve"> the magnitude of difference in comparison to being in response (i.e. pruritus controlled) was not addressed </w:t>
      </w:r>
      <w:r w:rsidR="005F0CA3" w:rsidRPr="00DB5F87">
        <w:rPr>
          <w:color w:val="000000" w:themeColor="text1"/>
        </w:rPr>
        <w:t>by</w:t>
      </w:r>
      <w:r w:rsidR="00A80A71" w:rsidRPr="00DB5F87">
        <w:rPr>
          <w:color w:val="000000" w:themeColor="text1"/>
        </w:rPr>
        <w:t xml:space="preserve"> the resubmission. The utility values </w:t>
      </w:r>
      <w:r w:rsidR="005F0CA3" w:rsidRPr="00DB5F87">
        <w:rPr>
          <w:color w:val="000000" w:themeColor="text1"/>
        </w:rPr>
        <w:t xml:space="preserve">applied </w:t>
      </w:r>
      <w:r w:rsidR="00A80A71" w:rsidRPr="00DB5F87">
        <w:rPr>
          <w:color w:val="000000" w:themeColor="text1"/>
        </w:rPr>
        <w:t>still impl</w:t>
      </w:r>
      <w:r w:rsidR="005F0CA3" w:rsidRPr="00DB5F87">
        <w:rPr>
          <w:color w:val="000000" w:themeColor="text1"/>
        </w:rPr>
        <w:t>ied</w:t>
      </w:r>
      <w:r w:rsidR="00A80A71" w:rsidRPr="00DB5F87">
        <w:rPr>
          <w:color w:val="000000" w:themeColor="text1"/>
        </w:rPr>
        <w:t xml:space="preserve"> that patients prefer pruritus (and other symptoms accompanying worsening cholestasis) over achieving a response after PEBD with the associated stoma management, which may not be plausible. However, the impact of this difference was lower than the July</w:t>
      </w:r>
      <w:r w:rsidR="006501E7">
        <w:rPr>
          <w:color w:val="000000" w:themeColor="text1"/>
        </w:rPr>
        <w:t> </w:t>
      </w:r>
      <w:r w:rsidR="00A80A71" w:rsidRPr="00DB5F87">
        <w:rPr>
          <w:color w:val="000000" w:themeColor="text1"/>
        </w:rPr>
        <w:t>2024 model due to the difference in utility between health states being smaller in the resubmission and the resubmission’s model allowing patients in the odevixibat arm to transition to PEBD.</w:t>
      </w:r>
    </w:p>
    <w:p w14:paraId="423529AC" w14:textId="11485A83" w:rsidR="00404D38" w:rsidRPr="00DB5F87" w:rsidRDefault="002C177E" w:rsidP="000A0E2E">
      <w:pPr>
        <w:pStyle w:val="3-BodyText"/>
        <w:numPr>
          <w:ilvl w:val="1"/>
          <w:numId w:val="1"/>
        </w:numPr>
        <w:spacing w:before="0"/>
        <w:rPr>
          <w:color w:val="000000" w:themeColor="text1"/>
        </w:rPr>
      </w:pPr>
      <w:r w:rsidRPr="00DB5F87">
        <w:rPr>
          <w:color w:val="000000" w:themeColor="text1"/>
        </w:rPr>
        <w:t>The</w:t>
      </w:r>
      <w:r w:rsidR="00404D38" w:rsidRPr="00DB5F87">
        <w:rPr>
          <w:color w:val="000000" w:themeColor="text1"/>
        </w:rPr>
        <w:t xml:space="preserve"> key drivers of the model </w:t>
      </w:r>
      <w:r w:rsidRPr="00DB5F87">
        <w:rPr>
          <w:color w:val="000000" w:themeColor="text1"/>
        </w:rPr>
        <w:t>are presented</w:t>
      </w:r>
      <w:r w:rsidR="00404D38" w:rsidRPr="00DB5F87">
        <w:rPr>
          <w:color w:val="000000" w:themeColor="text1"/>
        </w:rPr>
        <w:t xml:space="preserve"> </w:t>
      </w:r>
      <w:r w:rsidRPr="00DB5F87">
        <w:rPr>
          <w:color w:val="000000" w:themeColor="text1"/>
        </w:rPr>
        <w:t>in</w:t>
      </w:r>
      <w:r w:rsidR="00404D38" w:rsidRPr="00DB5F87">
        <w:rPr>
          <w:color w:val="000000" w:themeColor="text1"/>
        </w:rPr>
        <w:t xml:space="preserve"> </w:t>
      </w:r>
      <w:r w:rsidR="00404D38" w:rsidRPr="00DB5F87">
        <w:rPr>
          <w:color w:val="000000" w:themeColor="text1"/>
        </w:rPr>
        <w:fldChar w:fldCharType="begin" w:fldLock="1"/>
      </w:r>
      <w:r w:rsidR="00404D38" w:rsidRPr="00DB5F87">
        <w:rPr>
          <w:color w:val="000000" w:themeColor="text1"/>
        </w:rPr>
        <w:instrText xml:space="preserve"> REF _Ref104805122 \h  \* MERGEFORMAT </w:instrText>
      </w:r>
      <w:r w:rsidR="00404D38" w:rsidRPr="00DB5F87">
        <w:rPr>
          <w:color w:val="000000" w:themeColor="text1"/>
        </w:rPr>
      </w:r>
      <w:r w:rsidR="00404D38" w:rsidRPr="00DB5F87">
        <w:rPr>
          <w:color w:val="000000" w:themeColor="text1"/>
        </w:rPr>
        <w:fldChar w:fldCharType="separate"/>
      </w:r>
      <w:r w:rsidR="00382EF0" w:rsidRPr="00DB5F87">
        <w:rPr>
          <w:color w:val="000000" w:themeColor="text1"/>
        </w:rPr>
        <w:t>Table 13</w:t>
      </w:r>
      <w:r w:rsidR="00404D38" w:rsidRPr="00DB5F87">
        <w:rPr>
          <w:color w:val="000000" w:themeColor="text1"/>
        </w:rPr>
        <w:fldChar w:fldCharType="end"/>
      </w:r>
      <w:r w:rsidR="00404D38" w:rsidRPr="00DB5F87">
        <w:rPr>
          <w:color w:val="000000" w:themeColor="text1"/>
        </w:rPr>
        <w:t xml:space="preserve">. </w:t>
      </w:r>
    </w:p>
    <w:p w14:paraId="0C8C8002" w14:textId="687545DF" w:rsidR="00404D38" w:rsidRPr="0098262F" w:rsidRDefault="00404D38" w:rsidP="00BE7FB1">
      <w:pPr>
        <w:pStyle w:val="Caption"/>
        <w:jc w:val="left"/>
        <w:rPr>
          <w:rStyle w:val="CommentReference"/>
          <w:b/>
          <w:szCs w:val="24"/>
        </w:rPr>
      </w:pPr>
      <w:bookmarkStart w:id="83" w:name="_Ref104805122"/>
      <w:r w:rsidRPr="0098262F">
        <w:lastRenderedPageBreak/>
        <w:t xml:space="preserve">Table </w:t>
      </w:r>
      <w:r w:rsidR="00382EF0">
        <w:fldChar w:fldCharType="begin" w:fldLock="1"/>
      </w:r>
      <w:r w:rsidR="00382EF0">
        <w:instrText xml:space="preserve"> SEQ Table \* ARABIC </w:instrText>
      </w:r>
      <w:r w:rsidR="00382EF0">
        <w:fldChar w:fldCharType="separate"/>
      </w:r>
      <w:r w:rsidR="00382EF0">
        <w:rPr>
          <w:noProof/>
        </w:rPr>
        <w:t>13</w:t>
      </w:r>
      <w:r w:rsidR="00382EF0">
        <w:rPr>
          <w:noProof/>
        </w:rPr>
        <w:fldChar w:fldCharType="end"/>
      </w:r>
      <w:bookmarkEnd w:id="83"/>
      <w:r w:rsidRPr="0098262F">
        <w:t>:</w:t>
      </w:r>
      <w:r w:rsidRPr="0098262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drivers of the model"/>
      </w:tblPr>
      <w:tblGrid>
        <w:gridCol w:w="1271"/>
        <w:gridCol w:w="3544"/>
        <w:gridCol w:w="4202"/>
      </w:tblGrid>
      <w:tr w:rsidR="002C177E" w:rsidRPr="0098262F" w14:paraId="45C4F2D1" w14:textId="77777777" w:rsidTr="00B22301">
        <w:trPr>
          <w:cantSplit/>
          <w:tblHeader/>
        </w:trPr>
        <w:tc>
          <w:tcPr>
            <w:tcW w:w="705" w:type="pct"/>
            <w:shd w:val="clear" w:color="auto" w:fill="auto"/>
            <w:vAlign w:val="center"/>
          </w:tcPr>
          <w:p w14:paraId="1DCBBE37" w14:textId="68F20715" w:rsidR="002C177E" w:rsidRPr="00074FA7" w:rsidRDefault="002C177E" w:rsidP="00BE7FB1">
            <w:pPr>
              <w:pStyle w:val="TableText0"/>
              <w:rPr>
                <w:b/>
                <w:bCs w:val="0"/>
              </w:rPr>
            </w:pPr>
            <w:r w:rsidRPr="00074FA7">
              <w:rPr>
                <w:b/>
                <w:bCs w:val="0"/>
              </w:rPr>
              <w:t>Description</w:t>
            </w:r>
          </w:p>
        </w:tc>
        <w:tc>
          <w:tcPr>
            <w:tcW w:w="1965" w:type="pct"/>
            <w:shd w:val="clear" w:color="auto" w:fill="auto"/>
            <w:vAlign w:val="center"/>
          </w:tcPr>
          <w:p w14:paraId="2C4D16ED" w14:textId="28069290" w:rsidR="002C177E" w:rsidRPr="00074FA7" w:rsidRDefault="002C177E" w:rsidP="00BE7FB1">
            <w:pPr>
              <w:pStyle w:val="TableText0"/>
              <w:rPr>
                <w:b/>
                <w:bCs w:val="0"/>
              </w:rPr>
            </w:pPr>
            <w:r w:rsidRPr="00074FA7">
              <w:rPr>
                <w:b/>
                <w:bCs w:val="0"/>
              </w:rPr>
              <w:t>Method/Value</w:t>
            </w:r>
          </w:p>
        </w:tc>
        <w:tc>
          <w:tcPr>
            <w:tcW w:w="2330" w:type="pct"/>
            <w:shd w:val="clear" w:color="auto" w:fill="auto"/>
            <w:vAlign w:val="center"/>
          </w:tcPr>
          <w:p w14:paraId="1F31614D" w14:textId="77777777" w:rsidR="002C177E" w:rsidRPr="009972B7" w:rsidRDefault="002C177E" w:rsidP="00BE7FB1">
            <w:pPr>
              <w:pStyle w:val="In-tableHeading"/>
              <w:keepNext/>
              <w:keepLines/>
              <w:framePr w:wrap="around"/>
              <w:rPr>
                <w:lang w:val="en-AU"/>
              </w:rPr>
            </w:pPr>
            <w:r w:rsidRPr="009972B7">
              <w:rPr>
                <w:lang w:val="en-AU"/>
              </w:rPr>
              <w:t>Impact</w:t>
            </w:r>
          </w:p>
          <w:p w14:paraId="24755EDC" w14:textId="0C938745" w:rsidR="002C177E" w:rsidRPr="009972B7" w:rsidRDefault="002C177E" w:rsidP="00BE7FB1">
            <w:pPr>
              <w:pStyle w:val="TableText0"/>
              <w:rPr>
                <w:b/>
                <w:bCs w:val="0"/>
              </w:rPr>
            </w:pPr>
            <w:r w:rsidRPr="009972B7">
              <w:rPr>
                <w:b/>
                <w:bCs w:val="0"/>
              </w:rPr>
              <w:t>Base case: $</w:t>
            </w:r>
            <w:r w:rsidR="001549E4" w:rsidRPr="001549E4">
              <w:rPr>
                <w:b/>
                <w:bCs w:val="0"/>
                <w:color w:val="000000"/>
                <w:spacing w:val="54"/>
                <w:shd w:val="solid" w:color="000000" w:fill="000000"/>
                <w:fitText w:val="346" w:id="-693991411"/>
                <w14:textFill>
                  <w14:solidFill>
                    <w14:srgbClr w14:val="000000">
                      <w14:alpha w14:val="100000"/>
                    </w14:srgbClr>
                  </w14:solidFill>
                </w14:textFill>
              </w:rPr>
              <w:t>|||</w:t>
            </w:r>
            <w:r w:rsidR="001549E4" w:rsidRPr="001549E4">
              <w:rPr>
                <w:b/>
                <w:bCs w:val="0"/>
                <w:color w:val="000000"/>
                <w:spacing w:val="1"/>
                <w:shd w:val="solid" w:color="000000" w:fill="000000"/>
                <w:fitText w:val="346" w:id="-693991411"/>
                <w14:textFill>
                  <w14:solidFill>
                    <w14:srgbClr w14:val="000000">
                      <w14:alpha w14:val="100000"/>
                    </w14:srgbClr>
                  </w14:solidFill>
                </w14:textFill>
              </w:rPr>
              <w:t>|</w:t>
            </w:r>
            <w:r w:rsidR="00DA346D" w:rsidRPr="00DA346D">
              <w:rPr>
                <w:b/>
                <w:bCs w:val="0"/>
                <w:vertAlign w:val="superscript"/>
              </w:rPr>
              <w:t>1</w:t>
            </w:r>
            <w:r w:rsidRPr="009972B7">
              <w:rPr>
                <w:b/>
                <w:bCs w:val="0"/>
              </w:rPr>
              <w:t xml:space="preserve"> /QALY</w:t>
            </w:r>
            <w:r w:rsidR="005F1F68" w:rsidRPr="009972B7">
              <w:rPr>
                <w:b/>
                <w:bCs w:val="0"/>
              </w:rPr>
              <w:t xml:space="preserve"> </w:t>
            </w:r>
            <w:r w:rsidR="005F1F68" w:rsidRPr="009972B7">
              <w:rPr>
                <w:b/>
                <w:bCs w:val="0"/>
                <w:vertAlign w:val="superscript"/>
              </w:rPr>
              <w:t>a</w:t>
            </w:r>
          </w:p>
        </w:tc>
      </w:tr>
      <w:tr w:rsidR="005F1F68" w:rsidRPr="0098262F" w14:paraId="782E76CF" w14:textId="77777777" w:rsidTr="00B22301">
        <w:trPr>
          <w:cantSplit/>
        </w:trPr>
        <w:tc>
          <w:tcPr>
            <w:tcW w:w="705" w:type="pct"/>
            <w:shd w:val="clear" w:color="auto" w:fill="auto"/>
            <w:vAlign w:val="center"/>
          </w:tcPr>
          <w:p w14:paraId="53461C85" w14:textId="1DC94938" w:rsidR="005F1F68" w:rsidRPr="0098262F" w:rsidRDefault="005F1F68" w:rsidP="00BE7FB1">
            <w:pPr>
              <w:pStyle w:val="TableText0"/>
            </w:pPr>
            <w:r>
              <w:t xml:space="preserve">PEBD </w:t>
            </w:r>
            <w:r w:rsidR="00817260">
              <w:t>in non-responders</w:t>
            </w:r>
          </w:p>
        </w:tc>
        <w:tc>
          <w:tcPr>
            <w:tcW w:w="1965" w:type="pct"/>
            <w:shd w:val="clear" w:color="auto" w:fill="auto"/>
            <w:vAlign w:val="center"/>
          </w:tcPr>
          <w:p w14:paraId="13EA3797" w14:textId="77777777" w:rsidR="008605D0" w:rsidRDefault="005F1F68" w:rsidP="00BE7FB1">
            <w:pPr>
              <w:pStyle w:val="TableText0"/>
            </w:pPr>
            <w:r>
              <w:t>The model assumed that</w:t>
            </w:r>
            <w:r w:rsidR="008605D0">
              <w:t>:</w:t>
            </w:r>
          </w:p>
          <w:p w14:paraId="2E36FD27" w14:textId="67016287" w:rsidR="008605D0" w:rsidRPr="008605D0" w:rsidRDefault="005F1F68" w:rsidP="00BE7FB1">
            <w:pPr>
              <w:pStyle w:val="TableText0"/>
              <w:numPr>
                <w:ilvl w:val="0"/>
                <w:numId w:val="12"/>
              </w:numPr>
              <w:ind w:left="252" w:hanging="252"/>
              <w:rPr>
                <w:i/>
                <w:iCs/>
              </w:rPr>
            </w:pPr>
            <w:r>
              <w:t>odevixibat patients would undergo PEBD at a lower annual rate (</w:t>
            </w:r>
            <w:r w:rsidR="00DB0CC5">
              <w:t xml:space="preserve">1.16%) than SoC patients (5.52%). This difference in risk was constant over the </w:t>
            </w:r>
            <w:r w:rsidR="000C17F1">
              <w:t>50-year</w:t>
            </w:r>
            <w:r w:rsidR="00DB0CC5">
              <w:t xml:space="preserve"> time horizon, and irrespective of whether a patient responded to odevixibat</w:t>
            </w:r>
          </w:p>
          <w:p w14:paraId="3031370B" w14:textId="3B2DD28C" w:rsidR="008605D0" w:rsidRPr="008605D0" w:rsidRDefault="00DB0CC5" w:rsidP="00BE7FB1">
            <w:pPr>
              <w:pStyle w:val="TableText0"/>
              <w:numPr>
                <w:ilvl w:val="0"/>
                <w:numId w:val="12"/>
              </w:numPr>
              <w:ind w:left="252" w:hanging="252"/>
              <w:rPr>
                <w:i/>
                <w:iCs/>
              </w:rPr>
            </w:pPr>
            <w:r w:rsidRPr="008605D0">
              <w:t>The ‘PEBD, response’ state had a lower utility than the ‘no PEBD, no response’,</w:t>
            </w:r>
          </w:p>
          <w:p w14:paraId="43C0F7E7" w14:textId="67F32836" w:rsidR="005F1F68" w:rsidRPr="00DB0CC5" w:rsidRDefault="00DB0CC5" w:rsidP="00BE7FB1">
            <w:pPr>
              <w:pStyle w:val="TableText0"/>
              <w:numPr>
                <w:ilvl w:val="0"/>
                <w:numId w:val="12"/>
              </w:numPr>
              <w:ind w:left="252" w:hanging="252"/>
              <w:rPr>
                <w:i/>
                <w:iCs/>
              </w:rPr>
            </w:pPr>
            <w:r w:rsidRPr="008605D0">
              <w:t>PEBD response rate of 32.3% (OvEC)</w:t>
            </w:r>
            <w:r w:rsidR="008605D0">
              <w:t xml:space="preserve"> which</w:t>
            </w:r>
            <w:r w:rsidRPr="008605D0">
              <w:t xml:space="preserve"> was substantially lower than NAPPED data (60.15%).</w:t>
            </w:r>
          </w:p>
        </w:tc>
        <w:tc>
          <w:tcPr>
            <w:tcW w:w="2330" w:type="pct"/>
            <w:shd w:val="clear" w:color="auto" w:fill="auto"/>
            <w:vAlign w:val="center"/>
          </w:tcPr>
          <w:p w14:paraId="140A5441" w14:textId="4473BE49" w:rsidR="00DB0CC5" w:rsidRPr="009972B7" w:rsidRDefault="00DB0CC5" w:rsidP="00BE7FB1">
            <w:pPr>
              <w:pStyle w:val="TableText0"/>
            </w:pPr>
            <w:r w:rsidRPr="009972B7">
              <w:t>High, favoured odevixibat.</w:t>
            </w:r>
          </w:p>
          <w:p w14:paraId="7DE0620A" w14:textId="77777777" w:rsidR="00D83810" w:rsidRPr="009972B7" w:rsidRDefault="00D83810" w:rsidP="00BE7FB1">
            <w:pPr>
              <w:pStyle w:val="TableText0"/>
            </w:pPr>
          </w:p>
          <w:p w14:paraId="26FBF79C" w14:textId="50876A51" w:rsidR="005F1F68" w:rsidRPr="009972B7" w:rsidRDefault="00DB0CC5" w:rsidP="00BE7FB1">
            <w:pPr>
              <w:pStyle w:val="TableText0"/>
            </w:pPr>
            <w:r w:rsidRPr="009972B7">
              <w:t xml:space="preserve">Changing the rate of PEBD in the odevixibat arm to equal SoC increased the ICER by </w:t>
            </w:r>
            <w:r w:rsidR="001549E4" w:rsidRPr="001549E4">
              <w:rPr>
                <w:color w:val="000000"/>
                <w:spacing w:val="54"/>
                <w:shd w:val="solid" w:color="000000" w:fill="000000"/>
                <w:fitText w:val="335" w:id="-693991410"/>
                <w14:textFill>
                  <w14:solidFill>
                    <w14:srgbClr w14:val="000000">
                      <w14:alpha w14:val="100000"/>
                    </w14:srgbClr>
                  </w14:solidFill>
                </w14:textFill>
              </w:rPr>
              <w:t>|||</w:t>
            </w:r>
            <w:r w:rsidR="001549E4" w:rsidRPr="001549E4">
              <w:rPr>
                <w:color w:val="000000"/>
                <w:spacing w:val="3"/>
                <w:shd w:val="solid" w:color="000000" w:fill="000000"/>
                <w:fitText w:val="335" w:id="-693991410"/>
                <w14:textFill>
                  <w14:solidFill>
                    <w14:srgbClr w14:val="000000">
                      <w14:alpha w14:val="100000"/>
                    </w14:srgbClr>
                  </w14:solidFill>
                </w14:textFill>
              </w:rPr>
              <w:t>|</w:t>
            </w:r>
            <w:r w:rsidRPr="009972B7">
              <w:t>% to $</w:t>
            </w:r>
            <w:r w:rsidR="001549E4" w:rsidRPr="001549E4">
              <w:rPr>
                <w:color w:val="000000"/>
                <w:spacing w:val="54"/>
                <w:shd w:val="solid" w:color="000000" w:fill="000000"/>
                <w:fitText w:val="334" w:id="-693991409"/>
                <w14:textFill>
                  <w14:solidFill>
                    <w14:srgbClr w14:val="000000">
                      <w14:alpha w14:val="100000"/>
                    </w14:srgbClr>
                  </w14:solidFill>
                </w14:textFill>
              </w:rPr>
              <w:t>|||</w:t>
            </w:r>
            <w:r w:rsidR="001549E4" w:rsidRPr="001549E4">
              <w:rPr>
                <w:color w:val="000000"/>
                <w:spacing w:val="2"/>
                <w:shd w:val="solid" w:color="000000" w:fill="000000"/>
                <w:fitText w:val="334" w:id="-693991409"/>
                <w14:textFill>
                  <w14:solidFill>
                    <w14:srgbClr w14:val="000000">
                      <w14:alpha w14:val="100000"/>
                    </w14:srgbClr>
                  </w14:solidFill>
                </w14:textFill>
              </w:rPr>
              <w:t>|</w:t>
            </w:r>
            <w:r w:rsidR="00BC2541" w:rsidRPr="00BC2541">
              <w:rPr>
                <w:vertAlign w:val="superscript"/>
              </w:rPr>
              <w:t>2</w:t>
            </w:r>
            <w:r w:rsidRPr="009972B7">
              <w:t>/QALY.</w:t>
            </w:r>
          </w:p>
          <w:p w14:paraId="4DA5D8F8" w14:textId="77777777" w:rsidR="008605D0" w:rsidRPr="009972B7" w:rsidRDefault="008605D0" w:rsidP="00BE7FB1">
            <w:pPr>
              <w:pStyle w:val="TableText0"/>
            </w:pPr>
          </w:p>
          <w:p w14:paraId="71C201E0" w14:textId="3678ED8A" w:rsidR="008605D0" w:rsidRPr="009972B7" w:rsidRDefault="008605D0" w:rsidP="00BE7FB1">
            <w:pPr>
              <w:pStyle w:val="TableText0"/>
            </w:pPr>
            <w:r w:rsidRPr="009972B7">
              <w:t xml:space="preserve">Assuming utility of ‘PEBD, response’ to be the same as ‘no PEBD, no response’ increased the ICER by </w:t>
            </w:r>
            <w:r w:rsidR="001549E4" w:rsidRPr="001549E4">
              <w:rPr>
                <w:color w:val="000000"/>
                <w:spacing w:val="50"/>
                <w:shd w:val="solid" w:color="000000" w:fill="000000"/>
                <w:fitText w:val="322" w:id="-693991408"/>
                <w14:textFill>
                  <w14:solidFill>
                    <w14:srgbClr w14:val="000000">
                      <w14:alpha w14:val="100000"/>
                    </w14:srgbClr>
                  </w14:solidFill>
                </w14:textFill>
              </w:rPr>
              <w:t>|||</w:t>
            </w:r>
            <w:r w:rsidR="001549E4" w:rsidRPr="001549E4">
              <w:rPr>
                <w:color w:val="000000"/>
                <w:spacing w:val="2"/>
                <w:shd w:val="solid" w:color="000000" w:fill="000000"/>
                <w:fitText w:val="322" w:id="-693991408"/>
                <w14:textFill>
                  <w14:solidFill>
                    <w14:srgbClr w14:val="000000">
                      <w14:alpha w14:val="100000"/>
                    </w14:srgbClr>
                  </w14:solidFill>
                </w14:textFill>
              </w:rPr>
              <w:t>|</w:t>
            </w:r>
            <w:r w:rsidRPr="009972B7">
              <w:t>%</w:t>
            </w:r>
          </w:p>
          <w:p w14:paraId="445EC8FC" w14:textId="77777777" w:rsidR="008605D0" w:rsidRPr="009972B7" w:rsidRDefault="008605D0" w:rsidP="00BE7FB1">
            <w:pPr>
              <w:pStyle w:val="TableText0"/>
            </w:pPr>
          </w:p>
          <w:p w14:paraId="5CF32DBC" w14:textId="4C3DFE55" w:rsidR="00485C90" w:rsidRPr="009972B7" w:rsidRDefault="008605D0" w:rsidP="00BE7FB1">
            <w:pPr>
              <w:pStyle w:val="TableText0"/>
            </w:pPr>
            <w:r w:rsidRPr="009972B7">
              <w:t xml:space="preserve">Increasing the PEBD response rate to 60.15% increased the ICER by </w:t>
            </w:r>
            <w:r w:rsidR="001549E4" w:rsidRPr="001549E4">
              <w:rPr>
                <w:color w:val="000000"/>
                <w:spacing w:val="54"/>
                <w:shd w:val="solid" w:color="000000" w:fill="000000"/>
                <w:fitText w:val="334" w:id="-693991424"/>
                <w14:textFill>
                  <w14:solidFill>
                    <w14:srgbClr w14:val="000000">
                      <w14:alpha w14:val="100000"/>
                    </w14:srgbClr>
                  </w14:solidFill>
                </w14:textFill>
              </w:rPr>
              <w:t>|||</w:t>
            </w:r>
            <w:r w:rsidR="001549E4" w:rsidRPr="001549E4">
              <w:rPr>
                <w:color w:val="000000"/>
                <w:spacing w:val="2"/>
                <w:shd w:val="solid" w:color="000000" w:fill="000000"/>
                <w:fitText w:val="334" w:id="-693991424"/>
                <w14:textFill>
                  <w14:solidFill>
                    <w14:srgbClr w14:val="000000">
                      <w14:alpha w14:val="100000"/>
                    </w14:srgbClr>
                  </w14:solidFill>
                </w14:textFill>
              </w:rPr>
              <w:t>|</w:t>
            </w:r>
            <w:r w:rsidRPr="009972B7">
              <w:t>%</w:t>
            </w:r>
          </w:p>
        </w:tc>
      </w:tr>
      <w:tr w:rsidR="009E04BC" w:rsidRPr="0098262F" w14:paraId="3660C9B9" w14:textId="77777777" w:rsidTr="00B22301">
        <w:trPr>
          <w:cantSplit/>
        </w:trPr>
        <w:tc>
          <w:tcPr>
            <w:tcW w:w="705" w:type="pct"/>
            <w:shd w:val="clear" w:color="auto" w:fill="auto"/>
            <w:vAlign w:val="center"/>
          </w:tcPr>
          <w:p w14:paraId="48AC40AE" w14:textId="77777777" w:rsidR="009E04BC" w:rsidRPr="0098262F" w:rsidRDefault="009E04BC" w:rsidP="00BE7FB1">
            <w:pPr>
              <w:pStyle w:val="TableText0"/>
            </w:pPr>
            <w:r>
              <w:t>Starting age</w:t>
            </w:r>
          </w:p>
        </w:tc>
        <w:tc>
          <w:tcPr>
            <w:tcW w:w="1965" w:type="pct"/>
            <w:shd w:val="clear" w:color="auto" w:fill="auto"/>
            <w:vAlign w:val="center"/>
          </w:tcPr>
          <w:p w14:paraId="133A2EDA" w14:textId="1EC38781" w:rsidR="009E04BC" w:rsidRPr="0098262F" w:rsidRDefault="009E04BC" w:rsidP="00BE7FB1">
            <w:pPr>
              <w:pStyle w:val="TableText0"/>
            </w:pPr>
            <w:r>
              <w:t xml:space="preserve">The model base case assumed a starting age of 4.24 years. </w:t>
            </w:r>
            <w:r w:rsidRPr="00AB6927">
              <w:t xml:space="preserve">Due to the </w:t>
            </w:r>
            <w:r w:rsidR="000C17F1" w:rsidRPr="00AB6927">
              <w:t>weight-based</w:t>
            </w:r>
            <w:r w:rsidRPr="00AB6927">
              <w:t xml:space="preserve"> dosing of odevixibat, the drug acquisition costs were sensitive to patient’s age.</w:t>
            </w:r>
            <w:r w:rsidR="007D53DF" w:rsidRPr="00AB6927">
              <w:t xml:space="preserve"> In the financial estimates, prevalent patients were assumed to have a starting age of 13.8 years.</w:t>
            </w:r>
            <w:r w:rsidR="007D53DF">
              <w:rPr>
                <w:i/>
                <w:iCs/>
              </w:rPr>
              <w:t xml:space="preserve"> </w:t>
            </w:r>
          </w:p>
        </w:tc>
        <w:tc>
          <w:tcPr>
            <w:tcW w:w="2330" w:type="pct"/>
            <w:shd w:val="clear" w:color="auto" w:fill="auto"/>
            <w:vAlign w:val="center"/>
          </w:tcPr>
          <w:p w14:paraId="3A241A4B" w14:textId="77777777" w:rsidR="009E04BC" w:rsidRPr="009972B7" w:rsidRDefault="009E04BC" w:rsidP="00BE7FB1">
            <w:pPr>
              <w:pStyle w:val="TableText0"/>
            </w:pPr>
            <w:r w:rsidRPr="009972B7">
              <w:t>High, favoured odevixibat.</w:t>
            </w:r>
          </w:p>
          <w:p w14:paraId="09144E6B" w14:textId="77777777" w:rsidR="00D83810" w:rsidRPr="009972B7" w:rsidRDefault="00D83810" w:rsidP="00BE7FB1">
            <w:pPr>
              <w:pStyle w:val="TableText0"/>
            </w:pPr>
          </w:p>
          <w:p w14:paraId="16117276" w14:textId="0BAA42D0" w:rsidR="009E04BC" w:rsidRPr="009972B7" w:rsidRDefault="009E04BC" w:rsidP="00BE7FB1">
            <w:pPr>
              <w:pStyle w:val="TableText0"/>
            </w:pPr>
            <w:r w:rsidRPr="009972B7">
              <w:t xml:space="preserve">Increasing the mean age of prevalent patients to 7.62 years (Cohort 2 of PEDFIC 2) or 13.8 years (as used in the financial estimates) increased the ICER by </w:t>
            </w:r>
            <w:r w:rsidR="001549E4" w:rsidRPr="001549E4">
              <w:rPr>
                <w:color w:val="000000"/>
                <w:spacing w:val="54"/>
                <w:shd w:val="solid" w:color="000000" w:fill="000000"/>
                <w:fitText w:val="334" w:id="-693991423"/>
                <w14:textFill>
                  <w14:solidFill>
                    <w14:srgbClr w14:val="000000">
                      <w14:alpha w14:val="100000"/>
                    </w14:srgbClr>
                  </w14:solidFill>
                </w14:textFill>
              </w:rPr>
              <w:t>|||</w:t>
            </w:r>
            <w:r w:rsidR="001549E4" w:rsidRPr="001549E4">
              <w:rPr>
                <w:color w:val="000000"/>
                <w:spacing w:val="2"/>
                <w:shd w:val="solid" w:color="000000" w:fill="000000"/>
                <w:fitText w:val="334" w:id="-693991423"/>
                <w14:textFill>
                  <w14:solidFill>
                    <w14:srgbClr w14:val="000000">
                      <w14:alpha w14:val="100000"/>
                    </w14:srgbClr>
                  </w14:solidFill>
                </w14:textFill>
              </w:rPr>
              <w:t>|</w:t>
            </w:r>
            <w:r w:rsidRPr="009972B7">
              <w:t>% ($</w:t>
            </w:r>
            <w:r w:rsidR="001549E4" w:rsidRPr="001549E4">
              <w:rPr>
                <w:color w:val="000000"/>
                <w:spacing w:val="54"/>
                <w:shd w:val="solid" w:color="000000" w:fill="000000"/>
                <w:fitText w:val="334" w:id="-693991422"/>
                <w14:textFill>
                  <w14:solidFill>
                    <w14:srgbClr w14:val="000000">
                      <w14:alpha w14:val="100000"/>
                    </w14:srgbClr>
                  </w14:solidFill>
                </w14:textFill>
              </w:rPr>
              <w:t>|||</w:t>
            </w:r>
            <w:r w:rsidR="001549E4" w:rsidRPr="001549E4">
              <w:rPr>
                <w:color w:val="000000"/>
                <w:spacing w:val="2"/>
                <w:shd w:val="solid" w:color="000000" w:fill="000000"/>
                <w:fitText w:val="334" w:id="-693991422"/>
                <w14:textFill>
                  <w14:solidFill>
                    <w14:srgbClr w14:val="000000">
                      <w14:alpha w14:val="100000"/>
                    </w14:srgbClr>
                  </w14:solidFill>
                </w14:textFill>
              </w:rPr>
              <w:t>|</w:t>
            </w:r>
            <w:r w:rsidR="008963B7" w:rsidRPr="008963B7">
              <w:rPr>
                <w:vertAlign w:val="superscript"/>
              </w:rPr>
              <w:t>3</w:t>
            </w:r>
            <w:r w:rsidRPr="009972B7">
              <w:t xml:space="preserve">/QALY) and </w:t>
            </w:r>
            <w:r w:rsidR="001549E4" w:rsidRPr="001549E4">
              <w:rPr>
                <w:color w:val="000000"/>
                <w:spacing w:val="50"/>
                <w:shd w:val="solid" w:color="000000" w:fill="000000"/>
                <w:fitText w:val="323" w:id="-693991421"/>
                <w14:textFill>
                  <w14:solidFill>
                    <w14:srgbClr w14:val="000000">
                      <w14:alpha w14:val="100000"/>
                    </w14:srgbClr>
                  </w14:solidFill>
                </w14:textFill>
              </w:rPr>
              <w:t>|||</w:t>
            </w:r>
            <w:r w:rsidR="001549E4" w:rsidRPr="001549E4">
              <w:rPr>
                <w:color w:val="000000"/>
                <w:spacing w:val="3"/>
                <w:shd w:val="solid" w:color="000000" w:fill="000000"/>
                <w:fitText w:val="323" w:id="-693991421"/>
                <w14:textFill>
                  <w14:solidFill>
                    <w14:srgbClr w14:val="000000">
                      <w14:alpha w14:val="100000"/>
                    </w14:srgbClr>
                  </w14:solidFill>
                </w14:textFill>
              </w:rPr>
              <w:t>|</w:t>
            </w:r>
            <w:r w:rsidRPr="009972B7">
              <w:t>% ($</w:t>
            </w:r>
            <w:r w:rsidR="001549E4" w:rsidRPr="001549E4">
              <w:rPr>
                <w:color w:val="000000"/>
                <w:spacing w:val="50"/>
                <w:shd w:val="solid" w:color="000000" w:fill="000000"/>
                <w:fitText w:val="322" w:id="-693991420"/>
                <w14:textFill>
                  <w14:solidFill>
                    <w14:srgbClr w14:val="000000">
                      <w14:alpha w14:val="100000"/>
                    </w14:srgbClr>
                  </w14:solidFill>
                </w14:textFill>
              </w:rPr>
              <w:t>|||</w:t>
            </w:r>
            <w:r w:rsidR="001549E4" w:rsidRPr="001549E4">
              <w:rPr>
                <w:color w:val="000000"/>
                <w:spacing w:val="2"/>
                <w:shd w:val="solid" w:color="000000" w:fill="000000"/>
                <w:fitText w:val="322" w:id="-693991420"/>
                <w14:textFill>
                  <w14:solidFill>
                    <w14:srgbClr w14:val="000000">
                      <w14:alpha w14:val="100000"/>
                    </w14:srgbClr>
                  </w14:solidFill>
                </w14:textFill>
              </w:rPr>
              <w:t>|</w:t>
            </w:r>
            <w:r w:rsidR="00F423B9" w:rsidRPr="00F423B9">
              <w:rPr>
                <w:vertAlign w:val="superscript"/>
              </w:rPr>
              <w:t>4</w:t>
            </w:r>
            <w:r w:rsidRPr="009972B7">
              <w:t>/QALY), respectively.</w:t>
            </w:r>
          </w:p>
        </w:tc>
      </w:tr>
      <w:tr w:rsidR="002C177E" w:rsidRPr="0098262F" w14:paraId="266E130D" w14:textId="77777777" w:rsidTr="00B22301">
        <w:trPr>
          <w:cantSplit/>
        </w:trPr>
        <w:tc>
          <w:tcPr>
            <w:tcW w:w="705" w:type="pct"/>
            <w:shd w:val="clear" w:color="auto" w:fill="auto"/>
            <w:vAlign w:val="center"/>
          </w:tcPr>
          <w:p w14:paraId="45839C46" w14:textId="4F1351DB" w:rsidR="002C177E" w:rsidRPr="0098262F" w:rsidRDefault="002D5EE3" w:rsidP="000A0E2E">
            <w:pPr>
              <w:pStyle w:val="TableText0"/>
              <w:keepNext w:val="0"/>
              <w:keepLines w:val="0"/>
            </w:pPr>
            <w:r>
              <w:t>Loss of response</w:t>
            </w:r>
            <w:r w:rsidR="00D42BB5">
              <w:t xml:space="preserve"> (i.e. treatment </w:t>
            </w:r>
            <w:r w:rsidR="00A80A71">
              <w:t>discontinuation</w:t>
            </w:r>
            <w:r w:rsidR="00D42BB5">
              <w:t>)</w:t>
            </w:r>
          </w:p>
        </w:tc>
        <w:tc>
          <w:tcPr>
            <w:tcW w:w="1965" w:type="pct"/>
            <w:shd w:val="clear" w:color="auto" w:fill="auto"/>
            <w:vAlign w:val="center"/>
          </w:tcPr>
          <w:p w14:paraId="4826435B" w14:textId="13D65239" w:rsidR="002C177E" w:rsidRPr="002D5EE3" w:rsidRDefault="005F1F68" w:rsidP="000A0E2E">
            <w:pPr>
              <w:pStyle w:val="Tabletext"/>
              <w:rPr>
                <w:i/>
                <w:iCs/>
              </w:rPr>
            </w:pPr>
            <w:r>
              <w:t xml:space="preserve">The </w:t>
            </w:r>
            <w:r w:rsidR="002D5EE3">
              <w:t>resubmission</w:t>
            </w:r>
            <w:r>
              <w:t xml:space="preserve"> </w:t>
            </w:r>
            <w:r w:rsidR="002D5EE3">
              <w:t xml:space="preserve">assumed patients would lose response and discontinue odevixibat at a rate of 12.01% per year, increased from 3.52% in the July 2024 submission, based on the 72-week PEDFIC 2 data. </w:t>
            </w:r>
          </w:p>
        </w:tc>
        <w:tc>
          <w:tcPr>
            <w:tcW w:w="2330" w:type="pct"/>
            <w:shd w:val="clear" w:color="auto" w:fill="auto"/>
            <w:vAlign w:val="center"/>
          </w:tcPr>
          <w:p w14:paraId="22D5A809" w14:textId="02261071" w:rsidR="00D83810" w:rsidRPr="009972B7" w:rsidRDefault="002D5EE3" w:rsidP="000A0E2E">
            <w:pPr>
              <w:pStyle w:val="TableText0"/>
              <w:keepNext w:val="0"/>
              <w:keepLines w:val="0"/>
            </w:pPr>
            <w:r w:rsidRPr="009972B7">
              <w:t xml:space="preserve">High, </w:t>
            </w:r>
            <w:r w:rsidR="00CC4084" w:rsidRPr="009972B7">
              <w:t xml:space="preserve">a higher discontinuation rate unexpectedly </w:t>
            </w:r>
            <w:r w:rsidRPr="009972B7">
              <w:t xml:space="preserve">favoured </w:t>
            </w:r>
            <w:proofErr w:type="spellStart"/>
            <w:r w:rsidRPr="009972B7">
              <w:t>odevixiba</w:t>
            </w:r>
            <w:r w:rsidR="008B2A39" w:rsidRPr="009972B7">
              <w:t>t</w:t>
            </w:r>
            <w:proofErr w:type="spellEnd"/>
            <w:r w:rsidR="00BD02D9" w:rsidRPr="009972B7">
              <w:t xml:space="preserve"> (see paragraph </w:t>
            </w:r>
            <w:r w:rsidR="00BD02D9" w:rsidRPr="009972B7">
              <w:fldChar w:fldCharType="begin" w:fldLock="1"/>
            </w:r>
            <w:r w:rsidR="00BD02D9" w:rsidRPr="009972B7">
              <w:instrText xml:space="preserve"> REF _Ref185090121 \r \h </w:instrText>
            </w:r>
            <w:r w:rsidR="009972B7">
              <w:instrText xml:space="preserve"> \* MERGEFORMAT </w:instrText>
            </w:r>
            <w:r w:rsidR="00BD02D9" w:rsidRPr="009972B7">
              <w:fldChar w:fldCharType="separate"/>
            </w:r>
            <w:r w:rsidR="00E16571">
              <w:t>6.38</w:t>
            </w:r>
            <w:r w:rsidR="00BD02D9" w:rsidRPr="009972B7">
              <w:fldChar w:fldCharType="end"/>
            </w:r>
            <w:r w:rsidR="00BD02D9" w:rsidRPr="009972B7">
              <w:t xml:space="preserve">) </w:t>
            </w:r>
          </w:p>
          <w:p w14:paraId="44AC70BE" w14:textId="7EB4FE4D" w:rsidR="002D5EE3" w:rsidRPr="009972B7" w:rsidRDefault="002D5EE3" w:rsidP="000A0E2E">
            <w:pPr>
              <w:pStyle w:val="TableText0"/>
              <w:keepNext w:val="0"/>
              <w:keepLines w:val="0"/>
            </w:pPr>
            <w:r w:rsidRPr="009972B7">
              <w:t xml:space="preserve">Reducing the loss of response rate to 3.52% as used in the July 2024 submission increased the ICER by </w:t>
            </w:r>
            <w:r w:rsidR="001549E4" w:rsidRPr="001549E4">
              <w:rPr>
                <w:color w:val="000000"/>
                <w:spacing w:val="54"/>
                <w:shd w:val="solid" w:color="000000" w:fill="000000"/>
                <w:fitText w:val="334" w:id="-693991419"/>
                <w14:textFill>
                  <w14:solidFill>
                    <w14:srgbClr w14:val="000000">
                      <w14:alpha w14:val="100000"/>
                    </w14:srgbClr>
                  </w14:solidFill>
                </w14:textFill>
              </w:rPr>
              <w:t>|||</w:t>
            </w:r>
            <w:r w:rsidR="001549E4" w:rsidRPr="001549E4">
              <w:rPr>
                <w:color w:val="000000"/>
                <w:spacing w:val="2"/>
                <w:shd w:val="solid" w:color="000000" w:fill="000000"/>
                <w:fitText w:val="334" w:id="-693991419"/>
                <w14:textFill>
                  <w14:solidFill>
                    <w14:srgbClr w14:val="000000">
                      <w14:alpha w14:val="100000"/>
                    </w14:srgbClr>
                  </w14:solidFill>
                </w14:textFill>
              </w:rPr>
              <w:t>|</w:t>
            </w:r>
            <w:r w:rsidRPr="009972B7">
              <w:t xml:space="preserve">% to </w:t>
            </w:r>
            <w:r w:rsidR="00B070BE" w:rsidRPr="009972B7">
              <w:t>$</w:t>
            </w:r>
            <w:r w:rsidR="001549E4" w:rsidRPr="001549E4">
              <w:rPr>
                <w:color w:val="000000"/>
                <w:spacing w:val="54"/>
                <w:shd w:val="solid" w:color="000000" w:fill="000000"/>
                <w:fitText w:val="334" w:id="-693991418"/>
                <w14:textFill>
                  <w14:solidFill>
                    <w14:srgbClr w14:val="000000">
                      <w14:alpha w14:val="100000"/>
                    </w14:srgbClr>
                  </w14:solidFill>
                </w14:textFill>
              </w:rPr>
              <w:t>|||</w:t>
            </w:r>
            <w:r w:rsidR="001549E4" w:rsidRPr="001549E4">
              <w:rPr>
                <w:color w:val="000000"/>
                <w:spacing w:val="2"/>
                <w:shd w:val="solid" w:color="000000" w:fill="000000"/>
                <w:fitText w:val="334" w:id="-693991418"/>
                <w14:textFill>
                  <w14:solidFill>
                    <w14:srgbClr w14:val="000000">
                      <w14:alpha w14:val="100000"/>
                    </w14:srgbClr>
                  </w14:solidFill>
                </w14:textFill>
              </w:rPr>
              <w:t>|</w:t>
            </w:r>
            <w:r w:rsidR="008963B7" w:rsidRPr="00BC2541">
              <w:rPr>
                <w:vertAlign w:val="superscript"/>
              </w:rPr>
              <w:t>2</w:t>
            </w:r>
            <w:r w:rsidRPr="009972B7">
              <w:t>/QALY.</w:t>
            </w:r>
            <w:r w:rsidR="00021814">
              <w:t xml:space="preserve"> </w:t>
            </w:r>
          </w:p>
        </w:tc>
      </w:tr>
      <w:tr w:rsidR="00713567" w:rsidRPr="0098262F" w14:paraId="011E8EB6" w14:textId="77777777" w:rsidTr="00B22301">
        <w:trPr>
          <w:cantSplit/>
        </w:trPr>
        <w:tc>
          <w:tcPr>
            <w:tcW w:w="705" w:type="pct"/>
            <w:shd w:val="clear" w:color="auto" w:fill="auto"/>
            <w:vAlign w:val="center"/>
          </w:tcPr>
          <w:p w14:paraId="1A36B276" w14:textId="77777777" w:rsidR="00713567" w:rsidRDefault="00713567" w:rsidP="000A0E2E">
            <w:pPr>
              <w:pStyle w:val="TableText0"/>
              <w:keepNext w:val="0"/>
              <w:keepLines w:val="0"/>
            </w:pPr>
            <w:r>
              <w:t>Use of OvEC data</w:t>
            </w:r>
          </w:p>
        </w:tc>
        <w:tc>
          <w:tcPr>
            <w:tcW w:w="1965" w:type="pct"/>
            <w:shd w:val="clear" w:color="auto" w:fill="auto"/>
            <w:vAlign w:val="center"/>
          </w:tcPr>
          <w:p w14:paraId="3F6921B3" w14:textId="35AA763A" w:rsidR="00713567" w:rsidRDefault="00713567" w:rsidP="000A0E2E">
            <w:pPr>
              <w:pStyle w:val="Tabletext"/>
            </w:pPr>
            <w:r>
              <w:t>The resubmission maintained the use of OvEC data in the base case which was previously considered by the PBAC to favour odevixibat (</w:t>
            </w:r>
            <w:r w:rsidR="00301E64">
              <w:t>paragraph</w:t>
            </w:r>
            <w:r>
              <w:t xml:space="preserve"> 7.17, odevixibat PSD, July 2024 PBAC meeting). </w:t>
            </w:r>
          </w:p>
        </w:tc>
        <w:tc>
          <w:tcPr>
            <w:tcW w:w="2330" w:type="pct"/>
            <w:shd w:val="clear" w:color="auto" w:fill="auto"/>
            <w:vAlign w:val="center"/>
          </w:tcPr>
          <w:p w14:paraId="3F3E98C8" w14:textId="77777777" w:rsidR="00713567" w:rsidRPr="009972B7" w:rsidRDefault="00713567" w:rsidP="000A0E2E">
            <w:pPr>
              <w:pStyle w:val="TableText0"/>
              <w:keepNext w:val="0"/>
              <w:keepLines w:val="0"/>
            </w:pPr>
            <w:r w:rsidRPr="009972B7">
              <w:t>High, favoured odevixibat</w:t>
            </w:r>
          </w:p>
          <w:p w14:paraId="5F7818CE" w14:textId="77777777" w:rsidR="00713567" w:rsidRPr="009972B7" w:rsidRDefault="00713567" w:rsidP="000A0E2E">
            <w:pPr>
              <w:pStyle w:val="TableText0"/>
              <w:keepNext w:val="0"/>
              <w:keepLines w:val="0"/>
            </w:pPr>
          </w:p>
          <w:p w14:paraId="1D5C831C" w14:textId="43E6FC28" w:rsidR="00713567" w:rsidRPr="009972B7" w:rsidRDefault="00713567" w:rsidP="000A0E2E">
            <w:pPr>
              <w:pStyle w:val="TableText0"/>
              <w:keepNext w:val="0"/>
              <w:keepLines w:val="0"/>
            </w:pPr>
            <w:r w:rsidRPr="009972B7">
              <w:t xml:space="preserve">A scenario analysis that replaced OvEC inputs with PEDFIC/NAPPED data increased the ICER by </w:t>
            </w:r>
            <w:r w:rsidR="001549E4" w:rsidRPr="001549E4">
              <w:rPr>
                <w:color w:val="000000"/>
                <w:spacing w:val="54"/>
                <w:shd w:val="solid" w:color="000000" w:fill="000000"/>
                <w:fitText w:val="334" w:id="-693991417"/>
                <w14:textFill>
                  <w14:solidFill>
                    <w14:srgbClr w14:val="000000">
                      <w14:alpha w14:val="100000"/>
                    </w14:srgbClr>
                  </w14:solidFill>
                </w14:textFill>
              </w:rPr>
              <w:t>|||</w:t>
            </w:r>
            <w:r w:rsidR="001549E4" w:rsidRPr="001549E4">
              <w:rPr>
                <w:color w:val="000000"/>
                <w:spacing w:val="2"/>
                <w:shd w:val="solid" w:color="000000" w:fill="000000"/>
                <w:fitText w:val="334" w:id="-693991417"/>
                <w14:textFill>
                  <w14:solidFill>
                    <w14:srgbClr w14:val="000000">
                      <w14:alpha w14:val="100000"/>
                    </w14:srgbClr>
                  </w14:solidFill>
                </w14:textFill>
              </w:rPr>
              <w:t>|</w:t>
            </w:r>
            <w:r w:rsidRPr="009972B7">
              <w:t>% to $</w:t>
            </w:r>
            <w:r w:rsidR="001549E4" w:rsidRPr="001549E4">
              <w:rPr>
                <w:color w:val="000000"/>
                <w:spacing w:val="54"/>
                <w:shd w:val="solid" w:color="000000" w:fill="000000"/>
                <w:fitText w:val="334" w:id="-693991416"/>
                <w14:textFill>
                  <w14:solidFill>
                    <w14:srgbClr w14:val="000000">
                      <w14:alpha w14:val="100000"/>
                    </w14:srgbClr>
                  </w14:solidFill>
                </w14:textFill>
              </w:rPr>
              <w:t>|||</w:t>
            </w:r>
            <w:r w:rsidR="001549E4" w:rsidRPr="001549E4">
              <w:rPr>
                <w:color w:val="000000"/>
                <w:spacing w:val="2"/>
                <w:shd w:val="solid" w:color="000000" w:fill="000000"/>
                <w:fitText w:val="334" w:id="-693991416"/>
                <w14:textFill>
                  <w14:solidFill>
                    <w14:srgbClr w14:val="000000">
                      <w14:alpha w14:val="100000"/>
                    </w14:srgbClr>
                  </w14:solidFill>
                </w14:textFill>
              </w:rPr>
              <w:t>|</w:t>
            </w:r>
            <w:r w:rsidR="00F423B9" w:rsidRPr="008963B7">
              <w:rPr>
                <w:vertAlign w:val="superscript"/>
              </w:rPr>
              <w:t>3</w:t>
            </w:r>
            <w:r w:rsidRPr="009972B7">
              <w:t>/QALY.</w:t>
            </w:r>
          </w:p>
        </w:tc>
      </w:tr>
      <w:tr w:rsidR="00B070BE" w:rsidRPr="0098262F" w14:paraId="157B7002" w14:textId="77777777" w:rsidTr="00B22301">
        <w:trPr>
          <w:cantSplit/>
        </w:trPr>
        <w:tc>
          <w:tcPr>
            <w:tcW w:w="705" w:type="pct"/>
            <w:shd w:val="clear" w:color="auto" w:fill="auto"/>
            <w:vAlign w:val="center"/>
          </w:tcPr>
          <w:p w14:paraId="03B39FA9" w14:textId="254C5316" w:rsidR="00B070BE" w:rsidRDefault="00B070BE" w:rsidP="000A0E2E">
            <w:pPr>
              <w:pStyle w:val="TableText0"/>
              <w:keepNext w:val="0"/>
              <w:keepLines w:val="0"/>
            </w:pPr>
            <w:r>
              <w:t>Response rate to odevixibat</w:t>
            </w:r>
          </w:p>
        </w:tc>
        <w:tc>
          <w:tcPr>
            <w:tcW w:w="1965" w:type="pct"/>
            <w:shd w:val="clear" w:color="auto" w:fill="auto"/>
            <w:vAlign w:val="center"/>
          </w:tcPr>
          <w:p w14:paraId="1D00BD82" w14:textId="003E4091" w:rsidR="00B070BE" w:rsidRDefault="00B070BE" w:rsidP="000A0E2E">
            <w:pPr>
              <w:pStyle w:val="Tabletext"/>
            </w:pPr>
            <w:r>
              <w:t>The resubmission assumed a response rate to odevixibat based on the response rate of patients treated with 40</w:t>
            </w:r>
            <w:r w:rsidR="0017081E">
              <w:t> mcg</w:t>
            </w:r>
            <w:r>
              <w:t>/kg/day odevixibat in PEDFIC 1 (43.5%), instead of a ‘combined’ rate of 40</w:t>
            </w:r>
            <w:r w:rsidR="0017081E">
              <w:t> mcg</w:t>
            </w:r>
            <w:r>
              <w:t xml:space="preserve"> and 120</w:t>
            </w:r>
            <w:r w:rsidR="0017081E">
              <w:t> mcg</w:t>
            </w:r>
            <w:r>
              <w:t>/kg/day response rate of 62.28% in the July 2024 submission.</w:t>
            </w:r>
          </w:p>
        </w:tc>
        <w:tc>
          <w:tcPr>
            <w:tcW w:w="2330" w:type="pct"/>
            <w:shd w:val="clear" w:color="auto" w:fill="auto"/>
            <w:vAlign w:val="center"/>
          </w:tcPr>
          <w:p w14:paraId="45EB40D4" w14:textId="1555AEB4" w:rsidR="00B070BE" w:rsidRPr="009972B7" w:rsidRDefault="00B070BE" w:rsidP="000A0E2E">
            <w:pPr>
              <w:pStyle w:val="TableText0"/>
              <w:keepNext w:val="0"/>
              <w:keepLines w:val="0"/>
            </w:pPr>
            <w:r w:rsidRPr="009972B7">
              <w:t>Moderate,</w:t>
            </w:r>
            <w:r w:rsidR="00CC4084" w:rsidRPr="009972B7">
              <w:t xml:space="preserve"> a lower response rate unexpectedly</w:t>
            </w:r>
            <w:r w:rsidRPr="009972B7">
              <w:t xml:space="preserve"> favoured </w:t>
            </w:r>
            <w:proofErr w:type="spellStart"/>
            <w:r w:rsidRPr="009972B7">
              <w:t>odevixibat</w:t>
            </w:r>
            <w:proofErr w:type="spellEnd"/>
            <w:r w:rsidR="00D42BB5" w:rsidRPr="009972B7">
              <w:t xml:space="preserve"> </w:t>
            </w:r>
            <w:r w:rsidR="00E210BC" w:rsidRPr="009972B7">
              <w:t xml:space="preserve">(see paragraph </w:t>
            </w:r>
            <w:r w:rsidR="00E210BC" w:rsidRPr="009972B7">
              <w:fldChar w:fldCharType="begin" w:fldLock="1"/>
            </w:r>
            <w:r w:rsidR="00E210BC" w:rsidRPr="009972B7">
              <w:instrText xml:space="preserve"> REF _Ref187920381 \r \h </w:instrText>
            </w:r>
            <w:r w:rsidR="009972B7">
              <w:instrText xml:space="preserve"> \* MERGEFORMAT </w:instrText>
            </w:r>
            <w:r w:rsidR="00E210BC" w:rsidRPr="009972B7">
              <w:fldChar w:fldCharType="separate"/>
            </w:r>
            <w:r w:rsidR="00E16571">
              <w:t>6.37</w:t>
            </w:r>
            <w:r w:rsidR="00E210BC" w:rsidRPr="009972B7">
              <w:fldChar w:fldCharType="end"/>
            </w:r>
            <w:r w:rsidR="00E210BC" w:rsidRPr="009972B7">
              <w:t>)</w:t>
            </w:r>
          </w:p>
          <w:p w14:paraId="5FDA94CA" w14:textId="77777777" w:rsidR="008605D0" w:rsidRPr="009972B7" w:rsidRDefault="008605D0" w:rsidP="000A0E2E">
            <w:pPr>
              <w:pStyle w:val="TableText0"/>
              <w:keepNext w:val="0"/>
              <w:keepLines w:val="0"/>
            </w:pPr>
          </w:p>
          <w:p w14:paraId="4072F706" w14:textId="543BB6C6" w:rsidR="00B070BE" w:rsidRPr="009972B7" w:rsidRDefault="00B070BE" w:rsidP="00E210BC">
            <w:pPr>
              <w:pStyle w:val="TableText0"/>
              <w:keepNext w:val="0"/>
              <w:keepLines w:val="0"/>
            </w:pPr>
            <w:r w:rsidRPr="009972B7">
              <w:t xml:space="preserve">Assuming a response rate of 62.28% increased the ICER by </w:t>
            </w:r>
            <w:r w:rsidR="001549E4" w:rsidRPr="001549E4">
              <w:rPr>
                <w:color w:val="000000"/>
                <w:spacing w:val="54"/>
                <w:shd w:val="solid" w:color="000000" w:fill="000000"/>
                <w:fitText w:val="334" w:id="-693991415"/>
                <w14:textFill>
                  <w14:solidFill>
                    <w14:srgbClr w14:val="000000">
                      <w14:alpha w14:val="100000"/>
                    </w14:srgbClr>
                  </w14:solidFill>
                </w14:textFill>
              </w:rPr>
              <w:t>|||</w:t>
            </w:r>
            <w:r w:rsidR="001549E4" w:rsidRPr="001549E4">
              <w:rPr>
                <w:color w:val="000000"/>
                <w:spacing w:val="2"/>
                <w:shd w:val="solid" w:color="000000" w:fill="000000"/>
                <w:fitText w:val="334" w:id="-693991415"/>
                <w14:textFill>
                  <w14:solidFill>
                    <w14:srgbClr w14:val="000000">
                      <w14:alpha w14:val="100000"/>
                    </w14:srgbClr>
                  </w14:solidFill>
                </w14:textFill>
              </w:rPr>
              <w:t>|</w:t>
            </w:r>
            <w:r w:rsidR="004912A4" w:rsidRPr="009972B7">
              <w:t>%</w:t>
            </w:r>
            <w:r w:rsidR="00713567" w:rsidRPr="009972B7">
              <w:t xml:space="preserve"> to $</w:t>
            </w:r>
            <w:r w:rsidR="001549E4" w:rsidRPr="001549E4">
              <w:rPr>
                <w:color w:val="000000"/>
                <w:spacing w:val="50"/>
                <w:shd w:val="solid" w:color="000000" w:fill="000000"/>
                <w:fitText w:val="322" w:id="-693991414"/>
                <w14:textFill>
                  <w14:solidFill>
                    <w14:srgbClr w14:val="000000">
                      <w14:alpha w14:val="100000"/>
                    </w14:srgbClr>
                  </w14:solidFill>
                </w14:textFill>
              </w:rPr>
              <w:t>|||</w:t>
            </w:r>
            <w:r w:rsidR="001549E4" w:rsidRPr="001549E4">
              <w:rPr>
                <w:color w:val="000000"/>
                <w:spacing w:val="2"/>
                <w:shd w:val="solid" w:color="000000" w:fill="000000"/>
                <w:fitText w:val="322" w:id="-693991414"/>
                <w14:textFill>
                  <w14:solidFill>
                    <w14:srgbClr w14:val="000000">
                      <w14:alpha w14:val="100000"/>
                    </w14:srgbClr>
                  </w14:solidFill>
                </w14:textFill>
              </w:rPr>
              <w:t>|</w:t>
            </w:r>
            <w:r w:rsidR="00BC2541" w:rsidRPr="00DA346D">
              <w:rPr>
                <w:b/>
                <w:bCs w:val="0"/>
                <w:vertAlign w:val="superscript"/>
              </w:rPr>
              <w:t>1</w:t>
            </w:r>
            <w:r w:rsidR="00713567" w:rsidRPr="009972B7">
              <w:t>/QALY.</w:t>
            </w:r>
            <w:r w:rsidR="00E210BC" w:rsidRPr="009972B7">
              <w:t xml:space="preserve"> In a </w:t>
            </w:r>
            <w:r w:rsidR="003B6C39" w:rsidRPr="009972B7">
              <w:t>worst-case</w:t>
            </w:r>
            <w:r w:rsidR="00E210BC" w:rsidRPr="009972B7">
              <w:t xml:space="preserve"> scenario where odevixibat sBA/pruritus response rate was set to 0% (i.e. a null treatment effect), the model maintained over half of the estimated incremental QALYs (0.64/1.21, 53%), and the ICER decreased by </w:t>
            </w:r>
            <w:r w:rsidR="001549E4" w:rsidRPr="001549E4">
              <w:rPr>
                <w:color w:val="000000"/>
                <w:spacing w:val="54"/>
                <w:shd w:val="solid" w:color="000000" w:fill="000000"/>
                <w:fitText w:val="334" w:id="-693991413"/>
                <w14:textFill>
                  <w14:solidFill>
                    <w14:srgbClr w14:val="000000">
                      <w14:alpha w14:val="100000"/>
                    </w14:srgbClr>
                  </w14:solidFill>
                </w14:textFill>
              </w:rPr>
              <w:t>|||</w:t>
            </w:r>
            <w:r w:rsidR="001549E4" w:rsidRPr="001549E4">
              <w:rPr>
                <w:color w:val="000000"/>
                <w:spacing w:val="2"/>
                <w:shd w:val="solid" w:color="000000" w:fill="000000"/>
                <w:fitText w:val="334" w:id="-693991413"/>
                <w14:textFill>
                  <w14:solidFill>
                    <w14:srgbClr w14:val="000000">
                      <w14:alpha w14:val="100000"/>
                    </w14:srgbClr>
                  </w14:solidFill>
                </w14:textFill>
              </w:rPr>
              <w:t>|</w:t>
            </w:r>
            <w:r w:rsidR="00E210BC" w:rsidRPr="009972B7">
              <w:t>% ($</w:t>
            </w:r>
            <w:r w:rsidR="001549E4" w:rsidRPr="001549E4">
              <w:rPr>
                <w:color w:val="000000"/>
                <w:spacing w:val="50"/>
                <w:shd w:val="solid" w:color="000000" w:fill="000000"/>
                <w:fitText w:val="323" w:id="-693991412"/>
                <w14:textFill>
                  <w14:solidFill>
                    <w14:srgbClr w14:val="000000">
                      <w14:alpha w14:val="100000"/>
                    </w14:srgbClr>
                  </w14:solidFill>
                </w14:textFill>
              </w:rPr>
              <w:t>|||</w:t>
            </w:r>
            <w:r w:rsidR="001549E4" w:rsidRPr="001549E4">
              <w:rPr>
                <w:color w:val="000000"/>
                <w:spacing w:val="3"/>
                <w:shd w:val="solid" w:color="000000" w:fill="000000"/>
                <w:fitText w:val="323" w:id="-693991412"/>
                <w14:textFill>
                  <w14:solidFill>
                    <w14:srgbClr w14:val="000000">
                      <w14:alpha w14:val="100000"/>
                    </w14:srgbClr>
                  </w14:solidFill>
                </w14:textFill>
              </w:rPr>
              <w:t>|</w:t>
            </w:r>
            <w:r w:rsidR="007960EE" w:rsidRPr="007960EE">
              <w:rPr>
                <w:vertAlign w:val="superscript"/>
              </w:rPr>
              <w:t>5</w:t>
            </w:r>
            <w:r w:rsidR="00E210BC" w:rsidRPr="009972B7">
              <w:t>/QALY).</w:t>
            </w:r>
            <w:r w:rsidR="00021814">
              <w:t xml:space="preserve"> </w:t>
            </w:r>
          </w:p>
        </w:tc>
      </w:tr>
    </w:tbl>
    <w:p w14:paraId="2B31AD51" w14:textId="77777777" w:rsidR="00D248EF" w:rsidRDefault="00404D38" w:rsidP="00D248EF">
      <w:pPr>
        <w:pStyle w:val="FooterTableFigure"/>
      </w:pPr>
      <w:r w:rsidRPr="0098262F">
        <w:t xml:space="preserve">Source: </w:t>
      </w:r>
      <w:r w:rsidR="00A50F92">
        <w:t>Compiled during evaluation from various sensitivity analysis conducted on the resubmission’s economic model</w:t>
      </w:r>
    </w:p>
    <w:p w14:paraId="4E7060E7" w14:textId="77777777" w:rsidR="00D248EF" w:rsidRDefault="00D83810" w:rsidP="00D248EF">
      <w:pPr>
        <w:pStyle w:val="FooterTableFigure"/>
      </w:pPr>
      <w:r>
        <w:t>Abbreviations: ICER = incremental cost effectiveness ratio; PEBD = partial biliary diversion surgery; QALY = quality adjusted life year</w:t>
      </w:r>
    </w:p>
    <w:p w14:paraId="3D0D6418" w14:textId="70C10602" w:rsidR="006E47C5" w:rsidRDefault="005F1F68" w:rsidP="00D248EF">
      <w:pPr>
        <w:pStyle w:val="FooterTableFigure"/>
      </w:pPr>
      <w:proofErr w:type="spellStart"/>
      <w:r>
        <w:rPr>
          <w:vertAlign w:val="superscript"/>
        </w:rPr>
        <w:t>a</w:t>
      </w:r>
      <w:proofErr w:type="spellEnd"/>
      <w:r>
        <w:rPr>
          <w:vertAlign w:val="superscript"/>
        </w:rPr>
        <w:t xml:space="preserve"> </w:t>
      </w:r>
      <w:r>
        <w:t>T</w:t>
      </w:r>
      <w:r w:rsidRPr="005F1F68">
        <w:t>he proposed price reduction was not applied to the 200mcg capsule formulation. This was corrected during the evaluation.</w:t>
      </w:r>
      <w:r w:rsidR="006E47C5" w:rsidRPr="006E47C5">
        <w:t xml:space="preserve"> </w:t>
      </w:r>
    </w:p>
    <w:p w14:paraId="4B98DD4A" w14:textId="0F68A84E" w:rsidR="006E47C5" w:rsidRPr="00D248EF" w:rsidRDefault="006E47C5" w:rsidP="00D248EF">
      <w:pPr>
        <w:pStyle w:val="FooterTableFigure"/>
        <w:rPr>
          <w:i/>
          <w:iCs/>
        </w:rPr>
      </w:pPr>
      <w:r w:rsidRPr="00D248EF">
        <w:rPr>
          <w:i/>
          <w:iCs/>
        </w:rPr>
        <w:t xml:space="preserve">The redacted values correspond to the following ranges: </w:t>
      </w:r>
    </w:p>
    <w:p w14:paraId="426E487C" w14:textId="2EAD992A" w:rsidR="006E47C5" w:rsidRPr="00D248EF" w:rsidRDefault="006E47C5" w:rsidP="00D248EF">
      <w:pPr>
        <w:pStyle w:val="FooterTableFigure"/>
        <w:rPr>
          <w:i/>
          <w:iCs/>
        </w:rPr>
      </w:pPr>
      <w:r w:rsidRPr="00D248EF">
        <w:rPr>
          <w:i/>
          <w:iCs/>
          <w:vertAlign w:val="superscript"/>
        </w:rPr>
        <w:t>1</w:t>
      </w:r>
      <w:r w:rsidRPr="00D248EF">
        <w:rPr>
          <w:i/>
          <w:iCs/>
        </w:rPr>
        <w:t xml:space="preserve"> </w:t>
      </w:r>
      <w:r w:rsidR="004706D0" w:rsidRPr="00D248EF">
        <w:rPr>
          <w:i/>
          <w:iCs/>
        </w:rPr>
        <w:t>$355,000 to &lt; $455,000</w:t>
      </w:r>
    </w:p>
    <w:p w14:paraId="4F6F3B00" w14:textId="2303ED30" w:rsidR="008963B7" w:rsidRPr="00D248EF" w:rsidRDefault="008963B7" w:rsidP="00D248EF">
      <w:pPr>
        <w:pStyle w:val="FooterTableFigure"/>
        <w:rPr>
          <w:i/>
          <w:iCs/>
        </w:rPr>
      </w:pPr>
      <w:r w:rsidRPr="00D248EF">
        <w:rPr>
          <w:i/>
          <w:iCs/>
          <w:vertAlign w:val="superscript"/>
        </w:rPr>
        <w:t>2</w:t>
      </w:r>
      <w:r w:rsidRPr="00D248EF">
        <w:rPr>
          <w:i/>
          <w:iCs/>
        </w:rPr>
        <w:t xml:space="preserve"> $655,000 to &lt; $755,000</w:t>
      </w:r>
    </w:p>
    <w:p w14:paraId="0EEE6D17" w14:textId="77777777" w:rsidR="007960EE" w:rsidRPr="00D248EF" w:rsidRDefault="006E47C5" w:rsidP="00D248EF">
      <w:pPr>
        <w:pStyle w:val="FooterTableFigure"/>
        <w:rPr>
          <w:i/>
          <w:iCs/>
        </w:rPr>
      </w:pPr>
      <w:r w:rsidRPr="00D248EF">
        <w:rPr>
          <w:i/>
          <w:iCs/>
          <w:vertAlign w:val="superscript"/>
        </w:rPr>
        <w:t>3</w:t>
      </w:r>
      <w:r w:rsidR="00207BBA" w:rsidRPr="00D248EF">
        <w:rPr>
          <w:i/>
          <w:iCs/>
        </w:rPr>
        <w:t xml:space="preserve"> $555,000 to &lt; $655,000</w:t>
      </w:r>
      <w:r w:rsidR="007960EE" w:rsidRPr="00D248EF">
        <w:rPr>
          <w:i/>
          <w:iCs/>
        </w:rPr>
        <w:t xml:space="preserve"> </w:t>
      </w:r>
    </w:p>
    <w:p w14:paraId="5D12745B" w14:textId="640E31F8" w:rsidR="006C52F8" w:rsidRPr="00D248EF" w:rsidRDefault="007960EE" w:rsidP="00D248EF">
      <w:pPr>
        <w:pStyle w:val="FooterTableFigure"/>
        <w:rPr>
          <w:i/>
          <w:iCs/>
        </w:rPr>
      </w:pPr>
      <w:r w:rsidRPr="00D248EF">
        <w:rPr>
          <w:i/>
          <w:iCs/>
          <w:vertAlign w:val="superscript"/>
        </w:rPr>
        <w:t>4</w:t>
      </w:r>
      <w:r w:rsidR="006C52F8" w:rsidRPr="00D248EF">
        <w:rPr>
          <w:i/>
          <w:iCs/>
          <w:vertAlign w:val="superscript"/>
        </w:rPr>
        <w:t xml:space="preserve"> </w:t>
      </w:r>
      <w:r w:rsidRPr="00D248EF">
        <w:rPr>
          <w:i/>
          <w:iCs/>
        </w:rPr>
        <w:t xml:space="preserve">$755,000 to &lt; $855,000 </w:t>
      </w:r>
    </w:p>
    <w:p w14:paraId="188E2EE3" w14:textId="798777F9" w:rsidR="00207BBA" w:rsidRPr="00D248EF" w:rsidRDefault="006C52F8" w:rsidP="00D248EF">
      <w:pPr>
        <w:pStyle w:val="FooterTableFigure"/>
        <w:rPr>
          <w:i/>
          <w:iCs/>
        </w:rPr>
      </w:pPr>
      <w:r w:rsidRPr="00D248EF">
        <w:rPr>
          <w:i/>
          <w:iCs/>
          <w:vertAlign w:val="superscript"/>
        </w:rPr>
        <w:t>5</w:t>
      </w:r>
      <w:r w:rsidRPr="00D248EF">
        <w:rPr>
          <w:i/>
          <w:iCs/>
        </w:rPr>
        <w:t xml:space="preserve"> $25,000 to &lt; $35,000</w:t>
      </w:r>
    </w:p>
    <w:p w14:paraId="3FAEC821" w14:textId="09DF90EA" w:rsidR="002B5C58" w:rsidRPr="00DB5F87" w:rsidRDefault="00D83810" w:rsidP="00CC4084">
      <w:pPr>
        <w:pStyle w:val="3-BodyText"/>
        <w:spacing w:before="0"/>
      </w:pPr>
      <w:r w:rsidRPr="00DB5F87">
        <w:t xml:space="preserve">The results of the </w:t>
      </w:r>
      <w:r w:rsidR="00CC4084" w:rsidRPr="00DB5F87">
        <w:t xml:space="preserve">base case of the </w:t>
      </w:r>
      <w:r w:rsidRPr="00DB5F87">
        <w:t>economic evaluation are presented in</w:t>
      </w:r>
      <w:r w:rsidR="00404D38" w:rsidRPr="00DB5F87">
        <w:t xml:space="preserve"> </w:t>
      </w:r>
      <w:r w:rsidR="00404D38" w:rsidRPr="00DB5F87">
        <w:fldChar w:fldCharType="begin" w:fldLock="1"/>
      </w:r>
      <w:r w:rsidR="00404D38" w:rsidRPr="00DB5F87">
        <w:instrText xml:space="preserve"> REF _Ref104805160 \h  \* MERGEFORMAT </w:instrText>
      </w:r>
      <w:r w:rsidR="00404D38" w:rsidRPr="00DB5F87">
        <w:fldChar w:fldCharType="separate"/>
      </w:r>
      <w:r w:rsidR="00382EF0" w:rsidRPr="00DB5F87">
        <w:t>Table 14</w:t>
      </w:r>
      <w:r w:rsidR="00404D38" w:rsidRPr="00DB5F87">
        <w:fldChar w:fldCharType="end"/>
      </w:r>
      <w:r w:rsidRPr="00DB5F87">
        <w:t xml:space="preserve">. </w:t>
      </w:r>
      <w:r w:rsidR="00090C43" w:rsidRPr="00DB5F87">
        <w:t>T</w:t>
      </w:r>
      <w:r w:rsidR="00BB1AB6" w:rsidRPr="00DB5F87">
        <w:t>he</w:t>
      </w:r>
      <w:r w:rsidR="00A73D64" w:rsidRPr="00DB5F87">
        <w:t xml:space="preserve"> ESC considered that the</w:t>
      </w:r>
      <w:r w:rsidR="00BB1AB6" w:rsidRPr="00DB5F87">
        <w:t xml:space="preserve"> base case ICER was not reliable a</w:t>
      </w:r>
      <w:r w:rsidR="00090C43" w:rsidRPr="00DB5F87">
        <w:t>s</w:t>
      </w:r>
      <w:r w:rsidR="00BB1AB6" w:rsidRPr="00DB5F87">
        <w:t xml:space="preserve"> several key drivers of the model lacked face validity</w:t>
      </w:r>
      <w:r w:rsidR="00090C43" w:rsidRPr="00DB5F87">
        <w:t xml:space="preserve"> (see </w:t>
      </w:r>
      <w:r w:rsidR="00090C43" w:rsidRPr="00DB5F87">
        <w:fldChar w:fldCharType="begin" w:fldLock="1"/>
      </w:r>
      <w:r w:rsidR="00090C43" w:rsidRPr="00DB5F87">
        <w:instrText xml:space="preserve"> REF _Ref104805122 \h  \* MERGEFORMAT </w:instrText>
      </w:r>
      <w:r w:rsidR="00090C43" w:rsidRPr="00DB5F87">
        <w:fldChar w:fldCharType="separate"/>
      </w:r>
      <w:r w:rsidR="00090C43" w:rsidRPr="00DB5F87">
        <w:t xml:space="preserve">Table </w:t>
      </w:r>
      <w:r w:rsidR="00090C43" w:rsidRPr="00DB5F87">
        <w:rPr>
          <w:noProof/>
        </w:rPr>
        <w:t>13</w:t>
      </w:r>
      <w:r w:rsidR="00090C43" w:rsidRPr="00DB5F87">
        <w:fldChar w:fldCharType="end"/>
      </w:r>
      <w:r w:rsidR="00090C43" w:rsidRPr="00DB5F87">
        <w:t>)</w:t>
      </w:r>
      <w:r w:rsidR="00BB1AB6" w:rsidRPr="00DB5F87">
        <w:t xml:space="preserve">. </w:t>
      </w:r>
      <w:r w:rsidR="006154E7" w:rsidRPr="00DB5F87">
        <w:t>Given that the RSA annual expenditure caps may not be realised</w:t>
      </w:r>
      <w:r w:rsidR="007703EC" w:rsidRPr="00DB5F87">
        <w:t xml:space="preserve"> and the ‘</w:t>
      </w:r>
      <w:r w:rsidR="001549E4" w:rsidRPr="00DA2049">
        <w:rPr>
          <w:color w:val="000000"/>
          <w:w w:val="15"/>
          <w:shd w:val="solid" w:color="000000" w:fill="000000"/>
          <w:fitText w:val="-20" w:id="-693991411"/>
          <w14:textFill>
            <w14:solidFill>
              <w14:srgbClr w14:val="000000">
                <w14:alpha w14:val="100000"/>
              </w14:srgbClr>
            </w14:solidFill>
          </w14:textFill>
        </w:rPr>
        <w:t>|</w:t>
      </w:r>
      <w:r w:rsidR="004A6DE4" w:rsidRPr="00DA2049">
        <w:rPr>
          <w:color w:val="000000"/>
          <w:w w:val="15"/>
          <w:shd w:val="solid" w:color="000000" w:fill="000000"/>
          <w:fitText w:val="-20" w:id="-693991411"/>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1"/>
          <w14:textFill>
            <w14:solidFill>
              <w14:srgbClr w14:val="000000">
                <w14:alpha w14:val="100000"/>
              </w14:srgbClr>
            </w14:solidFill>
          </w14:textFill>
        </w:rPr>
        <w:t>|</w:t>
      </w:r>
      <w:r w:rsidR="00BB1289" w:rsidRPr="00BB1289">
        <w:t xml:space="preserve"> </w:t>
      </w:r>
      <w:r w:rsidR="001549E4" w:rsidRPr="00DA2049">
        <w:rPr>
          <w:color w:val="000000"/>
          <w:w w:val="15"/>
          <w:shd w:val="solid" w:color="000000" w:fill="000000"/>
          <w:fitText w:val="-20" w:id="-693991410"/>
          <w14:textFill>
            <w14:solidFill>
              <w14:srgbClr w14:val="000000">
                <w14:alpha w14:val="100000"/>
              </w14:srgbClr>
            </w14:solidFill>
          </w14:textFill>
        </w:rPr>
        <w:t>|</w:t>
      </w:r>
      <w:r w:rsidR="004A6DE4" w:rsidRPr="00DA2049">
        <w:rPr>
          <w:color w:val="000000"/>
          <w:w w:val="15"/>
          <w:shd w:val="solid" w:color="000000" w:fill="000000"/>
          <w:fitText w:val="-20" w:id="-693991410"/>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10"/>
          <w14:textFill>
            <w14:solidFill>
              <w14:srgbClr w14:val="000000">
                <w14:alpha w14:val="100000"/>
              </w14:srgbClr>
            </w14:solidFill>
          </w14:textFill>
        </w:rPr>
        <w:t>|</w:t>
      </w:r>
      <w:r w:rsidR="00BB1289" w:rsidRPr="00BB1289">
        <w:t xml:space="preserve"> </w:t>
      </w:r>
      <w:r w:rsidR="007703EC" w:rsidRPr="009B1786">
        <w:t>cost’</w:t>
      </w:r>
      <w:r w:rsidR="007703EC" w:rsidRPr="00DB5F87">
        <w:t xml:space="preserve"> may not be achieved</w:t>
      </w:r>
      <w:r w:rsidR="006154E7" w:rsidRPr="00DB5F87">
        <w:t xml:space="preserve">, an alternative approach </w:t>
      </w:r>
      <w:r w:rsidR="001C3F02">
        <w:lastRenderedPageBreak/>
        <w:t xml:space="preserve">which </w:t>
      </w:r>
      <w:r w:rsidR="00424719" w:rsidRPr="00DB5F87">
        <w:t xml:space="preserve">removed the </w:t>
      </w:r>
      <w:r w:rsidR="001C3F02">
        <w:t>‘</w:t>
      </w:r>
      <w:r w:rsidR="001549E4" w:rsidRPr="00DA2049">
        <w:rPr>
          <w:color w:val="000000"/>
          <w:w w:val="15"/>
          <w:shd w:val="solid" w:color="000000" w:fill="000000"/>
          <w:fitText w:val="-20" w:id="-693991409"/>
          <w14:textFill>
            <w14:solidFill>
              <w14:srgbClr w14:val="000000">
                <w14:alpha w14:val="100000"/>
              </w14:srgbClr>
            </w14:solidFill>
          </w14:textFill>
        </w:rPr>
        <w:t>|</w:t>
      </w:r>
      <w:r w:rsidR="004A6DE4" w:rsidRPr="00DA2049">
        <w:rPr>
          <w:color w:val="000000"/>
          <w:w w:val="15"/>
          <w:shd w:val="solid" w:color="000000" w:fill="000000"/>
          <w:fitText w:val="-20" w:id="-693991409"/>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09"/>
          <w14:textFill>
            <w14:solidFill>
              <w14:srgbClr w14:val="000000">
                <w14:alpha w14:val="100000"/>
              </w14:srgbClr>
            </w14:solidFill>
          </w14:textFill>
        </w:rPr>
        <w:t>|</w:t>
      </w:r>
      <w:r w:rsidR="00BB1289" w:rsidRPr="00BB1289">
        <w:t xml:space="preserve"> </w:t>
      </w:r>
      <w:r w:rsidR="001549E4" w:rsidRPr="00DA2049">
        <w:rPr>
          <w:color w:val="000000"/>
          <w:w w:val="15"/>
          <w:shd w:val="solid" w:color="000000" w:fill="000000"/>
          <w:fitText w:val="-20" w:id="-693991408"/>
          <w14:textFill>
            <w14:solidFill>
              <w14:srgbClr w14:val="000000">
                <w14:alpha w14:val="100000"/>
              </w14:srgbClr>
            </w14:solidFill>
          </w14:textFill>
        </w:rPr>
        <w:t>|</w:t>
      </w:r>
      <w:r w:rsidR="004A6DE4" w:rsidRPr="00DA2049">
        <w:rPr>
          <w:color w:val="000000"/>
          <w:w w:val="15"/>
          <w:shd w:val="solid" w:color="000000" w:fill="000000"/>
          <w:fitText w:val="-20" w:id="-693991408"/>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08"/>
          <w14:textFill>
            <w14:solidFill>
              <w14:srgbClr w14:val="000000">
                <w14:alpha w14:val="100000"/>
              </w14:srgbClr>
            </w14:solidFill>
          </w14:textFill>
        </w:rPr>
        <w:t>|</w:t>
      </w:r>
      <w:r w:rsidR="00BB1289" w:rsidRPr="00BB1289">
        <w:t xml:space="preserve"> </w:t>
      </w:r>
      <w:r w:rsidR="00424719" w:rsidRPr="009B1786">
        <w:t>cost</w:t>
      </w:r>
      <w:r w:rsidR="00A73B9B" w:rsidRPr="009B1786">
        <w:t>’</w:t>
      </w:r>
      <w:r w:rsidR="00A73B9B" w:rsidRPr="00DB5F87">
        <w:t>, allowed patients to dose escalate and applied the</w:t>
      </w:r>
      <w:r w:rsidR="006154E7" w:rsidRPr="00DB5F87">
        <w:t xml:space="preserve"> combined dose response rate </w:t>
      </w:r>
      <w:r w:rsidR="00375D39" w:rsidRPr="00DB5F87">
        <w:t>as in</w:t>
      </w:r>
      <w:r w:rsidR="006154E7" w:rsidRPr="00DB5F87">
        <w:t xml:space="preserve"> the July 2024 </w:t>
      </w:r>
      <w:r w:rsidR="00375D39" w:rsidRPr="00DB5F87">
        <w:t>economic model</w:t>
      </w:r>
      <w:r w:rsidR="006154E7" w:rsidRPr="00DB5F87">
        <w:t xml:space="preserve"> (62.28%) is also </w:t>
      </w:r>
      <w:r w:rsidR="003B6C39" w:rsidRPr="00DB5F87">
        <w:t>presented below</w:t>
      </w:r>
      <w:r w:rsidR="006154E7" w:rsidRPr="00DB5F87">
        <w:t>.</w:t>
      </w:r>
      <w:r w:rsidR="00A73D64" w:rsidRPr="00DB5F87">
        <w:t xml:space="preserve"> </w:t>
      </w:r>
    </w:p>
    <w:p w14:paraId="3E0670E6" w14:textId="4522B2FA" w:rsidR="00404D38" w:rsidRPr="0098262F" w:rsidRDefault="00404D38" w:rsidP="00404D38">
      <w:pPr>
        <w:pStyle w:val="Caption"/>
      </w:pPr>
      <w:bookmarkStart w:id="84" w:name="_Ref104805160"/>
      <w:bookmarkStart w:id="85" w:name="_Ref185258997"/>
      <w:r w:rsidRPr="0098262F">
        <w:t xml:space="preserve">Table </w:t>
      </w:r>
      <w:r w:rsidR="00382EF0">
        <w:fldChar w:fldCharType="begin" w:fldLock="1"/>
      </w:r>
      <w:r w:rsidR="00382EF0">
        <w:instrText xml:space="preserve"> SEQ Table \* ARABIC </w:instrText>
      </w:r>
      <w:r w:rsidR="00382EF0">
        <w:fldChar w:fldCharType="separate"/>
      </w:r>
      <w:r w:rsidR="00382EF0">
        <w:rPr>
          <w:noProof/>
        </w:rPr>
        <w:t>14</w:t>
      </w:r>
      <w:r w:rsidR="00382EF0">
        <w:rPr>
          <w:noProof/>
        </w:rPr>
        <w:fldChar w:fldCharType="end"/>
      </w:r>
      <w:bookmarkEnd w:id="84"/>
      <w:r w:rsidRPr="0098262F">
        <w:t>:</w:t>
      </w:r>
      <w:r w:rsidRPr="0098262F">
        <w:rPr>
          <w:rStyle w:val="CommentReference"/>
          <w:b/>
          <w:szCs w:val="24"/>
        </w:rPr>
        <w:t xml:space="preserve"> Results of the economic evaluation</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Results of the economic evaluation"/>
      </w:tblPr>
      <w:tblGrid>
        <w:gridCol w:w="3235"/>
        <w:gridCol w:w="1800"/>
        <w:gridCol w:w="1920"/>
        <w:gridCol w:w="2062"/>
      </w:tblGrid>
      <w:tr w:rsidR="00D83810" w:rsidRPr="0007416C" w14:paraId="42969A72" w14:textId="77777777" w:rsidTr="003B6C39">
        <w:trPr>
          <w:trHeight w:val="227"/>
        </w:trPr>
        <w:tc>
          <w:tcPr>
            <w:tcW w:w="3235" w:type="dxa"/>
            <w:noWrap/>
          </w:tcPr>
          <w:p w14:paraId="4A9E4D99" w14:textId="77777777" w:rsidR="00D83810" w:rsidRPr="00992003" w:rsidRDefault="00D83810" w:rsidP="00AC13C1">
            <w:pPr>
              <w:pStyle w:val="Tabletext"/>
              <w:keepNext/>
              <w:keepLines/>
              <w:rPr>
                <w:b/>
                <w:bCs/>
              </w:rPr>
            </w:pPr>
            <w:r w:rsidRPr="00992003">
              <w:rPr>
                <w:b/>
                <w:bCs/>
              </w:rPr>
              <w:t>Component</w:t>
            </w:r>
          </w:p>
        </w:tc>
        <w:tc>
          <w:tcPr>
            <w:tcW w:w="1800" w:type="dxa"/>
            <w:vAlign w:val="center"/>
          </w:tcPr>
          <w:p w14:paraId="3613B94E" w14:textId="77777777" w:rsidR="00D83810" w:rsidRPr="00992003" w:rsidRDefault="00D83810" w:rsidP="00AC13C1">
            <w:pPr>
              <w:pStyle w:val="Tabletext"/>
              <w:keepNext/>
              <w:keepLines/>
              <w:jc w:val="center"/>
              <w:rPr>
                <w:b/>
                <w:bCs/>
              </w:rPr>
            </w:pPr>
            <w:r w:rsidRPr="00992003">
              <w:rPr>
                <w:rFonts w:cs="Calibri"/>
                <w:b/>
                <w:bCs/>
              </w:rPr>
              <w:t>Odevixibat</w:t>
            </w:r>
          </w:p>
        </w:tc>
        <w:tc>
          <w:tcPr>
            <w:tcW w:w="1920" w:type="dxa"/>
            <w:vAlign w:val="center"/>
          </w:tcPr>
          <w:p w14:paraId="2DB8AD32" w14:textId="77777777" w:rsidR="00D83810" w:rsidRPr="00992003" w:rsidRDefault="00D83810" w:rsidP="00AC13C1">
            <w:pPr>
              <w:pStyle w:val="Tabletext"/>
              <w:keepNext/>
              <w:keepLines/>
              <w:jc w:val="center"/>
              <w:rPr>
                <w:b/>
                <w:bCs/>
              </w:rPr>
            </w:pPr>
            <w:r w:rsidRPr="00992003">
              <w:rPr>
                <w:b/>
                <w:bCs/>
              </w:rPr>
              <w:t>SoC</w:t>
            </w:r>
          </w:p>
        </w:tc>
        <w:tc>
          <w:tcPr>
            <w:tcW w:w="2062" w:type="dxa"/>
            <w:vAlign w:val="center"/>
          </w:tcPr>
          <w:p w14:paraId="20D9120F" w14:textId="77777777" w:rsidR="00D83810" w:rsidRPr="00992003" w:rsidRDefault="00D83810" w:rsidP="00AC13C1">
            <w:pPr>
              <w:pStyle w:val="Tabletext"/>
              <w:keepNext/>
              <w:keepLines/>
              <w:jc w:val="center"/>
              <w:rPr>
                <w:b/>
                <w:bCs/>
              </w:rPr>
            </w:pPr>
            <w:r w:rsidRPr="00992003">
              <w:rPr>
                <w:b/>
                <w:bCs/>
              </w:rPr>
              <w:t>Incremental</w:t>
            </w:r>
          </w:p>
        </w:tc>
      </w:tr>
      <w:tr w:rsidR="00D83810" w:rsidRPr="0007416C" w14:paraId="466994E1" w14:textId="77777777" w:rsidTr="00AC13C1">
        <w:trPr>
          <w:trHeight w:val="227"/>
        </w:trPr>
        <w:tc>
          <w:tcPr>
            <w:tcW w:w="9017" w:type="dxa"/>
            <w:gridSpan w:val="4"/>
            <w:noWrap/>
          </w:tcPr>
          <w:p w14:paraId="26AFEED1" w14:textId="77777777" w:rsidR="00D83810" w:rsidRPr="00992003" w:rsidRDefault="00D83810" w:rsidP="00AC13C1">
            <w:pPr>
              <w:pStyle w:val="Tabletext"/>
              <w:keepNext/>
              <w:keepLines/>
              <w:rPr>
                <w:b/>
                <w:bCs/>
              </w:rPr>
            </w:pPr>
            <w:r w:rsidRPr="00992003">
              <w:rPr>
                <w:b/>
                <w:bCs/>
              </w:rPr>
              <w:t>Resubmission</w:t>
            </w:r>
          </w:p>
        </w:tc>
      </w:tr>
      <w:tr w:rsidR="00D83810" w:rsidRPr="0007416C" w14:paraId="3275B38D" w14:textId="77777777" w:rsidTr="003B6C39">
        <w:trPr>
          <w:trHeight w:val="227"/>
        </w:trPr>
        <w:tc>
          <w:tcPr>
            <w:tcW w:w="3235" w:type="dxa"/>
            <w:noWrap/>
            <w:hideMark/>
          </w:tcPr>
          <w:p w14:paraId="5B81441E" w14:textId="77777777" w:rsidR="00D83810" w:rsidRPr="00992003" w:rsidRDefault="00D83810" w:rsidP="00AC13C1">
            <w:pPr>
              <w:pStyle w:val="Tabletext"/>
              <w:keepNext/>
              <w:keepLines/>
            </w:pPr>
            <w:r w:rsidRPr="00992003">
              <w:t>Total costs</w:t>
            </w:r>
          </w:p>
        </w:tc>
        <w:tc>
          <w:tcPr>
            <w:tcW w:w="1800" w:type="dxa"/>
            <w:shd w:val="clear" w:color="auto" w:fill="FFFFFF" w:themeFill="background1"/>
            <w:noWrap/>
            <w:hideMark/>
          </w:tcPr>
          <w:p w14:paraId="091F1E93" w14:textId="4DCA316C" w:rsidR="00D83810" w:rsidRPr="00992003" w:rsidRDefault="00D83810" w:rsidP="00AC13C1">
            <w:pPr>
              <w:pStyle w:val="Tabletext"/>
              <w:keepNext/>
              <w:keepLines/>
              <w:jc w:val="center"/>
              <w:rPr>
                <w:vertAlign w:val="superscript"/>
              </w:rPr>
            </w:pPr>
            <w:r w:rsidRPr="00992003">
              <w:rPr>
                <w:rFonts w:cs="Calibri"/>
                <w:color w:val="000000"/>
              </w:rPr>
              <w:t>$</w:t>
            </w:r>
            <w:r w:rsidR="001549E4" w:rsidRPr="001549E4">
              <w:rPr>
                <w:rFonts w:cs="Calibri"/>
                <w:color w:val="000000"/>
                <w:shd w:val="solid" w:color="000000" w:fill="000000"/>
                <w14:textFill>
                  <w14:solidFill>
                    <w14:srgbClr w14:val="000000">
                      <w14:alpha w14:val="100000"/>
                    </w14:srgbClr>
                  </w14:solidFill>
                </w14:textFill>
              </w:rPr>
              <w:t>|</w:t>
            </w:r>
            <w:r w:rsidRPr="00992003">
              <w:rPr>
                <w:rFonts w:cs="Calibri"/>
                <w:color w:val="000000"/>
              </w:rPr>
              <w:t xml:space="preserve"> </w:t>
            </w:r>
            <w:r w:rsidRPr="00992003">
              <w:rPr>
                <w:rFonts w:cs="Calibri"/>
                <w:color w:val="000000"/>
                <w:vertAlign w:val="superscript"/>
              </w:rPr>
              <w:t>a</w:t>
            </w:r>
          </w:p>
        </w:tc>
        <w:tc>
          <w:tcPr>
            <w:tcW w:w="1920" w:type="dxa"/>
            <w:noWrap/>
            <w:vAlign w:val="center"/>
            <w:hideMark/>
          </w:tcPr>
          <w:p w14:paraId="09E4A18E" w14:textId="77777777" w:rsidR="00D83810" w:rsidRPr="00992003" w:rsidRDefault="00D83810" w:rsidP="00AC13C1">
            <w:pPr>
              <w:pStyle w:val="Tabletext"/>
              <w:keepNext/>
              <w:keepLines/>
              <w:jc w:val="center"/>
            </w:pPr>
            <w:r w:rsidRPr="00992003">
              <w:t>$214,850</w:t>
            </w:r>
          </w:p>
        </w:tc>
        <w:tc>
          <w:tcPr>
            <w:tcW w:w="2062" w:type="dxa"/>
            <w:noWrap/>
            <w:vAlign w:val="center"/>
            <w:hideMark/>
          </w:tcPr>
          <w:p w14:paraId="23168840" w14:textId="5BD22474" w:rsidR="00D83810" w:rsidRPr="00992003" w:rsidRDefault="00D83810" w:rsidP="00AC13C1">
            <w:pPr>
              <w:pStyle w:val="Tabletext"/>
              <w:keepNext/>
              <w:keepLines/>
              <w:jc w:val="center"/>
            </w:pPr>
            <w:r w:rsidRPr="00992003">
              <w:t>$</w:t>
            </w:r>
            <w:r w:rsidR="001549E4" w:rsidRPr="001549E4">
              <w:rPr>
                <w:color w:val="000000"/>
                <w:shd w:val="solid" w:color="000000" w:fill="000000"/>
                <w14:textFill>
                  <w14:solidFill>
                    <w14:srgbClr w14:val="000000">
                      <w14:alpha w14:val="100000"/>
                    </w14:srgbClr>
                  </w14:solidFill>
                </w14:textFill>
              </w:rPr>
              <w:t>|</w:t>
            </w:r>
          </w:p>
        </w:tc>
      </w:tr>
      <w:tr w:rsidR="00D83810" w:rsidRPr="0007416C" w14:paraId="5463E352" w14:textId="77777777" w:rsidTr="003B6C39">
        <w:trPr>
          <w:trHeight w:val="227"/>
        </w:trPr>
        <w:tc>
          <w:tcPr>
            <w:tcW w:w="3235" w:type="dxa"/>
            <w:noWrap/>
            <w:hideMark/>
          </w:tcPr>
          <w:p w14:paraId="6875F9D1" w14:textId="77777777" w:rsidR="00D83810" w:rsidRPr="00992003" w:rsidRDefault="00D83810" w:rsidP="00AC13C1">
            <w:pPr>
              <w:pStyle w:val="Tabletext"/>
              <w:keepNext/>
              <w:keepLines/>
            </w:pPr>
            <w:r w:rsidRPr="00992003">
              <w:t>LYG</w:t>
            </w:r>
          </w:p>
        </w:tc>
        <w:tc>
          <w:tcPr>
            <w:tcW w:w="1800" w:type="dxa"/>
            <w:shd w:val="clear" w:color="auto" w:fill="FFFFFF" w:themeFill="background1"/>
            <w:noWrap/>
            <w:hideMark/>
          </w:tcPr>
          <w:p w14:paraId="10FDBFB7" w14:textId="77777777" w:rsidR="00D83810" w:rsidRPr="00992003" w:rsidRDefault="00D83810" w:rsidP="00AC13C1">
            <w:pPr>
              <w:pStyle w:val="Tabletext"/>
              <w:keepNext/>
              <w:keepLines/>
              <w:jc w:val="center"/>
            </w:pPr>
            <w:r w:rsidRPr="00992003">
              <w:rPr>
                <w:rFonts w:cs="Calibri"/>
                <w:color w:val="000000"/>
              </w:rPr>
              <w:t>16.39</w:t>
            </w:r>
          </w:p>
        </w:tc>
        <w:tc>
          <w:tcPr>
            <w:tcW w:w="1920" w:type="dxa"/>
            <w:noWrap/>
            <w:vAlign w:val="center"/>
            <w:hideMark/>
          </w:tcPr>
          <w:p w14:paraId="71B07B76" w14:textId="77777777" w:rsidR="00D83810" w:rsidRPr="00992003" w:rsidRDefault="00D83810" w:rsidP="00AC13C1">
            <w:pPr>
              <w:pStyle w:val="Tabletext"/>
              <w:keepNext/>
              <w:keepLines/>
              <w:jc w:val="center"/>
            </w:pPr>
            <w:r w:rsidRPr="00992003">
              <w:t>15.82</w:t>
            </w:r>
          </w:p>
        </w:tc>
        <w:tc>
          <w:tcPr>
            <w:tcW w:w="2062" w:type="dxa"/>
            <w:noWrap/>
            <w:vAlign w:val="center"/>
            <w:hideMark/>
          </w:tcPr>
          <w:p w14:paraId="1A7D4F9C" w14:textId="77777777" w:rsidR="00D83810" w:rsidRPr="00992003" w:rsidRDefault="00D83810" w:rsidP="00AC13C1">
            <w:pPr>
              <w:pStyle w:val="Tabletext"/>
              <w:keepNext/>
              <w:keepLines/>
              <w:jc w:val="center"/>
            </w:pPr>
            <w:r w:rsidRPr="00992003">
              <w:t>0.57</w:t>
            </w:r>
          </w:p>
        </w:tc>
      </w:tr>
      <w:tr w:rsidR="00D83810" w:rsidRPr="0007416C" w14:paraId="1C018002" w14:textId="77777777" w:rsidTr="003B6C39">
        <w:trPr>
          <w:trHeight w:val="227"/>
        </w:trPr>
        <w:tc>
          <w:tcPr>
            <w:tcW w:w="3235" w:type="dxa"/>
            <w:noWrap/>
            <w:hideMark/>
          </w:tcPr>
          <w:p w14:paraId="17149DDA" w14:textId="77777777" w:rsidR="00D83810" w:rsidRPr="00992003" w:rsidRDefault="00D83810" w:rsidP="00AC13C1">
            <w:pPr>
              <w:pStyle w:val="Tabletext"/>
              <w:keepNext/>
              <w:keepLines/>
            </w:pPr>
            <w:r w:rsidRPr="00992003">
              <w:t>QALYs</w:t>
            </w:r>
          </w:p>
        </w:tc>
        <w:tc>
          <w:tcPr>
            <w:tcW w:w="1800" w:type="dxa"/>
            <w:shd w:val="clear" w:color="auto" w:fill="FFFFFF" w:themeFill="background1"/>
            <w:noWrap/>
            <w:hideMark/>
          </w:tcPr>
          <w:p w14:paraId="0CF87E9A" w14:textId="77777777" w:rsidR="00D83810" w:rsidRPr="00992003" w:rsidRDefault="00D83810" w:rsidP="00AC13C1">
            <w:pPr>
              <w:pStyle w:val="Tabletext"/>
              <w:keepNext/>
              <w:keepLines/>
              <w:jc w:val="center"/>
            </w:pPr>
            <w:r w:rsidRPr="00992003">
              <w:rPr>
                <w:rFonts w:cs="Calibri"/>
                <w:color w:val="000000"/>
              </w:rPr>
              <w:t>13.19</w:t>
            </w:r>
          </w:p>
        </w:tc>
        <w:tc>
          <w:tcPr>
            <w:tcW w:w="1920" w:type="dxa"/>
            <w:noWrap/>
            <w:vAlign w:val="center"/>
            <w:hideMark/>
          </w:tcPr>
          <w:p w14:paraId="341D9B95" w14:textId="77777777" w:rsidR="00D83810" w:rsidRPr="00992003" w:rsidRDefault="00D83810" w:rsidP="00AC13C1">
            <w:pPr>
              <w:pStyle w:val="Tabletext"/>
              <w:keepNext/>
              <w:keepLines/>
              <w:jc w:val="center"/>
            </w:pPr>
            <w:r w:rsidRPr="00992003">
              <w:t>11.98</w:t>
            </w:r>
          </w:p>
        </w:tc>
        <w:tc>
          <w:tcPr>
            <w:tcW w:w="2062" w:type="dxa"/>
            <w:noWrap/>
            <w:vAlign w:val="center"/>
            <w:hideMark/>
          </w:tcPr>
          <w:p w14:paraId="6EE68176" w14:textId="77777777" w:rsidR="00D83810" w:rsidRPr="00992003" w:rsidRDefault="00D83810" w:rsidP="00AC13C1">
            <w:pPr>
              <w:pStyle w:val="Tabletext"/>
              <w:keepNext/>
              <w:keepLines/>
              <w:jc w:val="center"/>
            </w:pPr>
            <w:r w:rsidRPr="00992003">
              <w:t>1.21</w:t>
            </w:r>
          </w:p>
        </w:tc>
      </w:tr>
      <w:tr w:rsidR="00D83810" w:rsidRPr="0007416C" w14:paraId="2C076B17" w14:textId="77777777" w:rsidTr="003B6C39">
        <w:trPr>
          <w:trHeight w:val="227"/>
        </w:trPr>
        <w:tc>
          <w:tcPr>
            <w:tcW w:w="6955" w:type="dxa"/>
            <w:gridSpan w:val="3"/>
            <w:noWrap/>
            <w:vAlign w:val="center"/>
            <w:hideMark/>
          </w:tcPr>
          <w:p w14:paraId="00989530" w14:textId="77777777" w:rsidR="00D83810" w:rsidRPr="00992003" w:rsidRDefault="00D83810" w:rsidP="00AC13C1">
            <w:pPr>
              <w:pStyle w:val="Tabletext"/>
              <w:keepNext/>
              <w:keepLines/>
              <w:tabs>
                <w:tab w:val="left" w:pos="490"/>
                <w:tab w:val="center" w:pos="3273"/>
              </w:tabs>
            </w:pPr>
            <w:r w:rsidRPr="00992003">
              <w:t>Incremental cost/extra LY gained</w:t>
            </w:r>
          </w:p>
        </w:tc>
        <w:tc>
          <w:tcPr>
            <w:tcW w:w="2062" w:type="dxa"/>
            <w:noWrap/>
            <w:vAlign w:val="center"/>
            <w:hideMark/>
          </w:tcPr>
          <w:p w14:paraId="789FF859" w14:textId="758C4E71" w:rsidR="00D83810" w:rsidRPr="00992003" w:rsidRDefault="00D83810" w:rsidP="00AC13C1">
            <w:pPr>
              <w:pStyle w:val="Tabletext"/>
              <w:keepNext/>
              <w:keepLines/>
              <w:jc w:val="center"/>
              <w:rPr>
                <w:bCs/>
              </w:rPr>
            </w:pPr>
            <w:r w:rsidRPr="00992003">
              <w:rPr>
                <w:bCs/>
              </w:rPr>
              <w:t>$</w:t>
            </w:r>
            <w:r w:rsidR="001549E4" w:rsidRPr="001549E4">
              <w:rPr>
                <w:bCs/>
                <w:color w:val="000000"/>
                <w:shd w:val="solid" w:color="000000" w:fill="000000"/>
                <w14:textFill>
                  <w14:solidFill>
                    <w14:srgbClr w14:val="000000">
                      <w14:alpha w14:val="100000"/>
                    </w14:srgbClr>
                  </w14:solidFill>
                </w14:textFill>
              </w:rPr>
              <w:t>|</w:t>
            </w:r>
            <w:r w:rsidR="0000026D" w:rsidRPr="0000026D">
              <w:rPr>
                <w:bCs/>
                <w:vertAlign w:val="superscript"/>
              </w:rPr>
              <w:t>1</w:t>
            </w:r>
          </w:p>
        </w:tc>
      </w:tr>
      <w:tr w:rsidR="00D83810" w:rsidRPr="0007416C" w14:paraId="34842001" w14:textId="77777777" w:rsidTr="003B6C39">
        <w:trPr>
          <w:trHeight w:val="227"/>
        </w:trPr>
        <w:tc>
          <w:tcPr>
            <w:tcW w:w="6955" w:type="dxa"/>
            <w:gridSpan w:val="3"/>
            <w:tcBorders>
              <w:bottom w:val="single" w:sz="4" w:space="0" w:color="auto"/>
            </w:tcBorders>
            <w:noWrap/>
            <w:vAlign w:val="center"/>
          </w:tcPr>
          <w:p w14:paraId="33A42101" w14:textId="77777777" w:rsidR="00D83810" w:rsidRPr="00992003" w:rsidRDefault="00D83810" w:rsidP="00AC13C1">
            <w:pPr>
              <w:pStyle w:val="Tabletext"/>
              <w:keepNext/>
              <w:keepLines/>
            </w:pPr>
            <w:r w:rsidRPr="00992003">
              <w:rPr>
                <w:b/>
              </w:rPr>
              <w:t>Incremental cost/extra QALY gained</w:t>
            </w:r>
          </w:p>
        </w:tc>
        <w:tc>
          <w:tcPr>
            <w:tcW w:w="2062" w:type="dxa"/>
            <w:tcBorders>
              <w:bottom w:val="single" w:sz="4" w:space="0" w:color="auto"/>
            </w:tcBorders>
            <w:noWrap/>
            <w:vAlign w:val="center"/>
          </w:tcPr>
          <w:p w14:paraId="3A93006D" w14:textId="6624D61A" w:rsidR="00D83810" w:rsidRPr="00992003" w:rsidRDefault="00D83810" w:rsidP="00AC13C1">
            <w:pPr>
              <w:pStyle w:val="Tabletext"/>
              <w:keepNext/>
              <w:keepLines/>
              <w:jc w:val="center"/>
              <w:rPr>
                <w:b/>
              </w:rPr>
            </w:pPr>
            <w:r w:rsidRPr="00992003">
              <w:rPr>
                <w:b/>
              </w:rPr>
              <w:t>$</w:t>
            </w:r>
            <w:r w:rsidR="001549E4" w:rsidRPr="001549E4">
              <w:rPr>
                <w:b/>
                <w:color w:val="000000"/>
                <w:shd w:val="solid" w:color="000000" w:fill="000000"/>
                <w14:textFill>
                  <w14:solidFill>
                    <w14:srgbClr w14:val="000000">
                      <w14:alpha w14:val="100000"/>
                    </w14:srgbClr>
                  </w14:solidFill>
                </w14:textFill>
              </w:rPr>
              <w:t>|</w:t>
            </w:r>
            <w:r w:rsidR="00141B20" w:rsidRPr="00141B20">
              <w:rPr>
                <w:b/>
                <w:vertAlign w:val="superscript"/>
              </w:rPr>
              <w:t>2</w:t>
            </w:r>
            <w:r w:rsidRPr="00992003">
              <w:rPr>
                <w:b/>
              </w:rPr>
              <w:t xml:space="preserve"> </w:t>
            </w:r>
            <w:r w:rsidRPr="00992003">
              <w:rPr>
                <w:b/>
                <w:vertAlign w:val="superscript"/>
              </w:rPr>
              <w:t>a</w:t>
            </w:r>
          </w:p>
        </w:tc>
      </w:tr>
      <w:tr w:rsidR="006154E7" w:rsidRPr="009972B7" w14:paraId="0C115ACB" w14:textId="77777777" w:rsidTr="00AC13C1">
        <w:trPr>
          <w:trHeight w:val="227"/>
        </w:trPr>
        <w:tc>
          <w:tcPr>
            <w:tcW w:w="9017" w:type="dxa"/>
            <w:gridSpan w:val="4"/>
            <w:noWrap/>
            <w:vAlign w:val="center"/>
          </w:tcPr>
          <w:p w14:paraId="631086D4" w14:textId="03CA73AD" w:rsidR="006154E7" w:rsidRPr="00992003" w:rsidRDefault="006154E7" w:rsidP="006154E7">
            <w:pPr>
              <w:pStyle w:val="Tabletext"/>
              <w:keepNext/>
              <w:keepLines/>
              <w:rPr>
                <w:b/>
              </w:rPr>
            </w:pPr>
            <w:bookmarkStart w:id="86" w:name="_Hlk187868127"/>
            <w:r w:rsidRPr="00992003">
              <w:rPr>
                <w:b/>
              </w:rPr>
              <w:t>Alternative approach: ‘</w:t>
            </w:r>
            <w:r w:rsidR="001549E4" w:rsidRPr="001549E4">
              <w:rPr>
                <w:b/>
                <w:color w:val="000000"/>
                <w:spacing w:val="54"/>
                <w:shd w:val="solid" w:color="000000" w:fill="000000"/>
                <w:fitText w:val="346" w:id="-693991424"/>
                <w14:textFill>
                  <w14:solidFill>
                    <w14:srgbClr w14:val="000000">
                      <w14:alpha w14:val="100000"/>
                    </w14:srgbClr>
                  </w14:solidFill>
                </w14:textFill>
              </w:rPr>
              <w:t>|||</w:t>
            </w:r>
            <w:r w:rsidR="001549E4" w:rsidRPr="001549E4">
              <w:rPr>
                <w:b/>
                <w:color w:val="000000"/>
                <w:spacing w:val="1"/>
                <w:shd w:val="solid" w:color="000000" w:fill="000000"/>
                <w:fitText w:val="346" w:id="-693991424"/>
                <w14:textFill>
                  <w14:solidFill>
                    <w14:srgbClr w14:val="000000">
                      <w14:alpha w14:val="100000"/>
                    </w14:srgbClr>
                  </w14:solidFill>
                </w14:textFill>
              </w:rPr>
              <w:t>|</w:t>
            </w:r>
            <w:r w:rsidR="00BB1289" w:rsidRPr="00BB1289">
              <w:rPr>
                <w:b/>
              </w:rPr>
              <w:t xml:space="preserve"> </w:t>
            </w:r>
            <w:r w:rsidR="001549E4" w:rsidRPr="001549E4">
              <w:rPr>
                <w:b/>
                <w:color w:val="000000"/>
                <w:spacing w:val="53"/>
                <w:shd w:val="solid" w:color="000000" w:fill="000000"/>
                <w:fitText w:val="345" w:id="-693991423"/>
                <w14:textFill>
                  <w14:solidFill>
                    <w14:srgbClr w14:val="000000">
                      <w14:alpha w14:val="100000"/>
                    </w14:srgbClr>
                  </w14:solidFill>
                </w14:textFill>
              </w:rPr>
              <w:t>|||</w:t>
            </w:r>
            <w:r w:rsidR="001549E4" w:rsidRPr="001549E4">
              <w:rPr>
                <w:b/>
                <w:color w:val="000000"/>
                <w:spacing w:val="3"/>
                <w:shd w:val="solid" w:color="000000" w:fill="000000"/>
                <w:fitText w:val="345" w:id="-693991423"/>
                <w14:textFill>
                  <w14:solidFill>
                    <w14:srgbClr w14:val="000000">
                      <w14:alpha w14:val="100000"/>
                    </w14:srgbClr>
                  </w14:solidFill>
                </w14:textFill>
              </w:rPr>
              <w:t>|</w:t>
            </w:r>
            <w:r w:rsidR="00BB1289" w:rsidRPr="00BB1289">
              <w:rPr>
                <w:b/>
              </w:rPr>
              <w:t xml:space="preserve"> </w:t>
            </w:r>
            <w:r w:rsidRPr="009B1786">
              <w:rPr>
                <w:b/>
              </w:rPr>
              <w:t>cost</w:t>
            </w:r>
            <w:r w:rsidRPr="00992003">
              <w:rPr>
                <w:b/>
              </w:rPr>
              <w:t>’ removed, response rate returned to ‘combined doses’</w:t>
            </w:r>
          </w:p>
        </w:tc>
      </w:tr>
      <w:tr w:rsidR="00723E3F" w:rsidRPr="0007416C" w14:paraId="5F169E8E" w14:textId="77777777" w:rsidTr="003B6C39">
        <w:trPr>
          <w:trHeight w:val="227"/>
        </w:trPr>
        <w:tc>
          <w:tcPr>
            <w:tcW w:w="3235" w:type="dxa"/>
            <w:noWrap/>
          </w:tcPr>
          <w:p w14:paraId="7D19CB40" w14:textId="668E2F3C" w:rsidR="00723E3F" w:rsidRPr="00992003" w:rsidRDefault="00723E3F" w:rsidP="00723E3F">
            <w:pPr>
              <w:pStyle w:val="Tabletext"/>
              <w:keepNext/>
              <w:keepLines/>
              <w:rPr>
                <w:b/>
              </w:rPr>
            </w:pPr>
            <w:r w:rsidRPr="00992003">
              <w:t>Total costs</w:t>
            </w:r>
          </w:p>
        </w:tc>
        <w:tc>
          <w:tcPr>
            <w:tcW w:w="1800" w:type="dxa"/>
            <w:vAlign w:val="center"/>
          </w:tcPr>
          <w:p w14:paraId="61974A2A" w14:textId="6986B672" w:rsidR="00723E3F" w:rsidRPr="00992003" w:rsidRDefault="006154E7" w:rsidP="006154E7">
            <w:pPr>
              <w:pStyle w:val="Tabletext"/>
              <w:keepNext/>
              <w:keepLines/>
              <w:jc w:val="center"/>
              <w:rPr>
                <w:bCs/>
              </w:rPr>
            </w:pPr>
            <w:r w:rsidRPr="00992003">
              <w:rPr>
                <w:bCs/>
              </w:rPr>
              <w:t>$</w:t>
            </w:r>
            <w:r w:rsidR="001549E4" w:rsidRPr="001549E4">
              <w:rPr>
                <w:bCs/>
                <w:color w:val="000000"/>
                <w:shd w:val="solid" w:color="000000" w:fill="000000"/>
                <w14:textFill>
                  <w14:solidFill>
                    <w14:srgbClr w14:val="000000">
                      <w14:alpha w14:val="100000"/>
                    </w14:srgbClr>
                  </w14:solidFill>
                </w14:textFill>
              </w:rPr>
              <w:t>|</w:t>
            </w:r>
          </w:p>
        </w:tc>
        <w:tc>
          <w:tcPr>
            <w:tcW w:w="1920" w:type="dxa"/>
            <w:vAlign w:val="center"/>
          </w:tcPr>
          <w:p w14:paraId="1D231504" w14:textId="46C2D70A" w:rsidR="00723E3F" w:rsidRPr="00992003" w:rsidRDefault="006154E7" w:rsidP="006154E7">
            <w:pPr>
              <w:pStyle w:val="Tabletext"/>
              <w:keepNext/>
              <w:keepLines/>
              <w:jc w:val="center"/>
              <w:rPr>
                <w:bCs/>
              </w:rPr>
            </w:pPr>
            <w:r w:rsidRPr="00992003">
              <w:rPr>
                <w:bCs/>
              </w:rPr>
              <w:t>$214,850</w:t>
            </w:r>
          </w:p>
        </w:tc>
        <w:tc>
          <w:tcPr>
            <w:tcW w:w="2062" w:type="dxa"/>
            <w:noWrap/>
            <w:vAlign w:val="center"/>
          </w:tcPr>
          <w:p w14:paraId="65EA0D8C" w14:textId="4AC97B39" w:rsidR="00723E3F" w:rsidRPr="00992003" w:rsidRDefault="006154E7" w:rsidP="00723E3F">
            <w:pPr>
              <w:pStyle w:val="Tabletext"/>
              <w:keepNext/>
              <w:keepLines/>
              <w:jc w:val="center"/>
              <w:rPr>
                <w:bCs/>
              </w:rPr>
            </w:pPr>
            <w:r w:rsidRPr="00992003">
              <w:rPr>
                <w:bCs/>
              </w:rPr>
              <w:t>$</w:t>
            </w:r>
            <w:r w:rsidR="001549E4" w:rsidRPr="001549E4">
              <w:rPr>
                <w:bCs/>
                <w:color w:val="000000"/>
                <w:shd w:val="solid" w:color="000000" w:fill="000000"/>
                <w14:textFill>
                  <w14:solidFill>
                    <w14:srgbClr w14:val="000000">
                      <w14:alpha w14:val="100000"/>
                    </w14:srgbClr>
                  </w14:solidFill>
                </w14:textFill>
              </w:rPr>
              <w:t>|</w:t>
            </w:r>
          </w:p>
        </w:tc>
      </w:tr>
      <w:tr w:rsidR="006154E7" w:rsidRPr="0007416C" w14:paraId="5393CE87" w14:textId="77777777" w:rsidTr="003B6C39">
        <w:trPr>
          <w:trHeight w:val="227"/>
        </w:trPr>
        <w:tc>
          <w:tcPr>
            <w:tcW w:w="3235" w:type="dxa"/>
            <w:noWrap/>
          </w:tcPr>
          <w:p w14:paraId="453279D4" w14:textId="77B70B14" w:rsidR="006154E7" w:rsidRPr="00992003" w:rsidRDefault="006154E7" w:rsidP="006154E7">
            <w:pPr>
              <w:pStyle w:val="Tabletext"/>
              <w:keepNext/>
              <w:keepLines/>
              <w:rPr>
                <w:b/>
              </w:rPr>
            </w:pPr>
            <w:r w:rsidRPr="00992003">
              <w:t>LYG</w:t>
            </w:r>
          </w:p>
        </w:tc>
        <w:tc>
          <w:tcPr>
            <w:tcW w:w="1800" w:type="dxa"/>
            <w:vAlign w:val="center"/>
          </w:tcPr>
          <w:p w14:paraId="3C7896A1" w14:textId="37EBD522" w:rsidR="006154E7" w:rsidRPr="00992003" w:rsidRDefault="006154E7" w:rsidP="006154E7">
            <w:pPr>
              <w:pStyle w:val="Tabletext"/>
              <w:keepNext/>
              <w:keepLines/>
              <w:jc w:val="center"/>
              <w:rPr>
                <w:bCs/>
              </w:rPr>
            </w:pPr>
            <w:r w:rsidRPr="00992003">
              <w:rPr>
                <w:bCs/>
              </w:rPr>
              <w:t>16.55</w:t>
            </w:r>
          </w:p>
        </w:tc>
        <w:tc>
          <w:tcPr>
            <w:tcW w:w="1920" w:type="dxa"/>
            <w:vAlign w:val="center"/>
          </w:tcPr>
          <w:p w14:paraId="79376571" w14:textId="1883D6A3" w:rsidR="006154E7" w:rsidRPr="00992003" w:rsidRDefault="006154E7" w:rsidP="006154E7">
            <w:pPr>
              <w:pStyle w:val="Tabletext"/>
              <w:keepNext/>
              <w:keepLines/>
              <w:jc w:val="center"/>
              <w:rPr>
                <w:b/>
              </w:rPr>
            </w:pPr>
            <w:r w:rsidRPr="00992003">
              <w:t>15.82</w:t>
            </w:r>
          </w:p>
        </w:tc>
        <w:tc>
          <w:tcPr>
            <w:tcW w:w="2062" w:type="dxa"/>
            <w:noWrap/>
            <w:vAlign w:val="center"/>
          </w:tcPr>
          <w:p w14:paraId="5D3BA0C7" w14:textId="2902591D" w:rsidR="006154E7" w:rsidRPr="00992003" w:rsidRDefault="006154E7" w:rsidP="006154E7">
            <w:pPr>
              <w:pStyle w:val="Tabletext"/>
              <w:keepNext/>
              <w:keepLines/>
              <w:jc w:val="center"/>
              <w:rPr>
                <w:bCs/>
              </w:rPr>
            </w:pPr>
            <w:r w:rsidRPr="00992003">
              <w:rPr>
                <w:bCs/>
              </w:rPr>
              <w:t>0.73</w:t>
            </w:r>
          </w:p>
        </w:tc>
      </w:tr>
      <w:tr w:rsidR="006154E7" w:rsidRPr="0007416C" w14:paraId="2A2F0268" w14:textId="77777777" w:rsidTr="003B6C39">
        <w:trPr>
          <w:trHeight w:val="227"/>
        </w:trPr>
        <w:tc>
          <w:tcPr>
            <w:tcW w:w="3235" w:type="dxa"/>
            <w:noWrap/>
          </w:tcPr>
          <w:p w14:paraId="0795F6A7" w14:textId="4430E8E3" w:rsidR="006154E7" w:rsidRPr="00992003" w:rsidRDefault="006154E7" w:rsidP="006154E7">
            <w:pPr>
              <w:pStyle w:val="Tabletext"/>
              <w:keepNext/>
              <w:keepLines/>
              <w:rPr>
                <w:b/>
              </w:rPr>
            </w:pPr>
            <w:r w:rsidRPr="00992003">
              <w:t>QALYs</w:t>
            </w:r>
          </w:p>
        </w:tc>
        <w:tc>
          <w:tcPr>
            <w:tcW w:w="1800" w:type="dxa"/>
            <w:vAlign w:val="center"/>
          </w:tcPr>
          <w:p w14:paraId="1F241A65" w14:textId="50931B23" w:rsidR="006154E7" w:rsidRPr="00992003" w:rsidRDefault="006154E7" w:rsidP="006154E7">
            <w:pPr>
              <w:pStyle w:val="Tabletext"/>
              <w:keepNext/>
              <w:keepLines/>
              <w:jc w:val="center"/>
              <w:rPr>
                <w:bCs/>
              </w:rPr>
            </w:pPr>
            <w:r w:rsidRPr="00992003">
              <w:rPr>
                <w:bCs/>
              </w:rPr>
              <w:t>13.44</w:t>
            </w:r>
          </w:p>
        </w:tc>
        <w:tc>
          <w:tcPr>
            <w:tcW w:w="1920" w:type="dxa"/>
            <w:vAlign w:val="center"/>
          </w:tcPr>
          <w:p w14:paraId="4715513C" w14:textId="14CDE896" w:rsidR="006154E7" w:rsidRPr="00992003" w:rsidRDefault="006154E7" w:rsidP="006154E7">
            <w:pPr>
              <w:pStyle w:val="Tabletext"/>
              <w:keepNext/>
              <w:keepLines/>
              <w:jc w:val="center"/>
              <w:rPr>
                <w:b/>
              </w:rPr>
            </w:pPr>
            <w:r w:rsidRPr="00992003">
              <w:t>11.98</w:t>
            </w:r>
          </w:p>
        </w:tc>
        <w:tc>
          <w:tcPr>
            <w:tcW w:w="2062" w:type="dxa"/>
            <w:noWrap/>
            <w:vAlign w:val="center"/>
          </w:tcPr>
          <w:p w14:paraId="17DA3BA6" w14:textId="62E072A8" w:rsidR="006154E7" w:rsidRPr="00992003" w:rsidRDefault="006154E7" w:rsidP="006154E7">
            <w:pPr>
              <w:pStyle w:val="Tabletext"/>
              <w:keepNext/>
              <w:keepLines/>
              <w:jc w:val="center"/>
              <w:rPr>
                <w:bCs/>
              </w:rPr>
            </w:pPr>
            <w:r w:rsidRPr="00992003">
              <w:rPr>
                <w:bCs/>
              </w:rPr>
              <w:t>1.45</w:t>
            </w:r>
          </w:p>
        </w:tc>
      </w:tr>
      <w:tr w:rsidR="006154E7" w:rsidRPr="0007416C" w14:paraId="5EB10961" w14:textId="77777777" w:rsidTr="003B6C39">
        <w:trPr>
          <w:trHeight w:val="227"/>
        </w:trPr>
        <w:tc>
          <w:tcPr>
            <w:tcW w:w="6955" w:type="dxa"/>
            <w:gridSpan w:val="3"/>
            <w:noWrap/>
            <w:vAlign w:val="center"/>
          </w:tcPr>
          <w:p w14:paraId="6CA5B3C1" w14:textId="179FA60E" w:rsidR="006154E7" w:rsidRPr="00992003" w:rsidRDefault="006154E7" w:rsidP="006154E7">
            <w:pPr>
              <w:pStyle w:val="Tabletext"/>
              <w:keepNext/>
              <w:keepLines/>
              <w:rPr>
                <w:b/>
              </w:rPr>
            </w:pPr>
            <w:r w:rsidRPr="00992003">
              <w:t>Incremental cost/extra LY gained</w:t>
            </w:r>
          </w:p>
        </w:tc>
        <w:tc>
          <w:tcPr>
            <w:tcW w:w="2062" w:type="dxa"/>
            <w:noWrap/>
            <w:vAlign w:val="center"/>
          </w:tcPr>
          <w:p w14:paraId="2BEDD92B" w14:textId="01032ED3" w:rsidR="006154E7" w:rsidRPr="00992003" w:rsidRDefault="006154E7" w:rsidP="006154E7">
            <w:pPr>
              <w:pStyle w:val="Tabletext"/>
              <w:keepNext/>
              <w:keepLines/>
              <w:jc w:val="center"/>
              <w:rPr>
                <w:bCs/>
              </w:rPr>
            </w:pPr>
            <w:r w:rsidRPr="00992003">
              <w:rPr>
                <w:bCs/>
              </w:rPr>
              <w:t>$</w:t>
            </w:r>
            <w:r w:rsidR="001549E4" w:rsidRPr="001549E4">
              <w:rPr>
                <w:bCs/>
                <w:color w:val="000000"/>
                <w:shd w:val="solid" w:color="000000" w:fill="000000"/>
                <w14:textFill>
                  <w14:solidFill>
                    <w14:srgbClr w14:val="000000">
                      <w14:alpha w14:val="100000"/>
                    </w14:srgbClr>
                  </w14:solidFill>
                </w14:textFill>
              </w:rPr>
              <w:t>|</w:t>
            </w:r>
            <w:r w:rsidR="00386B5C">
              <w:rPr>
                <w:bCs/>
                <w:vertAlign w:val="superscript"/>
              </w:rPr>
              <w:t>3</w:t>
            </w:r>
          </w:p>
        </w:tc>
      </w:tr>
      <w:tr w:rsidR="006154E7" w:rsidRPr="0007416C" w14:paraId="27F0F3E4" w14:textId="77777777" w:rsidTr="003B6C39">
        <w:trPr>
          <w:trHeight w:val="227"/>
        </w:trPr>
        <w:tc>
          <w:tcPr>
            <w:tcW w:w="6955" w:type="dxa"/>
            <w:gridSpan w:val="3"/>
            <w:tcBorders>
              <w:bottom w:val="single" w:sz="4" w:space="0" w:color="auto"/>
            </w:tcBorders>
            <w:noWrap/>
            <w:vAlign w:val="center"/>
          </w:tcPr>
          <w:p w14:paraId="6CCEAAC7" w14:textId="62B22F8A" w:rsidR="006154E7" w:rsidRPr="00992003" w:rsidRDefault="006154E7" w:rsidP="006154E7">
            <w:pPr>
              <w:pStyle w:val="Tabletext"/>
              <w:keepNext/>
              <w:keepLines/>
              <w:rPr>
                <w:b/>
              </w:rPr>
            </w:pPr>
            <w:r w:rsidRPr="00992003">
              <w:rPr>
                <w:b/>
              </w:rPr>
              <w:t>Incremental cost/extra QALY gained</w:t>
            </w:r>
          </w:p>
        </w:tc>
        <w:tc>
          <w:tcPr>
            <w:tcW w:w="2062" w:type="dxa"/>
            <w:noWrap/>
            <w:vAlign w:val="center"/>
          </w:tcPr>
          <w:p w14:paraId="4F7A7540" w14:textId="3E894277" w:rsidR="006154E7" w:rsidRPr="00992003" w:rsidRDefault="006154E7" w:rsidP="006154E7">
            <w:pPr>
              <w:pStyle w:val="Tabletext"/>
              <w:keepNext/>
              <w:keepLines/>
              <w:jc w:val="center"/>
              <w:rPr>
                <w:b/>
              </w:rPr>
            </w:pPr>
            <w:r w:rsidRPr="00992003">
              <w:rPr>
                <w:b/>
              </w:rPr>
              <w:t>$</w:t>
            </w:r>
            <w:r w:rsidR="001549E4" w:rsidRPr="001549E4">
              <w:rPr>
                <w:b/>
                <w:color w:val="000000"/>
                <w:shd w:val="solid" w:color="000000" w:fill="000000"/>
                <w14:textFill>
                  <w14:solidFill>
                    <w14:srgbClr w14:val="000000">
                      <w14:alpha w14:val="100000"/>
                    </w14:srgbClr>
                  </w14:solidFill>
                </w14:textFill>
              </w:rPr>
              <w:t>|</w:t>
            </w:r>
            <w:r w:rsidR="00386B5C" w:rsidRPr="00386B5C">
              <w:rPr>
                <w:b/>
                <w:vertAlign w:val="superscript"/>
              </w:rPr>
              <w:t>4</w:t>
            </w:r>
          </w:p>
        </w:tc>
      </w:tr>
      <w:bookmarkEnd w:id="86"/>
      <w:tr w:rsidR="006154E7" w:rsidRPr="0007416C" w14:paraId="008A4657" w14:textId="77777777" w:rsidTr="00AC13C1">
        <w:trPr>
          <w:trHeight w:val="227"/>
        </w:trPr>
        <w:tc>
          <w:tcPr>
            <w:tcW w:w="9017" w:type="dxa"/>
            <w:gridSpan w:val="4"/>
            <w:shd w:val="clear" w:color="auto" w:fill="DBE5F1" w:themeFill="accent1" w:themeFillTint="33"/>
            <w:noWrap/>
            <w:vAlign w:val="center"/>
          </w:tcPr>
          <w:p w14:paraId="4BCC8800" w14:textId="77777777" w:rsidR="006154E7" w:rsidRPr="00992003" w:rsidRDefault="006154E7" w:rsidP="006154E7">
            <w:pPr>
              <w:pStyle w:val="Tabletext"/>
              <w:keepNext/>
              <w:keepLines/>
              <w:rPr>
                <w:b/>
              </w:rPr>
            </w:pPr>
            <w:r w:rsidRPr="00992003">
              <w:rPr>
                <w:b/>
              </w:rPr>
              <w:t>July 2024 Submission</w:t>
            </w:r>
          </w:p>
        </w:tc>
      </w:tr>
      <w:tr w:rsidR="006154E7" w:rsidRPr="0007416C" w14:paraId="1CE6A4A7" w14:textId="77777777" w:rsidTr="003B6C39">
        <w:trPr>
          <w:trHeight w:val="227"/>
        </w:trPr>
        <w:tc>
          <w:tcPr>
            <w:tcW w:w="3235" w:type="dxa"/>
            <w:shd w:val="clear" w:color="auto" w:fill="DBE5F1" w:themeFill="accent1" w:themeFillTint="33"/>
            <w:noWrap/>
          </w:tcPr>
          <w:p w14:paraId="53B91F04" w14:textId="77777777" w:rsidR="006154E7" w:rsidRPr="00992003" w:rsidRDefault="006154E7" w:rsidP="006154E7">
            <w:pPr>
              <w:pStyle w:val="Tabletext"/>
              <w:keepNext/>
              <w:keepLines/>
              <w:rPr>
                <w:b/>
              </w:rPr>
            </w:pPr>
            <w:r w:rsidRPr="00992003">
              <w:t>Total costs</w:t>
            </w:r>
          </w:p>
        </w:tc>
        <w:tc>
          <w:tcPr>
            <w:tcW w:w="1800" w:type="dxa"/>
            <w:shd w:val="clear" w:color="auto" w:fill="DBE5F1" w:themeFill="accent1" w:themeFillTint="33"/>
            <w:vAlign w:val="center"/>
          </w:tcPr>
          <w:p w14:paraId="7FE7CB1F" w14:textId="5FBFC970" w:rsidR="006154E7" w:rsidRPr="00992003" w:rsidRDefault="006154E7" w:rsidP="006154E7">
            <w:pPr>
              <w:pStyle w:val="Tabletext"/>
              <w:keepNext/>
              <w:keepLines/>
              <w:jc w:val="center"/>
              <w:rPr>
                <w:b/>
              </w:rPr>
            </w:pPr>
            <w:r w:rsidRPr="00992003">
              <w:t>$</w:t>
            </w:r>
            <w:r w:rsidR="001549E4" w:rsidRPr="001549E4">
              <w:rPr>
                <w:color w:val="000000"/>
                <w:shd w:val="solid" w:color="000000" w:fill="000000"/>
                <w14:textFill>
                  <w14:solidFill>
                    <w14:srgbClr w14:val="000000">
                      <w14:alpha w14:val="100000"/>
                    </w14:srgbClr>
                  </w14:solidFill>
                </w14:textFill>
              </w:rPr>
              <w:t>|</w:t>
            </w:r>
          </w:p>
        </w:tc>
        <w:tc>
          <w:tcPr>
            <w:tcW w:w="1920" w:type="dxa"/>
            <w:shd w:val="clear" w:color="auto" w:fill="DBE5F1" w:themeFill="accent1" w:themeFillTint="33"/>
            <w:vAlign w:val="center"/>
          </w:tcPr>
          <w:p w14:paraId="7A68546D" w14:textId="77777777" w:rsidR="006154E7" w:rsidRPr="00992003" w:rsidRDefault="006154E7" w:rsidP="006154E7">
            <w:pPr>
              <w:pStyle w:val="Tabletext"/>
              <w:keepNext/>
              <w:keepLines/>
              <w:jc w:val="center"/>
              <w:rPr>
                <w:b/>
              </w:rPr>
            </w:pPr>
            <w:r w:rsidRPr="00992003">
              <w:t>$219,662</w:t>
            </w:r>
          </w:p>
        </w:tc>
        <w:tc>
          <w:tcPr>
            <w:tcW w:w="2062" w:type="dxa"/>
            <w:shd w:val="clear" w:color="auto" w:fill="DBE5F1" w:themeFill="accent1" w:themeFillTint="33"/>
            <w:noWrap/>
            <w:vAlign w:val="center"/>
          </w:tcPr>
          <w:p w14:paraId="0F7BD6A8" w14:textId="6DE1DC4A" w:rsidR="006154E7" w:rsidRPr="00992003" w:rsidRDefault="006154E7" w:rsidP="006154E7">
            <w:pPr>
              <w:pStyle w:val="Tabletext"/>
              <w:keepNext/>
              <w:keepLines/>
              <w:jc w:val="center"/>
              <w:rPr>
                <w:b/>
              </w:rPr>
            </w:pPr>
            <w:r w:rsidRPr="00992003">
              <w:t>$</w:t>
            </w:r>
            <w:r w:rsidR="001549E4" w:rsidRPr="001549E4">
              <w:rPr>
                <w:color w:val="000000"/>
                <w:shd w:val="solid" w:color="000000" w:fill="000000"/>
                <w14:textFill>
                  <w14:solidFill>
                    <w14:srgbClr w14:val="000000">
                      <w14:alpha w14:val="100000"/>
                    </w14:srgbClr>
                  </w14:solidFill>
                </w14:textFill>
              </w:rPr>
              <w:t>|</w:t>
            </w:r>
          </w:p>
        </w:tc>
      </w:tr>
      <w:tr w:rsidR="006154E7" w:rsidRPr="0007416C" w14:paraId="6A6199AF" w14:textId="77777777" w:rsidTr="003B6C39">
        <w:trPr>
          <w:trHeight w:val="227"/>
        </w:trPr>
        <w:tc>
          <w:tcPr>
            <w:tcW w:w="3235" w:type="dxa"/>
            <w:shd w:val="clear" w:color="auto" w:fill="DBE5F1" w:themeFill="accent1" w:themeFillTint="33"/>
            <w:noWrap/>
          </w:tcPr>
          <w:p w14:paraId="5747684B" w14:textId="77777777" w:rsidR="006154E7" w:rsidRPr="00992003" w:rsidRDefault="006154E7" w:rsidP="006154E7">
            <w:pPr>
              <w:pStyle w:val="Tabletext"/>
              <w:keepNext/>
              <w:keepLines/>
              <w:rPr>
                <w:b/>
              </w:rPr>
            </w:pPr>
            <w:r w:rsidRPr="00992003">
              <w:t>LYG</w:t>
            </w:r>
          </w:p>
        </w:tc>
        <w:tc>
          <w:tcPr>
            <w:tcW w:w="1800" w:type="dxa"/>
            <w:shd w:val="clear" w:color="auto" w:fill="DBE5F1" w:themeFill="accent1" w:themeFillTint="33"/>
            <w:vAlign w:val="center"/>
          </w:tcPr>
          <w:p w14:paraId="6978E5FA" w14:textId="77777777" w:rsidR="006154E7" w:rsidRPr="00992003" w:rsidRDefault="006154E7" w:rsidP="006154E7">
            <w:pPr>
              <w:pStyle w:val="Tabletext"/>
              <w:keepNext/>
              <w:keepLines/>
              <w:jc w:val="center"/>
              <w:rPr>
                <w:b/>
              </w:rPr>
            </w:pPr>
            <w:r w:rsidRPr="00992003">
              <w:t>18.22</w:t>
            </w:r>
          </w:p>
        </w:tc>
        <w:tc>
          <w:tcPr>
            <w:tcW w:w="1920" w:type="dxa"/>
            <w:shd w:val="clear" w:color="auto" w:fill="DBE5F1" w:themeFill="accent1" w:themeFillTint="33"/>
            <w:vAlign w:val="center"/>
          </w:tcPr>
          <w:p w14:paraId="5E1B94C4" w14:textId="77777777" w:rsidR="006154E7" w:rsidRPr="00992003" w:rsidRDefault="006154E7" w:rsidP="006154E7">
            <w:pPr>
              <w:pStyle w:val="Tabletext"/>
              <w:keepNext/>
              <w:keepLines/>
              <w:jc w:val="center"/>
              <w:rPr>
                <w:b/>
              </w:rPr>
            </w:pPr>
            <w:r w:rsidRPr="00992003">
              <w:t>16.69</w:t>
            </w:r>
          </w:p>
        </w:tc>
        <w:tc>
          <w:tcPr>
            <w:tcW w:w="2062" w:type="dxa"/>
            <w:shd w:val="clear" w:color="auto" w:fill="DBE5F1" w:themeFill="accent1" w:themeFillTint="33"/>
            <w:noWrap/>
            <w:vAlign w:val="center"/>
          </w:tcPr>
          <w:p w14:paraId="63270116" w14:textId="77777777" w:rsidR="006154E7" w:rsidRPr="00992003" w:rsidRDefault="006154E7" w:rsidP="006154E7">
            <w:pPr>
              <w:pStyle w:val="Tabletext"/>
              <w:keepNext/>
              <w:keepLines/>
              <w:jc w:val="center"/>
              <w:rPr>
                <w:b/>
              </w:rPr>
            </w:pPr>
            <w:r w:rsidRPr="00992003">
              <w:t>1.53</w:t>
            </w:r>
          </w:p>
        </w:tc>
      </w:tr>
      <w:tr w:rsidR="006154E7" w:rsidRPr="0007416C" w14:paraId="39524DAA" w14:textId="77777777" w:rsidTr="003B6C39">
        <w:trPr>
          <w:trHeight w:val="227"/>
        </w:trPr>
        <w:tc>
          <w:tcPr>
            <w:tcW w:w="3235" w:type="dxa"/>
            <w:shd w:val="clear" w:color="auto" w:fill="DBE5F1" w:themeFill="accent1" w:themeFillTint="33"/>
            <w:noWrap/>
          </w:tcPr>
          <w:p w14:paraId="3D51AF9B" w14:textId="77777777" w:rsidR="006154E7" w:rsidRPr="00992003" w:rsidRDefault="006154E7" w:rsidP="006154E7">
            <w:pPr>
              <w:pStyle w:val="Tabletext"/>
              <w:keepNext/>
              <w:keepLines/>
              <w:rPr>
                <w:b/>
              </w:rPr>
            </w:pPr>
            <w:r w:rsidRPr="00992003">
              <w:t>QALYs</w:t>
            </w:r>
          </w:p>
        </w:tc>
        <w:tc>
          <w:tcPr>
            <w:tcW w:w="1800" w:type="dxa"/>
            <w:shd w:val="clear" w:color="auto" w:fill="DBE5F1" w:themeFill="accent1" w:themeFillTint="33"/>
            <w:vAlign w:val="center"/>
          </w:tcPr>
          <w:p w14:paraId="01CAAFC5" w14:textId="77777777" w:rsidR="006154E7" w:rsidRPr="00992003" w:rsidRDefault="006154E7" w:rsidP="006154E7">
            <w:pPr>
              <w:pStyle w:val="Tabletext"/>
              <w:keepNext/>
              <w:keepLines/>
              <w:jc w:val="center"/>
              <w:rPr>
                <w:b/>
              </w:rPr>
            </w:pPr>
            <w:r w:rsidRPr="00992003">
              <w:t>15.14</w:t>
            </w:r>
          </w:p>
        </w:tc>
        <w:tc>
          <w:tcPr>
            <w:tcW w:w="1920" w:type="dxa"/>
            <w:shd w:val="clear" w:color="auto" w:fill="DBE5F1" w:themeFill="accent1" w:themeFillTint="33"/>
            <w:vAlign w:val="center"/>
          </w:tcPr>
          <w:p w14:paraId="57C5BF9A" w14:textId="77777777" w:rsidR="006154E7" w:rsidRPr="00992003" w:rsidRDefault="006154E7" w:rsidP="006154E7">
            <w:pPr>
              <w:pStyle w:val="Tabletext"/>
              <w:keepNext/>
              <w:keepLines/>
              <w:jc w:val="center"/>
              <w:rPr>
                <w:b/>
              </w:rPr>
            </w:pPr>
            <w:r w:rsidRPr="00992003">
              <w:t>12.41</w:t>
            </w:r>
          </w:p>
        </w:tc>
        <w:tc>
          <w:tcPr>
            <w:tcW w:w="2062" w:type="dxa"/>
            <w:shd w:val="clear" w:color="auto" w:fill="DBE5F1" w:themeFill="accent1" w:themeFillTint="33"/>
            <w:noWrap/>
            <w:vAlign w:val="center"/>
          </w:tcPr>
          <w:p w14:paraId="58546923" w14:textId="77777777" w:rsidR="006154E7" w:rsidRPr="00992003" w:rsidRDefault="006154E7" w:rsidP="006154E7">
            <w:pPr>
              <w:pStyle w:val="Tabletext"/>
              <w:keepNext/>
              <w:keepLines/>
              <w:jc w:val="center"/>
              <w:rPr>
                <w:b/>
              </w:rPr>
            </w:pPr>
            <w:r w:rsidRPr="00992003">
              <w:t>2.73</w:t>
            </w:r>
          </w:p>
        </w:tc>
      </w:tr>
      <w:tr w:rsidR="006154E7" w:rsidRPr="0007416C" w14:paraId="5E00BAF8" w14:textId="77777777" w:rsidTr="003B6C39">
        <w:trPr>
          <w:trHeight w:val="227"/>
        </w:trPr>
        <w:tc>
          <w:tcPr>
            <w:tcW w:w="6955" w:type="dxa"/>
            <w:gridSpan w:val="3"/>
            <w:shd w:val="clear" w:color="auto" w:fill="DBE5F1" w:themeFill="accent1" w:themeFillTint="33"/>
            <w:noWrap/>
            <w:vAlign w:val="center"/>
          </w:tcPr>
          <w:p w14:paraId="257A4674" w14:textId="77777777" w:rsidR="006154E7" w:rsidRPr="00992003" w:rsidRDefault="006154E7" w:rsidP="006154E7">
            <w:pPr>
              <w:pStyle w:val="Tabletext"/>
              <w:keepNext/>
              <w:keepLines/>
              <w:rPr>
                <w:b/>
              </w:rPr>
            </w:pPr>
            <w:r w:rsidRPr="00992003">
              <w:t>Incremental cost/extra LY gained</w:t>
            </w:r>
          </w:p>
        </w:tc>
        <w:tc>
          <w:tcPr>
            <w:tcW w:w="2062" w:type="dxa"/>
            <w:shd w:val="clear" w:color="auto" w:fill="DBE5F1" w:themeFill="accent1" w:themeFillTint="33"/>
            <w:noWrap/>
            <w:vAlign w:val="center"/>
          </w:tcPr>
          <w:p w14:paraId="5EEDA5DB" w14:textId="47D44242" w:rsidR="006154E7" w:rsidRPr="00992003" w:rsidRDefault="006154E7" w:rsidP="006154E7">
            <w:pPr>
              <w:pStyle w:val="Tabletext"/>
              <w:keepNext/>
              <w:keepLines/>
              <w:jc w:val="center"/>
              <w:rPr>
                <w:b/>
              </w:rPr>
            </w:pPr>
            <w:r w:rsidRPr="00992003">
              <w:t>$</w:t>
            </w:r>
            <w:r w:rsidR="001549E4" w:rsidRPr="001549E4">
              <w:rPr>
                <w:color w:val="000000"/>
                <w:shd w:val="solid" w:color="000000" w:fill="000000"/>
                <w14:textFill>
                  <w14:solidFill>
                    <w14:srgbClr w14:val="000000">
                      <w14:alpha w14:val="100000"/>
                    </w14:srgbClr>
                  </w14:solidFill>
                </w14:textFill>
              </w:rPr>
              <w:t>|</w:t>
            </w:r>
            <w:r w:rsidR="00386B5C">
              <w:rPr>
                <w:bCs/>
                <w:vertAlign w:val="superscript"/>
              </w:rPr>
              <w:t>3</w:t>
            </w:r>
          </w:p>
        </w:tc>
      </w:tr>
      <w:tr w:rsidR="006154E7" w:rsidRPr="0007416C" w14:paraId="1811CC53" w14:textId="77777777" w:rsidTr="003B6C39">
        <w:trPr>
          <w:trHeight w:val="227"/>
        </w:trPr>
        <w:tc>
          <w:tcPr>
            <w:tcW w:w="6955" w:type="dxa"/>
            <w:gridSpan w:val="3"/>
            <w:shd w:val="clear" w:color="auto" w:fill="DBE5F1" w:themeFill="accent1" w:themeFillTint="33"/>
            <w:noWrap/>
            <w:vAlign w:val="center"/>
          </w:tcPr>
          <w:p w14:paraId="5D1191F6" w14:textId="77777777" w:rsidR="006154E7" w:rsidRPr="00992003" w:rsidRDefault="006154E7" w:rsidP="006154E7">
            <w:pPr>
              <w:pStyle w:val="Tabletext"/>
              <w:keepNext/>
              <w:keepLines/>
              <w:rPr>
                <w:b/>
              </w:rPr>
            </w:pPr>
            <w:r w:rsidRPr="00992003">
              <w:rPr>
                <w:b/>
              </w:rPr>
              <w:t>Incremental cost/extra QALY gained</w:t>
            </w:r>
          </w:p>
        </w:tc>
        <w:tc>
          <w:tcPr>
            <w:tcW w:w="2062" w:type="dxa"/>
            <w:shd w:val="clear" w:color="auto" w:fill="DBE5F1" w:themeFill="accent1" w:themeFillTint="33"/>
            <w:noWrap/>
            <w:vAlign w:val="center"/>
          </w:tcPr>
          <w:p w14:paraId="06196A5B" w14:textId="0FF008BE" w:rsidR="006154E7" w:rsidRPr="00992003" w:rsidRDefault="006154E7" w:rsidP="006154E7">
            <w:pPr>
              <w:pStyle w:val="Tabletext"/>
              <w:keepNext/>
              <w:keepLines/>
              <w:jc w:val="center"/>
              <w:rPr>
                <w:b/>
              </w:rPr>
            </w:pPr>
            <w:r w:rsidRPr="00992003">
              <w:rPr>
                <w:b/>
              </w:rPr>
              <w:t>$</w:t>
            </w:r>
            <w:r w:rsidR="001549E4" w:rsidRPr="001549E4">
              <w:rPr>
                <w:b/>
                <w:color w:val="000000"/>
                <w:shd w:val="solid" w:color="000000" w:fill="000000"/>
                <w14:textFill>
                  <w14:solidFill>
                    <w14:srgbClr w14:val="000000">
                      <w14:alpha w14:val="100000"/>
                    </w14:srgbClr>
                  </w14:solidFill>
                </w14:textFill>
              </w:rPr>
              <w:t>|</w:t>
            </w:r>
            <w:r w:rsidR="00386B5C">
              <w:rPr>
                <w:bCs/>
                <w:vertAlign w:val="superscript"/>
              </w:rPr>
              <w:t>3</w:t>
            </w:r>
          </w:p>
        </w:tc>
      </w:tr>
    </w:tbl>
    <w:p w14:paraId="34D77B2C" w14:textId="77777777" w:rsidR="00CE47AE" w:rsidRDefault="00D83810" w:rsidP="00CE47AE">
      <w:pPr>
        <w:pStyle w:val="FooterTableFigure"/>
        <w:keepNext/>
        <w:keepLines/>
        <w:widowControl w:val="0"/>
      </w:pPr>
      <w:r>
        <w:t>Source: Table 3-8 of the resubmission</w:t>
      </w:r>
      <w:r w:rsidR="00F95218">
        <w:t xml:space="preserve">, </w:t>
      </w:r>
      <w:r>
        <w:t>Table 17 odevixibat PSD, July 2024 PBAC meeting</w:t>
      </w:r>
      <w:r w:rsidR="00F95218">
        <w:t xml:space="preserve"> and November 2024 </w:t>
      </w:r>
      <w:r w:rsidR="00F95218" w:rsidRPr="00F95218">
        <w:t>odevixibat economic model spreadsheet</w:t>
      </w:r>
    </w:p>
    <w:p w14:paraId="7EAA6D4B" w14:textId="77777777" w:rsidR="00CE47AE" w:rsidRDefault="00D83810" w:rsidP="00CE47AE">
      <w:pPr>
        <w:pStyle w:val="FooterTableFigure"/>
        <w:keepNext/>
        <w:keepLines/>
        <w:widowControl w:val="0"/>
      </w:pPr>
      <w:r>
        <w:t xml:space="preserve">Abbreviations: </w:t>
      </w:r>
      <w:r w:rsidRPr="00F711DB">
        <w:t>LYG = life years gained; QALY = quality adjusted life year; SOC = standard of care</w:t>
      </w:r>
    </w:p>
    <w:p w14:paraId="7DD84685" w14:textId="2D4301D7" w:rsidR="00D83810" w:rsidRDefault="00D83810" w:rsidP="00CE47AE">
      <w:pPr>
        <w:pStyle w:val="FooterTableFigure"/>
        <w:keepNext/>
        <w:keepLines/>
        <w:widowControl w:val="0"/>
      </w:pPr>
      <w:r>
        <w:t>Note: blue shaded cells reflect values previously considered by the PBAC</w:t>
      </w:r>
    </w:p>
    <w:p w14:paraId="2018A1EE" w14:textId="77777777" w:rsidR="00477EE2" w:rsidRDefault="00D83810" w:rsidP="00CE47AE">
      <w:pPr>
        <w:pStyle w:val="FooterTableFigure"/>
        <w:keepNext/>
        <w:keepLines/>
        <w:widowControl w:val="0"/>
      </w:pPr>
      <w:proofErr w:type="spellStart"/>
      <w:r>
        <w:rPr>
          <w:vertAlign w:val="superscript"/>
        </w:rPr>
        <w:t>a</w:t>
      </w:r>
      <w:proofErr w:type="spellEnd"/>
      <w:r>
        <w:t xml:space="preserve"> </w:t>
      </w:r>
      <w:r w:rsidR="002C5F13">
        <w:t>T</w:t>
      </w:r>
      <w:r>
        <w:t xml:space="preserve">he proposed price reduction was not applied to the 200mcg capsule formulation. This was corrected during the evaluation. </w:t>
      </w:r>
    </w:p>
    <w:p w14:paraId="01AB1CEA" w14:textId="1EC9002E" w:rsidR="00477EE2" w:rsidRPr="00CE47AE" w:rsidRDefault="00477EE2" w:rsidP="00CE47AE">
      <w:pPr>
        <w:pStyle w:val="FooterTableFigure"/>
        <w:keepNext/>
        <w:keepLines/>
        <w:widowControl w:val="0"/>
        <w:rPr>
          <w:i/>
          <w:iCs/>
        </w:rPr>
      </w:pPr>
      <w:r w:rsidRPr="00CE47AE">
        <w:rPr>
          <w:i/>
          <w:iCs/>
        </w:rPr>
        <w:t xml:space="preserve">The redacted values correspond to the following ranges: </w:t>
      </w:r>
    </w:p>
    <w:p w14:paraId="401F176B" w14:textId="77777777" w:rsidR="00386B5C" w:rsidRPr="00CE47AE" w:rsidRDefault="00477EE2" w:rsidP="00CE47AE">
      <w:pPr>
        <w:pStyle w:val="FooterTableFigure"/>
        <w:keepNext/>
        <w:keepLines/>
        <w:widowControl w:val="0"/>
        <w:rPr>
          <w:i/>
          <w:iCs/>
        </w:rPr>
      </w:pPr>
      <w:r w:rsidRPr="00CE47AE">
        <w:rPr>
          <w:i/>
          <w:iCs/>
          <w:vertAlign w:val="superscript"/>
        </w:rPr>
        <w:t>1</w:t>
      </w:r>
      <w:r w:rsidRPr="00CE47AE">
        <w:rPr>
          <w:i/>
          <w:iCs/>
        </w:rPr>
        <w:t xml:space="preserve"> </w:t>
      </w:r>
      <w:r w:rsidR="00141B20" w:rsidRPr="00CE47AE">
        <w:rPr>
          <w:i/>
          <w:iCs/>
        </w:rPr>
        <w:t>$755,000 to &lt; $855,000</w:t>
      </w:r>
      <w:r w:rsidR="00386B5C" w:rsidRPr="00CE47AE">
        <w:rPr>
          <w:i/>
          <w:iCs/>
        </w:rPr>
        <w:t xml:space="preserve"> </w:t>
      </w:r>
    </w:p>
    <w:p w14:paraId="53AD3208" w14:textId="72584A16" w:rsidR="00141B20" w:rsidRPr="00CE47AE" w:rsidRDefault="00386B5C" w:rsidP="00CE47AE">
      <w:pPr>
        <w:pStyle w:val="FooterTableFigure"/>
        <w:keepNext/>
        <w:keepLines/>
        <w:widowControl w:val="0"/>
        <w:rPr>
          <w:i/>
          <w:iCs/>
        </w:rPr>
      </w:pPr>
      <w:r w:rsidRPr="00CE47AE">
        <w:rPr>
          <w:i/>
          <w:iCs/>
          <w:vertAlign w:val="superscript"/>
        </w:rPr>
        <w:t>2</w:t>
      </w:r>
      <w:r w:rsidRPr="00CE47AE">
        <w:rPr>
          <w:i/>
          <w:iCs/>
        </w:rPr>
        <w:t xml:space="preserve"> $355,000 to &lt; $455,000</w:t>
      </w:r>
    </w:p>
    <w:p w14:paraId="2F1511AD" w14:textId="77777777" w:rsidR="001173A2" w:rsidRDefault="00386B5C" w:rsidP="00CE47AE">
      <w:pPr>
        <w:pStyle w:val="FooterTableFigure"/>
        <w:keepNext/>
        <w:keepLines/>
        <w:widowControl w:val="0"/>
        <w:rPr>
          <w:i/>
          <w:iCs/>
        </w:rPr>
      </w:pPr>
      <w:r w:rsidRPr="00CE47AE">
        <w:rPr>
          <w:i/>
          <w:iCs/>
          <w:vertAlign w:val="superscript"/>
        </w:rPr>
        <w:t>3</w:t>
      </w:r>
      <w:r w:rsidRPr="00CE47AE">
        <w:rPr>
          <w:i/>
          <w:iCs/>
        </w:rPr>
        <w:t xml:space="preserve"> </w:t>
      </w:r>
      <w:r w:rsidR="00477EE2" w:rsidRPr="00CE47AE">
        <w:rPr>
          <w:i/>
          <w:iCs/>
        </w:rPr>
        <w:t>&gt; $1,055,000</w:t>
      </w:r>
    </w:p>
    <w:p w14:paraId="4CE48D31" w14:textId="6C8FA5ED" w:rsidR="00297051" w:rsidRPr="00297051" w:rsidRDefault="00297051" w:rsidP="00CE47AE">
      <w:pPr>
        <w:pStyle w:val="FooterTableFigure"/>
        <w:keepNext/>
        <w:keepLines/>
        <w:widowControl w:val="0"/>
        <w:rPr>
          <w:i/>
          <w:iCs/>
        </w:rPr>
      </w:pPr>
      <w:r>
        <w:rPr>
          <w:i/>
          <w:iCs/>
          <w:vertAlign w:val="superscript"/>
        </w:rPr>
        <w:t>4</w:t>
      </w:r>
      <w:r>
        <w:rPr>
          <w:i/>
          <w:iCs/>
        </w:rPr>
        <w:t xml:space="preserve"> </w:t>
      </w:r>
      <w:r w:rsidRPr="00297051">
        <w:rPr>
          <w:i/>
          <w:iCs/>
        </w:rPr>
        <w:t>$655,000 to &lt; $755,000</w:t>
      </w:r>
    </w:p>
    <w:p w14:paraId="5DA58587" w14:textId="3488BD3B" w:rsidR="0063276A" w:rsidRPr="00DB5F87" w:rsidRDefault="00ED426A" w:rsidP="00CC4084">
      <w:pPr>
        <w:pStyle w:val="3-BodyText"/>
        <w:spacing w:before="0"/>
      </w:pPr>
      <w:r w:rsidRPr="00DB5F87">
        <w:t xml:space="preserve">If the </w:t>
      </w:r>
      <w:r w:rsidR="001549E4" w:rsidRPr="004A6DE4">
        <w:rPr>
          <w:color w:val="000000"/>
          <w:spacing w:val="5"/>
          <w:w w:val="60"/>
          <w:shd w:val="solid" w:color="000000" w:fill="000000"/>
          <w:fitText w:val="463" w:id="-693991422"/>
          <w14:textFill>
            <w14:solidFill>
              <w14:srgbClr w14:val="000000">
                <w14:alpha w14:val="100000"/>
              </w14:srgbClr>
            </w14:solidFill>
          </w14:textFill>
        </w:rPr>
        <w:t>|||</w:t>
      </w:r>
      <w:r w:rsidR="004A6DE4" w:rsidRPr="004A6DE4">
        <w:rPr>
          <w:color w:val="000000"/>
          <w:spacing w:val="5"/>
          <w:w w:val="60"/>
          <w:shd w:val="solid" w:color="000000" w:fill="000000"/>
          <w:fitText w:val="463" w:id="-693991422"/>
          <w14:textFill>
            <w14:solidFill>
              <w14:srgbClr w14:val="000000">
                <w14:alpha w14:val="100000"/>
              </w14:srgbClr>
            </w14:solidFill>
          </w14:textFill>
        </w:rPr>
        <w:t xml:space="preserve"> </w:t>
      </w:r>
      <w:r w:rsidR="001549E4" w:rsidRPr="004A6DE4">
        <w:rPr>
          <w:color w:val="000000"/>
          <w:spacing w:val="5"/>
          <w:w w:val="60"/>
          <w:shd w:val="solid" w:color="000000" w:fill="000000"/>
          <w:fitText w:val="463" w:id="-693991422"/>
          <w14:textFill>
            <w14:solidFill>
              <w14:srgbClr w14:val="000000">
                <w14:alpha w14:val="100000"/>
              </w14:srgbClr>
            </w14:solidFill>
          </w14:textFill>
        </w:rPr>
        <w:t>||</w:t>
      </w:r>
      <w:r w:rsidR="001549E4" w:rsidRPr="004A6DE4">
        <w:rPr>
          <w:color w:val="000000"/>
          <w:spacing w:val="3"/>
          <w:w w:val="60"/>
          <w:shd w:val="solid" w:color="000000" w:fill="000000"/>
          <w:fitText w:val="463" w:id="-693991422"/>
          <w14:textFill>
            <w14:solidFill>
              <w14:srgbClr w14:val="000000">
                <w14:alpha w14:val="100000"/>
              </w14:srgbClr>
            </w14:solidFill>
          </w14:textFill>
        </w:rPr>
        <w:t>|</w:t>
      </w:r>
      <w:r w:rsidRPr="00DB5F87">
        <w:t xml:space="preserve">% price reduction offered in the PSCR was applied, the base case ICER decreased </w:t>
      </w:r>
      <w:r w:rsidR="0063276A" w:rsidRPr="00DB5F87">
        <w:t xml:space="preserve">from </w:t>
      </w:r>
      <w:r w:rsidR="00DA1B40" w:rsidRPr="00DA1B40">
        <w:t>$355,000 to &lt; $455,000</w:t>
      </w:r>
      <w:r w:rsidR="003E72BD">
        <w:t xml:space="preserve"> </w:t>
      </w:r>
      <w:r w:rsidR="0063276A" w:rsidRPr="00DB5F87">
        <w:t xml:space="preserve">per QALY </w:t>
      </w:r>
      <w:r w:rsidRPr="00DB5F87">
        <w:t xml:space="preserve">to </w:t>
      </w:r>
      <w:r w:rsidR="0063276A" w:rsidRPr="00DB5F87">
        <w:t>$</w:t>
      </w:r>
      <w:r w:rsidR="004418C1" w:rsidRPr="004418C1">
        <w:t>255,000 to &lt; $355,000</w:t>
      </w:r>
      <w:r w:rsidR="003E72BD">
        <w:t xml:space="preserve"> </w:t>
      </w:r>
      <w:r w:rsidR="0063276A" w:rsidRPr="00DB5F87">
        <w:t>per QALY.</w:t>
      </w:r>
      <w:r w:rsidR="00922BEC" w:rsidRPr="00DB5F87">
        <w:t xml:space="preserve"> The </w:t>
      </w:r>
      <w:r w:rsidR="001549E4" w:rsidRPr="00DA2049">
        <w:rPr>
          <w:color w:val="000000"/>
          <w:w w:val="15"/>
          <w:shd w:val="solid" w:color="000000" w:fill="000000"/>
          <w:fitText w:val="-20" w:id="-693991421"/>
          <w14:textFill>
            <w14:solidFill>
              <w14:srgbClr w14:val="000000">
                <w14:alpha w14:val="100000"/>
              </w14:srgbClr>
            </w14:solidFill>
          </w14:textFill>
        </w:rPr>
        <w:t>|</w:t>
      </w:r>
      <w:r w:rsidR="004A6DE4" w:rsidRPr="00DA2049">
        <w:rPr>
          <w:color w:val="000000"/>
          <w:w w:val="15"/>
          <w:shd w:val="solid" w:color="000000" w:fill="000000"/>
          <w:fitText w:val="-20" w:id="-693991421"/>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421"/>
          <w14:textFill>
            <w14:solidFill>
              <w14:srgbClr w14:val="000000">
                <w14:alpha w14:val="100000"/>
              </w14:srgbClr>
            </w14:solidFill>
          </w14:textFill>
        </w:rPr>
        <w:t>|</w:t>
      </w:r>
      <w:r w:rsidR="00987C41" w:rsidRPr="00DB5F87">
        <w:t>% price reduction applied to the alternative approach</w:t>
      </w:r>
      <w:r w:rsidR="00346468" w:rsidRPr="00DB5F87">
        <w:t xml:space="preserve"> scenario </w:t>
      </w:r>
      <w:r w:rsidR="005B40BF" w:rsidRPr="00DB5F87">
        <w:t>above</w:t>
      </w:r>
      <w:r w:rsidR="00987C41" w:rsidRPr="00DB5F87">
        <w:t xml:space="preserve"> resulted in an ICER of </w:t>
      </w:r>
      <w:r w:rsidR="00E43FA7" w:rsidRPr="00E43FA7">
        <w:t>$655,000 to &lt; $755,000</w:t>
      </w:r>
      <w:r w:rsidR="003E72BD">
        <w:t xml:space="preserve"> </w:t>
      </w:r>
      <w:r w:rsidR="00987C41" w:rsidRPr="00DB5F87">
        <w:t>per QALY.</w:t>
      </w:r>
    </w:p>
    <w:p w14:paraId="11969759" w14:textId="79020A01" w:rsidR="002B5C58" w:rsidRPr="00DB5F87" w:rsidRDefault="002B5C58" w:rsidP="00CC4084">
      <w:pPr>
        <w:pStyle w:val="3-BodyText"/>
        <w:spacing w:before="0"/>
      </w:pPr>
      <w:r w:rsidRPr="00DB5F87">
        <w:t xml:space="preserve">The stepped changes from the July 2024 base case to the resubmission’s base case is presented in </w:t>
      </w:r>
      <w:r w:rsidR="00090C43" w:rsidRPr="00DB5F87">
        <w:fldChar w:fldCharType="begin" w:fldLock="1"/>
      </w:r>
      <w:r w:rsidR="00090C43" w:rsidRPr="00DB5F87">
        <w:instrText xml:space="preserve"> REF _Ref187867923 \h </w:instrText>
      </w:r>
      <w:r w:rsidR="00DB5F87" w:rsidRPr="00DB5F87">
        <w:instrText xml:space="preserve"> \* MERGEFORMAT </w:instrText>
      </w:r>
      <w:r w:rsidR="00090C43" w:rsidRPr="00DB5F87">
        <w:fldChar w:fldCharType="separate"/>
      </w:r>
      <w:r w:rsidR="00090C43" w:rsidRPr="00DB5F87">
        <w:t xml:space="preserve">Table </w:t>
      </w:r>
      <w:r w:rsidR="00090C43" w:rsidRPr="00DB5F87">
        <w:rPr>
          <w:noProof/>
        </w:rPr>
        <w:t>15</w:t>
      </w:r>
      <w:r w:rsidR="00090C43" w:rsidRPr="00DB5F87">
        <w:fldChar w:fldCharType="end"/>
      </w:r>
      <w:r w:rsidRPr="00DB5F87">
        <w:fldChar w:fldCharType="begin" w:fldLock="1"/>
      </w:r>
      <w:r w:rsidRPr="00DB5F87">
        <w:instrText xml:space="preserve"> REF _Ref104805181 \h  \* MERGEFORMAT </w:instrText>
      </w:r>
      <w:r w:rsidRPr="00DB5F87">
        <w:fldChar w:fldCharType="end"/>
      </w:r>
      <w:r w:rsidRPr="00DB5F87">
        <w:t>.</w:t>
      </w:r>
    </w:p>
    <w:p w14:paraId="182C60D7" w14:textId="7817DDBE" w:rsidR="003A70D6" w:rsidRPr="000A0E2E" w:rsidRDefault="003A70D6" w:rsidP="000E12DA">
      <w:pPr>
        <w:pStyle w:val="Caption"/>
        <w:rPr>
          <w:b w:val="0"/>
        </w:rPr>
      </w:pPr>
      <w:bookmarkStart w:id="87" w:name="_Ref187867923"/>
      <w:r w:rsidRPr="000A0E2E">
        <w:lastRenderedPageBreak/>
        <w:t xml:space="preserve">Table </w:t>
      </w:r>
      <w:r w:rsidR="00090C43">
        <w:fldChar w:fldCharType="begin" w:fldLock="1"/>
      </w:r>
      <w:r w:rsidR="00090C43">
        <w:instrText xml:space="preserve"> SEQ Table \* ARABIC </w:instrText>
      </w:r>
      <w:r w:rsidR="00090C43">
        <w:fldChar w:fldCharType="separate"/>
      </w:r>
      <w:r w:rsidR="00090C43">
        <w:rPr>
          <w:noProof/>
        </w:rPr>
        <w:t>15</w:t>
      </w:r>
      <w:r w:rsidR="00090C43">
        <w:rPr>
          <w:noProof/>
        </w:rPr>
        <w:fldChar w:fldCharType="end"/>
      </w:r>
      <w:bookmarkEnd w:id="87"/>
      <w:r w:rsidRPr="000A0E2E">
        <w:rPr>
          <w:b w:val="0"/>
        </w:rPr>
        <w:t xml:space="preserve">: </w:t>
      </w:r>
      <w:r w:rsidRPr="000A0E2E">
        <w:rPr>
          <w:bCs w:val="0"/>
        </w:rPr>
        <w:t>Results of the economic evaluation</w:t>
      </w:r>
    </w:p>
    <w:tbl>
      <w:tblPr>
        <w:tblStyle w:val="TableGrid"/>
        <w:tblW w:w="0" w:type="auto"/>
        <w:tblLayout w:type="fixed"/>
        <w:tblLook w:val="04A0" w:firstRow="1" w:lastRow="0" w:firstColumn="1" w:lastColumn="0" w:noHBand="0" w:noVBand="1"/>
        <w:tblCaption w:val="Table 15: Results of the economic evaluation"/>
      </w:tblPr>
      <w:tblGrid>
        <w:gridCol w:w="554"/>
        <w:gridCol w:w="4241"/>
        <w:gridCol w:w="1080"/>
        <w:gridCol w:w="1080"/>
        <w:gridCol w:w="1080"/>
        <w:gridCol w:w="960"/>
      </w:tblGrid>
      <w:tr w:rsidR="003A70D6" w:rsidRPr="00B92009" w14:paraId="225C7237" w14:textId="77777777" w:rsidTr="0075380E">
        <w:tc>
          <w:tcPr>
            <w:tcW w:w="554" w:type="dxa"/>
            <w:tcMar>
              <w:left w:w="20" w:type="dxa"/>
              <w:right w:w="20" w:type="dxa"/>
            </w:tcMar>
            <w:vAlign w:val="center"/>
          </w:tcPr>
          <w:p w14:paraId="7ED8CDC3" w14:textId="77777777" w:rsidR="003A70D6" w:rsidRPr="00B92009" w:rsidRDefault="003A70D6" w:rsidP="000E12DA">
            <w:pPr>
              <w:pStyle w:val="Tabletext"/>
              <w:keepNext/>
              <w:keepLines/>
              <w:jc w:val="center"/>
              <w:rPr>
                <w:b/>
                <w:bCs/>
              </w:rPr>
            </w:pPr>
            <w:r w:rsidRPr="00B92009">
              <w:rPr>
                <w:b/>
                <w:bCs/>
              </w:rPr>
              <w:t>Item</w:t>
            </w:r>
          </w:p>
        </w:tc>
        <w:tc>
          <w:tcPr>
            <w:tcW w:w="4241" w:type="dxa"/>
            <w:tcMar>
              <w:left w:w="20" w:type="dxa"/>
              <w:right w:w="20" w:type="dxa"/>
            </w:tcMar>
            <w:vAlign w:val="center"/>
          </w:tcPr>
          <w:p w14:paraId="5E5AA8D3" w14:textId="77777777" w:rsidR="003A70D6" w:rsidRPr="00B92009" w:rsidRDefault="003A70D6" w:rsidP="000E12DA">
            <w:pPr>
              <w:pStyle w:val="Tabletext"/>
              <w:keepNext/>
              <w:keepLines/>
              <w:jc w:val="center"/>
              <w:rPr>
                <w:b/>
                <w:bCs/>
              </w:rPr>
            </w:pPr>
            <w:r w:rsidRPr="00B92009">
              <w:rPr>
                <w:b/>
                <w:bCs/>
              </w:rPr>
              <w:t>Description</w:t>
            </w:r>
          </w:p>
        </w:tc>
        <w:tc>
          <w:tcPr>
            <w:tcW w:w="1080" w:type="dxa"/>
            <w:tcMar>
              <w:left w:w="20" w:type="dxa"/>
              <w:right w:w="20" w:type="dxa"/>
            </w:tcMar>
            <w:vAlign w:val="center"/>
          </w:tcPr>
          <w:p w14:paraId="570B9193" w14:textId="54D180F9" w:rsidR="003A70D6" w:rsidRPr="00B92009" w:rsidRDefault="003A70D6" w:rsidP="000E12DA">
            <w:pPr>
              <w:pStyle w:val="Tabletext"/>
              <w:keepNext/>
              <w:keepLines/>
              <w:jc w:val="center"/>
              <w:rPr>
                <w:b/>
                <w:bCs/>
              </w:rPr>
            </w:pPr>
            <w:r>
              <w:rPr>
                <w:b/>
                <w:bCs/>
              </w:rPr>
              <w:t>Incr</w:t>
            </w:r>
            <w:r w:rsidR="0075380E">
              <w:rPr>
                <w:b/>
                <w:bCs/>
              </w:rPr>
              <w:t>emental</w:t>
            </w:r>
            <w:r>
              <w:rPr>
                <w:b/>
                <w:bCs/>
              </w:rPr>
              <w:t xml:space="preserve"> </w:t>
            </w:r>
            <w:r w:rsidR="0075380E">
              <w:rPr>
                <w:b/>
                <w:bCs/>
              </w:rPr>
              <w:t>c</w:t>
            </w:r>
            <w:r>
              <w:rPr>
                <w:b/>
                <w:bCs/>
              </w:rPr>
              <w:t>ost</w:t>
            </w:r>
          </w:p>
        </w:tc>
        <w:tc>
          <w:tcPr>
            <w:tcW w:w="1080" w:type="dxa"/>
            <w:tcMar>
              <w:left w:w="20" w:type="dxa"/>
              <w:right w:w="20" w:type="dxa"/>
            </w:tcMar>
            <w:vAlign w:val="center"/>
          </w:tcPr>
          <w:p w14:paraId="71DC95F5" w14:textId="11B0D898" w:rsidR="003A70D6" w:rsidRPr="00B92009" w:rsidRDefault="003A70D6" w:rsidP="000E12DA">
            <w:pPr>
              <w:pStyle w:val="Tabletext"/>
              <w:keepNext/>
              <w:keepLines/>
              <w:jc w:val="center"/>
              <w:rPr>
                <w:b/>
                <w:bCs/>
              </w:rPr>
            </w:pPr>
            <w:r>
              <w:rPr>
                <w:b/>
                <w:bCs/>
              </w:rPr>
              <w:t>Incr</w:t>
            </w:r>
            <w:r w:rsidR="0075380E">
              <w:rPr>
                <w:b/>
                <w:bCs/>
              </w:rPr>
              <w:t>emental</w:t>
            </w:r>
            <w:r>
              <w:rPr>
                <w:b/>
                <w:bCs/>
              </w:rPr>
              <w:t xml:space="preserve"> QALY</w:t>
            </w:r>
          </w:p>
        </w:tc>
        <w:tc>
          <w:tcPr>
            <w:tcW w:w="1080" w:type="dxa"/>
            <w:tcMar>
              <w:left w:w="20" w:type="dxa"/>
              <w:right w:w="20" w:type="dxa"/>
            </w:tcMar>
            <w:vAlign w:val="center"/>
          </w:tcPr>
          <w:p w14:paraId="3671C4E0" w14:textId="77777777" w:rsidR="003A70D6" w:rsidRDefault="003A70D6" w:rsidP="000E12DA">
            <w:pPr>
              <w:pStyle w:val="Tabletext"/>
              <w:keepNext/>
              <w:keepLines/>
              <w:jc w:val="center"/>
              <w:rPr>
                <w:b/>
                <w:bCs/>
              </w:rPr>
            </w:pPr>
            <w:r w:rsidRPr="00B92009">
              <w:rPr>
                <w:b/>
                <w:bCs/>
              </w:rPr>
              <w:t>ICER</w:t>
            </w:r>
          </w:p>
          <w:p w14:paraId="459A9C5E" w14:textId="77777777" w:rsidR="003A70D6" w:rsidRPr="00B92009" w:rsidRDefault="003A70D6" w:rsidP="000E12DA">
            <w:pPr>
              <w:pStyle w:val="Tabletext"/>
              <w:keepNext/>
              <w:keepLines/>
              <w:jc w:val="center"/>
              <w:rPr>
                <w:b/>
                <w:bCs/>
              </w:rPr>
            </w:pPr>
            <w:r w:rsidRPr="00B92009">
              <w:rPr>
                <w:b/>
                <w:bCs/>
              </w:rPr>
              <w:t>$</w:t>
            </w:r>
            <w:r>
              <w:rPr>
                <w:b/>
                <w:bCs/>
              </w:rPr>
              <w:t>/QALY</w:t>
            </w:r>
          </w:p>
        </w:tc>
        <w:tc>
          <w:tcPr>
            <w:tcW w:w="960" w:type="dxa"/>
            <w:tcMar>
              <w:left w:w="20" w:type="dxa"/>
              <w:right w:w="20" w:type="dxa"/>
            </w:tcMar>
            <w:vAlign w:val="center"/>
          </w:tcPr>
          <w:p w14:paraId="576D9791" w14:textId="77777777" w:rsidR="003A70D6" w:rsidRPr="00B92009" w:rsidRDefault="003A70D6" w:rsidP="000E12DA">
            <w:pPr>
              <w:pStyle w:val="Tabletext"/>
              <w:keepNext/>
              <w:keepLines/>
              <w:jc w:val="center"/>
              <w:rPr>
                <w:b/>
                <w:bCs/>
              </w:rPr>
            </w:pPr>
            <w:r>
              <w:rPr>
                <w:b/>
                <w:bCs/>
              </w:rPr>
              <w:t>Cumulative change from July 2024 ICER</w:t>
            </w:r>
          </w:p>
        </w:tc>
      </w:tr>
      <w:tr w:rsidR="003A70D6" w:rsidRPr="00B92009" w14:paraId="7FA5FDB8" w14:textId="77777777" w:rsidTr="0075380E">
        <w:tc>
          <w:tcPr>
            <w:tcW w:w="554" w:type="dxa"/>
            <w:tcMar>
              <w:left w:w="20" w:type="dxa"/>
              <w:right w:w="20" w:type="dxa"/>
            </w:tcMar>
            <w:vAlign w:val="center"/>
          </w:tcPr>
          <w:p w14:paraId="4303DFAA" w14:textId="51F8F8A9" w:rsidR="003A70D6" w:rsidRPr="00B92009" w:rsidRDefault="003A70D6" w:rsidP="000E12DA">
            <w:pPr>
              <w:pStyle w:val="Tabletext"/>
              <w:keepNext/>
              <w:keepLines/>
              <w:rPr>
                <w:b/>
                <w:bCs/>
              </w:rPr>
            </w:pPr>
            <w:r w:rsidRPr="004050D6">
              <w:t>0</w:t>
            </w:r>
          </w:p>
        </w:tc>
        <w:tc>
          <w:tcPr>
            <w:tcW w:w="4241" w:type="dxa"/>
            <w:tcMar>
              <w:left w:w="20" w:type="dxa"/>
              <w:right w:w="20" w:type="dxa"/>
            </w:tcMar>
            <w:vAlign w:val="center"/>
          </w:tcPr>
          <w:p w14:paraId="06A8552D" w14:textId="5768562B" w:rsidR="003A70D6" w:rsidRPr="00B92009" w:rsidRDefault="003A70D6" w:rsidP="000E12DA">
            <w:pPr>
              <w:pStyle w:val="Tabletext"/>
              <w:keepNext/>
              <w:keepLines/>
              <w:rPr>
                <w:b/>
                <w:bCs/>
              </w:rPr>
            </w:pPr>
            <w:r w:rsidRPr="004050D6">
              <w:t xml:space="preserve">Base case from </w:t>
            </w:r>
            <w:r>
              <w:t>July 2024</w:t>
            </w:r>
            <w:r w:rsidRPr="004050D6">
              <w:t xml:space="preserve"> submission</w:t>
            </w:r>
          </w:p>
        </w:tc>
        <w:tc>
          <w:tcPr>
            <w:tcW w:w="1080" w:type="dxa"/>
            <w:tcMar>
              <w:left w:w="20" w:type="dxa"/>
              <w:right w:w="20" w:type="dxa"/>
            </w:tcMar>
            <w:vAlign w:val="center"/>
          </w:tcPr>
          <w:p w14:paraId="02D85FB7" w14:textId="21BCE1AF" w:rsidR="003A70D6" w:rsidRPr="00315564" w:rsidRDefault="001549E4" w:rsidP="000E12DA">
            <w:pPr>
              <w:pStyle w:val="Tabletext"/>
              <w:keepNext/>
              <w:keepLines/>
              <w:jc w:val="center"/>
              <w:rPr>
                <w:b/>
                <w:bCs/>
                <w:highlight w:val="darkGray"/>
              </w:rPr>
            </w:pPr>
            <w:r w:rsidRPr="00DA2049">
              <w:rPr>
                <w:rFonts w:hint="eastAsia"/>
                <w:color w:val="000000"/>
                <w:w w:val="15"/>
                <w:shd w:val="solid" w:color="000000" w:fill="000000"/>
                <w:fitText w:val="23" w:id="-693991420"/>
                <w14:textFill>
                  <w14:solidFill>
                    <w14:srgbClr w14:val="000000">
                      <w14:alpha w14:val="100000"/>
                    </w14:srgbClr>
                  </w14:solidFill>
                </w14:textFill>
              </w:rPr>
              <w:t xml:space="preserve">　</w:t>
            </w:r>
            <w:r w:rsidRPr="00DA2049">
              <w:rPr>
                <w:color w:val="000000"/>
                <w:w w:val="15"/>
                <w:shd w:val="solid" w:color="000000" w:fill="000000"/>
                <w:fitText w:val="23" w:id="-693991420"/>
                <w14:textFill>
                  <w14:solidFill>
                    <w14:srgbClr w14:val="000000">
                      <w14:alpha w14:val="100000"/>
                    </w14:srgbClr>
                  </w14:solidFill>
                </w14:textFill>
              </w:rPr>
              <w:t>|</w:t>
            </w:r>
            <w:r w:rsidRPr="00DA2049">
              <w:rPr>
                <w:rFonts w:hint="eastAsia"/>
                <w:color w:val="000000"/>
                <w:spacing w:val="-42"/>
                <w:w w:val="15"/>
                <w:shd w:val="solid" w:color="000000" w:fill="000000"/>
                <w:fitText w:val="23" w:id="-693991420"/>
                <w14:textFill>
                  <w14:solidFill>
                    <w14:srgbClr w14:val="000000">
                      <w14:alpha w14:val="100000"/>
                    </w14:srgbClr>
                  </w14:solidFill>
                </w14:textFill>
              </w:rPr>
              <w:t xml:space="preserve">　</w:t>
            </w:r>
            <w:r w:rsidR="00BB1289" w:rsidRPr="00BB1289">
              <w:t xml:space="preserve"> </w:t>
            </w:r>
          </w:p>
        </w:tc>
        <w:tc>
          <w:tcPr>
            <w:tcW w:w="1080" w:type="dxa"/>
            <w:tcMar>
              <w:left w:w="20" w:type="dxa"/>
              <w:right w:w="20" w:type="dxa"/>
            </w:tcMar>
            <w:vAlign w:val="center"/>
          </w:tcPr>
          <w:p w14:paraId="41DCA415" w14:textId="1FBDB046" w:rsidR="003A70D6" w:rsidRDefault="003A70D6" w:rsidP="000E12DA">
            <w:pPr>
              <w:pStyle w:val="Tabletext"/>
              <w:keepNext/>
              <w:keepLines/>
              <w:jc w:val="center"/>
              <w:rPr>
                <w:b/>
                <w:bCs/>
              </w:rPr>
            </w:pPr>
            <w:r>
              <w:t>2.73</w:t>
            </w:r>
          </w:p>
        </w:tc>
        <w:tc>
          <w:tcPr>
            <w:tcW w:w="1080" w:type="dxa"/>
            <w:tcMar>
              <w:left w:w="20" w:type="dxa"/>
              <w:right w:w="20" w:type="dxa"/>
            </w:tcMar>
            <w:vAlign w:val="center"/>
          </w:tcPr>
          <w:p w14:paraId="488F80BD" w14:textId="69C64F58" w:rsidR="003A70D6" w:rsidRPr="00315564" w:rsidRDefault="001549E4" w:rsidP="000E12DA">
            <w:pPr>
              <w:pStyle w:val="Tabletext"/>
              <w:keepNext/>
              <w:keepLines/>
              <w:jc w:val="center"/>
              <w:rPr>
                <w:b/>
                <w:bCs/>
                <w:highlight w:val="darkGray"/>
              </w:rPr>
            </w:pPr>
            <w:r w:rsidRPr="001549E4">
              <w:rPr>
                <w:rFonts w:hint="eastAsia"/>
                <w:color w:val="000000"/>
                <w:w w:val="15"/>
                <w:shd w:val="solid" w:color="000000" w:fill="000000"/>
                <w:fitText w:val="58" w:id="-693991419"/>
                <w14:textFill>
                  <w14:solidFill>
                    <w14:srgbClr w14:val="000000">
                      <w14:alpha w14:val="100000"/>
                    </w14:srgbClr>
                  </w14:solidFill>
                </w14:textFill>
              </w:rPr>
              <w:t xml:space="preserve">　</w:t>
            </w:r>
            <w:r w:rsidRPr="001549E4">
              <w:rPr>
                <w:color w:val="000000"/>
                <w:w w:val="15"/>
                <w:shd w:val="solid" w:color="000000" w:fill="000000"/>
                <w:fitText w:val="58" w:id="-693991419"/>
                <w14:textFill>
                  <w14:solidFill>
                    <w14:srgbClr w14:val="000000">
                      <w14:alpha w14:val="100000"/>
                    </w14:srgbClr>
                  </w14:solidFill>
                </w14:textFill>
              </w:rPr>
              <w:t>|</w:t>
            </w:r>
            <w:r w:rsidRPr="001549E4">
              <w:rPr>
                <w:rFonts w:hint="eastAsia"/>
                <w:color w:val="000000"/>
                <w:spacing w:val="-7"/>
                <w:w w:val="15"/>
                <w:shd w:val="solid" w:color="000000" w:fill="000000"/>
                <w:fitText w:val="58" w:id="-693991419"/>
                <w14:textFill>
                  <w14:solidFill>
                    <w14:srgbClr w14:val="000000">
                      <w14:alpha w14:val="100000"/>
                    </w14:srgbClr>
                  </w14:solidFill>
                </w14:textFill>
              </w:rPr>
              <w:t xml:space="preserve">　</w:t>
            </w:r>
            <w:r w:rsidR="00763BBF" w:rsidRPr="00763BBF">
              <w:rPr>
                <w:vertAlign w:val="superscript"/>
              </w:rPr>
              <w:t>1</w:t>
            </w:r>
          </w:p>
        </w:tc>
        <w:tc>
          <w:tcPr>
            <w:tcW w:w="960" w:type="dxa"/>
            <w:tcMar>
              <w:left w:w="20" w:type="dxa"/>
              <w:right w:w="20" w:type="dxa"/>
            </w:tcMar>
            <w:vAlign w:val="center"/>
          </w:tcPr>
          <w:p w14:paraId="444AAB9A" w14:textId="21D9B633" w:rsidR="003A70D6" w:rsidRPr="00076F08" w:rsidRDefault="001549E4" w:rsidP="000E12DA">
            <w:pPr>
              <w:pStyle w:val="Tabletext"/>
              <w:keepNext/>
              <w:keepLines/>
              <w:jc w:val="center"/>
              <w:rPr>
                <w:b/>
                <w:bCs/>
              </w:rPr>
            </w:pPr>
            <w:r w:rsidRPr="001549E4">
              <w:rPr>
                <w:color w:val="000000"/>
                <w:spacing w:val="76"/>
                <w:shd w:val="solid" w:color="000000" w:fill="000000"/>
                <w:fitText w:val="162" w:id="-693991418"/>
                <w14:textFill>
                  <w14:solidFill>
                    <w14:srgbClr w14:val="000000">
                      <w14:alpha w14:val="100000"/>
                    </w14:srgbClr>
                  </w14:solidFill>
                </w14:textFill>
              </w:rPr>
              <w:t>|</w:t>
            </w:r>
            <w:r w:rsidRPr="001549E4">
              <w:rPr>
                <w:color w:val="000000"/>
                <w:spacing w:val="1"/>
                <w:shd w:val="solid" w:color="000000" w:fill="000000"/>
                <w:fitText w:val="162" w:id="-693991418"/>
                <w14:textFill>
                  <w14:solidFill>
                    <w14:srgbClr w14:val="000000">
                      <w14:alpha w14:val="100000"/>
                    </w14:srgbClr>
                  </w14:solidFill>
                </w14:textFill>
              </w:rPr>
              <w:t>|</w:t>
            </w:r>
            <w:r w:rsidR="003A70D6" w:rsidRPr="00076F08">
              <w:t>%</w:t>
            </w:r>
          </w:p>
        </w:tc>
      </w:tr>
      <w:tr w:rsidR="0075380E" w:rsidRPr="00CF4B08" w14:paraId="528972AC" w14:textId="77777777" w:rsidTr="0075380E">
        <w:tc>
          <w:tcPr>
            <w:tcW w:w="554" w:type="dxa"/>
            <w:tcMar>
              <w:left w:w="20" w:type="dxa"/>
              <w:right w:w="20" w:type="dxa"/>
            </w:tcMar>
            <w:vAlign w:val="center"/>
          </w:tcPr>
          <w:p w14:paraId="41C06949" w14:textId="552B74F6" w:rsidR="00CB1468" w:rsidRPr="00CF4B08" w:rsidRDefault="00CB1468" w:rsidP="000E12DA">
            <w:pPr>
              <w:pStyle w:val="Tabletext"/>
              <w:keepNext/>
              <w:keepLines/>
              <w:rPr>
                <w:b/>
                <w:bCs/>
              </w:rPr>
            </w:pPr>
            <w:r w:rsidRPr="00CF4B08">
              <w:t>1</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0D93F582" w14:textId="7F32F008" w:rsidR="00CB1468" w:rsidRPr="00CF4B08" w:rsidRDefault="00CB1468" w:rsidP="000E12DA">
            <w:pPr>
              <w:pStyle w:val="Tabletext"/>
              <w:keepNext/>
              <w:keepLines/>
              <w:rPr>
                <w:b/>
                <w:bCs/>
              </w:rPr>
            </w:pPr>
            <w:r w:rsidRPr="00CF4B08">
              <w:rPr>
                <w:rFonts w:cs="Calibri"/>
                <w:color w:val="000000"/>
                <w:szCs w:val="20"/>
              </w:rPr>
              <w:t>Reduced time horizon to 50 years</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03E237E" w14:textId="5A063AFA" w:rsidR="00CB1468" w:rsidRPr="00315564" w:rsidRDefault="001549E4" w:rsidP="000E12DA">
            <w:pPr>
              <w:pStyle w:val="Tabletext"/>
              <w:keepNext/>
              <w:keepLines/>
              <w:jc w:val="center"/>
              <w:rPr>
                <w:b/>
                <w:bCs/>
                <w:highlight w:val="darkGray"/>
              </w:rPr>
            </w:pPr>
            <w:r w:rsidRPr="00DA2049">
              <w:rPr>
                <w:rFonts w:cs="Calibri" w:hint="eastAsia"/>
                <w:color w:val="000000"/>
                <w:w w:val="15"/>
                <w:szCs w:val="20"/>
                <w:shd w:val="solid" w:color="000000" w:fill="000000"/>
                <w:fitText w:val="23" w:id="-693991417"/>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17"/>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17"/>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6AE45324" w14:textId="169AC818" w:rsidR="00CB1468" w:rsidRPr="00CF4B08" w:rsidRDefault="00CB1468" w:rsidP="000E12DA">
            <w:pPr>
              <w:pStyle w:val="Tabletext"/>
              <w:keepNext/>
              <w:keepLines/>
              <w:jc w:val="center"/>
              <w:rPr>
                <w:b/>
                <w:bCs/>
              </w:rPr>
            </w:pPr>
            <w:r w:rsidRPr="00CF4B08">
              <w:rPr>
                <w:rFonts w:cs="Calibri"/>
                <w:color w:val="000000"/>
                <w:szCs w:val="20"/>
              </w:rPr>
              <w:t>2.45</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54567906" w14:textId="39A87B0B" w:rsidR="00CB1468" w:rsidRPr="00315564" w:rsidRDefault="001549E4" w:rsidP="000E12DA">
            <w:pPr>
              <w:pStyle w:val="Tabletext"/>
              <w:keepNext/>
              <w:keepLines/>
              <w:jc w:val="center"/>
              <w:rPr>
                <w:b/>
                <w:bCs/>
                <w:highlight w:val="darkGray"/>
              </w:rPr>
            </w:pPr>
            <w:r w:rsidRPr="001549E4">
              <w:rPr>
                <w:rFonts w:cs="Calibri" w:hint="eastAsia"/>
                <w:color w:val="000000"/>
                <w:w w:val="15"/>
                <w:szCs w:val="20"/>
                <w:shd w:val="solid" w:color="000000" w:fill="000000"/>
                <w:fitText w:val="57" w:id="-693991416"/>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16"/>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16"/>
                <w14:textFill>
                  <w14:solidFill>
                    <w14:srgbClr w14:val="000000">
                      <w14:alpha w14:val="100000"/>
                    </w14:srgbClr>
                  </w14:solidFill>
                </w14:textFill>
              </w:rPr>
              <w:t xml:space="preserve">　</w:t>
            </w:r>
            <w:r w:rsidR="00763BBF" w:rsidRPr="00763BBF">
              <w:rPr>
                <w:vertAlign w:val="superscript"/>
              </w:rPr>
              <w:t>1</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146DC774" w14:textId="6A87174C" w:rsidR="00CB1468" w:rsidRPr="00CF4B08" w:rsidRDefault="001549E4" w:rsidP="000E12DA">
            <w:pPr>
              <w:pStyle w:val="Tabletext"/>
              <w:keepNext/>
              <w:keepLines/>
              <w:jc w:val="center"/>
              <w:rPr>
                <w:b/>
                <w:bCs/>
              </w:rPr>
            </w:pPr>
            <w:r w:rsidRPr="001549E4">
              <w:rPr>
                <w:rFonts w:cs="Calibri"/>
                <w:color w:val="000000"/>
                <w:spacing w:val="75"/>
                <w:szCs w:val="20"/>
                <w:shd w:val="solid" w:color="000000" w:fill="000000"/>
                <w:fitText w:val="161" w:id="-693991415"/>
                <w14:textFill>
                  <w14:solidFill>
                    <w14:srgbClr w14:val="000000">
                      <w14:alpha w14:val="100000"/>
                    </w14:srgbClr>
                  </w14:solidFill>
                </w14:textFill>
              </w:rPr>
              <w:t>|</w:t>
            </w:r>
            <w:r w:rsidRPr="001549E4">
              <w:rPr>
                <w:rFonts w:cs="Calibri"/>
                <w:color w:val="000000"/>
                <w:spacing w:val="1"/>
                <w:szCs w:val="20"/>
                <w:shd w:val="solid" w:color="000000" w:fill="000000"/>
                <w:fitText w:val="161" w:id="-693991415"/>
                <w14:textFill>
                  <w14:solidFill>
                    <w14:srgbClr w14:val="000000">
                      <w14:alpha w14:val="100000"/>
                    </w14:srgbClr>
                  </w14:solidFill>
                </w14:textFill>
              </w:rPr>
              <w:t>|</w:t>
            </w:r>
            <w:r w:rsidR="00CB1468" w:rsidRPr="00CF4B08">
              <w:rPr>
                <w:rFonts w:cs="Calibri"/>
                <w:color w:val="000000"/>
                <w:szCs w:val="20"/>
              </w:rPr>
              <w:t>%</w:t>
            </w:r>
          </w:p>
        </w:tc>
      </w:tr>
      <w:tr w:rsidR="0075380E" w:rsidRPr="00CF4B08" w14:paraId="57899891" w14:textId="77777777" w:rsidTr="0075380E">
        <w:tc>
          <w:tcPr>
            <w:tcW w:w="554" w:type="dxa"/>
            <w:tcMar>
              <w:left w:w="20" w:type="dxa"/>
              <w:right w:w="20" w:type="dxa"/>
            </w:tcMar>
            <w:vAlign w:val="center"/>
          </w:tcPr>
          <w:p w14:paraId="25F19979" w14:textId="0A7E7911" w:rsidR="00CB1468" w:rsidRPr="00CF4B08" w:rsidRDefault="00CB1468" w:rsidP="000E12DA">
            <w:pPr>
              <w:pStyle w:val="Tabletext"/>
              <w:keepNext/>
              <w:keepLines/>
              <w:rPr>
                <w:b/>
                <w:bCs/>
              </w:rPr>
            </w:pPr>
            <w:r w:rsidRPr="00CF4B08">
              <w:t>2</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40997419" w14:textId="30F72B5D" w:rsidR="00CB1468" w:rsidRPr="00CF4B08" w:rsidRDefault="00CB1468" w:rsidP="000E12DA">
            <w:pPr>
              <w:pStyle w:val="Tabletext"/>
              <w:keepNext/>
              <w:keepLines/>
              <w:rPr>
                <w:b/>
                <w:bCs/>
              </w:rPr>
            </w:pPr>
            <w:r w:rsidRPr="00CF4B08">
              <w:rPr>
                <w:rFonts w:cs="Calibri"/>
                <w:color w:val="000000"/>
                <w:szCs w:val="20"/>
              </w:rPr>
              <w:t>Increased utility value for 'PEBD, response' health state (from 0.659 to 0.761)</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5A07C550" w14:textId="1E05EA3F" w:rsidR="00CB1468" w:rsidRPr="009003AD" w:rsidRDefault="001549E4" w:rsidP="000E12DA">
            <w:pPr>
              <w:pStyle w:val="Tabletext"/>
              <w:keepNext/>
              <w:keepLines/>
              <w:jc w:val="center"/>
              <w:rPr>
                <w:b/>
                <w:bCs/>
                <w:highlight w:val="darkGray"/>
              </w:rPr>
            </w:pPr>
            <w:r w:rsidRPr="00DA2049">
              <w:rPr>
                <w:rFonts w:cs="Calibri" w:hint="eastAsia"/>
                <w:color w:val="000000"/>
                <w:w w:val="15"/>
                <w:szCs w:val="20"/>
                <w:shd w:val="solid" w:color="000000" w:fill="000000"/>
                <w:fitText w:val="23" w:id="-693991414"/>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14"/>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14"/>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77296CEB" w14:textId="6B49E48D" w:rsidR="00CB1468" w:rsidRPr="00CF4B08" w:rsidRDefault="00CB1468" w:rsidP="000E12DA">
            <w:pPr>
              <w:pStyle w:val="Tabletext"/>
              <w:keepNext/>
              <w:keepLines/>
              <w:jc w:val="center"/>
              <w:rPr>
                <w:b/>
                <w:bCs/>
              </w:rPr>
            </w:pPr>
            <w:r w:rsidRPr="00CF4B08">
              <w:rPr>
                <w:rFonts w:cs="Calibri"/>
                <w:color w:val="000000"/>
                <w:szCs w:val="20"/>
              </w:rPr>
              <w:t>2.31</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B4471EE" w14:textId="2EE19CD1" w:rsidR="00CB1468" w:rsidRPr="009003AD" w:rsidRDefault="001549E4" w:rsidP="000E12DA">
            <w:pPr>
              <w:pStyle w:val="Tabletext"/>
              <w:keepNext/>
              <w:keepLines/>
              <w:jc w:val="center"/>
              <w:rPr>
                <w:b/>
                <w:bCs/>
                <w:highlight w:val="darkGray"/>
              </w:rPr>
            </w:pPr>
            <w:r w:rsidRPr="001549E4">
              <w:rPr>
                <w:rFonts w:cs="Calibri" w:hint="eastAsia"/>
                <w:color w:val="000000"/>
                <w:w w:val="15"/>
                <w:szCs w:val="20"/>
                <w:shd w:val="solid" w:color="000000" w:fill="000000"/>
                <w:fitText w:val="57" w:id="-693991413"/>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13"/>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13"/>
                <w14:textFill>
                  <w14:solidFill>
                    <w14:srgbClr w14:val="000000">
                      <w14:alpha w14:val="100000"/>
                    </w14:srgbClr>
                  </w14:solidFill>
                </w14:textFill>
              </w:rPr>
              <w:t xml:space="preserve">　</w:t>
            </w:r>
            <w:r w:rsidR="00763BBF" w:rsidRPr="00763BBF">
              <w:rPr>
                <w:vertAlign w:val="superscript"/>
              </w:rPr>
              <w:t>1</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5BD362FE" w14:textId="2B0ADCFA" w:rsidR="00CB1468" w:rsidRPr="00CF4B08" w:rsidRDefault="001549E4" w:rsidP="000E12DA">
            <w:pPr>
              <w:pStyle w:val="Tabletext"/>
              <w:keepNext/>
              <w:keepLines/>
              <w:jc w:val="center"/>
              <w:rPr>
                <w:b/>
                <w:bCs/>
              </w:rPr>
            </w:pPr>
            <w:r w:rsidRPr="001549E4">
              <w:rPr>
                <w:rFonts w:cs="Calibri"/>
                <w:color w:val="000000"/>
                <w:spacing w:val="75"/>
                <w:szCs w:val="20"/>
                <w:shd w:val="solid" w:color="000000" w:fill="000000"/>
                <w:fitText w:val="161" w:id="-693991412"/>
                <w14:textFill>
                  <w14:solidFill>
                    <w14:srgbClr w14:val="000000">
                      <w14:alpha w14:val="100000"/>
                    </w14:srgbClr>
                  </w14:solidFill>
                </w14:textFill>
              </w:rPr>
              <w:t>|</w:t>
            </w:r>
            <w:r w:rsidRPr="001549E4">
              <w:rPr>
                <w:rFonts w:cs="Calibri"/>
                <w:color w:val="000000"/>
                <w:spacing w:val="1"/>
                <w:szCs w:val="20"/>
                <w:shd w:val="solid" w:color="000000" w:fill="000000"/>
                <w:fitText w:val="161" w:id="-693991412"/>
                <w14:textFill>
                  <w14:solidFill>
                    <w14:srgbClr w14:val="000000">
                      <w14:alpha w14:val="100000"/>
                    </w14:srgbClr>
                  </w14:solidFill>
                </w14:textFill>
              </w:rPr>
              <w:t>|</w:t>
            </w:r>
            <w:r w:rsidR="00CB1468" w:rsidRPr="00CF4B08">
              <w:rPr>
                <w:rFonts w:cs="Calibri"/>
                <w:color w:val="000000"/>
                <w:szCs w:val="20"/>
              </w:rPr>
              <w:t>%</w:t>
            </w:r>
          </w:p>
        </w:tc>
      </w:tr>
      <w:tr w:rsidR="0075380E" w:rsidRPr="00CF4B08" w14:paraId="50F5B65B" w14:textId="77777777" w:rsidTr="0075380E">
        <w:tc>
          <w:tcPr>
            <w:tcW w:w="554" w:type="dxa"/>
            <w:tcMar>
              <w:left w:w="20" w:type="dxa"/>
              <w:right w:w="20" w:type="dxa"/>
            </w:tcMar>
            <w:vAlign w:val="center"/>
          </w:tcPr>
          <w:p w14:paraId="60A3006A" w14:textId="5BDBEF36" w:rsidR="00CB1468" w:rsidRPr="00CF4B08" w:rsidRDefault="00CB1468" w:rsidP="000E12DA">
            <w:pPr>
              <w:pStyle w:val="Tabletext"/>
              <w:keepNext/>
              <w:keepLines/>
              <w:rPr>
                <w:b/>
                <w:bCs/>
              </w:rPr>
            </w:pPr>
            <w:r w:rsidRPr="00CF4B08">
              <w:t>3</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6853BD18" w14:textId="1F74C98E" w:rsidR="00CB1468" w:rsidRPr="00CF4B08" w:rsidRDefault="00CB1468" w:rsidP="000E12DA">
            <w:pPr>
              <w:pStyle w:val="Tabletext"/>
              <w:keepNext/>
              <w:keepLines/>
              <w:rPr>
                <w:b/>
                <w:bCs/>
              </w:rPr>
            </w:pPr>
            <w:r w:rsidRPr="00CF4B08">
              <w:rPr>
                <w:rFonts w:cs="Calibri"/>
                <w:color w:val="000000"/>
                <w:szCs w:val="20"/>
              </w:rPr>
              <w:t>Reviewed Adverse Event data from updated PEDFIC 2 trial</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6F8A32B5" w14:textId="1E36FE56" w:rsidR="00CB1468" w:rsidRPr="009003AD" w:rsidRDefault="001549E4" w:rsidP="000E12DA">
            <w:pPr>
              <w:pStyle w:val="Tabletext"/>
              <w:keepNext/>
              <w:keepLines/>
              <w:jc w:val="center"/>
              <w:rPr>
                <w:b/>
                <w:bCs/>
                <w:highlight w:val="darkGray"/>
              </w:rPr>
            </w:pPr>
            <w:r w:rsidRPr="00DA2049">
              <w:rPr>
                <w:rFonts w:cs="Calibri" w:hint="eastAsia"/>
                <w:color w:val="000000"/>
                <w:w w:val="15"/>
                <w:szCs w:val="20"/>
                <w:shd w:val="solid" w:color="000000" w:fill="000000"/>
                <w:fitText w:val="23" w:id="-693991411"/>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11"/>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11"/>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23C846A9" w14:textId="648C4E4D" w:rsidR="00CB1468" w:rsidRPr="00CF4B08" w:rsidRDefault="00CB1468" w:rsidP="000E12DA">
            <w:pPr>
              <w:pStyle w:val="Tabletext"/>
              <w:keepNext/>
              <w:keepLines/>
              <w:jc w:val="center"/>
              <w:rPr>
                <w:b/>
                <w:bCs/>
              </w:rPr>
            </w:pPr>
            <w:r w:rsidRPr="00CF4B08">
              <w:rPr>
                <w:rFonts w:cs="Calibri"/>
                <w:color w:val="000000"/>
                <w:szCs w:val="20"/>
              </w:rPr>
              <w:t>2.31</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554B9371" w14:textId="07AEFC3E" w:rsidR="00CB1468" w:rsidRPr="009003AD" w:rsidRDefault="001549E4" w:rsidP="000E12DA">
            <w:pPr>
              <w:pStyle w:val="Tabletext"/>
              <w:keepNext/>
              <w:keepLines/>
              <w:jc w:val="center"/>
              <w:rPr>
                <w:b/>
                <w:bCs/>
                <w:highlight w:val="darkGray"/>
              </w:rPr>
            </w:pPr>
            <w:r w:rsidRPr="001549E4">
              <w:rPr>
                <w:rFonts w:cs="Calibri" w:hint="eastAsia"/>
                <w:color w:val="000000"/>
                <w:w w:val="15"/>
                <w:szCs w:val="20"/>
                <w:shd w:val="solid" w:color="000000" w:fill="000000"/>
                <w:fitText w:val="57" w:id="-693991410"/>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10"/>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10"/>
                <w14:textFill>
                  <w14:solidFill>
                    <w14:srgbClr w14:val="000000">
                      <w14:alpha w14:val="100000"/>
                    </w14:srgbClr>
                  </w14:solidFill>
                </w14:textFill>
              </w:rPr>
              <w:t xml:space="preserve">　</w:t>
            </w:r>
            <w:r w:rsidR="00763BBF" w:rsidRPr="00763BBF">
              <w:rPr>
                <w:vertAlign w:val="superscript"/>
              </w:rPr>
              <w:t>1</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4F642BEB" w14:textId="7091C5F1" w:rsidR="00CB1468" w:rsidRPr="00CF4B08" w:rsidRDefault="001549E4" w:rsidP="000E12DA">
            <w:pPr>
              <w:pStyle w:val="Tabletext"/>
              <w:keepNext/>
              <w:keepLines/>
              <w:jc w:val="center"/>
              <w:rPr>
                <w:b/>
                <w:bCs/>
              </w:rPr>
            </w:pPr>
            <w:r w:rsidRPr="001549E4">
              <w:rPr>
                <w:rFonts w:cs="Calibri"/>
                <w:color w:val="000000"/>
                <w:spacing w:val="75"/>
                <w:szCs w:val="20"/>
                <w:shd w:val="solid" w:color="000000" w:fill="000000"/>
                <w:fitText w:val="161" w:id="-693991409"/>
                <w14:textFill>
                  <w14:solidFill>
                    <w14:srgbClr w14:val="000000">
                      <w14:alpha w14:val="100000"/>
                    </w14:srgbClr>
                  </w14:solidFill>
                </w14:textFill>
              </w:rPr>
              <w:t>|</w:t>
            </w:r>
            <w:r w:rsidRPr="001549E4">
              <w:rPr>
                <w:rFonts w:cs="Calibri"/>
                <w:color w:val="000000"/>
                <w:spacing w:val="1"/>
                <w:szCs w:val="20"/>
                <w:shd w:val="solid" w:color="000000" w:fill="000000"/>
                <w:fitText w:val="161" w:id="-693991409"/>
                <w14:textFill>
                  <w14:solidFill>
                    <w14:srgbClr w14:val="000000">
                      <w14:alpha w14:val="100000"/>
                    </w14:srgbClr>
                  </w14:solidFill>
                </w14:textFill>
              </w:rPr>
              <w:t>|</w:t>
            </w:r>
            <w:r w:rsidR="00CB1468" w:rsidRPr="00CF4B08">
              <w:rPr>
                <w:rFonts w:cs="Calibri"/>
                <w:color w:val="000000"/>
                <w:szCs w:val="20"/>
              </w:rPr>
              <w:t>%</w:t>
            </w:r>
          </w:p>
        </w:tc>
      </w:tr>
      <w:tr w:rsidR="0075380E" w:rsidRPr="00CF4B08" w14:paraId="7BB52974" w14:textId="77777777" w:rsidTr="0075380E">
        <w:tc>
          <w:tcPr>
            <w:tcW w:w="554" w:type="dxa"/>
            <w:tcMar>
              <w:left w:w="20" w:type="dxa"/>
              <w:right w:w="20" w:type="dxa"/>
            </w:tcMar>
            <w:vAlign w:val="center"/>
          </w:tcPr>
          <w:p w14:paraId="7C70EA0D" w14:textId="346B8709" w:rsidR="00CB1468" w:rsidRPr="00CF4B08" w:rsidRDefault="00CB1468" w:rsidP="000E12DA">
            <w:pPr>
              <w:pStyle w:val="Tabletext"/>
              <w:keepNext/>
              <w:keepLines/>
              <w:rPr>
                <w:b/>
                <w:bCs/>
              </w:rPr>
            </w:pPr>
            <w:r w:rsidRPr="00CF4B08">
              <w:t>4</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12CFEEC9" w14:textId="1C28320C" w:rsidR="00CB1468" w:rsidRPr="00CF4B08" w:rsidRDefault="00CB1468" w:rsidP="000E12DA">
            <w:pPr>
              <w:pStyle w:val="Tabletext"/>
              <w:keepNext/>
              <w:keepLines/>
              <w:rPr>
                <w:b/>
                <w:bCs/>
              </w:rPr>
            </w:pPr>
            <w:r w:rsidRPr="00CF4B08">
              <w:rPr>
                <w:rFonts w:cs="Calibri"/>
                <w:color w:val="000000"/>
                <w:szCs w:val="20"/>
              </w:rPr>
              <w:t>Increased discontinuation rate from updated PEDFIC 2 trial (from 3.53% to 12.01% per cycle)</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4E084473" w14:textId="05AA52DB" w:rsidR="00CB1468" w:rsidRPr="009003AD" w:rsidRDefault="001549E4" w:rsidP="000E12DA">
            <w:pPr>
              <w:pStyle w:val="Tabletext"/>
              <w:keepNext/>
              <w:keepLines/>
              <w:jc w:val="center"/>
              <w:rPr>
                <w:b/>
                <w:bCs/>
                <w:highlight w:val="darkGray"/>
              </w:rPr>
            </w:pPr>
            <w:r w:rsidRPr="00DA2049">
              <w:rPr>
                <w:rFonts w:cs="Calibri" w:hint="eastAsia"/>
                <w:color w:val="000000"/>
                <w:w w:val="15"/>
                <w:szCs w:val="20"/>
                <w:shd w:val="solid" w:color="000000" w:fill="000000"/>
                <w:fitText w:val="23" w:id="-693991408"/>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08"/>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08"/>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2E36C8CB" w14:textId="2FE36476" w:rsidR="00CB1468" w:rsidRPr="00CF4B08" w:rsidRDefault="00CB1468" w:rsidP="000E12DA">
            <w:pPr>
              <w:pStyle w:val="Tabletext"/>
              <w:keepNext/>
              <w:keepLines/>
              <w:jc w:val="center"/>
              <w:rPr>
                <w:b/>
                <w:bCs/>
              </w:rPr>
            </w:pPr>
            <w:r w:rsidRPr="00CF4B08">
              <w:rPr>
                <w:rFonts w:cs="Calibri"/>
                <w:color w:val="000000"/>
                <w:szCs w:val="20"/>
              </w:rPr>
              <w:t>1.66</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6C1E57F" w14:textId="5C6B33AB" w:rsidR="00CB1468" w:rsidRPr="009003AD" w:rsidRDefault="001549E4" w:rsidP="000E12DA">
            <w:pPr>
              <w:pStyle w:val="Tabletext"/>
              <w:keepNext/>
              <w:keepLines/>
              <w:jc w:val="center"/>
              <w:rPr>
                <w:b/>
                <w:bCs/>
                <w:highlight w:val="darkGray"/>
              </w:rPr>
            </w:pPr>
            <w:r w:rsidRPr="001549E4">
              <w:rPr>
                <w:rFonts w:cs="Calibri" w:hint="eastAsia"/>
                <w:color w:val="000000"/>
                <w:w w:val="15"/>
                <w:szCs w:val="20"/>
                <w:shd w:val="solid" w:color="000000" w:fill="000000"/>
                <w:fitText w:val="57" w:id="-693991424"/>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24"/>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24"/>
                <w14:textFill>
                  <w14:solidFill>
                    <w14:srgbClr w14:val="000000">
                      <w14:alpha w14:val="100000"/>
                    </w14:srgbClr>
                  </w14:solidFill>
                </w14:textFill>
              </w:rPr>
              <w:t xml:space="preserve">　</w:t>
            </w:r>
            <w:r w:rsidR="00B57589" w:rsidRPr="00B57589">
              <w:rPr>
                <w:rFonts w:cs="Calibri"/>
                <w:color w:val="000000"/>
                <w:szCs w:val="20"/>
                <w:vertAlign w:val="superscript"/>
              </w:rPr>
              <w:t>2</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578DF321" w14:textId="5DF79F2F" w:rsidR="00CB1468" w:rsidRPr="00CF4B08" w:rsidRDefault="00CB1468" w:rsidP="000E12DA">
            <w:pPr>
              <w:pStyle w:val="Tabletext"/>
              <w:keepNext/>
              <w:keepLines/>
              <w:jc w:val="center"/>
              <w:rPr>
                <w:b/>
                <w:bCs/>
              </w:rPr>
            </w:pPr>
            <w:r w:rsidRPr="00CF4B08">
              <w:rPr>
                <w:rFonts w:cs="Calibri"/>
                <w:color w:val="000000"/>
                <w:szCs w:val="20"/>
              </w:rPr>
              <w:t>-</w:t>
            </w:r>
            <w:r w:rsidR="001549E4" w:rsidRPr="006F5FAE">
              <w:rPr>
                <w:rFonts w:cs="Calibri"/>
                <w:color w:val="000000"/>
                <w:spacing w:val="147"/>
                <w:w w:val="57"/>
                <w:szCs w:val="20"/>
                <w:shd w:val="solid" w:color="000000" w:fill="000000"/>
                <w:fitText w:val="196" w:id="-693991423"/>
                <w14:textFill>
                  <w14:solidFill>
                    <w14:srgbClr w14:val="000000">
                      <w14:alpha w14:val="100000"/>
                    </w14:srgbClr>
                  </w14:solidFill>
                </w14:textFill>
              </w:rPr>
              <w:t>|</w:t>
            </w:r>
            <w:r w:rsidR="001549E4" w:rsidRPr="006F5FAE">
              <w:rPr>
                <w:rFonts w:cs="Calibri"/>
                <w:color w:val="000000"/>
                <w:spacing w:val="1"/>
                <w:w w:val="57"/>
                <w:szCs w:val="20"/>
                <w:shd w:val="solid" w:color="000000" w:fill="000000"/>
                <w:fitText w:val="196" w:id="-693991423"/>
                <w14:textFill>
                  <w14:solidFill>
                    <w14:srgbClr w14:val="000000">
                      <w14:alpha w14:val="100000"/>
                    </w14:srgbClr>
                  </w14:solidFill>
                </w14:textFill>
              </w:rPr>
              <w:t>|</w:t>
            </w:r>
            <w:r w:rsidRPr="00CF4B08">
              <w:rPr>
                <w:rFonts w:cs="Calibri"/>
                <w:color w:val="000000"/>
                <w:szCs w:val="20"/>
              </w:rPr>
              <w:t>%</w:t>
            </w:r>
          </w:p>
        </w:tc>
      </w:tr>
      <w:tr w:rsidR="0075380E" w:rsidRPr="00CF4B08" w14:paraId="3EF42607" w14:textId="77777777" w:rsidTr="0075380E">
        <w:tc>
          <w:tcPr>
            <w:tcW w:w="554" w:type="dxa"/>
            <w:tcMar>
              <w:left w:w="20" w:type="dxa"/>
              <w:right w:w="20" w:type="dxa"/>
            </w:tcMar>
            <w:vAlign w:val="center"/>
          </w:tcPr>
          <w:p w14:paraId="5E9A7EAC" w14:textId="46F1F0FD" w:rsidR="00CB1468" w:rsidRPr="00CF4B08" w:rsidRDefault="00CB1468" w:rsidP="000E12DA">
            <w:pPr>
              <w:pStyle w:val="Tabletext"/>
              <w:keepNext/>
              <w:keepLines/>
              <w:rPr>
                <w:b/>
                <w:bCs/>
              </w:rPr>
            </w:pPr>
            <w:r w:rsidRPr="00CF4B08">
              <w:t>5</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67FA7F1F" w14:textId="4AB7001D" w:rsidR="00CB1468" w:rsidRPr="00CF4B08" w:rsidRDefault="00CB1468" w:rsidP="000E12DA">
            <w:pPr>
              <w:pStyle w:val="Tabletext"/>
              <w:keepNext/>
              <w:keepLines/>
              <w:rPr>
                <w:b/>
                <w:bCs/>
              </w:rPr>
            </w:pPr>
            <w:r w:rsidRPr="00CF4B08">
              <w:rPr>
                <w:rFonts w:cs="Calibri"/>
                <w:color w:val="000000"/>
                <w:szCs w:val="20"/>
              </w:rPr>
              <w:t>Inclusion of subsequent PEBD for odevixibat treatment group (change from 0% to 1.16% per cycle)</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FEBC505" w14:textId="29673763" w:rsidR="00CB1468" w:rsidRPr="009003AD" w:rsidRDefault="001549E4" w:rsidP="000E12DA">
            <w:pPr>
              <w:pStyle w:val="Tabletext"/>
              <w:keepNext/>
              <w:keepLines/>
              <w:jc w:val="center"/>
              <w:rPr>
                <w:b/>
                <w:bCs/>
                <w:highlight w:val="darkGray"/>
              </w:rPr>
            </w:pPr>
            <w:r w:rsidRPr="00DA2049">
              <w:rPr>
                <w:rFonts w:cs="Calibri" w:hint="eastAsia"/>
                <w:color w:val="000000"/>
                <w:w w:val="15"/>
                <w:szCs w:val="20"/>
                <w:shd w:val="solid" w:color="000000" w:fill="000000"/>
                <w:fitText w:val="23" w:id="-693991422"/>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22"/>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22"/>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62F214D9" w14:textId="4110EE95" w:rsidR="00CB1468" w:rsidRPr="00CF4B08" w:rsidRDefault="00CB1468" w:rsidP="000E12DA">
            <w:pPr>
              <w:pStyle w:val="Tabletext"/>
              <w:keepNext/>
              <w:keepLines/>
              <w:jc w:val="center"/>
              <w:rPr>
                <w:b/>
                <w:bCs/>
              </w:rPr>
            </w:pPr>
            <w:r w:rsidRPr="00CF4B08">
              <w:rPr>
                <w:rFonts w:cs="Calibri"/>
                <w:color w:val="000000"/>
                <w:szCs w:val="20"/>
              </w:rPr>
              <w:t>1.45</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7C16C655" w14:textId="5D706884" w:rsidR="00CB1468" w:rsidRPr="009003AD" w:rsidRDefault="001549E4" w:rsidP="000E12DA">
            <w:pPr>
              <w:pStyle w:val="Tabletext"/>
              <w:keepNext/>
              <w:keepLines/>
              <w:jc w:val="center"/>
              <w:rPr>
                <w:b/>
                <w:bCs/>
                <w:highlight w:val="darkGray"/>
              </w:rPr>
            </w:pPr>
            <w:r w:rsidRPr="001549E4">
              <w:rPr>
                <w:rFonts w:cs="Calibri" w:hint="eastAsia"/>
                <w:color w:val="000000"/>
                <w:w w:val="15"/>
                <w:szCs w:val="20"/>
                <w:shd w:val="solid" w:color="000000" w:fill="000000"/>
                <w:fitText w:val="57" w:id="-693991421"/>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21"/>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21"/>
                <w14:textFill>
                  <w14:solidFill>
                    <w14:srgbClr w14:val="000000">
                      <w14:alpha w14:val="100000"/>
                    </w14:srgbClr>
                  </w14:solidFill>
                </w14:textFill>
              </w:rPr>
              <w:t xml:space="preserve">　</w:t>
            </w:r>
            <w:r w:rsidR="00D74C8B" w:rsidRPr="008A7664">
              <w:rPr>
                <w:rFonts w:cs="Calibri"/>
                <w:color w:val="000000"/>
                <w:szCs w:val="20"/>
                <w:vertAlign w:val="superscript"/>
              </w:rPr>
              <w:t>3</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10C3B49A" w14:textId="22544ADB" w:rsidR="00CB1468" w:rsidRPr="00CF4B08" w:rsidRDefault="00CB1468" w:rsidP="000E12DA">
            <w:pPr>
              <w:pStyle w:val="Tabletext"/>
              <w:keepNext/>
              <w:keepLines/>
              <w:jc w:val="center"/>
              <w:rPr>
                <w:b/>
                <w:bCs/>
              </w:rPr>
            </w:pPr>
            <w:r w:rsidRPr="00CF4B08">
              <w:rPr>
                <w:rFonts w:cs="Calibri"/>
                <w:color w:val="000000"/>
                <w:szCs w:val="20"/>
              </w:rPr>
              <w:t>-</w:t>
            </w:r>
            <w:r w:rsidR="001549E4" w:rsidRPr="006F5FAE">
              <w:rPr>
                <w:rFonts w:cs="Calibri"/>
                <w:color w:val="000000"/>
                <w:spacing w:val="147"/>
                <w:w w:val="57"/>
                <w:szCs w:val="20"/>
                <w:shd w:val="solid" w:color="000000" w:fill="000000"/>
                <w:fitText w:val="196" w:id="-693991420"/>
                <w14:textFill>
                  <w14:solidFill>
                    <w14:srgbClr w14:val="000000">
                      <w14:alpha w14:val="100000"/>
                    </w14:srgbClr>
                  </w14:solidFill>
                </w14:textFill>
              </w:rPr>
              <w:t>|</w:t>
            </w:r>
            <w:r w:rsidR="001549E4" w:rsidRPr="006F5FAE">
              <w:rPr>
                <w:rFonts w:cs="Calibri"/>
                <w:color w:val="000000"/>
                <w:spacing w:val="1"/>
                <w:w w:val="57"/>
                <w:szCs w:val="20"/>
                <w:shd w:val="solid" w:color="000000" w:fill="000000"/>
                <w:fitText w:val="196" w:id="-693991420"/>
                <w14:textFill>
                  <w14:solidFill>
                    <w14:srgbClr w14:val="000000">
                      <w14:alpha w14:val="100000"/>
                    </w14:srgbClr>
                  </w14:solidFill>
                </w14:textFill>
              </w:rPr>
              <w:t>|</w:t>
            </w:r>
            <w:r w:rsidRPr="00CF4B08">
              <w:rPr>
                <w:rFonts w:cs="Calibri"/>
                <w:color w:val="000000"/>
                <w:szCs w:val="20"/>
              </w:rPr>
              <w:t>%</w:t>
            </w:r>
          </w:p>
        </w:tc>
      </w:tr>
      <w:tr w:rsidR="0075380E" w:rsidRPr="00CF4B08" w14:paraId="3934EA13" w14:textId="77777777" w:rsidTr="0075380E">
        <w:tc>
          <w:tcPr>
            <w:tcW w:w="554" w:type="dxa"/>
            <w:tcMar>
              <w:left w:w="20" w:type="dxa"/>
              <w:right w:w="20" w:type="dxa"/>
            </w:tcMar>
            <w:vAlign w:val="center"/>
          </w:tcPr>
          <w:p w14:paraId="37ACBC56" w14:textId="7A25BD50" w:rsidR="00CB1468" w:rsidRPr="00CF4B08" w:rsidRDefault="00CB1468" w:rsidP="000E12DA">
            <w:pPr>
              <w:pStyle w:val="Tabletext"/>
              <w:keepNext/>
              <w:keepLines/>
              <w:rPr>
                <w:b/>
                <w:bCs/>
              </w:rPr>
            </w:pPr>
            <w:r w:rsidRPr="00CF4B08">
              <w:t>6</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78C1FEE3" w14:textId="1E0A1D67" w:rsidR="00CB1468" w:rsidRPr="00CF4B08" w:rsidRDefault="00CB1468" w:rsidP="000E12DA">
            <w:pPr>
              <w:pStyle w:val="Tabletext"/>
              <w:keepNext/>
              <w:keepLines/>
              <w:rPr>
                <w:b/>
                <w:bCs/>
              </w:rPr>
            </w:pPr>
            <w:r w:rsidRPr="00CF4B08">
              <w:rPr>
                <w:rFonts w:cs="Calibri"/>
                <w:color w:val="000000"/>
                <w:szCs w:val="20"/>
              </w:rPr>
              <w:t>Revised price (from $</w:t>
            </w:r>
            <w:r w:rsidR="001549E4" w:rsidRPr="001549E4">
              <w:rPr>
                <w:rFonts w:cs="Calibri"/>
                <w:color w:val="000000"/>
                <w:spacing w:val="50"/>
                <w:szCs w:val="20"/>
                <w:shd w:val="solid" w:color="000000" w:fill="000000"/>
                <w:fitText w:val="322" w:id="-693991419"/>
                <w14:textFill>
                  <w14:solidFill>
                    <w14:srgbClr w14:val="000000">
                      <w14:alpha w14:val="100000"/>
                    </w14:srgbClr>
                  </w14:solidFill>
                </w14:textFill>
              </w:rPr>
              <w:t>|||</w:t>
            </w:r>
            <w:r w:rsidR="001549E4" w:rsidRPr="001549E4">
              <w:rPr>
                <w:rFonts w:cs="Calibri"/>
                <w:color w:val="000000"/>
                <w:spacing w:val="2"/>
                <w:szCs w:val="20"/>
                <w:shd w:val="solid" w:color="000000" w:fill="000000"/>
                <w:fitText w:val="322" w:id="-693991419"/>
                <w14:textFill>
                  <w14:solidFill>
                    <w14:srgbClr w14:val="000000">
                      <w14:alpha w14:val="100000"/>
                    </w14:srgbClr>
                  </w14:solidFill>
                </w14:textFill>
              </w:rPr>
              <w:t>|</w:t>
            </w:r>
            <w:r w:rsidRPr="00CF4B08">
              <w:rPr>
                <w:rFonts w:cs="Calibri"/>
                <w:color w:val="000000"/>
                <w:szCs w:val="20"/>
              </w:rPr>
              <w:t>/mcg to $</w:t>
            </w:r>
            <w:r w:rsidR="001549E4" w:rsidRPr="006F5FAE">
              <w:rPr>
                <w:rFonts w:cs="Calibri"/>
                <w:color w:val="000000"/>
                <w:spacing w:val="63"/>
                <w:w w:val="84"/>
                <w:szCs w:val="20"/>
                <w:shd w:val="solid" w:color="000000" w:fill="000000"/>
                <w:fitText w:val="334" w:id="-693991418"/>
                <w14:textFill>
                  <w14:solidFill>
                    <w14:srgbClr w14:val="000000">
                      <w14:alpha w14:val="100000"/>
                    </w14:srgbClr>
                  </w14:solidFill>
                </w14:textFill>
              </w:rPr>
              <w:t>|||</w:t>
            </w:r>
            <w:r w:rsidR="001549E4" w:rsidRPr="006F5FAE">
              <w:rPr>
                <w:rFonts w:cs="Calibri"/>
                <w:color w:val="000000"/>
                <w:spacing w:val="3"/>
                <w:w w:val="84"/>
                <w:szCs w:val="20"/>
                <w:shd w:val="solid" w:color="000000" w:fill="000000"/>
                <w:fitText w:val="334" w:id="-693991418"/>
                <w14:textFill>
                  <w14:solidFill>
                    <w14:srgbClr w14:val="000000">
                      <w14:alpha w14:val="100000"/>
                    </w14:srgbClr>
                  </w14:solidFill>
                </w14:textFill>
              </w:rPr>
              <w:t>|</w:t>
            </w:r>
            <w:r w:rsidRPr="00CF4B08">
              <w:rPr>
                <w:rFonts w:cs="Calibri"/>
                <w:color w:val="000000"/>
                <w:szCs w:val="20"/>
              </w:rPr>
              <w:t xml:space="preserve">/mcg) </w:t>
            </w:r>
            <w:r w:rsidRPr="00CF4B08">
              <w:rPr>
                <w:rFonts w:cs="Calibri"/>
                <w:color w:val="000000"/>
                <w:szCs w:val="20"/>
                <w:vertAlign w:val="superscript"/>
              </w:rPr>
              <w:t>a</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455C4DE4" w14:textId="67245195" w:rsidR="00CB1468" w:rsidRPr="009003AD" w:rsidRDefault="001549E4" w:rsidP="000E12DA">
            <w:pPr>
              <w:pStyle w:val="Tabletext"/>
              <w:keepNext/>
              <w:keepLines/>
              <w:jc w:val="center"/>
              <w:rPr>
                <w:b/>
                <w:bCs/>
                <w:highlight w:val="darkGray"/>
              </w:rPr>
            </w:pPr>
            <w:r w:rsidRPr="00DA2049">
              <w:rPr>
                <w:rFonts w:cs="Calibri" w:hint="eastAsia"/>
                <w:color w:val="000000"/>
                <w:w w:val="15"/>
                <w:szCs w:val="20"/>
                <w:shd w:val="solid" w:color="000000" w:fill="000000"/>
                <w:fitText w:val="23" w:id="-693991417"/>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17"/>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17"/>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124EE63" w14:textId="7A69EC8E" w:rsidR="00CB1468" w:rsidRPr="00CF4B08" w:rsidRDefault="00CB1468" w:rsidP="000E12DA">
            <w:pPr>
              <w:pStyle w:val="Tabletext"/>
              <w:keepNext/>
              <w:keepLines/>
              <w:jc w:val="center"/>
              <w:rPr>
                <w:b/>
                <w:bCs/>
              </w:rPr>
            </w:pPr>
            <w:r w:rsidRPr="00CF4B08">
              <w:rPr>
                <w:rFonts w:cs="Calibri"/>
                <w:color w:val="000000"/>
                <w:szCs w:val="20"/>
              </w:rPr>
              <w:t>1.45</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0D9F52E" w14:textId="67176403" w:rsidR="00CB1468" w:rsidRPr="009003AD" w:rsidRDefault="001549E4" w:rsidP="000E12DA">
            <w:pPr>
              <w:pStyle w:val="Tabletext"/>
              <w:keepNext/>
              <w:keepLines/>
              <w:jc w:val="center"/>
              <w:rPr>
                <w:b/>
                <w:bCs/>
                <w:highlight w:val="darkGray"/>
              </w:rPr>
            </w:pPr>
            <w:r w:rsidRPr="001549E4">
              <w:rPr>
                <w:rFonts w:cs="Calibri" w:hint="eastAsia"/>
                <w:color w:val="000000"/>
                <w:w w:val="15"/>
                <w:szCs w:val="20"/>
                <w:shd w:val="solid" w:color="000000" w:fill="000000"/>
                <w:fitText w:val="57" w:id="-693991416"/>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16"/>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16"/>
                <w14:textFill>
                  <w14:solidFill>
                    <w14:srgbClr w14:val="000000">
                      <w14:alpha w14:val="100000"/>
                    </w14:srgbClr>
                  </w14:solidFill>
                </w14:textFill>
              </w:rPr>
              <w:t xml:space="preserve">　</w:t>
            </w:r>
            <w:r w:rsidR="008A7664" w:rsidRPr="008A7664">
              <w:rPr>
                <w:rFonts w:cs="Calibri"/>
                <w:color w:val="000000"/>
                <w:szCs w:val="20"/>
                <w:vertAlign w:val="superscript"/>
              </w:rPr>
              <w:t>4</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449F9571" w14:textId="0CE46708" w:rsidR="00CB1468" w:rsidRPr="00CF4B08" w:rsidRDefault="00CB1468" w:rsidP="000E12DA">
            <w:pPr>
              <w:pStyle w:val="Tabletext"/>
              <w:keepNext/>
              <w:keepLines/>
              <w:jc w:val="center"/>
              <w:rPr>
                <w:b/>
                <w:bCs/>
              </w:rPr>
            </w:pPr>
            <w:r w:rsidRPr="00CF4B08">
              <w:rPr>
                <w:rFonts w:cs="Calibri"/>
                <w:color w:val="000000"/>
                <w:szCs w:val="20"/>
              </w:rPr>
              <w:t>-</w:t>
            </w:r>
            <w:r w:rsidR="001549E4" w:rsidRPr="006F5FAE">
              <w:rPr>
                <w:rFonts w:cs="Calibri"/>
                <w:color w:val="000000"/>
                <w:spacing w:val="147"/>
                <w:w w:val="57"/>
                <w:szCs w:val="20"/>
                <w:shd w:val="solid" w:color="000000" w:fill="000000"/>
                <w:fitText w:val="196" w:id="-693991415"/>
                <w14:textFill>
                  <w14:solidFill>
                    <w14:srgbClr w14:val="000000">
                      <w14:alpha w14:val="100000"/>
                    </w14:srgbClr>
                  </w14:solidFill>
                </w14:textFill>
              </w:rPr>
              <w:t>|</w:t>
            </w:r>
            <w:r w:rsidR="001549E4" w:rsidRPr="006F5FAE">
              <w:rPr>
                <w:rFonts w:cs="Calibri"/>
                <w:color w:val="000000"/>
                <w:spacing w:val="1"/>
                <w:w w:val="57"/>
                <w:szCs w:val="20"/>
                <w:shd w:val="solid" w:color="000000" w:fill="000000"/>
                <w:fitText w:val="196" w:id="-693991415"/>
                <w14:textFill>
                  <w14:solidFill>
                    <w14:srgbClr w14:val="000000">
                      <w14:alpha w14:val="100000"/>
                    </w14:srgbClr>
                  </w14:solidFill>
                </w14:textFill>
              </w:rPr>
              <w:t>|</w:t>
            </w:r>
            <w:r w:rsidRPr="00CF4B08">
              <w:rPr>
                <w:rFonts w:cs="Calibri"/>
                <w:color w:val="000000"/>
                <w:szCs w:val="20"/>
              </w:rPr>
              <w:t>%</w:t>
            </w:r>
          </w:p>
        </w:tc>
      </w:tr>
      <w:tr w:rsidR="0075380E" w:rsidRPr="00CF4B08" w14:paraId="445682D8" w14:textId="77777777" w:rsidTr="0075380E">
        <w:tc>
          <w:tcPr>
            <w:tcW w:w="554" w:type="dxa"/>
            <w:tcMar>
              <w:left w:w="20" w:type="dxa"/>
              <w:right w:w="20" w:type="dxa"/>
            </w:tcMar>
            <w:vAlign w:val="center"/>
          </w:tcPr>
          <w:p w14:paraId="70CAF995" w14:textId="30E759D7" w:rsidR="00CB1468" w:rsidRPr="00CF4B08" w:rsidRDefault="00CB1468" w:rsidP="00CB1468">
            <w:pPr>
              <w:pStyle w:val="Tabletext"/>
              <w:keepLines/>
              <w:rPr>
                <w:b/>
                <w:bCs/>
              </w:rPr>
            </w:pPr>
            <w:r w:rsidRPr="00CF4B08">
              <w:t>7a</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35D5B0FB" w14:textId="777951D1" w:rsidR="00CB1468" w:rsidRPr="00CF4B08" w:rsidRDefault="00CB1468" w:rsidP="00CB1468">
            <w:pPr>
              <w:pStyle w:val="Tabletext"/>
              <w:keepLines/>
              <w:rPr>
                <w:b/>
                <w:bCs/>
              </w:rPr>
            </w:pPr>
            <w:r w:rsidRPr="00CF4B08">
              <w:rPr>
                <w:rFonts w:cs="Calibri"/>
                <w:color w:val="000000"/>
                <w:szCs w:val="20"/>
              </w:rPr>
              <w:t>Remove costs associated with 120</w:t>
            </w:r>
            <w:r w:rsidR="0017081E">
              <w:rPr>
                <w:rFonts w:cs="Calibri"/>
                <w:color w:val="000000"/>
                <w:szCs w:val="20"/>
              </w:rPr>
              <w:t> mcg</w:t>
            </w:r>
            <w:r w:rsidRPr="00CF4B08">
              <w:rPr>
                <w:rFonts w:cs="Calibri"/>
                <w:color w:val="000000"/>
                <w:szCs w:val="20"/>
              </w:rPr>
              <w:t xml:space="preserve">/kg/day dose </w:t>
            </w:r>
            <w:r w:rsidRPr="00CF4B08">
              <w:rPr>
                <w:rFonts w:cs="Calibri"/>
                <w:color w:val="000000"/>
                <w:szCs w:val="20"/>
                <w:vertAlign w:val="superscript"/>
              </w:rPr>
              <w:t>b</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61F35DBB" w14:textId="0CF7CC24" w:rsidR="00CB1468" w:rsidRPr="009003AD" w:rsidRDefault="001549E4" w:rsidP="00CB1468">
            <w:pPr>
              <w:pStyle w:val="Tabletext"/>
              <w:keepLines/>
              <w:jc w:val="center"/>
              <w:rPr>
                <w:b/>
                <w:bCs/>
                <w:highlight w:val="darkGray"/>
              </w:rPr>
            </w:pPr>
            <w:r w:rsidRPr="00DA2049">
              <w:rPr>
                <w:rFonts w:cs="Calibri" w:hint="eastAsia"/>
                <w:color w:val="000000"/>
                <w:w w:val="15"/>
                <w:szCs w:val="20"/>
                <w:shd w:val="solid" w:color="000000" w:fill="000000"/>
                <w:fitText w:val="23" w:id="-693991414"/>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14"/>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14"/>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505FB2E3" w14:textId="0178A923" w:rsidR="00CB1468" w:rsidRPr="00CF4B08" w:rsidRDefault="00CB1468" w:rsidP="00CB1468">
            <w:pPr>
              <w:pStyle w:val="Tabletext"/>
              <w:keepLines/>
              <w:jc w:val="center"/>
              <w:rPr>
                <w:b/>
                <w:bCs/>
              </w:rPr>
            </w:pPr>
            <w:r w:rsidRPr="00CF4B08">
              <w:rPr>
                <w:rFonts w:cs="Calibri"/>
                <w:color w:val="000000"/>
                <w:szCs w:val="20"/>
              </w:rPr>
              <w:t>1.45</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025E9426" w14:textId="243F7CBB" w:rsidR="00CB1468" w:rsidRPr="009003AD" w:rsidRDefault="001549E4" w:rsidP="00CB1468">
            <w:pPr>
              <w:pStyle w:val="Tabletext"/>
              <w:keepLines/>
              <w:jc w:val="center"/>
              <w:rPr>
                <w:b/>
                <w:bCs/>
                <w:highlight w:val="darkGray"/>
              </w:rPr>
            </w:pPr>
            <w:r w:rsidRPr="001549E4">
              <w:rPr>
                <w:rFonts w:cs="Calibri" w:hint="eastAsia"/>
                <w:color w:val="000000"/>
                <w:w w:val="15"/>
                <w:szCs w:val="20"/>
                <w:shd w:val="solid" w:color="000000" w:fill="000000"/>
                <w:fitText w:val="57" w:id="-693991413"/>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13"/>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13"/>
                <w14:textFill>
                  <w14:solidFill>
                    <w14:srgbClr w14:val="000000">
                      <w14:alpha w14:val="100000"/>
                    </w14:srgbClr>
                  </w14:solidFill>
                </w14:textFill>
              </w:rPr>
              <w:t xml:space="preserve">　</w:t>
            </w:r>
            <w:r w:rsidR="00D20BFB" w:rsidRPr="00D20BFB">
              <w:rPr>
                <w:rFonts w:cs="Calibri"/>
                <w:color w:val="000000"/>
                <w:szCs w:val="20"/>
                <w:vertAlign w:val="superscript"/>
              </w:rPr>
              <w:t>5</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01661594" w14:textId="395E26BE" w:rsidR="00CB1468" w:rsidRPr="00CF4B08" w:rsidRDefault="00CB1468" w:rsidP="00CB1468">
            <w:pPr>
              <w:pStyle w:val="Tabletext"/>
              <w:keepLines/>
              <w:jc w:val="center"/>
              <w:rPr>
                <w:b/>
                <w:bCs/>
              </w:rPr>
            </w:pPr>
            <w:r w:rsidRPr="00CF4B08">
              <w:rPr>
                <w:rFonts w:cs="Calibri"/>
                <w:color w:val="000000"/>
                <w:szCs w:val="20"/>
              </w:rPr>
              <w:t>-</w:t>
            </w:r>
            <w:r w:rsidR="001549E4" w:rsidRPr="001549E4">
              <w:rPr>
                <w:rFonts w:cs="Calibri"/>
                <w:color w:val="000000"/>
                <w:spacing w:val="110"/>
                <w:szCs w:val="20"/>
                <w:shd w:val="solid" w:color="000000" w:fill="000000"/>
                <w:fitText w:val="196" w:id="-693991412"/>
                <w14:textFill>
                  <w14:solidFill>
                    <w14:srgbClr w14:val="000000">
                      <w14:alpha w14:val="100000"/>
                    </w14:srgbClr>
                  </w14:solidFill>
                </w14:textFill>
              </w:rPr>
              <w:t>|</w:t>
            </w:r>
            <w:r w:rsidR="001549E4" w:rsidRPr="001549E4">
              <w:rPr>
                <w:rFonts w:cs="Calibri"/>
                <w:color w:val="000000"/>
                <w:spacing w:val="1"/>
                <w:szCs w:val="20"/>
                <w:shd w:val="solid" w:color="000000" w:fill="000000"/>
                <w:fitText w:val="196" w:id="-693991412"/>
                <w14:textFill>
                  <w14:solidFill>
                    <w14:srgbClr w14:val="000000">
                      <w14:alpha w14:val="100000"/>
                    </w14:srgbClr>
                  </w14:solidFill>
                </w14:textFill>
              </w:rPr>
              <w:t>|</w:t>
            </w:r>
            <w:r w:rsidRPr="00CF4B08">
              <w:rPr>
                <w:rFonts w:cs="Calibri"/>
                <w:color w:val="000000"/>
                <w:szCs w:val="20"/>
              </w:rPr>
              <w:t>%</w:t>
            </w:r>
          </w:p>
        </w:tc>
      </w:tr>
      <w:tr w:rsidR="0075380E" w:rsidRPr="00CF4B08" w14:paraId="71EC1389" w14:textId="77777777" w:rsidTr="0075380E">
        <w:tc>
          <w:tcPr>
            <w:tcW w:w="554" w:type="dxa"/>
            <w:tcMar>
              <w:left w:w="20" w:type="dxa"/>
              <w:right w:w="20" w:type="dxa"/>
            </w:tcMar>
            <w:vAlign w:val="center"/>
          </w:tcPr>
          <w:p w14:paraId="09CA2198" w14:textId="460B350C" w:rsidR="00CB1468" w:rsidRPr="00CF4B08" w:rsidRDefault="00CB1468" w:rsidP="00CB1468">
            <w:pPr>
              <w:pStyle w:val="Tabletext"/>
              <w:keepLines/>
              <w:rPr>
                <w:b/>
                <w:bCs/>
              </w:rPr>
            </w:pPr>
            <w:r w:rsidRPr="00CF4B08">
              <w:t>7b</w:t>
            </w:r>
          </w:p>
        </w:tc>
        <w:tc>
          <w:tcPr>
            <w:tcW w:w="4241" w:type="dxa"/>
            <w:tcBorders>
              <w:top w:val="nil"/>
              <w:left w:val="nil"/>
              <w:bottom w:val="single" w:sz="8" w:space="0" w:color="auto"/>
              <w:right w:val="single" w:sz="8" w:space="0" w:color="auto"/>
            </w:tcBorders>
            <w:shd w:val="clear" w:color="auto" w:fill="auto"/>
            <w:tcMar>
              <w:left w:w="20" w:type="dxa"/>
              <w:right w:w="20" w:type="dxa"/>
            </w:tcMar>
            <w:vAlign w:val="center"/>
          </w:tcPr>
          <w:p w14:paraId="2A7788C8" w14:textId="526C7510" w:rsidR="00CB1468" w:rsidRPr="00CF4B08" w:rsidRDefault="00DB2937" w:rsidP="00CB1468">
            <w:pPr>
              <w:pStyle w:val="Tabletext"/>
              <w:keepLines/>
              <w:rPr>
                <w:b/>
                <w:bCs/>
              </w:rPr>
            </w:pPr>
            <w:r w:rsidRPr="00CF4B08">
              <w:rPr>
                <w:rFonts w:cs="Calibri"/>
                <w:color w:val="000000"/>
                <w:szCs w:val="20"/>
              </w:rPr>
              <w:t>‘</w:t>
            </w:r>
            <w:r w:rsidR="001549E4" w:rsidRPr="001549E4">
              <w:rPr>
                <w:rFonts w:cs="Calibri"/>
                <w:color w:val="000000"/>
                <w:spacing w:val="50"/>
                <w:szCs w:val="20"/>
                <w:shd w:val="solid" w:color="000000" w:fill="000000"/>
                <w:fitText w:val="323" w:id="-693991411"/>
                <w14:textFill>
                  <w14:solidFill>
                    <w14:srgbClr w14:val="000000">
                      <w14:alpha w14:val="100000"/>
                    </w14:srgbClr>
                  </w14:solidFill>
                </w14:textFill>
              </w:rPr>
              <w:t>|||</w:t>
            </w:r>
            <w:r w:rsidR="001549E4" w:rsidRPr="001549E4">
              <w:rPr>
                <w:rFonts w:cs="Calibri"/>
                <w:color w:val="000000"/>
                <w:spacing w:val="3"/>
                <w:szCs w:val="20"/>
                <w:shd w:val="solid" w:color="000000" w:fill="000000"/>
                <w:fitText w:val="323" w:id="-693991411"/>
                <w14:textFill>
                  <w14:solidFill>
                    <w14:srgbClr w14:val="000000">
                      <w14:alpha w14:val="100000"/>
                    </w14:srgbClr>
                  </w14:solidFill>
                </w14:textFill>
              </w:rPr>
              <w:t>|</w:t>
            </w:r>
            <w:r w:rsidR="00BB1289" w:rsidRPr="00BB1289">
              <w:rPr>
                <w:rFonts w:cs="Calibri"/>
                <w:color w:val="000000"/>
                <w:szCs w:val="20"/>
              </w:rPr>
              <w:t xml:space="preserve"> </w:t>
            </w:r>
            <w:r w:rsidR="001549E4" w:rsidRPr="001549E4">
              <w:rPr>
                <w:rFonts w:cs="Calibri"/>
                <w:color w:val="000000"/>
                <w:spacing w:val="50"/>
                <w:szCs w:val="20"/>
                <w:shd w:val="solid" w:color="000000" w:fill="000000"/>
                <w:fitText w:val="322" w:id="-693991410"/>
                <w14:textFill>
                  <w14:solidFill>
                    <w14:srgbClr w14:val="000000">
                      <w14:alpha w14:val="100000"/>
                    </w14:srgbClr>
                  </w14:solidFill>
                </w14:textFill>
              </w:rPr>
              <w:t>|||</w:t>
            </w:r>
            <w:r w:rsidR="001549E4" w:rsidRPr="001549E4">
              <w:rPr>
                <w:rFonts w:cs="Calibri"/>
                <w:color w:val="000000"/>
                <w:spacing w:val="2"/>
                <w:szCs w:val="20"/>
                <w:shd w:val="solid" w:color="000000" w:fill="000000"/>
                <w:fitText w:val="322" w:id="-693991410"/>
                <w14:textFill>
                  <w14:solidFill>
                    <w14:srgbClr w14:val="000000">
                      <w14:alpha w14:val="100000"/>
                    </w14:srgbClr>
                  </w14:solidFill>
                </w14:textFill>
              </w:rPr>
              <w:t>|</w:t>
            </w:r>
            <w:r w:rsidR="00BB1289" w:rsidRPr="00BB1289">
              <w:rPr>
                <w:rFonts w:cs="Calibri"/>
                <w:color w:val="000000"/>
                <w:szCs w:val="20"/>
              </w:rPr>
              <w:t xml:space="preserve"> </w:t>
            </w:r>
            <w:r w:rsidR="00CB1468" w:rsidRPr="009B1786">
              <w:rPr>
                <w:rFonts w:cs="Calibri"/>
                <w:color w:val="000000"/>
                <w:szCs w:val="20"/>
              </w:rPr>
              <w:t>Cost</w:t>
            </w:r>
            <w:r w:rsidRPr="009B1786">
              <w:rPr>
                <w:rFonts w:cs="Calibri"/>
                <w:color w:val="000000"/>
                <w:szCs w:val="20"/>
              </w:rPr>
              <w:t>’</w:t>
            </w:r>
            <w:r w:rsidR="00CB1468" w:rsidRPr="00CF4B08">
              <w:rPr>
                <w:rFonts w:cs="Calibri"/>
                <w:color w:val="000000"/>
                <w:szCs w:val="20"/>
              </w:rPr>
              <w:t xml:space="preserve"> (as for 7A, plus lower response rate from 62.28% to 43.5%)</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46C71BD9" w14:textId="0B6CA558" w:rsidR="00CB1468" w:rsidRPr="009003AD" w:rsidRDefault="001549E4" w:rsidP="00CB1468">
            <w:pPr>
              <w:pStyle w:val="Tabletext"/>
              <w:keepLines/>
              <w:jc w:val="center"/>
              <w:rPr>
                <w:b/>
                <w:bCs/>
                <w:highlight w:val="darkGray"/>
              </w:rPr>
            </w:pPr>
            <w:r w:rsidRPr="00DA2049">
              <w:rPr>
                <w:rFonts w:cs="Calibri" w:hint="eastAsia"/>
                <w:color w:val="000000"/>
                <w:w w:val="15"/>
                <w:szCs w:val="20"/>
                <w:shd w:val="solid" w:color="000000" w:fill="000000"/>
                <w:fitText w:val="23" w:id="-693991409"/>
                <w14:textFill>
                  <w14:solidFill>
                    <w14:srgbClr w14:val="000000">
                      <w14:alpha w14:val="100000"/>
                    </w14:srgbClr>
                  </w14:solidFill>
                </w14:textFill>
              </w:rPr>
              <w:t xml:space="preserve">　</w:t>
            </w:r>
            <w:r w:rsidRPr="00DA2049">
              <w:rPr>
                <w:rFonts w:cs="Calibri"/>
                <w:color w:val="000000"/>
                <w:w w:val="15"/>
                <w:szCs w:val="20"/>
                <w:shd w:val="solid" w:color="000000" w:fill="000000"/>
                <w:fitText w:val="23" w:id="-693991409"/>
                <w14:textFill>
                  <w14:solidFill>
                    <w14:srgbClr w14:val="000000">
                      <w14:alpha w14:val="100000"/>
                    </w14:srgbClr>
                  </w14:solidFill>
                </w14:textFill>
              </w:rPr>
              <w:t>|</w:t>
            </w:r>
            <w:r w:rsidRPr="00DA2049">
              <w:rPr>
                <w:rFonts w:cs="Calibri" w:hint="eastAsia"/>
                <w:color w:val="000000"/>
                <w:spacing w:val="-42"/>
                <w:w w:val="15"/>
                <w:szCs w:val="20"/>
                <w:shd w:val="solid" w:color="000000" w:fill="000000"/>
                <w:fitText w:val="23" w:id="-693991409"/>
                <w14:textFill>
                  <w14:solidFill>
                    <w14:srgbClr w14:val="000000">
                      <w14:alpha w14:val="100000"/>
                    </w14:srgbClr>
                  </w14:solidFill>
                </w14:textFill>
              </w:rPr>
              <w:t xml:space="preserve">　</w:t>
            </w:r>
            <w:r w:rsidR="00BB1289" w:rsidRPr="00BB1289">
              <w:rPr>
                <w:rFonts w:cs="Calibri"/>
                <w:color w:val="000000"/>
                <w:szCs w:val="20"/>
              </w:rPr>
              <w:t xml:space="preserve"> </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5F8440B4" w14:textId="5FAB5B74" w:rsidR="00CB1468" w:rsidRPr="00CF4B08" w:rsidRDefault="00CB1468" w:rsidP="00CB1468">
            <w:pPr>
              <w:pStyle w:val="Tabletext"/>
              <w:keepLines/>
              <w:jc w:val="center"/>
              <w:rPr>
                <w:b/>
                <w:bCs/>
              </w:rPr>
            </w:pPr>
            <w:r w:rsidRPr="00CF4B08">
              <w:rPr>
                <w:rFonts w:cs="Calibri"/>
                <w:color w:val="000000"/>
                <w:szCs w:val="20"/>
              </w:rPr>
              <w:t>1.21</w:t>
            </w:r>
          </w:p>
        </w:tc>
        <w:tc>
          <w:tcPr>
            <w:tcW w:w="1080" w:type="dxa"/>
            <w:tcBorders>
              <w:top w:val="nil"/>
              <w:left w:val="nil"/>
              <w:bottom w:val="single" w:sz="8" w:space="0" w:color="auto"/>
              <w:right w:val="single" w:sz="8" w:space="0" w:color="auto"/>
            </w:tcBorders>
            <w:shd w:val="clear" w:color="auto" w:fill="auto"/>
            <w:tcMar>
              <w:left w:w="20" w:type="dxa"/>
              <w:right w:w="20" w:type="dxa"/>
            </w:tcMar>
            <w:vAlign w:val="center"/>
          </w:tcPr>
          <w:p w14:paraId="6FB3104E" w14:textId="3F9CDB38" w:rsidR="00CB1468" w:rsidRPr="009003AD" w:rsidRDefault="001549E4" w:rsidP="00CB1468">
            <w:pPr>
              <w:pStyle w:val="Tabletext"/>
              <w:keepLines/>
              <w:jc w:val="center"/>
              <w:rPr>
                <w:b/>
                <w:bCs/>
                <w:highlight w:val="darkGray"/>
              </w:rPr>
            </w:pPr>
            <w:r w:rsidRPr="001549E4">
              <w:rPr>
                <w:rFonts w:cs="Calibri" w:hint="eastAsia"/>
                <w:color w:val="000000"/>
                <w:w w:val="15"/>
                <w:szCs w:val="20"/>
                <w:shd w:val="solid" w:color="000000" w:fill="000000"/>
                <w:fitText w:val="57" w:id="-693991408"/>
                <w14:textFill>
                  <w14:solidFill>
                    <w14:srgbClr w14:val="000000">
                      <w14:alpha w14:val="100000"/>
                    </w14:srgbClr>
                  </w14:solidFill>
                </w14:textFill>
              </w:rPr>
              <w:t xml:space="preserve">　</w:t>
            </w:r>
            <w:r w:rsidRPr="001549E4">
              <w:rPr>
                <w:rFonts w:cs="Calibri"/>
                <w:color w:val="000000"/>
                <w:w w:val="15"/>
                <w:szCs w:val="20"/>
                <w:shd w:val="solid" w:color="000000" w:fill="000000"/>
                <w:fitText w:val="57" w:id="-693991408"/>
                <w14:textFill>
                  <w14:solidFill>
                    <w14:srgbClr w14:val="000000">
                      <w14:alpha w14:val="100000"/>
                    </w14:srgbClr>
                  </w14:solidFill>
                </w14:textFill>
              </w:rPr>
              <w:t>|</w:t>
            </w:r>
            <w:r w:rsidRPr="001549E4">
              <w:rPr>
                <w:rFonts w:cs="Calibri" w:hint="eastAsia"/>
                <w:color w:val="000000"/>
                <w:spacing w:val="-8"/>
                <w:w w:val="15"/>
                <w:szCs w:val="20"/>
                <w:shd w:val="solid" w:color="000000" w:fill="000000"/>
                <w:fitText w:val="57" w:id="-693991408"/>
                <w14:textFill>
                  <w14:solidFill>
                    <w14:srgbClr w14:val="000000">
                      <w14:alpha w14:val="100000"/>
                    </w14:srgbClr>
                  </w14:solidFill>
                </w14:textFill>
              </w:rPr>
              <w:t xml:space="preserve">　</w:t>
            </w:r>
            <w:r w:rsidR="003332F8" w:rsidRPr="00D20BFB">
              <w:rPr>
                <w:rFonts w:cs="Calibri"/>
                <w:color w:val="000000"/>
                <w:szCs w:val="20"/>
                <w:vertAlign w:val="superscript"/>
              </w:rPr>
              <w:t>5</w:t>
            </w:r>
          </w:p>
        </w:tc>
        <w:tc>
          <w:tcPr>
            <w:tcW w:w="960" w:type="dxa"/>
            <w:tcBorders>
              <w:top w:val="nil"/>
              <w:left w:val="nil"/>
              <w:bottom w:val="single" w:sz="8" w:space="0" w:color="auto"/>
              <w:right w:val="single" w:sz="8" w:space="0" w:color="auto"/>
            </w:tcBorders>
            <w:shd w:val="clear" w:color="auto" w:fill="auto"/>
            <w:tcMar>
              <w:left w:w="20" w:type="dxa"/>
              <w:right w:w="20" w:type="dxa"/>
            </w:tcMar>
            <w:vAlign w:val="center"/>
          </w:tcPr>
          <w:p w14:paraId="43857526" w14:textId="3BFD24B5" w:rsidR="00CB1468" w:rsidRPr="00CF4B08" w:rsidRDefault="00CB1468" w:rsidP="00CB1468">
            <w:pPr>
              <w:pStyle w:val="Tabletext"/>
              <w:keepLines/>
              <w:jc w:val="center"/>
              <w:rPr>
                <w:b/>
                <w:bCs/>
              </w:rPr>
            </w:pPr>
            <w:r w:rsidRPr="00CF4B08">
              <w:rPr>
                <w:rFonts w:cs="Calibri"/>
                <w:color w:val="000000"/>
                <w:szCs w:val="20"/>
              </w:rPr>
              <w:t>-</w:t>
            </w:r>
            <w:r w:rsidR="001549E4" w:rsidRPr="001549E4">
              <w:rPr>
                <w:rFonts w:cs="Calibri"/>
                <w:color w:val="000000"/>
                <w:spacing w:val="110"/>
                <w:szCs w:val="20"/>
                <w:shd w:val="solid" w:color="000000" w:fill="000000"/>
                <w:fitText w:val="196" w:id="-693991424"/>
                <w14:textFill>
                  <w14:solidFill>
                    <w14:srgbClr w14:val="000000">
                      <w14:alpha w14:val="100000"/>
                    </w14:srgbClr>
                  </w14:solidFill>
                </w14:textFill>
              </w:rPr>
              <w:t>|</w:t>
            </w:r>
            <w:r w:rsidR="001549E4" w:rsidRPr="001549E4">
              <w:rPr>
                <w:rFonts w:cs="Calibri"/>
                <w:color w:val="000000"/>
                <w:spacing w:val="1"/>
                <w:szCs w:val="20"/>
                <w:shd w:val="solid" w:color="000000" w:fill="000000"/>
                <w:fitText w:val="196" w:id="-693991424"/>
                <w14:textFill>
                  <w14:solidFill>
                    <w14:srgbClr w14:val="000000">
                      <w14:alpha w14:val="100000"/>
                    </w14:srgbClr>
                  </w14:solidFill>
                </w14:textFill>
              </w:rPr>
              <w:t>|</w:t>
            </w:r>
            <w:r w:rsidRPr="00CF4B08">
              <w:rPr>
                <w:rFonts w:cs="Calibri"/>
                <w:color w:val="000000"/>
                <w:szCs w:val="20"/>
              </w:rPr>
              <w:t>%</w:t>
            </w:r>
          </w:p>
        </w:tc>
      </w:tr>
    </w:tbl>
    <w:p w14:paraId="6C00DE61" w14:textId="77777777" w:rsidR="00CB1468" w:rsidRPr="00CF4B08" w:rsidRDefault="00CB1468" w:rsidP="00D248EF">
      <w:pPr>
        <w:pStyle w:val="FooterTableFigure"/>
        <w:keepLines/>
        <w:widowControl w:val="0"/>
        <w:spacing w:after="0"/>
      </w:pPr>
      <w:r w:rsidRPr="00CF4B08">
        <w:t>Source: constructed during evaluation using Table 3-7, p58 of the resubmission and the resubmission’s economic model excel workbook</w:t>
      </w:r>
    </w:p>
    <w:p w14:paraId="1C6ABAD7" w14:textId="77777777" w:rsidR="00CB1468" w:rsidRDefault="00CB1468" w:rsidP="00D248EF">
      <w:pPr>
        <w:pStyle w:val="FooterTableFigure"/>
        <w:keepLines/>
        <w:widowControl w:val="0"/>
      </w:pPr>
      <w:r w:rsidRPr="006D2B05">
        <w:t>Abbreviation: CEA = cost effectiveness analysis; ICER = incremental cost effectiveness ration; PEBD = Partial external biliary diversion</w:t>
      </w:r>
    </w:p>
    <w:p w14:paraId="458E79AF" w14:textId="77777777" w:rsidR="00CB1468" w:rsidRPr="006D2B05" w:rsidRDefault="00CB1468" w:rsidP="00D248EF">
      <w:pPr>
        <w:pStyle w:val="FooterTableFigure"/>
        <w:keepLines/>
        <w:widowControl w:val="0"/>
      </w:pPr>
      <w:r>
        <w:t>a</w:t>
      </w:r>
      <w:r w:rsidRPr="006D2B05">
        <w:t xml:space="preserve"> </w:t>
      </w:r>
      <w:r>
        <w:t xml:space="preserve">Includes correction to apply reduction in cost to 200mcg capsules </w:t>
      </w:r>
    </w:p>
    <w:p w14:paraId="783FF3B6" w14:textId="77777777" w:rsidR="00763BBF" w:rsidRDefault="00CB1468" w:rsidP="00D248EF">
      <w:pPr>
        <w:pStyle w:val="FooterTableFigure"/>
        <w:keepLines/>
        <w:widowControl w:val="0"/>
      </w:pPr>
      <w:r>
        <w:t>b Change cell C35 in ‘Cost Data’ sheet from July 2024 model to 0%.</w:t>
      </w:r>
      <w:r w:rsidR="00763BBF" w:rsidRPr="00763BBF">
        <w:t xml:space="preserve"> </w:t>
      </w:r>
    </w:p>
    <w:p w14:paraId="5203C050" w14:textId="4AC4BAD2" w:rsidR="00763BBF" w:rsidRPr="00D248EF" w:rsidRDefault="00763BBF" w:rsidP="00763BBF">
      <w:pPr>
        <w:pStyle w:val="FooterTableFigure"/>
        <w:keepLines/>
        <w:widowControl w:val="0"/>
        <w:jc w:val="left"/>
        <w:rPr>
          <w:i/>
          <w:iCs/>
        </w:rPr>
      </w:pPr>
      <w:r w:rsidRPr="00D248EF">
        <w:rPr>
          <w:i/>
          <w:iCs/>
        </w:rPr>
        <w:t xml:space="preserve">The redacted values correspond to the following ranges: </w:t>
      </w:r>
    </w:p>
    <w:p w14:paraId="7696E8C5" w14:textId="77777777" w:rsidR="00B57589" w:rsidRPr="00D248EF" w:rsidRDefault="00763BBF" w:rsidP="00763BBF">
      <w:pPr>
        <w:pStyle w:val="FooterTableFigure"/>
        <w:keepLines/>
        <w:widowControl w:val="0"/>
        <w:jc w:val="left"/>
        <w:rPr>
          <w:i/>
          <w:iCs/>
        </w:rPr>
      </w:pPr>
      <w:r w:rsidRPr="00D248EF">
        <w:rPr>
          <w:i/>
          <w:iCs/>
          <w:vertAlign w:val="superscript"/>
        </w:rPr>
        <w:t>1</w:t>
      </w:r>
      <w:r w:rsidRPr="00D248EF">
        <w:rPr>
          <w:i/>
          <w:iCs/>
        </w:rPr>
        <w:t xml:space="preserve"> &gt; $1,055,000</w:t>
      </w:r>
      <w:r w:rsidR="00B57589" w:rsidRPr="00D248EF">
        <w:rPr>
          <w:i/>
          <w:iCs/>
        </w:rPr>
        <w:t xml:space="preserve"> </w:t>
      </w:r>
    </w:p>
    <w:p w14:paraId="74F5AC1A" w14:textId="05379B64" w:rsidR="00763BBF" w:rsidRPr="00D248EF" w:rsidRDefault="00B57589" w:rsidP="00763BBF">
      <w:pPr>
        <w:pStyle w:val="FooterTableFigure"/>
        <w:keepLines/>
        <w:widowControl w:val="0"/>
        <w:jc w:val="left"/>
        <w:rPr>
          <w:i/>
          <w:iCs/>
        </w:rPr>
      </w:pPr>
      <w:r w:rsidRPr="00D248EF">
        <w:rPr>
          <w:i/>
          <w:iCs/>
          <w:vertAlign w:val="superscript"/>
        </w:rPr>
        <w:t>2</w:t>
      </w:r>
      <w:r w:rsidRPr="00D248EF">
        <w:rPr>
          <w:i/>
          <w:iCs/>
        </w:rPr>
        <w:t xml:space="preserve"> $755,000 to &lt; $855,000</w:t>
      </w:r>
    </w:p>
    <w:p w14:paraId="270763D3" w14:textId="77777777" w:rsidR="00A7711A" w:rsidRPr="00D248EF" w:rsidRDefault="00763BBF" w:rsidP="00763BBF">
      <w:pPr>
        <w:pStyle w:val="FooterTableFigure"/>
        <w:keepLines/>
        <w:widowControl w:val="0"/>
        <w:jc w:val="left"/>
        <w:rPr>
          <w:i/>
          <w:iCs/>
        </w:rPr>
      </w:pPr>
      <w:r w:rsidRPr="00D248EF">
        <w:rPr>
          <w:i/>
          <w:iCs/>
          <w:vertAlign w:val="superscript"/>
        </w:rPr>
        <w:t>3</w:t>
      </w:r>
      <w:r w:rsidRPr="00D248EF">
        <w:rPr>
          <w:i/>
          <w:iCs/>
        </w:rPr>
        <w:t xml:space="preserve"> </w:t>
      </w:r>
      <w:r w:rsidR="008D11D9" w:rsidRPr="00D248EF">
        <w:rPr>
          <w:i/>
          <w:iCs/>
        </w:rPr>
        <w:t>$855,000 to &lt; $955,000</w:t>
      </w:r>
      <w:r w:rsidR="00A7711A" w:rsidRPr="00D248EF">
        <w:rPr>
          <w:i/>
          <w:iCs/>
        </w:rPr>
        <w:t xml:space="preserve"> </w:t>
      </w:r>
    </w:p>
    <w:p w14:paraId="20718BEC" w14:textId="77777777" w:rsidR="008F78EE" w:rsidRPr="00D248EF" w:rsidRDefault="00A7711A" w:rsidP="00763BBF">
      <w:pPr>
        <w:pStyle w:val="FooterTableFigure"/>
        <w:keepLines/>
        <w:widowControl w:val="0"/>
        <w:jc w:val="left"/>
        <w:rPr>
          <w:i/>
          <w:iCs/>
        </w:rPr>
      </w:pPr>
      <w:r w:rsidRPr="00D248EF">
        <w:rPr>
          <w:i/>
          <w:iCs/>
          <w:vertAlign w:val="superscript"/>
        </w:rPr>
        <w:t>4</w:t>
      </w:r>
      <w:r w:rsidRPr="00D248EF">
        <w:rPr>
          <w:i/>
          <w:iCs/>
        </w:rPr>
        <w:t xml:space="preserve"> $655,000 to &lt; $755,000</w:t>
      </w:r>
    </w:p>
    <w:p w14:paraId="7C40A260" w14:textId="67DFC168" w:rsidR="00763BBF" w:rsidRPr="00D248EF" w:rsidRDefault="008F78EE" w:rsidP="00D248EF">
      <w:pPr>
        <w:pStyle w:val="FooterTableFigure"/>
        <w:keepLines/>
        <w:widowControl w:val="0"/>
        <w:jc w:val="left"/>
        <w:rPr>
          <w:i/>
          <w:iCs/>
        </w:rPr>
      </w:pPr>
      <w:r w:rsidRPr="00D248EF">
        <w:rPr>
          <w:i/>
          <w:iCs/>
          <w:vertAlign w:val="superscript"/>
        </w:rPr>
        <w:t>5</w:t>
      </w:r>
      <w:r w:rsidRPr="00D248EF">
        <w:rPr>
          <w:i/>
          <w:iCs/>
        </w:rPr>
        <w:t xml:space="preserve"> $355,000 to &lt; $455,000</w:t>
      </w:r>
    </w:p>
    <w:p w14:paraId="373B4EC5" w14:textId="2320DED5" w:rsidR="00F704E3" w:rsidRPr="00C242CD" w:rsidRDefault="00F704E3" w:rsidP="00A05F22">
      <w:pPr>
        <w:pStyle w:val="3-BodyText"/>
      </w:pPr>
      <w:r w:rsidRPr="00F704E3">
        <w:t xml:space="preserve">The results of key univariate and multivariate sensitivity analyses </w:t>
      </w:r>
      <w:r w:rsidR="00F43AD9">
        <w:t xml:space="preserve">around the economic model </w:t>
      </w:r>
      <w:r w:rsidRPr="00F704E3">
        <w:t>are summarised in</w:t>
      </w:r>
      <w:r>
        <w:t xml:space="preserve"> </w:t>
      </w:r>
      <w:r>
        <w:fldChar w:fldCharType="begin" w:fldLock="1"/>
      </w:r>
      <w:r>
        <w:instrText xml:space="preserve"> REF _Ref104804865 \h </w:instrText>
      </w:r>
      <w:r>
        <w:fldChar w:fldCharType="separate"/>
      </w:r>
      <w:r w:rsidR="00F43AD9" w:rsidRPr="0098262F">
        <w:t xml:space="preserve">Table </w:t>
      </w:r>
      <w:r w:rsidR="00F43AD9">
        <w:rPr>
          <w:noProof/>
        </w:rPr>
        <w:t>16</w:t>
      </w:r>
      <w:r>
        <w:fldChar w:fldCharType="end"/>
      </w:r>
      <w:r>
        <w:t>.</w:t>
      </w:r>
    </w:p>
    <w:p w14:paraId="4D13FA2F" w14:textId="7A48CAD9" w:rsidR="00404D38" w:rsidRDefault="00404D38" w:rsidP="00EF777F">
      <w:pPr>
        <w:pStyle w:val="Caption"/>
        <w:keepNext w:val="0"/>
        <w:rPr>
          <w:rStyle w:val="CommentReference"/>
          <w:b/>
          <w:szCs w:val="24"/>
        </w:rPr>
      </w:pPr>
      <w:bookmarkStart w:id="88" w:name="_Ref104804865"/>
      <w:r w:rsidRPr="0098262F">
        <w:t xml:space="preserve">Table </w:t>
      </w:r>
      <w:r w:rsidR="00F43AD9">
        <w:fldChar w:fldCharType="begin" w:fldLock="1"/>
      </w:r>
      <w:r w:rsidR="00F43AD9">
        <w:instrText xml:space="preserve"> SEQ Table \* ARABIC </w:instrText>
      </w:r>
      <w:r w:rsidR="00F43AD9">
        <w:fldChar w:fldCharType="separate"/>
      </w:r>
      <w:r w:rsidR="00F43AD9">
        <w:rPr>
          <w:noProof/>
        </w:rPr>
        <w:t>16</w:t>
      </w:r>
      <w:r w:rsidR="00F43AD9">
        <w:rPr>
          <w:noProof/>
        </w:rPr>
        <w:fldChar w:fldCharType="end"/>
      </w:r>
      <w:bookmarkEnd w:id="88"/>
      <w:r w:rsidRPr="0098262F">
        <w:t>:</w:t>
      </w:r>
      <w:r w:rsidRPr="0098262F">
        <w:rPr>
          <w:rStyle w:val="CommentReference"/>
          <w:b/>
          <w:szCs w:val="24"/>
        </w:rPr>
        <w:t xml:space="preserve"> Sensitivity analyses</w:t>
      </w:r>
    </w:p>
    <w:tbl>
      <w:tblPr>
        <w:tblStyle w:val="TableGrid"/>
        <w:tblW w:w="0" w:type="auto"/>
        <w:tblLayout w:type="fixed"/>
        <w:tblLook w:val="04A0" w:firstRow="1" w:lastRow="0" w:firstColumn="1" w:lastColumn="0" w:noHBand="0" w:noVBand="1"/>
        <w:tblCaption w:val="Table 16: Sensitivity analyses"/>
      </w:tblPr>
      <w:tblGrid>
        <w:gridCol w:w="5524"/>
        <w:gridCol w:w="992"/>
        <w:gridCol w:w="850"/>
        <w:gridCol w:w="993"/>
        <w:gridCol w:w="658"/>
      </w:tblGrid>
      <w:tr w:rsidR="0010194C" w:rsidRPr="00CF4B08" w14:paraId="71D9A142" w14:textId="77777777" w:rsidTr="00EA7B7B">
        <w:trPr>
          <w:cantSplit/>
          <w:tblHeader/>
        </w:trPr>
        <w:tc>
          <w:tcPr>
            <w:tcW w:w="5524" w:type="dxa"/>
            <w:vAlign w:val="bottom"/>
          </w:tcPr>
          <w:p w14:paraId="4423A660" w14:textId="37059706" w:rsidR="0010194C" w:rsidRPr="00CF4B08" w:rsidRDefault="0010194C" w:rsidP="00EF777F">
            <w:pPr>
              <w:pStyle w:val="Tabletext"/>
              <w:keepLines/>
            </w:pPr>
          </w:p>
        </w:tc>
        <w:tc>
          <w:tcPr>
            <w:tcW w:w="992" w:type="dxa"/>
            <w:vAlign w:val="center"/>
          </w:tcPr>
          <w:p w14:paraId="26B2920F" w14:textId="77777777" w:rsidR="0010194C" w:rsidRPr="00CF4B08" w:rsidRDefault="0010194C" w:rsidP="00EF777F">
            <w:pPr>
              <w:pStyle w:val="Tabletext"/>
              <w:keepLines/>
              <w:jc w:val="center"/>
            </w:pPr>
            <w:r w:rsidRPr="00CF4B08">
              <w:rPr>
                <w:b/>
              </w:rPr>
              <w:t xml:space="preserve">Inc. Cost </w:t>
            </w:r>
          </w:p>
        </w:tc>
        <w:tc>
          <w:tcPr>
            <w:tcW w:w="850" w:type="dxa"/>
            <w:vAlign w:val="center"/>
          </w:tcPr>
          <w:p w14:paraId="2B9A137B" w14:textId="77777777" w:rsidR="0010194C" w:rsidRPr="00CF4B08" w:rsidRDefault="0010194C" w:rsidP="00EF777F">
            <w:pPr>
              <w:pStyle w:val="Tabletext"/>
              <w:keepLines/>
              <w:jc w:val="center"/>
            </w:pPr>
            <w:r w:rsidRPr="00CF4B08">
              <w:rPr>
                <w:b/>
              </w:rPr>
              <w:t>Inc. QALY</w:t>
            </w:r>
          </w:p>
        </w:tc>
        <w:tc>
          <w:tcPr>
            <w:tcW w:w="993" w:type="dxa"/>
            <w:vAlign w:val="center"/>
          </w:tcPr>
          <w:p w14:paraId="50EA1AD7" w14:textId="77777777" w:rsidR="0010194C" w:rsidRPr="00CF4B08" w:rsidRDefault="0010194C" w:rsidP="00EF777F">
            <w:pPr>
              <w:pStyle w:val="Tabletext"/>
              <w:keepLines/>
              <w:jc w:val="center"/>
            </w:pPr>
            <w:r w:rsidRPr="00CF4B08">
              <w:rPr>
                <w:b/>
              </w:rPr>
              <w:t>ICER ($/QALY)</w:t>
            </w:r>
          </w:p>
        </w:tc>
        <w:tc>
          <w:tcPr>
            <w:tcW w:w="658" w:type="dxa"/>
            <w:vAlign w:val="center"/>
          </w:tcPr>
          <w:p w14:paraId="40149D0C" w14:textId="77777777" w:rsidR="0010194C" w:rsidRPr="00CF4B08" w:rsidRDefault="0010194C" w:rsidP="00EF777F">
            <w:pPr>
              <w:pStyle w:val="Tabletext"/>
              <w:keepLines/>
              <w:jc w:val="center"/>
            </w:pPr>
            <w:r w:rsidRPr="00CF4B08">
              <w:rPr>
                <w:b/>
              </w:rPr>
              <w:t>% ∆</w:t>
            </w:r>
          </w:p>
        </w:tc>
      </w:tr>
      <w:tr w:rsidR="0010194C" w:rsidRPr="00CF4B08" w14:paraId="64D9F77F" w14:textId="77777777" w:rsidTr="00EA7B7B">
        <w:trPr>
          <w:cantSplit/>
          <w:trHeight w:val="283"/>
          <w:tblHeader/>
        </w:trPr>
        <w:tc>
          <w:tcPr>
            <w:tcW w:w="5524" w:type="dxa"/>
            <w:tcBorders>
              <w:bottom w:val="single" w:sz="4" w:space="0" w:color="auto"/>
            </w:tcBorders>
            <w:vAlign w:val="center"/>
          </w:tcPr>
          <w:p w14:paraId="450C6141" w14:textId="77777777" w:rsidR="0010194C" w:rsidRPr="00CF4B08" w:rsidRDefault="0010194C" w:rsidP="00EF777F">
            <w:pPr>
              <w:pStyle w:val="Tabletext"/>
              <w:keepLines/>
              <w:rPr>
                <w:b/>
              </w:rPr>
            </w:pPr>
            <w:r w:rsidRPr="00CF4B08">
              <w:rPr>
                <w:b/>
              </w:rPr>
              <w:t>Resubmission Base Case</w:t>
            </w:r>
          </w:p>
        </w:tc>
        <w:tc>
          <w:tcPr>
            <w:tcW w:w="992" w:type="dxa"/>
            <w:tcBorders>
              <w:bottom w:val="single" w:sz="4" w:space="0" w:color="auto"/>
            </w:tcBorders>
            <w:vAlign w:val="center"/>
          </w:tcPr>
          <w:p w14:paraId="06FBD342" w14:textId="1A58B3E1" w:rsidR="0010194C" w:rsidRPr="00CF4B08" w:rsidRDefault="001549E4" w:rsidP="00EF777F">
            <w:pPr>
              <w:pStyle w:val="Tabletext"/>
              <w:keepLines/>
              <w:jc w:val="center"/>
            </w:pPr>
            <w:r w:rsidRPr="001549E4">
              <w:rPr>
                <w:b/>
                <w:color w:val="000000"/>
                <w:spacing w:val="116"/>
                <w:shd w:val="solid" w:color="000000" w:fill="000000"/>
                <w:fitText w:val="208" w:id="-693991423"/>
                <w14:textFill>
                  <w14:solidFill>
                    <w14:srgbClr w14:val="000000">
                      <w14:alpha w14:val="100000"/>
                    </w14:srgbClr>
                  </w14:solidFill>
                </w14:textFill>
              </w:rPr>
              <w:t>|</w:t>
            </w:r>
            <w:r w:rsidRPr="001549E4">
              <w:rPr>
                <w:b/>
                <w:color w:val="000000"/>
                <w:spacing w:val="1"/>
                <w:shd w:val="solid" w:color="000000" w:fill="000000"/>
                <w:fitText w:val="208" w:id="-693991423"/>
                <w14:textFill>
                  <w14:solidFill>
                    <w14:srgbClr w14:val="000000">
                      <w14:alpha w14:val="100000"/>
                    </w14:srgbClr>
                  </w14:solidFill>
                </w14:textFill>
              </w:rPr>
              <w:t>|</w:t>
            </w:r>
            <w:r w:rsidR="00A15859">
              <w:rPr>
                <w:b/>
              </w:rPr>
              <w:t xml:space="preserve"> </w:t>
            </w:r>
          </w:p>
        </w:tc>
        <w:tc>
          <w:tcPr>
            <w:tcW w:w="850" w:type="dxa"/>
            <w:tcBorders>
              <w:bottom w:val="single" w:sz="4" w:space="0" w:color="auto"/>
            </w:tcBorders>
            <w:vAlign w:val="center"/>
          </w:tcPr>
          <w:p w14:paraId="05E439E3" w14:textId="77777777" w:rsidR="0010194C" w:rsidRPr="00CF4B08" w:rsidRDefault="0010194C" w:rsidP="00EF777F">
            <w:pPr>
              <w:pStyle w:val="Tabletext"/>
              <w:keepLines/>
              <w:jc w:val="center"/>
            </w:pPr>
            <w:r w:rsidRPr="00CF4B08">
              <w:rPr>
                <w:b/>
              </w:rPr>
              <w:t>1.21</w:t>
            </w:r>
          </w:p>
        </w:tc>
        <w:tc>
          <w:tcPr>
            <w:tcW w:w="993" w:type="dxa"/>
            <w:tcBorders>
              <w:bottom w:val="single" w:sz="4" w:space="0" w:color="auto"/>
            </w:tcBorders>
            <w:vAlign w:val="center"/>
          </w:tcPr>
          <w:p w14:paraId="1F8D61B4" w14:textId="542EA0BB" w:rsidR="0010194C" w:rsidRPr="00CF4B08" w:rsidRDefault="001549E4" w:rsidP="00EF777F">
            <w:pPr>
              <w:pStyle w:val="Tabletext"/>
              <w:keepLines/>
              <w:jc w:val="center"/>
              <w:rPr>
                <w:vertAlign w:val="superscript"/>
              </w:rPr>
            </w:pPr>
            <w:r w:rsidRPr="001549E4">
              <w:rPr>
                <w:b/>
                <w:color w:val="000000"/>
                <w:spacing w:val="185"/>
                <w:shd w:val="solid" w:color="000000" w:fill="000000"/>
                <w:fitText w:val="277" w:id="-693991422"/>
                <w14:textFill>
                  <w14:solidFill>
                    <w14:srgbClr w14:val="000000">
                      <w14:alpha w14:val="100000"/>
                    </w14:srgbClr>
                  </w14:solidFill>
                </w14:textFill>
              </w:rPr>
              <w:t>|</w:t>
            </w:r>
            <w:r w:rsidRPr="001549E4">
              <w:rPr>
                <w:b/>
                <w:color w:val="000000"/>
                <w:spacing w:val="1"/>
                <w:shd w:val="solid" w:color="000000" w:fill="000000"/>
                <w:fitText w:val="277" w:id="-693991422"/>
                <w14:textFill>
                  <w14:solidFill>
                    <w14:srgbClr w14:val="000000">
                      <w14:alpha w14:val="100000"/>
                    </w14:srgbClr>
                  </w14:solidFill>
                </w14:textFill>
              </w:rPr>
              <w:t>|</w:t>
            </w:r>
            <w:r w:rsidR="00AB63E1" w:rsidRPr="00AB63E1">
              <w:rPr>
                <w:b/>
                <w:vertAlign w:val="superscript"/>
              </w:rPr>
              <w:t>1</w:t>
            </w:r>
            <w:r w:rsidR="0010194C" w:rsidRPr="00AB63E1">
              <w:rPr>
                <w:b/>
                <w:vertAlign w:val="superscript"/>
              </w:rPr>
              <w:t xml:space="preserve"> </w:t>
            </w:r>
            <w:r w:rsidR="0010194C" w:rsidRPr="00CF4B08">
              <w:rPr>
                <w:b/>
                <w:vertAlign w:val="superscript"/>
              </w:rPr>
              <w:t>a</w:t>
            </w:r>
          </w:p>
        </w:tc>
        <w:tc>
          <w:tcPr>
            <w:tcW w:w="658" w:type="dxa"/>
            <w:tcBorders>
              <w:bottom w:val="single" w:sz="4" w:space="0" w:color="auto"/>
            </w:tcBorders>
            <w:vAlign w:val="center"/>
          </w:tcPr>
          <w:p w14:paraId="0DE9FEA0" w14:textId="77777777" w:rsidR="0010194C" w:rsidRPr="00CF4B08" w:rsidRDefault="0010194C" w:rsidP="00EF777F">
            <w:pPr>
              <w:pStyle w:val="Tabletext"/>
              <w:keepLines/>
              <w:jc w:val="center"/>
            </w:pPr>
            <w:r w:rsidRPr="00CF4B08">
              <w:rPr>
                <w:b/>
              </w:rPr>
              <w:t>-</w:t>
            </w:r>
          </w:p>
        </w:tc>
      </w:tr>
      <w:tr w:rsidR="0010194C" w:rsidRPr="00CF4B08" w14:paraId="1FF07976" w14:textId="77777777" w:rsidTr="00EA7B7B">
        <w:tc>
          <w:tcPr>
            <w:tcW w:w="5524" w:type="dxa"/>
            <w:tcBorders>
              <w:right w:val="nil"/>
            </w:tcBorders>
            <w:vAlign w:val="center"/>
          </w:tcPr>
          <w:p w14:paraId="34A4416F" w14:textId="09A19CC6" w:rsidR="0010194C" w:rsidRPr="00CF4B08" w:rsidRDefault="0010194C" w:rsidP="00EF777F">
            <w:pPr>
              <w:pStyle w:val="Tabletext"/>
              <w:keepLines/>
              <w:rPr>
                <w:b/>
                <w:bCs/>
              </w:rPr>
            </w:pPr>
            <w:r w:rsidRPr="00CF4B08">
              <w:rPr>
                <w:b/>
                <w:bCs/>
              </w:rPr>
              <w:t>Sensitivity analyses conducted by the resubmission</w:t>
            </w:r>
          </w:p>
        </w:tc>
        <w:tc>
          <w:tcPr>
            <w:tcW w:w="992" w:type="dxa"/>
            <w:tcBorders>
              <w:left w:val="nil"/>
              <w:right w:val="nil"/>
            </w:tcBorders>
            <w:vAlign w:val="center"/>
          </w:tcPr>
          <w:p w14:paraId="1C6EFD71" w14:textId="77777777" w:rsidR="0010194C" w:rsidRPr="00CF4B08" w:rsidRDefault="0010194C" w:rsidP="00EF777F">
            <w:pPr>
              <w:pStyle w:val="Tabletext"/>
              <w:keepLines/>
              <w:jc w:val="center"/>
            </w:pPr>
          </w:p>
        </w:tc>
        <w:tc>
          <w:tcPr>
            <w:tcW w:w="850" w:type="dxa"/>
            <w:tcBorders>
              <w:left w:val="nil"/>
              <w:right w:val="nil"/>
            </w:tcBorders>
            <w:vAlign w:val="center"/>
          </w:tcPr>
          <w:p w14:paraId="68FDA1C7" w14:textId="77777777" w:rsidR="0010194C" w:rsidRPr="00CF4B08" w:rsidRDefault="0010194C" w:rsidP="00EF777F">
            <w:pPr>
              <w:pStyle w:val="Tabletext"/>
              <w:keepLines/>
              <w:jc w:val="center"/>
            </w:pPr>
          </w:p>
        </w:tc>
        <w:tc>
          <w:tcPr>
            <w:tcW w:w="993" w:type="dxa"/>
            <w:tcBorders>
              <w:left w:val="nil"/>
              <w:right w:val="nil"/>
            </w:tcBorders>
            <w:vAlign w:val="center"/>
          </w:tcPr>
          <w:p w14:paraId="6534454E" w14:textId="77777777" w:rsidR="0010194C" w:rsidRPr="00CF4B08" w:rsidRDefault="0010194C" w:rsidP="00EF777F">
            <w:pPr>
              <w:pStyle w:val="Tabletext"/>
              <w:keepLines/>
              <w:jc w:val="center"/>
            </w:pPr>
          </w:p>
        </w:tc>
        <w:tc>
          <w:tcPr>
            <w:tcW w:w="658" w:type="dxa"/>
            <w:tcBorders>
              <w:left w:val="nil"/>
            </w:tcBorders>
            <w:vAlign w:val="center"/>
          </w:tcPr>
          <w:p w14:paraId="21539E66" w14:textId="77777777" w:rsidR="0010194C" w:rsidRPr="00CF4B08" w:rsidRDefault="0010194C" w:rsidP="00EF777F">
            <w:pPr>
              <w:pStyle w:val="Tabletext"/>
              <w:keepLines/>
              <w:jc w:val="center"/>
            </w:pPr>
          </w:p>
        </w:tc>
      </w:tr>
      <w:tr w:rsidR="0010194C" w:rsidRPr="00CF4B08" w14:paraId="6241FA51" w14:textId="77777777" w:rsidTr="00EA7B7B">
        <w:tc>
          <w:tcPr>
            <w:tcW w:w="5524" w:type="dxa"/>
            <w:vAlign w:val="center"/>
          </w:tcPr>
          <w:p w14:paraId="18F8A5E5" w14:textId="77777777" w:rsidR="0010194C" w:rsidRPr="00CF4B08" w:rsidRDefault="0010194C" w:rsidP="00EF777F">
            <w:pPr>
              <w:pStyle w:val="Tabletext"/>
              <w:keepLines/>
            </w:pPr>
            <w:r w:rsidRPr="00CF4B08">
              <w:t>Transition probabilities - use PEDFIC/NAPPED data (base case - OvEC)</w:t>
            </w:r>
          </w:p>
        </w:tc>
        <w:tc>
          <w:tcPr>
            <w:tcW w:w="992" w:type="dxa"/>
            <w:vAlign w:val="center"/>
          </w:tcPr>
          <w:p w14:paraId="1601051B" w14:textId="243904FE"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21"/>
                <w14:textFill>
                  <w14:solidFill>
                    <w14:srgbClr w14:val="000000">
                      <w14:alpha w14:val="100000"/>
                    </w14:srgbClr>
                  </w14:solidFill>
                </w14:textFill>
              </w:rPr>
              <w:t>|</w:t>
            </w:r>
            <w:r w:rsidRPr="001549E4">
              <w:rPr>
                <w:color w:val="000000"/>
                <w:spacing w:val="1"/>
                <w:shd w:val="solid" w:color="000000" w:fill="000000"/>
                <w:fitText w:val="161" w:id="-693991421"/>
                <w14:textFill>
                  <w14:solidFill>
                    <w14:srgbClr w14:val="000000">
                      <w14:alpha w14:val="100000"/>
                    </w14:srgbClr>
                  </w14:solidFill>
                </w14:textFill>
              </w:rPr>
              <w:t>|</w:t>
            </w:r>
            <w:r w:rsidR="00BB1289" w:rsidRPr="00BB1289">
              <w:t xml:space="preserve"> </w:t>
            </w:r>
          </w:p>
        </w:tc>
        <w:tc>
          <w:tcPr>
            <w:tcW w:w="850" w:type="dxa"/>
            <w:vAlign w:val="center"/>
          </w:tcPr>
          <w:p w14:paraId="402D9827" w14:textId="77777777" w:rsidR="0010194C" w:rsidRPr="00CF4B08" w:rsidRDefault="0010194C" w:rsidP="00EF777F">
            <w:pPr>
              <w:pStyle w:val="Tabletext"/>
              <w:keepLines/>
              <w:jc w:val="center"/>
            </w:pPr>
            <w:r w:rsidRPr="00CF4B08">
              <w:t>0.85</w:t>
            </w:r>
          </w:p>
        </w:tc>
        <w:tc>
          <w:tcPr>
            <w:tcW w:w="993" w:type="dxa"/>
            <w:vAlign w:val="center"/>
          </w:tcPr>
          <w:p w14:paraId="3032E49D" w14:textId="3FD29F4C" w:rsidR="0010194C" w:rsidRPr="005A28BB" w:rsidRDefault="001549E4" w:rsidP="00EF777F">
            <w:pPr>
              <w:pStyle w:val="Tabletext"/>
              <w:keepLines/>
              <w:jc w:val="center"/>
              <w:rPr>
                <w:highlight w:val="darkGray"/>
              </w:rPr>
            </w:pPr>
            <w:r w:rsidRPr="001549E4">
              <w:rPr>
                <w:color w:val="000000"/>
                <w:spacing w:val="98"/>
                <w:shd w:val="solid" w:color="000000" w:fill="000000"/>
                <w:fitText w:val="184" w:id="-693991420"/>
                <w14:textFill>
                  <w14:solidFill>
                    <w14:srgbClr w14:val="000000">
                      <w14:alpha w14:val="100000"/>
                    </w14:srgbClr>
                  </w14:solidFill>
                </w14:textFill>
              </w:rPr>
              <w:t>|</w:t>
            </w:r>
            <w:r w:rsidRPr="001549E4">
              <w:rPr>
                <w:color w:val="000000"/>
                <w:spacing w:val="1"/>
                <w:shd w:val="solid" w:color="000000" w:fill="000000"/>
                <w:fitText w:val="184" w:id="-693991420"/>
                <w14:textFill>
                  <w14:solidFill>
                    <w14:srgbClr w14:val="000000">
                      <w14:alpha w14:val="100000"/>
                    </w14:srgbClr>
                  </w14:solidFill>
                </w14:textFill>
              </w:rPr>
              <w:t>|</w:t>
            </w:r>
            <w:r w:rsidR="00FC1B0B" w:rsidRPr="00FC1B0B">
              <w:rPr>
                <w:vertAlign w:val="superscript"/>
              </w:rPr>
              <w:t>2</w:t>
            </w:r>
          </w:p>
        </w:tc>
        <w:tc>
          <w:tcPr>
            <w:tcW w:w="658" w:type="dxa"/>
            <w:vAlign w:val="center"/>
          </w:tcPr>
          <w:p w14:paraId="2B7929B6" w14:textId="37582538" w:rsidR="0010194C" w:rsidRPr="00CF4B08" w:rsidRDefault="001549E4" w:rsidP="00EF777F">
            <w:pPr>
              <w:pStyle w:val="Tabletext"/>
              <w:keepLines/>
              <w:jc w:val="center"/>
            </w:pPr>
            <w:r w:rsidRPr="001549E4">
              <w:rPr>
                <w:color w:val="000000"/>
                <w:spacing w:val="122"/>
                <w:shd w:val="solid" w:color="000000" w:fill="000000"/>
                <w:fitText w:val="208" w:id="-693991419"/>
                <w14:textFill>
                  <w14:solidFill>
                    <w14:srgbClr w14:val="000000">
                      <w14:alpha w14:val="100000"/>
                    </w14:srgbClr>
                  </w14:solidFill>
                </w14:textFill>
              </w:rPr>
              <w:t>|</w:t>
            </w:r>
            <w:r w:rsidRPr="001549E4">
              <w:rPr>
                <w:color w:val="000000"/>
                <w:spacing w:val="1"/>
                <w:shd w:val="solid" w:color="000000" w:fill="000000"/>
                <w:fitText w:val="208" w:id="-693991419"/>
                <w14:textFill>
                  <w14:solidFill>
                    <w14:srgbClr w14:val="000000">
                      <w14:alpha w14:val="100000"/>
                    </w14:srgbClr>
                  </w14:solidFill>
                </w14:textFill>
              </w:rPr>
              <w:t>|</w:t>
            </w:r>
            <w:r w:rsidR="0010194C" w:rsidRPr="00CF4B08">
              <w:t>%</w:t>
            </w:r>
          </w:p>
        </w:tc>
      </w:tr>
      <w:tr w:rsidR="0010194C" w:rsidRPr="00CF4B08" w14:paraId="30566ED6" w14:textId="77777777" w:rsidTr="00EA7B7B">
        <w:tc>
          <w:tcPr>
            <w:tcW w:w="5524" w:type="dxa"/>
            <w:vAlign w:val="center"/>
          </w:tcPr>
          <w:p w14:paraId="5DB0456C" w14:textId="7768485F" w:rsidR="0010194C" w:rsidRPr="00CF4B08" w:rsidRDefault="0010194C" w:rsidP="00EF777F">
            <w:pPr>
              <w:pStyle w:val="Tabletext"/>
              <w:keepLines/>
            </w:pPr>
            <w:r w:rsidRPr="00CF4B08">
              <w:t>Time horizon 40 years (</w:t>
            </w:r>
            <w:r w:rsidR="006111EC" w:rsidRPr="00CF4B08">
              <w:t>BC</w:t>
            </w:r>
            <w:r w:rsidRPr="00CF4B08">
              <w:t>= 50 years)</w:t>
            </w:r>
          </w:p>
        </w:tc>
        <w:tc>
          <w:tcPr>
            <w:tcW w:w="992" w:type="dxa"/>
            <w:vAlign w:val="center"/>
          </w:tcPr>
          <w:p w14:paraId="4E64235D" w14:textId="6EB2A872"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18"/>
                <w14:textFill>
                  <w14:solidFill>
                    <w14:srgbClr w14:val="000000">
                      <w14:alpha w14:val="100000"/>
                    </w14:srgbClr>
                  </w14:solidFill>
                </w14:textFill>
              </w:rPr>
              <w:t>|</w:t>
            </w:r>
            <w:r w:rsidRPr="001549E4">
              <w:rPr>
                <w:color w:val="000000"/>
                <w:spacing w:val="1"/>
                <w:shd w:val="solid" w:color="000000" w:fill="000000"/>
                <w:fitText w:val="161" w:id="-693991418"/>
                <w14:textFill>
                  <w14:solidFill>
                    <w14:srgbClr w14:val="000000">
                      <w14:alpha w14:val="100000"/>
                    </w14:srgbClr>
                  </w14:solidFill>
                </w14:textFill>
              </w:rPr>
              <w:t>|</w:t>
            </w:r>
            <w:r w:rsidR="00BB1289" w:rsidRPr="00BB1289">
              <w:t xml:space="preserve"> </w:t>
            </w:r>
          </w:p>
        </w:tc>
        <w:tc>
          <w:tcPr>
            <w:tcW w:w="850" w:type="dxa"/>
            <w:vAlign w:val="center"/>
          </w:tcPr>
          <w:p w14:paraId="72AD8C89" w14:textId="77777777" w:rsidR="0010194C" w:rsidRPr="00CF4B08" w:rsidRDefault="0010194C" w:rsidP="00EF777F">
            <w:pPr>
              <w:pStyle w:val="Tabletext"/>
              <w:keepLines/>
              <w:jc w:val="center"/>
            </w:pPr>
            <w:r w:rsidRPr="00CF4B08">
              <w:t>1.11</w:t>
            </w:r>
          </w:p>
        </w:tc>
        <w:tc>
          <w:tcPr>
            <w:tcW w:w="993" w:type="dxa"/>
            <w:vAlign w:val="center"/>
          </w:tcPr>
          <w:p w14:paraId="06F5573D" w14:textId="1540B9D6" w:rsidR="0010194C" w:rsidRPr="005A28BB" w:rsidRDefault="001549E4" w:rsidP="00EF777F">
            <w:pPr>
              <w:pStyle w:val="Tabletext"/>
              <w:keepLines/>
              <w:jc w:val="center"/>
              <w:rPr>
                <w:highlight w:val="darkGray"/>
              </w:rPr>
            </w:pPr>
            <w:r w:rsidRPr="001549E4">
              <w:rPr>
                <w:color w:val="000000"/>
                <w:spacing w:val="98"/>
                <w:shd w:val="solid" w:color="000000" w:fill="000000"/>
                <w:fitText w:val="184" w:id="-693991417"/>
                <w14:textFill>
                  <w14:solidFill>
                    <w14:srgbClr w14:val="000000">
                      <w14:alpha w14:val="100000"/>
                    </w14:srgbClr>
                  </w14:solidFill>
                </w14:textFill>
              </w:rPr>
              <w:t>|</w:t>
            </w:r>
            <w:r w:rsidRPr="001549E4">
              <w:rPr>
                <w:color w:val="000000"/>
                <w:spacing w:val="1"/>
                <w:shd w:val="solid" w:color="000000" w:fill="000000"/>
                <w:fitText w:val="184" w:id="-693991417"/>
                <w14:textFill>
                  <w14:solidFill>
                    <w14:srgbClr w14:val="000000">
                      <w14:alpha w14:val="100000"/>
                    </w14:srgbClr>
                  </w14:solidFill>
                </w14:textFill>
              </w:rPr>
              <w:t>|</w:t>
            </w:r>
            <w:r w:rsidR="00546152" w:rsidRPr="00AB63E1">
              <w:rPr>
                <w:b/>
                <w:vertAlign w:val="superscript"/>
              </w:rPr>
              <w:t>1</w:t>
            </w:r>
          </w:p>
        </w:tc>
        <w:tc>
          <w:tcPr>
            <w:tcW w:w="658" w:type="dxa"/>
            <w:vAlign w:val="center"/>
          </w:tcPr>
          <w:p w14:paraId="0D206F31" w14:textId="6CE73B80" w:rsidR="0010194C" w:rsidRPr="00CF4B08" w:rsidRDefault="001549E4" w:rsidP="00EF777F">
            <w:pPr>
              <w:pStyle w:val="Tabletext"/>
              <w:keepLines/>
              <w:jc w:val="center"/>
            </w:pPr>
            <w:r w:rsidRPr="001549E4">
              <w:rPr>
                <w:color w:val="000000"/>
                <w:spacing w:val="122"/>
                <w:shd w:val="solid" w:color="000000" w:fill="000000"/>
                <w:fitText w:val="208" w:id="-693991416"/>
                <w14:textFill>
                  <w14:solidFill>
                    <w14:srgbClr w14:val="000000">
                      <w14:alpha w14:val="100000"/>
                    </w14:srgbClr>
                  </w14:solidFill>
                </w14:textFill>
              </w:rPr>
              <w:t>|</w:t>
            </w:r>
            <w:r w:rsidRPr="001549E4">
              <w:rPr>
                <w:color w:val="000000"/>
                <w:spacing w:val="1"/>
                <w:shd w:val="solid" w:color="000000" w:fill="000000"/>
                <w:fitText w:val="208" w:id="-693991416"/>
                <w14:textFill>
                  <w14:solidFill>
                    <w14:srgbClr w14:val="000000">
                      <w14:alpha w14:val="100000"/>
                    </w14:srgbClr>
                  </w14:solidFill>
                </w14:textFill>
              </w:rPr>
              <w:t>|</w:t>
            </w:r>
            <w:r w:rsidR="0010194C" w:rsidRPr="00CF4B08">
              <w:t>%</w:t>
            </w:r>
          </w:p>
        </w:tc>
      </w:tr>
      <w:tr w:rsidR="0010194C" w:rsidRPr="00CF4B08" w14:paraId="22CC16EA" w14:textId="77777777" w:rsidTr="00EA7B7B">
        <w:tc>
          <w:tcPr>
            <w:tcW w:w="5524" w:type="dxa"/>
            <w:vAlign w:val="center"/>
          </w:tcPr>
          <w:p w14:paraId="54290C64" w14:textId="0885FCC5" w:rsidR="0010194C" w:rsidRPr="00CF4B08" w:rsidRDefault="0010194C" w:rsidP="00EF777F">
            <w:pPr>
              <w:pStyle w:val="Tabletext"/>
              <w:keepLines/>
            </w:pPr>
            <w:r w:rsidRPr="00CF4B08">
              <w:t>Discount cost and outcomes = 0% (</w:t>
            </w:r>
            <w:r w:rsidR="006111EC" w:rsidRPr="00CF4B08">
              <w:t xml:space="preserve">BC </w:t>
            </w:r>
            <w:r w:rsidRPr="00CF4B08">
              <w:t>= 5%)</w:t>
            </w:r>
          </w:p>
        </w:tc>
        <w:tc>
          <w:tcPr>
            <w:tcW w:w="992" w:type="dxa"/>
            <w:vAlign w:val="center"/>
          </w:tcPr>
          <w:p w14:paraId="45CD3264" w14:textId="7F066531"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15"/>
                <w14:textFill>
                  <w14:solidFill>
                    <w14:srgbClr w14:val="000000">
                      <w14:alpha w14:val="100000"/>
                    </w14:srgbClr>
                  </w14:solidFill>
                </w14:textFill>
              </w:rPr>
              <w:t>|</w:t>
            </w:r>
            <w:r w:rsidRPr="001549E4">
              <w:rPr>
                <w:color w:val="000000"/>
                <w:spacing w:val="1"/>
                <w:shd w:val="solid" w:color="000000" w:fill="000000"/>
                <w:fitText w:val="161" w:id="-693991415"/>
                <w14:textFill>
                  <w14:solidFill>
                    <w14:srgbClr w14:val="000000">
                      <w14:alpha w14:val="100000"/>
                    </w14:srgbClr>
                  </w14:solidFill>
                </w14:textFill>
              </w:rPr>
              <w:t>|</w:t>
            </w:r>
            <w:r w:rsidR="00BB1289" w:rsidRPr="00BB1289">
              <w:t xml:space="preserve"> </w:t>
            </w:r>
          </w:p>
        </w:tc>
        <w:tc>
          <w:tcPr>
            <w:tcW w:w="850" w:type="dxa"/>
            <w:vAlign w:val="center"/>
          </w:tcPr>
          <w:p w14:paraId="6C130CE7" w14:textId="77777777" w:rsidR="0010194C" w:rsidRPr="00CF4B08" w:rsidRDefault="0010194C" w:rsidP="00EF777F">
            <w:pPr>
              <w:pStyle w:val="Tabletext"/>
              <w:keepLines/>
              <w:jc w:val="center"/>
            </w:pPr>
            <w:r w:rsidRPr="00CF4B08">
              <w:t>3.08</w:t>
            </w:r>
          </w:p>
        </w:tc>
        <w:tc>
          <w:tcPr>
            <w:tcW w:w="993" w:type="dxa"/>
            <w:vAlign w:val="center"/>
          </w:tcPr>
          <w:p w14:paraId="31E2ED4F" w14:textId="1B18F8ED" w:rsidR="0010194C" w:rsidRPr="001975E3" w:rsidRDefault="001549E4" w:rsidP="00EF777F">
            <w:pPr>
              <w:pStyle w:val="Tabletext"/>
              <w:keepLines/>
              <w:jc w:val="center"/>
              <w:rPr>
                <w:highlight w:val="darkGray"/>
                <w:vertAlign w:val="superscript"/>
              </w:rPr>
            </w:pPr>
            <w:r w:rsidRPr="001549E4">
              <w:rPr>
                <w:color w:val="000000"/>
                <w:spacing w:val="98"/>
                <w:shd w:val="solid" w:color="000000" w:fill="000000"/>
                <w:fitText w:val="184" w:id="-693991414"/>
                <w14:textFill>
                  <w14:solidFill>
                    <w14:srgbClr w14:val="000000">
                      <w14:alpha w14:val="100000"/>
                    </w14:srgbClr>
                  </w14:solidFill>
                </w14:textFill>
              </w:rPr>
              <w:t>|</w:t>
            </w:r>
            <w:r w:rsidRPr="001549E4">
              <w:rPr>
                <w:color w:val="000000"/>
                <w:spacing w:val="1"/>
                <w:shd w:val="solid" w:color="000000" w:fill="000000"/>
                <w:fitText w:val="184" w:id="-693991414"/>
                <w14:textFill>
                  <w14:solidFill>
                    <w14:srgbClr w14:val="000000">
                      <w14:alpha w14:val="100000"/>
                    </w14:srgbClr>
                  </w14:solidFill>
                </w14:textFill>
              </w:rPr>
              <w:t>|</w:t>
            </w:r>
            <w:r w:rsidR="001975E3" w:rsidRPr="001975E3">
              <w:rPr>
                <w:vertAlign w:val="superscript"/>
              </w:rPr>
              <w:t>3</w:t>
            </w:r>
          </w:p>
        </w:tc>
        <w:tc>
          <w:tcPr>
            <w:tcW w:w="658" w:type="dxa"/>
            <w:vAlign w:val="center"/>
          </w:tcPr>
          <w:p w14:paraId="69B6BF0C" w14:textId="2132C7F6" w:rsidR="0010194C" w:rsidRPr="00CF4B08" w:rsidRDefault="0010194C" w:rsidP="00EF777F">
            <w:pPr>
              <w:pStyle w:val="Tabletext"/>
              <w:keepLines/>
              <w:jc w:val="center"/>
            </w:pPr>
            <w:r w:rsidRPr="00CF4B08">
              <w:t>-</w:t>
            </w:r>
            <w:r w:rsidR="001549E4" w:rsidRPr="001549E4">
              <w:rPr>
                <w:color w:val="000000"/>
                <w:spacing w:val="122"/>
                <w:shd w:val="solid" w:color="000000" w:fill="000000"/>
                <w:fitText w:val="208" w:id="-693991413"/>
                <w14:textFill>
                  <w14:solidFill>
                    <w14:srgbClr w14:val="000000">
                      <w14:alpha w14:val="100000"/>
                    </w14:srgbClr>
                  </w14:solidFill>
                </w14:textFill>
              </w:rPr>
              <w:t>|</w:t>
            </w:r>
            <w:r w:rsidR="001549E4" w:rsidRPr="001549E4">
              <w:rPr>
                <w:color w:val="000000"/>
                <w:spacing w:val="1"/>
                <w:shd w:val="solid" w:color="000000" w:fill="000000"/>
                <w:fitText w:val="208" w:id="-693991413"/>
                <w14:textFill>
                  <w14:solidFill>
                    <w14:srgbClr w14:val="000000">
                      <w14:alpha w14:val="100000"/>
                    </w14:srgbClr>
                  </w14:solidFill>
                </w14:textFill>
              </w:rPr>
              <w:t>|</w:t>
            </w:r>
            <w:r w:rsidRPr="00CF4B08">
              <w:t>%</w:t>
            </w:r>
          </w:p>
        </w:tc>
      </w:tr>
      <w:tr w:rsidR="0010194C" w:rsidRPr="00CF4B08" w14:paraId="2ED42462" w14:textId="77777777" w:rsidTr="00EA7B7B">
        <w:tc>
          <w:tcPr>
            <w:tcW w:w="5524" w:type="dxa"/>
            <w:vAlign w:val="center"/>
          </w:tcPr>
          <w:p w14:paraId="0A97C389" w14:textId="469024C4" w:rsidR="0010194C" w:rsidRPr="00CF4B08" w:rsidRDefault="0010194C" w:rsidP="00EF777F">
            <w:pPr>
              <w:pStyle w:val="Tabletext"/>
              <w:keepLines/>
            </w:pPr>
            <w:r w:rsidRPr="00CF4B08">
              <w:t>Discount cost and outcomes = 3.5% (</w:t>
            </w:r>
            <w:r w:rsidR="006111EC" w:rsidRPr="00CF4B08">
              <w:t xml:space="preserve">BC </w:t>
            </w:r>
            <w:r w:rsidRPr="00CF4B08">
              <w:t>= 5%)</w:t>
            </w:r>
          </w:p>
        </w:tc>
        <w:tc>
          <w:tcPr>
            <w:tcW w:w="992" w:type="dxa"/>
            <w:vAlign w:val="center"/>
          </w:tcPr>
          <w:p w14:paraId="7B351EE8" w14:textId="1EA2A09F"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12"/>
                <w14:textFill>
                  <w14:solidFill>
                    <w14:srgbClr w14:val="000000">
                      <w14:alpha w14:val="100000"/>
                    </w14:srgbClr>
                  </w14:solidFill>
                </w14:textFill>
              </w:rPr>
              <w:t>|</w:t>
            </w:r>
            <w:r w:rsidRPr="001549E4">
              <w:rPr>
                <w:color w:val="000000"/>
                <w:spacing w:val="1"/>
                <w:shd w:val="solid" w:color="000000" w:fill="000000"/>
                <w:fitText w:val="161" w:id="-693991412"/>
                <w14:textFill>
                  <w14:solidFill>
                    <w14:srgbClr w14:val="000000">
                      <w14:alpha w14:val="100000"/>
                    </w14:srgbClr>
                  </w14:solidFill>
                </w14:textFill>
              </w:rPr>
              <w:t>|</w:t>
            </w:r>
            <w:r w:rsidR="00BB1289" w:rsidRPr="00BB1289">
              <w:t xml:space="preserve"> </w:t>
            </w:r>
          </w:p>
        </w:tc>
        <w:tc>
          <w:tcPr>
            <w:tcW w:w="850" w:type="dxa"/>
            <w:vAlign w:val="center"/>
          </w:tcPr>
          <w:p w14:paraId="3FEF96B4" w14:textId="77777777" w:rsidR="0010194C" w:rsidRPr="00CF4B08" w:rsidRDefault="0010194C" w:rsidP="00EF777F">
            <w:pPr>
              <w:pStyle w:val="Tabletext"/>
              <w:keepLines/>
              <w:jc w:val="center"/>
            </w:pPr>
            <w:r w:rsidRPr="00CF4B08">
              <w:t>1.54</w:t>
            </w:r>
          </w:p>
        </w:tc>
        <w:tc>
          <w:tcPr>
            <w:tcW w:w="993" w:type="dxa"/>
            <w:vAlign w:val="center"/>
          </w:tcPr>
          <w:p w14:paraId="65754AEF" w14:textId="566C07CD" w:rsidR="0010194C" w:rsidRPr="005A28BB" w:rsidRDefault="001549E4" w:rsidP="00EF777F">
            <w:pPr>
              <w:pStyle w:val="Tabletext"/>
              <w:keepLines/>
              <w:jc w:val="center"/>
              <w:rPr>
                <w:highlight w:val="darkGray"/>
              </w:rPr>
            </w:pPr>
            <w:r w:rsidRPr="001549E4">
              <w:rPr>
                <w:color w:val="000000"/>
                <w:spacing w:val="98"/>
                <w:shd w:val="solid" w:color="000000" w:fill="000000"/>
                <w:fitText w:val="184" w:id="-693991411"/>
                <w14:textFill>
                  <w14:solidFill>
                    <w14:srgbClr w14:val="000000">
                      <w14:alpha w14:val="100000"/>
                    </w14:srgbClr>
                  </w14:solidFill>
                </w14:textFill>
              </w:rPr>
              <w:t>|</w:t>
            </w:r>
            <w:r w:rsidRPr="001549E4">
              <w:rPr>
                <w:color w:val="000000"/>
                <w:spacing w:val="1"/>
                <w:shd w:val="solid" w:color="000000" w:fill="000000"/>
                <w:fitText w:val="184" w:id="-693991411"/>
                <w14:textFill>
                  <w14:solidFill>
                    <w14:srgbClr w14:val="000000">
                      <w14:alpha w14:val="100000"/>
                    </w14:srgbClr>
                  </w14:solidFill>
                </w14:textFill>
              </w:rPr>
              <w:t>|</w:t>
            </w:r>
            <w:r w:rsidR="00CB19AB" w:rsidRPr="00CB19AB">
              <w:rPr>
                <w:vertAlign w:val="superscript"/>
              </w:rPr>
              <w:t>4</w:t>
            </w:r>
          </w:p>
        </w:tc>
        <w:tc>
          <w:tcPr>
            <w:tcW w:w="658" w:type="dxa"/>
            <w:vAlign w:val="center"/>
          </w:tcPr>
          <w:p w14:paraId="5FC8A0F8" w14:textId="1216FA48" w:rsidR="0010194C" w:rsidRPr="00CF4B08" w:rsidRDefault="0010194C" w:rsidP="00EF777F">
            <w:pPr>
              <w:pStyle w:val="Tabletext"/>
              <w:keepLines/>
              <w:jc w:val="center"/>
            </w:pPr>
            <w:r w:rsidRPr="00CF4B08">
              <w:t>-</w:t>
            </w:r>
            <w:r w:rsidR="001549E4" w:rsidRPr="001549E4">
              <w:rPr>
                <w:color w:val="000000"/>
                <w:spacing w:val="122"/>
                <w:shd w:val="solid" w:color="000000" w:fill="000000"/>
                <w:fitText w:val="208" w:id="-693991410"/>
                <w14:textFill>
                  <w14:solidFill>
                    <w14:srgbClr w14:val="000000">
                      <w14:alpha w14:val="100000"/>
                    </w14:srgbClr>
                  </w14:solidFill>
                </w14:textFill>
              </w:rPr>
              <w:t>|</w:t>
            </w:r>
            <w:r w:rsidR="001549E4" w:rsidRPr="001549E4">
              <w:rPr>
                <w:color w:val="000000"/>
                <w:spacing w:val="1"/>
                <w:shd w:val="solid" w:color="000000" w:fill="000000"/>
                <w:fitText w:val="208" w:id="-693991410"/>
                <w14:textFill>
                  <w14:solidFill>
                    <w14:srgbClr w14:val="000000">
                      <w14:alpha w14:val="100000"/>
                    </w14:srgbClr>
                  </w14:solidFill>
                </w14:textFill>
              </w:rPr>
              <w:t>|</w:t>
            </w:r>
            <w:r w:rsidRPr="00CF4B08">
              <w:t>%</w:t>
            </w:r>
          </w:p>
        </w:tc>
      </w:tr>
      <w:tr w:rsidR="0010194C" w:rsidRPr="00CF4B08" w14:paraId="1D643B84" w14:textId="77777777" w:rsidTr="00EA7B7B">
        <w:tc>
          <w:tcPr>
            <w:tcW w:w="5524" w:type="dxa"/>
            <w:vAlign w:val="center"/>
          </w:tcPr>
          <w:p w14:paraId="1B8498B9" w14:textId="616A1788" w:rsidR="0010194C" w:rsidRPr="00CF4B08" w:rsidRDefault="0010194C" w:rsidP="00EF777F">
            <w:pPr>
              <w:pStyle w:val="Tabletext"/>
              <w:keepLines/>
            </w:pPr>
            <w:r w:rsidRPr="00CF4B08">
              <w:t>Caregiver disutility included (</w:t>
            </w:r>
            <w:r w:rsidR="006111EC" w:rsidRPr="00CF4B08">
              <w:t xml:space="preserve">BC </w:t>
            </w:r>
            <w:r w:rsidRPr="00CF4B08">
              <w:t>= excluded)</w:t>
            </w:r>
          </w:p>
        </w:tc>
        <w:tc>
          <w:tcPr>
            <w:tcW w:w="992" w:type="dxa"/>
            <w:vAlign w:val="center"/>
          </w:tcPr>
          <w:p w14:paraId="48E3B1DF" w14:textId="4906946D"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09"/>
                <w14:textFill>
                  <w14:solidFill>
                    <w14:srgbClr w14:val="000000">
                      <w14:alpha w14:val="100000"/>
                    </w14:srgbClr>
                  </w14:solidFill>
                </w14:textFill>
              </w:rPr>
              <w:t>|</w:t>
            </w:r>
            <w:r w:rsidRPr="001549E4">
              <w:rPr>
                <w:color w:val="000000"/>
                <w:spacing w:val="1"/>
                <w:shd w:val="solid" w:color="000000" w:fill="000000"/>
                <w:fitText w:val="161" w:id="-693991409"/>
                <w14:textFill>
                  <w14:solidFill>
                    <w14:srgbClr w14:val="000000">
                      <w14:alpha w14:val="100000"/>
                    </w14:srgbClr>
                  </w14:solidFill>
                </w14:textFill>
              </w:rPr>
              <w:t>|</w:t>
            </w:r>
            <w:r w:rsidR="00BB1289" w:rsidRPr="00BB1289">
              <w:t xml:space="preserve"> </w:t>
            </w:r>
          </w:p>
        </w:tc>
        <w:tc>
          <w:tcPr>
            <w:tcW w:w="850" w:type="dxa"/>
            <w:vAlign w:val="center"/>
          </w:tcPr>
          <w:p w14:paraId="622B887C" w14:textId="77777777" w:rsidR="0010194C" w:rsidRPr="00CF4B08" w:rsidRDefault="0010194C" w:rsidP="00EF777F">
            <w:pPr>
              <w:pStyle w:val="Tabletext"/>
              <w:keepLines/>
              <w:jc w:val="center"/>
            </w:pPr>
            <w:r w:rsidRPr="00CF4B08">
              <w:t>1.48</w:t>
            </w:r>
          </w:p>
        </w:tc>
        <w:tc>
          <w:tcPr>
            <w:tcW w:w="993" w:type="dxa"/>
            <w:vAlign w:val="center"/>
          </w:tcPr>
          <w:p w14:paraId="3B1FDA09" w14:textId="1A38CDD3" w:rsidR="0010194C" w:rsidRPr="005A28BB" w:rsidRDefault="001549E4" w:rsidP="00EF777F">
            <w:pPr>
              <w:pStyle w:val="Tabletext"/>
              <w:keepLines/>
              <w:jc w:val="center"/>
              <w:rPr>
                <w:highlight w:val="darkGray"/>
              </w:rPr>
            </w:pPr>
            <w:r w:rsidRPr="001549E4">
              <w:rPr>
                <w:color w:val="000000"/>
                <w:spacing w:val="98"/>
                <w:shd w:val="solid" w:color="000000" w:fill="000000"/>
                <w:fitText w:val="184" w:id="-693991408"/>
                <w14:textFill>
                  <w14:solidFill>
                    <w14:srgbClr w14:val="000000">
                      <w14:alpha w14:val="100000"/>
                    </w14:srgbClr>
                  </w14:solidFill>
                </w14:textFill>
              </w:rPr>
              <w:t>|</w:t>
            </w:r>
            <w:r w:rsidRPr="001549E4">
              <w:rPr>
                <w:color w:val="000000"/>
                <w:spacing w:val="1"/>
                <w:shd w:val="solid" w:color="000000" w:fill="000000"/>
                <w:fitText w:val="184" w:id="-693991408"/>
                <w14:textFill>
                  <w14:solidFill>
                    <w14:srgbClr w14:val="000000">
                      <w14:alpha w14:val="100000"/>
                    </w14:srgbClr>
                  </w14:solidFill>
                </w14:textFill>
              </w:rPr>
              <w:t>|</w:t>
            </w:r>
            <w:r w:rsidR="00BA17BB" w:rsidRPr="00CB19AB">
              <w:rPr>
                <w:vertAlign w:val="superscript"/>
              </w:rPr>
              <w:t>4</w:t>
            </w:r>
          </w:p>
        </w:tc>
        <w:tc>
          <w:tcPr>
            <w:tcW w:w="658" w:type="dxa"/>
            <w:vAlign w:val="center"/>
          </w:tcPr>
          <w:p w14:paraId="4FFC4EB4" w14:textId="2D056CA0" w:rsidR="0010194C" w:rsidRPr="00CF4B08" w:rsidRDefault="0010194C" w:rsidP="00EF777F">
            <w:pPr>
              <w:pStyle w:val="Tabletext"/>
              <w:keepLines/>
              <w:jc w:val="center"/>
            </w:pPr>
            <w:r w:rsidRPr="00CF4B08">
              <w:t>-</w:t>
            </w:r>
            <w:r w:rsidR="001549E4" w:rsidRPr="001549E4">
              <w:rPr>
                <w:color w:val="000000"/>
                <w:spacing w:val="122"/>
                <w:shd w:val="solid" w:color="000000" w:fill="000000"/>
                <w:fitText w:val="208" w:id="-693991424"/>
                <w14:textFill>
                  <w14:solidFill>
                    <w14:srgbClr w14:val="000000">
                      <w14:alpha w14:val="100000"/>
                    </w14:srgbClr>
                  </w14:solidFill>
                </w14:textFill>
              </w:rPr>
              <w:t>|</w:t>
            </w:r>
            <w:r w:rsidR="001549E4" w:rsidRPr="001549E4">
              <w:rPr>
                <w:color w:val="000000"/>
                <w:spacing w:val="1"/>
                <w:shd w:val="solid" w:color="000000" w:fill="000000"/>
                <w:fitText w:val="208" w:id="-693991424"/>
                <w14:textFill>
                  <w14:solidFill>
                    <w14:srgbClr w14:val="000000">
                      <w14:alpha w14:val="100000"/>
                    </w14:srgbClr>
                  </w14:solidFill>
                </w14:textFill>
              </w:rPr>
              <w:t>|</w:t>
            </w:r>
            <w:r w:rsidRPr="00CF4B08">
              <w:t>%</w:t>
            </w:r>
          </w:p>
        </w:tc>
      </w:tr>
      <w:tr w:rsidR="0010194C" w:rsidRPr="00CF4B08" w14:paraId="23494EB3" w14:textId="77777777" w:rsidTr="00EA7B7B">
        <w:tc>
          <w:tcPr>
            <w:tcW w:w="5524" w:type="dxa"/>
            <w:vAlign w:val="center"/>
          </w:tcPr>
          <w:p w14:paraId="294BEE8D" w14:textId="701C4935" w:rsidR="0010194C" w:rsidRPr="00CF4B08" w:rsidRDefault="0010194C" w:rsidP="00EF777F">
            <w:pPr>
              <w:pStyle w:val="Tabletext"/>
              <w:keepLines/>
            </w:pPr>
            <w:r w:rsidRPr="00CF4B08">
              <w:t>Societal perspective adopted includes productivity losses (</w:t>
            </w:r>
            <w:r w:rsidR="006111EC" w:rsidRPr="00CF4B08">
              <w:t xml:space="preserve">BC </w:t>
            </w:r>
            <w:r w:rsidRPr="00CF4B08">
              <w:t>= excluded)</w:t>
            </w:r>
          </w:p>
        </w:tc>
        <w:tc>
          <w:tcPr>
            <w:tcW w:w="992" w:type="dxa"/>
            <w:vAlign w:val="center"/>
          </w:tcPr>
          <w:p w14:paraId="610B6885" w14:textId="46AF77FB"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23"/>
                <w14:textFill>
                  <w14:solidFill>
                    <w14:srgbClr w14:val="000000">
                      <w14:alpha w14:val="100000"/>
                    </w14:srgbClr>
                  </w14:solidFill>
                </w14:textFill>
              </w:rPr>
              <w:t>|</w:t>
            </w:r>
            <w:r w:rsidRPr="001549E4">
              <w:rPr>
                <w:color w:val="000000"/>
                <w:spacing w:val="1"/>
                <w:shd w:val="solid" w:color="000000" w:fill="000000"/>
                <w:fitText w:val="161" w:id="-693991423"/>
                <w14:textFill>
                  <w14:solidFill>
                    <w14:srgbClr w14:val="000000">
                      <w14:alpha w14:val="100000"/>
                    </w14:srgbClr>
                  </w14:solidFill>
                </w14:textFill>
              </w:rPr>
              <w:t>|</w:t>
            </w:r>
            <w:r w:rsidR="00BB1289" w:rsidRPr="00BB1289">
              <w:t xml:space="preserve"> </w:t>
            </w:r>
          </w:p>
        </w:tc>
        <w:tc>
          <w:tcPr>
            <w:tcW w:w="850" w:type="dxa"/>
            <w:vAlign w:val="center"/>
          </w:tcPr>
          <w:p w14:paraId="0DB5933B" w14:textId="77777777" w:rsidR="0010194C" w:rsidRPr="00CF4B08" w:rsidRDefault="0010194C" w:rsidP="00EF777F">
            <w:pPr>
              <w:pStyle w:val="Tabletext"/>
              <w:keepLines/>
              <w:jc w:val="center"/>
            </w:pPr>
            <w:r w:rsidRPr="00CF4B08">
              <w:t>1.21</w:t>
            </w:r>
          </w:p>
        </w:tc>
        <w:tc>
          <w:tcPr>
            <w:tcW w:w="993" w:type="dxa"/>
            <w:vAlign w:val="center"/>
          </w:tcPr>
          <w:p w14:paraId="09DDFAE8" w14:textId="37A6149C" w:rsidR="0010194C" w:rsidRPr="005A28BB" w:rsidRDefault="001549E4" w:rsidP="00EF777F">
            <w:pPr>
              <w:pStyle w:val="Tabletext"/>
              <w:keepLines/>
              <w:jc w:val="center"/>
              <w:rPr>
                <w:highlight w:val="darkGray"/>
              </w:rPr>
            </w:pPr>
            <w:r w:rsidRPr="001549E4">
              <w:rPr>
                <w:color w:val="000000"/>
                <w:spacing w:val="98"/>
                <w:shd w:val="solid" w:color="000000" w:fill="000000"/>
                <w:fitText w:val="184" w:id="-693991422"/>
                <w14:textFill>
                  <w14:solidFill>
                    <w14:srgbClr w14:val="000000">
                      <w14:alpha w14:val="100000"/>
                    </w14:srgbClr>
                  </w14:solidFill>
                </w14:textFill>
              </w:rPr>
              <w:t>|</w:t>
            </w:r>
            <w:r w:rsidRPr="001549E4">
              <w:rPr>
                <w:color w:val="000000"/>
                <w:spacing w:val="1"/>
                <w:shd w:val="solid" w:color="000000" w:fill="000000"/>
                <w:fitText w:val="184" w:id="-693991422"/>
                <w14:textFill>
                  <w14:solidFill>
                    <w14:srgbClr w14:val="000000">
                      <w14:alpha w14:val="100000"/>
                    </w14:srgbClr>
                  </w14:solidFill>
                </w14:textFill>
              </w:rPr>
              <w:t>|</w:t>
            </w:r>
            <w:r w:rsidR="00BA17BB" w:rsidRPr="00CB19AB">
              <w:rPr>
                <w:vertAlign w:val="superscript"/>
              </w:rPr>
              <w:t>4</w:t>
            </w:r>
          </w:p>
        </w:tc>
        <w:tc>
          <w:tcPr>
            <w:tcW w:w="658" w:type="dxa"/>
            <w:vAlign w:val="center"/>
          </w:tcPr>
          <w:p w14:paraId="1BA4FB4C" w14:textId="13A9F171" w:rsidR="0010194C" w:rsidRPr="00CF4B08" w:rsidRDefault="0010194C" w:rsidP="00EF777F">
            <w:pPr>
              <w:pStyle w:val="Tabletext"/>
              <w:keepLines/>
              <w:jc w:val="center"/>
            </w:pPr>
            <w:r w:rsidRPr="00CF4B08">
              <w:t>-</w:t>
            </w:r>
            <w:r w:rsidR="001549E4" w:rsidRPr="001549E4">
              <w:rPr>
                <w:color w:val="000000"/>
                <w:spacing w:val="122"/>
                <w:shd w:val="solid" w:color="000000" w:fill="000000"/>
                <w:fitText w:val="208" w:id="-693991421"/>
                <w14:textFill>
                  <w14:solidFill>
                    <w14:srgbClr w14:val="000000">
                      <w14:alpha w14:val="100000"/>
                    </w14:srgbClr>
                  </w14:solidFill>
                </w14:textFill>
              </w:rPr>
              <w:t>|</w:t>
            </w:r>
            <w:r w:rsidR="001549E4" w:rsidRPr="001549E4">
              <w:rPr>
                <w:color w:val="000000"/>
                <w:spacing w:val="1"/>
                <w:shd w:val="solid" w:color="000000" w:fill="000000"/>
                <w:fitText w:val="208" w:id="-693991421"/>
                <w14:textFill>
                  <w14:solidFill>
                    <w14:srgbClr w14:val="000000">
                      <w14:alpha w14:val="100000"/>
                    </w14:srgbClr>
                  </w14:solidFill>
                </w14:textFill>
              </w:rPr>
              <w:t>|</w:t>
            </w:r>
            <w:r w:rsidRPr="00CF4B08">
              <w:t>%</w:t>
            </w:r>
          </w:p>
        </w:tc>
      </w:tr>
      <w:tr w:rsidR="0010194C" w:rsidRPr="00CF4B08" w14:paraId="3D68999A" w14:textId="77777777" w:rsidTr="00EA7B7B">
        <w:tc>
          <w:tcPr>
            <w:tcW w:w="5524" w:type="dxa"/>
            <w:tcBorders>
              <w:bottom w:val="single" w:sz="4" w:space="0" w:color="auto"/>
            </w:tcBorders>
            <w:vAlign w:val="center"/>
          </w:tcPr>
          <w:p w14:paraId="4E5CEEC9" w14:textId="6276A5BC" w:rsidR="0010194C" w:rsidRPr="00CF4B08" w:rsidRDefault="0010194C" w:rsidP="00EF777F">
            <w:pPr>
              <w:pStyle w:val="Tabletext"/>
              <w:keepLines/>
            </w:pPr>
            <w:r w:rsidRPr="00CF4B08">
              <w:t>Age at baseline: 6 months old (</w:t>
            </w:r>
            <w:r w:rsidR="006111EC" w:rsidRPr="00CF4B08">
              <w:t>BC =</w:t>
            </w:r>
            <w:r w:rsidRPr="00CF4B08">
              <w:t xml:space="preserve"> mean age of 4.25 years)</w:t>
            </w:r>
          </w:p>
        </w:tc>
        <w:tc>
          <w:tcPr>
            <w:tcW w:w="992" w:type="dxa"/>
            <w:tcBorders>
              <w:bottom w:val="single" w:sz="4" w:space="0" w:color="auto"/>
            </w:tcBorders>
            <w:vAlign w:val="center"/>
          </w:tcPr>
          <w:p w14:paraId="5E4172FA" w14:textId="4CDC1009" w:rsidR="0010194C" w:rsidRPr="005A28BB" w:rsidRDefault="001549E4" w:rsidP="00EF777F">
            <w:pPr>
              <w:pStyle w:val="Tabletext"/>
              <w:keepLines/>
              <w:jc w:val="center"/>
              <w:rPr>
                <w:highlight w:val="darkGray"/>
              </w:rPr>
            </w:pPr>
            <w:r w:rsidRPr="001549E4">
              <w:rPr>
                <w:color w:val="000000"/>
                <w:spacing w:val="75"/>
                <w:shd w:val="solid" w:color="000000" w:fill="000000"/>
                <w:fitText w:val="161" w:id="-693991420"/>
                <w14:textFill>
                  <w14:solidFill>
                    <w14:srgbClr w14:val="000000">
                      <w14:alpha w14:val="100000"/>
                    </w14:srgbClr>
                  </w14:solidFill>
                </w14:textFill>
              </w:rPr>
              <w:t>|</w:t>
            </w:r>
            <w:r w:rsidRPr="001549E4">
              <w:rPr>
                <w:color w:val="000000"/>
                <w:spacing w:val="1"/>
                <w:shd w:val="solid" w:color="000000" w:fill="000000"/>
                <w:fitText w:val="161" w:id="-693991420"/>
                <w14:textFill>
                  <w14:solidFill>
                    <w14:srgbClr w14:val="000000">
                      <w14:alpha w14:val="100000"/>
                    </w14:srgbClr>
                  </w14:solidFill>
                </w14:textFill>
              </w:rPr>
              <w:t>|</w:t>
            </w:r>
            <w:r w:rsidR="00BB1289" w:rsidRPr="00BB1289">
              <w:t xml:space="preserve"> </w:t>
            </w:r>
          </w:p>
        </w:tc>
        <w:tc>
          <w:tcPr>
            <w:tcW w:w="850" w:type="dxa"/>
            <w:tcBorders>
              <w:bottom w:val="single" w:sz="4" w:space="0" w:color="auto"/>
            </w:tcBorders>
            <w:vAlign w:val="center"/>
          </w:tcPr>
          <w:p w14:paraId="0FE4D87C" w14:textId="77777777" w:rsidR="0010194C" w:rsidRPr="00CF4B08" w:rsidRDefault="0010194C" w:rsidP="00EF777F">
            <w:pPr>
              <w:pStyle w:val="Tabletext"/>
              <w:keepLines/>
              <w:jc w:val="center"/>
            </w:pPr>
            <w:r w:rsidRPr="00CF4B08">
              <w:t>1.22</w:t>
            </w:r>
          </w:p>
        </w:tc>
        <w:tc>
          <w:tcPr>
            <w:tcW w:w="993" w:type="dxa"/>
            <w:tcBorders>
              <w:bottom w:val="single" w:sz="4" w:space="0" w:color="auto"/>
            </w:tcBorders>
            <w:vAlign w:val="center"/>
          </w:tcPr>
          <w:p w14:paraId="5951C398" w14:textId="7110B213" w:rsidR="0010194C" w:rsidRPr="005A28BB" w:rsidRDefault="001549E4" w:rsidP="00EF777F">
            <w:pPr>
              <w:pStyle w:val="Tabletext"/>
              <w:keepLines/>
              <w:jc w:val="center"/>
              <w:rPr>
                <w:highlight w:val="darkGray"/>
              </w:rPr>
            </w:pPr>
            <w:r w:rsidRPr="001549E4">
              <w:rPr>
                <w:color w:val="000000"/>
                <w:spacing w:val="98"/>
                <w:shd w:val="solid" w:color="000000" w:fill="000000"/>
                <w:fitText w:val="184" w:id="-693991168"/>
                <w14:textFill>
                  <w14:solidFill>
                    <w14:srgbClr w14:val="000000">
                      <w14:alpha w14:val="100000"/>
                    </w14:srgbClr>
                  </w14:solidFill>
                </w14:textFill>
              </w:rPr>
              <w:t>|</w:t>
            </w:r>
            <w:r w:rsidRPr="001549E4">
              <w:rPr>
                <w:color w:val="000000"/>
                <w:spacing w:val="1"/>
                <w:shd w:val="solid" w:color="000000" w:fill="000000"/>
                <w:fitText w:val="184" w:id="-693991168"/>
                <w14:textFill>
                  <w14:solidFill>
                    <w14:srgbClr w14:val="000000">
                      <w14:alpha w14:val="100000"/>
                    </w14:srgbClr>
                  </w14:solidFill>
                </w14:textFill>
              </w:rPr>
              <w:t>|</w:t>
            </w:r>
            <w:r w:rsidR="00BA17BB" w:rsidRPr="00CB19AB">
              <w:rPr>
                <w:vertAlign w:val="superscript"/>
              </w:rPr>
              <w:t>4</w:t>
            </w:r>
          </w:p>
        </w:tc>
        <w:tc>
          <w:tcPr>
            <w:tcW w:w="658" w:type="dxa"/>
            <w:tcBorders>
              <w:bottom w:val="single" w:sz="4" w:space="0" w:color="auto"/>
            </w:tcBorders>
            <w:vAlign w:val="center"/>
          </w:tcPr>
          <w:p w14:paraId="30C9810D" w14:textId="3A95609A" w:rsidR="0010194C" w:rsidRPr="00CF4B08" w:rsidRDefault="0010194C" w:rsidP="00EF777F">
            <w:pPr>
              <w:pStyle w:val="Tabletext"/>
              <w:keepLines/>
              <w:jc w:val="center"/>
            </w:pPr>
            <w:r w:rsidRPr="00CF4B08">
              <w:t>-</w:t>
            </w:r>
            <w:r w:rsidR="001549E4" w:rsidRPr="001549E4">
              <w:rPr>
                <w:color w:val="000000"/>
                <w:spacing w:val="122"/>
                <w:shd w:val="solid" w:color="000000" w:fill="000000"/>
                <w:fitText w:val="208" w:id="-693991167"/>
                <w14:textFill>
                  <w14:solidFill>
                    <w14:srgbClr w14:val="000000">
                      <w14:alpha w14:val="100000"/>
                    </w14:srgbClr>
                  </w14:solidFill>
                </w14:textFill>
              </w:rPr>
              <w:t>|</w:t>
            </w:r>
            <w:r w:rsidR="001549E4" w:rsidRPr="001549E4">
              <w:rPr>
                <w:color w:val="000000"/>
                <w:spacing w:val="1"/>
                <w:shd w:val="solid" w:color="000000" w:fill="000000"/>
                <w:fitText w:val="208" w:id="-693991167"/>
                <w14:textFill>
                  <w14:solidFill>
                    <w14:srgbClr w14:val="000000">
                      <w14:alpha w14:val="100000"/>
                    </w14:srgbClr>
                  </w14:solidFill>
                </w14:textFill>
              </w:rPr>
              <w:t>|</w:t>
            </w:r>
            <w:r w:rsidRPr="00CF4B08">
              <w:t>%</w:t>
            </w:r>
          </w:p>
        </w:tc>
      </w:tr>
      <w:tr w:rsidR="0010194C" w:rsidRPr="00CF4B08" w14:paraId="037D4EA2" w14:textId="77777777" w:rsidTr="00137251">
        <w:tc>
          <w:tcPr>
            <w:tcW w:w="6516" w:type="dxa"/>
            <w:gridSpan w:val="2"/>
            <w:tcBorders>
              <w:right w:val="single" w:sz="4" w:space="0" w:color="FFFFFF" w:themeColor="background1"/>
            </w:tcBorders>
            <w:vAlign w:val="center"/>
          </w:tcPr>
          <w:p w14:paraId="5920D62A" w14:textId="545EF193" w:rsidR="0010194C" w:rsidRPr="00CF4B08" w:rsidRDefault="0010194C" w:rsidP="00EF777F">
            <w:pPr>
              <w:pStyle w:val="Tabletext"/>
              <w:keepLines/>
            </w:pPr>
            <w:r w:rsidRPr="00CF4B08">
              <w:rPr>
                <w:b/>
                <w:bCs/>
              </w:rPr>
              <w:t>Additional sensitivity analyses conducted during evaluation</w:t>
            </w:r>
          </w:p>
        </w:tc>
        <w:tc>
          <w:tcPr>
            <w:tcW w:w="850" w:type="dxa"/>
            <w:tcBorders>
              <w:left w:val="single" w:sz="4" w:space="0" w:color="FFFFFF" w:themeColor="background1"/>
              <w:right w:val="single" w:sz="4" w:space="0" w:color="FFFFFF" w:themeColor="background1"/>
            </w:tcBorders>
            <w:vAlign w:val="center"/>
          </w:tcPr>
          <w:p w14:paraId="5BC4E172" w14:textId="77777777" w:rsidR="0010194C" w:rsidRPr="00CF4B08" w:rsidRDefault="0010194C" w:rsidP="00EF777F">
            <w:pPr>
              <w:pStyle w:val="Tabletext"/>
              <w:keepLines/>
              <w:jc w:val="center"/>
            </w:pPr>
          </w:p>
        </w:tc>
        <w:tc>
          <w:tcPr>
            <w:tcW w:w="993" w:type="dxa"/>
            <w:tcBorders>
              <w:left w:val="single" w:sz="4" w:space="0" w:color="FFFFFF" w:themeColor="background1"/>
              <w:right w:val="single" w:sz="4" w:space="0" w:color="FFFFFF" w:themeColor="background1"/>
            </w:tcBorders>
            <w:vAlign w:val="center"/>
          </w:tcPr>
          <w:p w14:paraId="2B09CA9A" w14:textId="77777777" w:rsidR="0010194C" w:rsidRPr="00CF4B08" w:rsidRDefault="0010194C" w:rsidP="00EF777F">
            <w:pPr>
              <w:pStyle w:val="Tabletext"/>
              <w:keepLines/>
              <w:jc w:val="center"/>
            </w:pPr>
          </w:p>
        </w:tc>
        <w:tc>
          <w:tcPr>
            <w:tcW w:w="658" w:type="dxa"/>
            <w:tcBorders>
              <w:left w:val="single" w:sz="4" w:space="0" w:color="FFFFFF" w:themeColor="background1"/>
            </w:tcBorders>
            <w:vAlign w:val="center"/>
          </w:tcPr>
          <w:p w14:paraId="31AE36E9" w14:textId="77777777" w:rsidR="0010194C" w:rsidRPr="00CF4B08" w:rsidRDefault="0010194C" w:rsidP="00EF777F">
            <w:pPr>
              <w:pStyle w:val="Tabletext"/>
              <w:keepLines/>
              <w:jc w:val="center"/>
            </w:pPr>
          </w:p>
        </w:tc>
      </w:tr>
      <w:tr w:rsidR="00AA0145" w:rsidRPr="00CF4B08" w14:paraId="10927FD2" w14:textId="77777777" w:rsidTr="00EA7B7B">
        <w:trPr>
          <w:trHeight w:val="20"/>
        </w:trPr>
        <w:tc>
          <w:tcPr>
            <w:tcW w:w="5524" w:type="dxa"/>
            <w:shd w:val="clear" w:color="auto" w:fill="auto"/>
            <w:noWrap/>
            <w:vAlign w:val="bottom"/>
          </w:tcPr>
          <w:p w14:paraId="56B70079" w14:textId="10160C00" w:rsidR="004E49F7" w:rsidRDefault="00AA2942" w:rsidP="00EF777F">
            <w:pPr>
              <w:pStyle w:val="Tabletext"/>
              <w:keepLines/>
            </w:pPr>
            <w:r>
              <w:t>‘</w:t>
            </w:r>
            <w:r w:rsidR="001549E4" w:rsidRPr="001549E4">
              <w:rPr>
                <w:color w:val="000000"/>
                <w:spacing w:val="50"/>
                <w:shd w:val="solid" w:color="000000" w:fill="000000"/>
                <w:fitText w:val="323" w:id="-693991166"/>
                <w14:textFill>
                  <w14:solidFill>
                    <w14:srgbClr w14:val="000000">
                      <w14:alpha w14:val="100000"/>
                    </w14:srgbClr>
                  </w14:solidFill>
                </w14:textFill>
              </w:rPr>
              <w:t>|||</w:t>
            </w:r>
            <w:r w:rsidR="001549E4" w:rsidRPr="001549E4">
              <w:rPr>
                <w:color w:val="000000"/>
                <w:spacing w:val="3"/>
                <w:shd w:val="solid" w:color="000000" w:fill="000000"/>
                <w:fitText w:val="323" w:id="-693991166"/>
                <w14:textFill>
                  <w14:solidFill>
                    <w14:srgbClr w14:val="000000">
                      <w14:alpha w14:val="100000"/>
                    </w14:srgbClr>
                  </w14:solidFill>
                </w14:textFill>
              </w:rPr>
              <w:t>|</w:t>
            </w:r>
            <w:r w:rsidR="00BB1289" w:rsidRPr="00BB1289">
              <w:t xml:space="preserve"> </w:t>
            </w:r>
            <w:r w:rsidR="001549E4" w:rsidRPr="001549E4">
              <w:rPr>
                <w:color w:val="000000"/>
                <w:spacing w:val="50"/>
                <w:shd w:val="solid" w:color="000000" w:fill="000000"/>
                <w:fitText w:val="322" w:id="-693991165"/>
                <w14:textFill>
                  <w14:solidFill>
                    <w14:srgbClr w14:val="000000">
                      <w14:alpha w14:val="100000"/>
                    </w14:srgbClr>
                  </w14:solidFill>
                </w14:textFill>
              </w:rPr>
              <w:t>|||</w:t>
            </w:r>
            <w:r w:rsidR="001549E4" w:rsidRPr="001549E4">
              <w:rPr>
                <w:color w:val="000000"/>
                <w:spacing w:val="2"/>
                <w:shd w:val="solid" w:color="000000" w:fill="000000"/>
                <w:fitText w:val="322" w:id="-693991165"/>
                <w14:textFill>
                  <w14:solidFill>
                    <w14:srgbClr w14:val="000000">
                      <w14:alpha w14:val="100000"/>
                    </w14:srgbClr>
                  </w14:solidFill>
                </w14:textFill>
              </w:rPr>
              <w:t>|</w:t>
            </w:r>
            <w:r>
              <w:t xml:space="preserve"> cost’ removed</w:t>
            </w:r>
            <w:r w:rsidR="004E49F7">
              <w:t xml:space="preserve"> + </w:t>
            </w:r>
          </w:p>
          <w:p w14:paraId="2197560F" w14:textId="7FFF6023" w:rsidR="00AA0145" w:rsidRPr="00CF4B08" w:rsidRDefault="00AA0145" w:rsidP="00EF777F">
            <w:pPr>
              <w:pStyle w:val="Tabletext"/>
              <w:keepLines/>
            </w:pPr>
            <w:r w:rsidRPr="00CF4B08">
              <w:t>Dose escalation from 40</w:t>
            </w:r>
            <w:r w:rsidR="0017081E">
              <w:t> mcg</w:t>
            </w:r>
            <w:r w:rsidRPr="00CF4B08">
              <w:t xml:space="preserve"> to 120</w:t>
            </w:r>
            <w:r w:rsidR="0017081E">
              <w:t> mcg</w:t>
            </w:r>
            <w:r w:rsidRPr="00CF4B08">
              <w:t xml:space="preserve"> </w:t>
            </w:r>
            <w:r w:rsidR="00124DF5" w:rsidRPr="00CF4B08">
              <w:t>allowed</w:t>
            </w:r>
            <w:r w:rsidRPr="00CF4B08">
              <w:t xml:space="preserve"> (response rate: combined dose = 62.28%) </w:t>
            </w:r>
          </w:p>
        </w:tc>
        <w:tc>
          <w:tcPr>
            <w:tcW w:w="992" w:type="dxa"/>
            <w:shd w:val="clear" w:color="auto" w:fill="auto"/>
            <w:noWrap/>
            <w:vAlign w:val="center"/>
          </w:tcPr>
          <w:p w14:paraId="45CD36FE" w14:textId="0667DE57" w:rsidR="00AA0145" w:rsidRPr="005A28BB" w:rsidRDefault="001549E4" w:rsidP="00EF777F">
            <w:pPr>
              <w:pStyle w:val="Tabletext"/>
              <w:keepLines/>
              <w:jc w:val="center"/>
              <w:rPr>
                <w:highlight w:val="darkGray"/>
              </w:rPr>
            </w:pPr>
            <w:r w:rsidRPr="001549E4">
              <w:rPr>
                <w:color w:val="000000"/>
                <w:spacing w:val="75"/>
                <w:shd w:val="solid" w:color="000000" w:fill="000000"/>
                <w:fitText w:val="161" w:id="-693991164"/>
                <w14:textFill>
                  <w14:solidFill>
                    <w14:srgbClr w14:val="000000">
                      <w14:alpha w14:val="100000"/>
                    </w14:srgbClr>
                  </w14:solidFill>
                </w14:textFill>
              </w:rPr>
              <w:t>|</w:t>
            </w:r>
            <w:r w:rsidRPr="001549E4">
              <w:rPr>
                <w:color w:val="000000"/>
                <w:spacing w:val="1"/>
                <w:shd w:val="solid" w:color="000000" w:fill="000000"/>
                <w:fitText w:val="161" w:id="-693991164"/>
                <w14:textFill>
                  <w14:solidFill>
                    <w14:srgbClr w14:val="000000">
                      <w14:alpha w14:val="100000"/>
                    </w14:srgbClr>
                  </w14:solidFill>
                </w14:textFill>
              </w:rPr>
              <w:t>|</w:t>
            </w:r>
            <w:r w:rsidR="00BB1289" w:rsidRPr="00BB1289">
              <w:t xml:space="preserve"> </w:t>
            </w:r>
          </w:p>
        </w:tc>
        <w:tc>
          <w:tcPr>
            <w:tcW w:w="850" w:type="dxa"/>
            <w:shd w:val="clear" w:color="auto" w:fill="auto"/>
            <w:noWrap/>
            <w:vAlign w:val="center"/>
          </w:tcPr>
          <w:p w14:paraId="6CC39B4B" w14:textId="2D7A8118" w:rsidR="00AA0145" w:rsidRPr="00CF4B08" w:rsidRDefault="00AA0145" w:rsidP="00EF777F">
            <w:pPr>
              <w:pStyle w:val="Tabletext"/>
              <w:keepLines/>
              <w:jc w:val="center"/>
            </w:pPr>
            <w:r w:rsidRPr="00CF4B08">
              <w:t>1.45</w:t>
            </w:r>
          </w:p>
        </w:tc>
        <w:tc>
          <w:tcPr>
            <w:tcW w:w="993" w:type="dxa"/>
            <w:tcBorders>
              <w:top w:val="single" w:sz="4" w:space="0" w:color="auto"/>
              <w:left w:val="nil"/>
              <w:bottom w:val="single" w:sz="4" w:space="0" w:color="auto"/>
              <w:right w:val="nil"/>
            </w:tcBorders>
            <w:shd w:val="clear" w:color="auto" w:fill="auto"/>
            <w:noWrap/>
            <w:vAlign w:val="center"/>
          </w:tcPr>
          <w:p w14:paraId="2729711A" w14:textId="292877DD" w:rsidR="00AA0145" w:rsidRPr="005A28BB" w:rsidRDefault="001549E4" w:rsidP="00EF777F">
            <w:pPr>
              <w:pStyle w:val="Tabletext"/>
              <w:keepLines/>
              <w:jc w:val="center"/>
              <w:rPr>
                <w:highlight w:val="darkGray"/>
              </w:rPr>
            </w:pPr>
            <w:r w:rsidRPr="001549E4">
              <w:rPr>
                <w:color w:val="000000"/>
                <w:spacing w:val="99"/>
                <w:shd w:val="solid" w:color="000000" w:fill="000000"/>
                <w:fitText w:val="185" w:id="-693991163"/>
                <w14:textFill>
                  <w14:solidFill>
                    <w14:srgbClr w14:val="000000">
                      <w14:alpha w14:val="100000"/>
                    </w14:srgbClr>
                  </w14:solidFill>
                </w14:textFill>
              </w:rPr>
              <w:t>|</w:t>
            </w:r>
            <w:r w:rsidRPr="001549E4">
              <w:rPr>
                <w:color w:val="000000"/>
                <w:spacing w:val="1"/>
                <w:shd w:val="solid" w:color="000000" w:fill="000000"/>
                <w:fitText w:val="185" w:id="-693991163"/>
                <w14:textFill>
                  <w14:solidFill>
                    <w14:srgbClr w14:val="000000">
                      <w14:alpha w14:val="100000"/>
                    </w14:srgbClr>
                  </w14:solidFill>
                </w14:textFill>
              </w:rPr>
              <w:t>|</w:t>
            </w:r>
            <w:r w:rsidR="00BA17BB" w:rsidRPr="00BA17BB">
              <w:rPr>
                <w:vertAlign w:val="superscript"/>
              </w:rPr>
              <w:t>5</w:t>
            </w:r>
          </w:p>
        </w:tc>
        <w:tc>
          <w:tcPr>
            <w:tcW w:w="658" w:type="dxa"/>
            <w:tcBorders>
              <w:top w:val="nil"/>
              <w:left w:val="single" w:sz="4" w:space="0" w:color="auto"/>
              <w:bottom w:val="single" w:sz="4" w:space="0" w:color="auto"/>
              <w:right w:val="single" w:sz="4" w:space="0" w:color="auto"/>
            </w:tcBorders>
            <w:shd w:val="clear" w:color="auto" w:fill="auto"/>
            <w:noWrap/>
            <w:vAlign w:val="center"/>
          </w:tcPr>
          <w:p w14:paraId="7BE4B8CD" w14:textId="2289138D" w:rsidR="00AA0145" w:rsidRPr="00CF4B08" w:rsidRDefault="001549E4" w:rsidP="00EF777F">
            <w:pPr>
              <w:pStyle w:val="Tabletext"/>
              <w:keepLines/>
              <w:jc w:val="center"/>
            </w:pPr>
            <w:r w:rsidRPr="001549E4">
              <w:rPr>
                <w:color w:val="000000"/>
                <w:spacing w:val="122"/>
                <w:shd w:val="solid" w:color="000000" w:fill="000000"/>
                <w:fitText w:val="208" w:id="-693991162"/>
                <w14:textFill>
                  <w14:solidFill>
                    <w14:srgbClr w14:val="000000">
                      <w14:alpha w14:val="100000"/>
                    </w14:srgbClr>
                  </w14:solidFill>
                </w14:textFill>
              </w:rPr>
              <w:t>|</w:t>
            </w:r>
            <w:r w:rsidRPr="001549E4">
              <w:rPr>
                <w:color w:val="000000"/>
                <w:spacing w:val="1"/>
                <w:shd w:val="solid" w:color="000000" w:fill="000000"/>
                <w:fitText w:val="208" w:id="-693991162"/>
                <w14:textFill>
                  <w14:solidFill>
                    <w14:srgbClr w14:val="000000">
                      <w14:alpha w14:val="100000"/>
                    </w14:srgbClr>
                  </w14:solidFill>
                </w14:textFill>
              </w:rPr>
              <w:t>|</w:t>
            </w:r>
            <w:r w:rsidR="00AA0145" w:rsidRPr="00CF4B08">
              <w:t>%</w:t>
            </w:r>
          </w:p>
        </w:tc>
      </w:tr>
      <w:tr w:rsidR="00AA0145" w:rsidRPr="00CF4B08" w14:paraId="497F026C" w14:textId="77777777" w:rsidTr="00EA7B7B">
        <w:trPr>
          <w:trHeight w:val="20"/>
        </w:trPr>
        <w:tc>
          <w:tcPr>
            <w:tcW w:w="5524" w:type="dxa"/>
            <w:noWrap/>
          </w:tcPr>
          <w:p w14:paraId="2D7EA9C8" w14:textId="3FEB4719" w:rsidR="00AA0145" w:rsidRPr="00CF4B08" w:rsidRDefault="00AA0145" w:rsidP="00EF777F">
            <w:pPr>
              <w:pStyle w:val="Tabletext"/>
              <w:keepLines/>
            </w:pPr>
            <w:r w:rsidRPr="00CF4B08">
              <w:t>Odevixibat annual loss of response set to 3.53% (BC = 12.01%)</w:t>
            </w:r>
          </w:p>
        </w:tc>
        <w:tc>
          <w:tcPr>
            <w:tcW w:w="992" w:type="dxa"/>
            <w:noWrap/>
            <w:vAlign w:val="center"/>
          </w:tcPr>
          <w:p w14:paraId="6F44212A" w14:textId="290ABBB1" w:rsidR="00AA0145" w:rsidRPr="005A28BB" w:rsidRDefault="001549E4" w:rsidP="00EF777F">
            <w:pPr>
              <w:pStyle w:val="Tabletext"/>
              <w:keepLines/>
              <w:jc w:val="center"/>
              <w:rPr>
                <w:highlight w:val="darkGray"/>
              </w:rPr>
            </w:pPr>
            <w:r w:rsidRPr="001549E4">
              <w:rPr>
                <w:color w:val="000000"/>
                <w:spacing w:val="75"/>
                <w:shd w:val="solid" w:color="000000" w:fill="000000"/>
                <w:fitText w:val="161" w:id="-693991161"/>
                <w14:textFill>
                  <w14:solidFill>
                    <w14:srgbClr w14:val="000000">
                      <w14:alpha w14:val="100000"/>
                    </w14:srgbClr>
                  </w14:solidFill>
                </w14:textFill>
              </w:rPr>
              <w:t>|</w:t>
            </w:r>
            <w:r w:rsidRPr="001549E4">
              <w:rPr>
                <w:color w:val="000000"/>
                <w:spacing w:val="1"/>
                <w:shd w:val="solid" w:color="000000" w:fill="000000"/>
                <w:fitText w:val="161" w:id="-693991161"/>
                <w14:textFill>
                  <w14:solidFill>
                    <w14:srgbClr w14:val="000000">
                      <w14:alpha w14:val="100000"/>
                    </w14:srgbClr>
                  </w14:solidFill>
                </w14:textFill>
              </w:rPr>
              <w:t>|</w:t>
            </w:r>
            <w:r w:rsidR="00BB1289" w:rsidRPr="00BB1289">
              <w:t xml:space="preserve"> </w:t>
            </w:r>
          </w:p>
        </w:tc>
        <w:tc>
          <w:tcPr>
            <w:tcW w:w="850" w:type="dxa"/>
            <w:noWrap/>
            <w:vAlign w:val="center"/>
          </w:tcPr>
          <w:p w14:paraId="23B93B5A" w14:textId="77777777" w:rsidR="00AA0145" w:rsidRPr="00CF4B08" w:rsidRDefault="00AA0145" w:rsidP="00EF777F">
            <w:pPr>
              <w:pStyle w:val="Tabletext"/>
              <w:keepLines/>
              <w:jc w:val="center"/>
            </w:pPr>
            <w:r w:rsidRPr="00CF4B08">
              <w:t>1.70</w:t>
            </w:r>
          </w:p>
        </w:tc>
        <w:tc>
          <w:tcPr>
            <w:tcW w:w="993" w:type="dxa"/>
            <w:noWrap/>
            <w:vAlign w:val="center"/>
          </w:tcPr>
          <w:p w14:paraId="14269F2D" w14:textId="2875A08F" w:rsidR="00AA0145" w:rsidRPr="005A28BB" w:rsidRDefault="001549E4" w:rsidP="00EF777F">
            <w:pPr>
              <w:pStyle w:val="Tabletext"/>
              <w:keepLines/>
              <w:jc w:val="center"/>
              <w:rPr>
                <w:highlight w:val="darkGray"/>
              </w:rPr>
            </w:pPr>
            <w:r w:rsidRPr="001549E4">
              <w:rPr>
                <w:color w:val="000000"/>
                <w:spacing w:val="98"/>
                <w:shd w:val="solid" w:color="000000" w:fill="000000"/>
                <w:fitText w:val="184" w:id="-693991160"/>
                <w14:textFill>
                  <w14:solidFill>
                    <w14:srgbClr w14:val="000000">
                      <w14:alpha w14:val="100000"/>
                    </w14:srgbClr>
                  </w14:solidFill>
                </w14:textFill>
              </w:rPr>
              <w:t>|</w:t>
            </w:r>
            <w:r w:rsidRPr="001549E4">
              <w:rPr>
                <w:color w:val="000000"/>
                <w:spacing w:val="1"/>
                <w:shd w:val="solid" w:color="000000" w:fill="000000"/>
                <w:fitText w:val="184" w:id="-693991160"/>
                <w14:textFill>
                  <w14:solidFill>
                    <w14:srgbClr w14:val="000000">
                      <w14:alpha w14:val="100000"/>
                    </w14:srgbClr>
                  </w14:solidFill>
                </w14:textFill>
              </w:rPr>
              <w:t>|</w:t>
            </w:r>
            <w:r w:rsidR="003D7851" w:rsidRPr="00BA17BB">
              <w:rPr>
                <w:vertAlign w:val="superscript"/>
              </w:rPr>
              <w:t>5</w:t>
            </w:r>
          </w:p>
        </w:tc>
        <w:tc>
          <w:tcPr>
            <w:tcW w:w="658" w:type="dxa"/>
            <w:noWrap/>
            <w:vAlign w:val="center"/>
          </w:tcPr>
          <w:p w14:paraId="28B52CA8" w14:textId="72194BBB" w:rsidR="00AA0145" w:rsidRPr="00CF4B08" w:rsidRDefault="001549E4" w:rsidP="00EF777F">
            <w:pPr>
              <w:pStyle w:val="Tabletext"/>
              <w:keepLines/>
              <w:jc w:val="center"/>
            </w:pPr>
            <w:r w:rsidRPr="001549E4">
              <w:rPr>
                <w:color w:val="000000"/>
                <w:spacing w:val="122"/>
                <w:shd w:val="solid" w:color="000000" w:fill="000000"/>
                <w:fitText w:val="208" w:id="-693991159"/>
                <w14:textFill>
                  <w14:solidFill>
                    <w14:srgbClr w14:val="000000">
                      <w14:alpha w14:val="100000"/>
                    </w14:srgbClr>
                  </w14:solidFill>
                </w14:textFill>
              </w:rPr>
              <w:t>|</w:t>
            </w:r>
            <w:r w:rsidRPr="001549E4">
              <w:rPr>
                <w:color w:val="000000"/>
                <w:spacing w:val="1"/>
                <w:shd w:val="solid" w:color="000000" w:fill="000000"/>
                <w:fitText w:val="208" w:id="-693991159"/>
                <w14:textFill>
                  <w14:solidFill>
                    <w14:srgbClr w14:val="000000">
                      <w14:alpha w14:val="100000"/>
                    </w14:srgbClr>
                  </w14:solidFill>
                </w14:textFill>
              </w:rPr>
              <w:t>|</w:t>
            </w:r>
            <w:r w:rsidR="00AA0145" w:rsidRPr="00CF4B08">
              <w:t>%</w:t>
            </w:r>
          </w:p>
        </w:tc>
      </w:tr>
      <w:tr w:rsidR="00AA0145" w:rsidRPr="00CF4B08" w14:paraId="5AEDFF18" w14:textId="77777777" w:rsidTr="00EA7B7B">
        <w:trPr>
          <w:trHeight w:val="20"/>
        </w:trPr>
        <w:tc>
          <w:tcPr>
            <w:tcW w:w="5524" w:type="dxa"/>
            <w:noWrap/>
          </w:tcPr>
          <w:p w14:paraId="288CB776" w14:textId="77777777" w:rsidR="00AA0145" w:rsidRPr="00CF4B08" w:rsidRDefault="00AA0145" w:rsidP="00EF777F">
            <w:pPr>
              <w:pStyle w:val="Tabletext"/>
              <w:keepLines/>
              <w:rPr>
                <w:vertAlign w:val="superscript"/>
              </w:rPr>
            </w:pPr>
            <w:r w:rsidRPr="00CF4B08">
              <w:t xml:space="preserve">Odevixibat annual loss of response set to 100% </w:t>
            </w:r>
          </w:p>
        </w:tc>
        <w:tc>
          <w:tcPr>
            <w:tcW w:w="992" w:type="dxa"/>
            <w:noWrap/>
            <w:vAlign w:val="center"/>
          </w:tcPr>
          <w:p w14:paraId="3966F59F" w14:textId="757F1043" w:rsidR="00AA0145" w:rsidRPr="005A28BB" w:rsidRDefault="001549E4" w:rsidP="00EF777F">
            <w:pPr>
              <w:pStyle w:val="Tabletext"/>
              <w:keepLines/>
              <w:jc w:val="center"/>
              <w:rPr>
                <w:highlight w:val="darkGray"/>
              </w:rPr>
            </w:pPr>
            <w:r w:rsidRPr="001549E4">
              <w:rPr>
                <w:color w:val="000000"/>
                <w:spacing w:val="75"/>
                <w:shd w:val="solid" w:color="000000" w:fill="000000"/>
                <w:fitText w:val="161" w:id="-693991158"/>
                <w14:textFill>
                  <w14:solidFill>
                    <w14:srgbClr w14:val="000000">
                      <w14:alpha w14:val="100000"/>
                    </w14:srgbClr>
                  </w14:solidFill>
                </w14:textFill>
              </w:rPr>
              <w:t>|</w:t>
            </w:r>
            <w:r w:rsidRPr="001549E4">
              <w:rPr>
                <w:color w:val="000000"/>
                <w:spacing w:val="1"/>
                <w:shd w:val="solid" w:color="000000" w:fill="000000"/>
                <w:fitText w:val="161" w:id="-693991158"/>
                <w14:textFill>
                  <w14:solidFill>
                    <w14:srgbClr w14:val="000000">
                      <w14:alpha w14:val="100000"/>
                    </w14:srgbClr>
                  </w14:solidFill>
                </w14:textFill>
              </w:rPr>
              <w:t>|</w:t>
            </w:r>
            <w:r w:rsidR="00BB1289" w:rsidRPr="00BB1289">
              <w:t xml:space="preserve"> </w:t>
            </w:r>
          </w:p>
        </w:tc>
        <w:tc>
          <w:tcPr>
            <w:tcW w:w="850" w:type="dxa"/>
            <w:noWrap/>
            <w:vAlign w:val="center"/>
          </w:tcPr>
          <w:p w14:paraId="3DE9A0BD" w14:textId="77777777" w:rsidR="00AA0145" w:rsidRPr="00CF4B08" w:rsidRDefault="00AA0145" w:rsidP="00EF777F">
            <w:pPr>
              <w:pStyle w:val="Tabletext"/>
              <w:keepLines/>
              <w:jc w:val="center"/>
            </w:pPr>
            <w:r w:rsidRPr="00CF4B08">
              <w:t>0.72</w:t>
            </w:r>
          </w:p>
        </w:tc>
        <w:tc>
          <w:tcPr>
            <w:tcW w:w="993" w:type="dxa"/>
            <w:noWrap/>
            <w:vAlign w:val="center"/>
          </w:tcPr>
          <w:p w14:paraId="46C8538B" w14:textId="431932D3" w:rsidR="00AA0145" w:rsidRPr="005A28BB" w:rsidRDefault="001549E4" w:rsidP="00EF777F">
            <w:pPr>
              <w:pStyle w:val="Tabletext"/>
              <w:keepLines/>
              <w:jc w:val="center"/>
              <w:rPr>
                <w:highlight w:val="darkGray"/>
              </w:rPr>
            </w:pPr>
            <w:r w:rsidRPr="001549E4">
              <w:rPr>
                <w:color w:val="000000"/>
                <w:spacing w:val="98"/>
                <w:shd w:val="solid" w:color="000000" w:fill="000000"/>
                <w:fitText w:val="184" w:id="-693991157"/>
                <w14:textFill>
                  <w14:solidFill>
                    <w14:srgbClr w14:val="000000">
                      <w14:alpha w14:val="100000"/>
                    </w14:srgbClr>
                  </w14:solidFill>
                </w14:textFill>
              </w:rPr>
              <w:t>|</w:t>
            </w:r>
            <w:r w:rsidRPr="001549E4">
              <w:rPr>
                <w:color w:val="000000"/>
                <w:spacing w:val="1"/>
                <w:shd w:val="solid" w:color="000000" w:fill="000000"/>
                <w:fitText w:val="184" w:id="-693991157"/>
                <w14:textFill>
                  <w14:solidFill>
                    <w14:srgbClr w14:val="000000">
                      <w14:alpha w14:val="100000"/>
                    </w14:srgbClr>
                  </w14:solidFill>
                </w14:textFill>
              </w:rPr>
              <w:t>|</w:t>
            </w:r>
            <w:r w:rsidR="006B5FA1" w:rsidRPr="006B5FA1">
              <w:rPr>
                <w:vertAlign w:val="superscript"/>
              </w:rPr>
              <w:t>6</w:t>
            </w:r>
          </w:p>
        </w:tc>
        <w:tc>
          <w:tcPr>
            <w:tcW w:w="658" w:type="dxa"/>
            <w:noWrap/>
            <w:vAlign w:val="center"/>
          </w:tcPr>
          <w:p w14:paraId="0E39D005" w14:textId="5E28575D" w:rsidR="00AA0145" w:rsidRPr="00CF4B08" w:rsidRDefault="00AA0145" w:rsidP="00EF777F">
            <w:pPr>
              <w:pStyle w:val="Tabletext"/>
              <w:keepLines/>
              <w:jc w:val="center"/>
            </w:pPr>
            <w:r w:rsidRPr="00CF4B08">
              <w:t>-</w:t>
            </w:r>
            <w:r w:rsidR="001549E4" w:rsidRPr="001549E4">
              <w:rPr>
                <w:color w:val="000000"/>
                <w:spacing w:val="122"/>
                <w:shd w:val="solid" w:color="000000" w:fill="000000"/>
                <w:fitText w:val="208" w:id="-693991156"/>
                <w14:textFill>
                  <w14:solidFill>
                    <w14:srgbClr w14:val="000000">
                      <w14:alpha w14:val="100000"/>
                    </w14:srgbClr>
                  </w14:solidFill>
                </w14:textFill>
              </w:rPr>
              <w:t>|</w:t>
            </w:r>
            <w:r w:rsidR="001549E4" w:rsidRPr="001549E4">
              <w:rPr>
                <w:color w:val="000000"/>
                <w:spacing w:val="1"/>
                <w:shd w:val="solid" w:color="000000" w:fill="000000"/>
                <w:fitText w:val="208" w:id="-693991156"/>
                <w14:textFill>
                  <w14:solidFill>
                    <w14:srgbClr w14:val="000000">
                      <w14:alpha w14:val="100000"/>
                    </w14:srgbClr>
                  </w14:solidFill>
                </w14:textFill>
              </w:rPr>
              <w:t>|</w:t>
            </w:r>
            <w:r w:rsidRPr="00CF4B08">
              <w:t>%</w:t>
            </w:r>
          </w:p>
        </w:tc>
      </w:tr>
      <w:tr w:rsidR="00AA0145" w:rsidRPr="00CF4B08" w14:paraId="56B3FD1A" w14:textId="77777777" w:rsidTr="00EA7B7B">
        <w:trPr>
          <w:trHeight w:val="20"/>
        </w:trPr>
        <w:tc>
          <w:tcPr>
            <w:tcW w:w="5524" w:type="dxa"/>
            <w:noWrap/>
            <w:vAlign w:val="bottom"/>
          </w:tcPr>
          <w:p w14:paraId="6F3A71B8" w14:textId="09EFB45D" w:rsidR="00AA0145" w:rsidRPr="00CF4B08" w:rsidRDefault="00AA0145" w:rsidP="00EF777F">
            <w:pPr>
              <w:pStyle w:val="Tabletext"/>
              <w:keepLines/>
            </w:pPr>
            <w:r w:rsidRPr="00CF4B08">
              <w:t>Odevixibat sBA/pruritus response rate set to 62.28% (BC = 43.5%)</w:t>
            </w:r>
          </w:p>
        </w:tc>
        <w:tc>
          <w:tcPr>
            <w:tcW w:w="992" w:type="dxa"/>
            <w:noWrap/>
            <w:vAlign w:val="center"/>
          </w:tcPr>
          <w:p w14:paraId="30299D20" w14:textId="1C97535D"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55"/>
                <w14:textFill>
                  <w14:solidFill>
                    <w14:srgbClr w14:val="000000">
                      <w14:alpha w14:val="100000"/>
                    </w14:srgbClr>
                  </w14:solidFill>
                </w14:textFill>
              </w:rPr>
              <w:t>|</w:t>
            </w:r>
            <w:r w:rsidRPr="001549E4">
              <w:rPr>
                <w:color w:val="000000"/>
                <w:spacing w:val="1"/>
                <w:shd w:val="solid" w:color="000000" w:fill="000000"/>
                <w:fitText w:val="161" w:id="-693991155"/>
                <w14:textFill>
                  <w14:solidFill>
                    <w14:srgbClr w14:val="000000">
                      <w14:alpha w14:val="100000"/>
                    </w14:srgbClr>
                  </w14:solidFill>
                </w14:textFill>
              </w:rPr>
              <w:t>|</w:t>
            </w:r>
            <w:r w:rsidR="00BB1289" w:rsidRPr="00BB1289">
              <w:t xml:space="preserve"> </w:t>
            </w:r>
          </w:p>
        </w:tc>
        <w:tc>
          <w:tcPr>
            <w:tcW w:w="850" w:type="dxa"/>
            <w:noWrap/>
            <w:vAlign w:val="center"/>
          </w:tcPr>
          <w:p w14:paraId="477DA313" w14:textId="68C0F660" w:rsidR="00AA0145" w:rsidRPr="00CF4B08" w:rsidRDefault="00AA0145" w:rsidP="00EF777F">
            <w:pPr>
              <w:pStyle w:val="Tabletext"/>
              <w:keepLines/>
              <w:jc w:val="center"/>
            </w:pPr>
            <w:r w:rsidRPr="00CF4B08">
              <w:t>1.45</w:t>
            </w:r>
          </w:p>
        </w:tc>
        <w:tc>
          <w:tcPr>
            <w:tcW w:w="993" w:type="dxa"/>
            <w:noWrap/>
            <w:vAlign w:val="center"/>
          </w:tcPr>
          <w:p w14:paraId="39E5F08F" w14:textId="67B61CCF"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54"/>
                <w14:textFill>
                  <w14:solidFill>
                    <w14:srgbClr w14:val="000000">
                      <w14:alpha w14:val="100000"/>
                    </w14:srgbClr>
                  </w14:solidFill>
                </w14:textFill>
              </w:rPr>
              <w:t>|</w:t>
            </w:r>
            <w:r w:rsidRPr="001549E4">
              <w:rPr>
                <w:color w:val="000000"/>
                <w:spacing w:val="1"/>
                <w:shd w:val="solid" w:color="000000" w:fill="000000"/>
                <w:fitText w:val="184" w:id="-693991154"/>
                <w14:textFill>
                  <w14:solidFill>
                    <w14:srgbClr w14:val="000000">
                      <w14:alpha w14:val="100000"/>
                    </w14:srgbClr>
                  </w14:solidFill>
                </w14:textFill>
              </w:rPr>
              <w:t>|</w:t>
            </w:r>
            <w:r w:rsidR="00546152" w:rsidRPr="00AB63E1">
              <w:rPr>
                <w:b/>
                <w:vertAlign w:val="superscript"/>
              </w:rPr>
              <w:t>1</w:t>
            </w:r>
          </w:p>
        </w:tc>
        <w:tc>
          <w:tcPr>
            <w:tcW w:w="658" w:type="dxa"/>
            <w:noWrap/>
            <w:vAlign w:val="center"/>
          </w:tcPr>
          <w:p w14:paraId="454A83ED" w14:textId="3F46EFCF" w:rsidR="00AA0145" w:rsidRPr="00CF4B08" w:rsidRDefault="001549E4" w:rsidP="00EF777F">
            <w:pPr>
              <w:pStyle w:val="Tabletext"/>
              <w:keepLines/>
              <w:jc w:val="center"/>
            </w:pPr>
            <w:r w:rsidRPr="001549E4">
              <w:rPr>
                <w:color w:val="000000"/>
                <w:spacing w:val="122"/>
                <w:shd w:val="solid" w:color="000000" w:fill="000000"/>
                <w:fitText w:val="208" w:id="-693991153"/>
                <w14:textFill>
                  <w14:solidFill>
                    <w14:srgbClr w14:val="000000">
                      <w14:alpha w14:val="100000"/>
                    </w14:srgbClr>
                  </w14:solidFill>
                </w14:textFill>
              </w:rPr>
              <w:t>|</w:t>
            </w:r>
            <w:r w:rsidRPr="001549E4">
              <w:rPr>
                <w:color w:val="000000"/>
                <w:spacing w:val="1"/>
                <w:shd w:val="solid" w:color="000000" w:fill="000000"/>
                <w:fitText w:val="208" w:id="-693991153"/>
                <w14:textFill>
                  <w14:solidFill>
                    <w14:srgbClr w14:val="000000">
                      <w14:alpha w14:val="100000"/>
                    </w14:srgbClr>
                  </w14:solidFill>
                </w14:textFill>
              </w:rPr>
              <w:t>|</w:t>
            </w:r>
            <w:r w:rsidR="00AA0145" w:rsidRPr="00CF4B08">
              <w:t>%</w:t>
            </w:r>
          </w:p>
        </w:tc>
      </w:tr>
      <w:tr w:rsidR="00AA0145" w:rsidRPr="00CF4B08" w14:paraId="7DE8E7C1" w14:textId="77777777" w:rsidTr="00EA7B7B">
        <w:trPr>
          <w:trHeight w:val="20"/>
        </w:trPr>
        <w:tc>
          <w:tcPr>
            <w:tcW w:w="5524" w:type="dxa"/>
            <w:noWrap/>
          </w:tcPr>
          <w:p w14:paraId="062D9B3D" w14:textId="3759E443" w:rsidR="00AA0145" w:rsidRPr="00CF4B08" w:rsidRDefault="00AA0145" w:rsidP="00EF777F">
            <w:pPr>
              <w:pStyle w:val="Tabletext"/>
              <w:keepLines/>
            </w:pPr>
            <w:r w:rsidRPr="00CF4B08">
              <w:t>Odevixibat sBA/pruritus response rate set to 0%</w:t>
            </w:r>
          </w:p>
        </w:tc>
        <w:tc>
          <w:tcPr>
            <w:tcW w:w="992" w:type="dxa"/>
            <w:noWrap/>
            <w:vAlign w:val="center"/>
          </w:tcPr>
          <w:p w14:paraId="1EA91CD3" w14:textId="5635D731"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52"/>
                <w14:textFill>
                  <w14:solidFill>
                    <w14:srgbClr w14:val="000000">
                      <w14:alpha w14:val="100000"/>
                    </w14:srgbClr>
                  </w14:solidFill>
                </w14:textFill>
              </w:rPr>
              <w:t>|</w:t>
            </w:r>
            <w:r w:rsidRPr="001549E4">
              <w:rPr>
                <w:color w:val="000000"/>
                <w:spacing w:val="1"/>
                <w:shd w:val="solid" w:color="000000" w:fill="000000"/>
                <w:fitText w:val="161" w:id="-693991152"/>
                <w14:textFill>
                  <w14:solidFill>
                    <w14:srgbClr w14:val="000000">
                      <w14:alpha w14:val="100000"/>
                    </w14:srgbClr>
                  </w14:solidFill>
                </w14:textFill>
              </w:rPr>
              <w:t>|</w:t>
            </w:r>
            <w:r w:rsidR="00BB1289" w:rsidRPr="00BB1289">
              <w:t xml:space="preserve"> </w:t>
            </w:r>
          </w:p>
        </w:tc>
        <w:tc>
          <w:tcPr>
            <w:tcW w:w="850" w:type="dxa"/>
            <w:noWrap/>
            <w:vAlign w:val="center"/>
          </w:tcPr>
          <w:p w14:paraId="58C38953" w14:textId="77777777" w:rsidR="00AA0145" w:rsidRPr="00CF4B08" w:rsidRDefault="00AA0145" w:rsidP="00EF777F">
            <w:pPr>
              <w:pStyle w:val="Tabletext"/>
              <w:keepLines/>
              <w:jc w:val="center"/>
            </w:pPr>
            <w:r w:rsidRPr="00CF4B08">
              <w:t>0.64</w:t>
            </w:r>
          </w:p>
        </w:tc>
        <w:tc>
          <w:tcPr>
            <w:tcW w:w="993" w:type="dxa"/>
            <w:noWrap/>
            <w:vAlign w:val="center"/>
          </w:tcPr>
          <w:p w14:paraId="60781851" w14:textId="5C96E6B9"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68"/>
                <w14:textFill>
                  <w14:solidFill>
                    <w14:srgbClr w14:val="000000">
                      <w14:alpha w14:val="100000"/>
                    </w14:srgbClr>
                  </w14:solidFill>
                </w14:textFill>
              </w:rPr>
              <w:t>|</w:t>
            </w:r>
            <w:r w:rsidRPr="001549E4">
              <w:rPr>
                <w:color w:val="000000"/>
                <w:spacing w:val="1"/>
                <w:shd w:val="solid" w:color="000000" w:fill="000000"/>
                <w:fitText w:val="184" w:id="-693991168"/>
                <w14:textFill>
                  <w14:solidFill>
                    <w14:srgbClr w14:val="000000">
                      <w14:alpha w14:val="100000"/>
                    </w14:srgbClr>
                  </w14:solidFill>
                </w14:textFill>
              </w:rPr>
              <w:t>|</w:t>
            </w:r>
            <w:r w:rsidR="009A0856" w:rsidRPr="009A0856">
              <w:rPr>
                <w:vertAlign w:val="superscript"/>
              </w:rPr>
              <w:t>7</w:t>
            </w:r>
          </w:p>
        </w:tc>
        <w:tc>
          <w:tcPr>
            <w:tcW w:w="658" w:type="dxa"/>
            <w:noWrap/>
            <w:vAlign w:val="center"/>
          </w:tcPr>
          <w:p w14:paraId="7A49D7CE" w14:textId="499C086B" w:rsidR="00AA0145" w:rsidRPr="00CF4B08" w:rsidRDefault="00AA0145" w:rsidP="00EF777F">
            <w:pPr>
              <w:pStyle w:val="Tabletext"/>
              <w:keepLines/>
              <w:jc w:val="center"/>
            </w:pPr>
            <w:r w:rsidRPr="00CF4B08">
              <w:t>-</w:t>
            </w:r>
            <w:r w:rsidR="001549E4" w:rsidRPr="001549E4">
              <w:rPr>
                <w:color w:val="000000"/>
                <w:spacing w:val="122"/>
                <w:shd w:val="solid" w:color="000000" w:fill="000000"/>
                <w:fitText w:val="208" w:id="-693991167"/>
                <w14:textFill>
                  <w14:solidFill>
                    <w14:srgbClr w14:val="000000">
                      <w14:alpha w14:val="100000"/>
                    </w14:srgbClr>
                  </w14:solidFill>
                </w14:textFill>
              </w:rPr>
              <w:t>|</w:t>
            </w:r>
            <w:r w:rsidR="001549E4" w:rsidRPr="001549E4">
              <w:rPr>
                <w:color w:val="000000"/>
                <w:spacing w:val="1"/>
                <w:shd w:val="solid" w:color="000000" w:fill="000000"/>
                <w:fitText w:val="208" w:id="-693991167"/>
                <w14:textFill>
                  <w14:solidFill>
                    <w14:srgbClr w14:val="000000">
                      <w14:alpha w14:val="100000"/>
                    </w14:srgbClr>
                  </w14:solidFill>
                </w14:textFill>
              </w:rPr>
              <w:t>|</w:t>
            </w:r>
            <w:r w:rsidRPr="00CF4B08">
              <w:t>%</w:t>
            </w:r>
          </w:p>
        </w:tc>
      </w:tr>
      <w:tr w:rsidR="00AA0145" w:rsidRPr="00CF4B08" w14:paraId="7163AF5D" w14:textId="77777777" w:rsidTr="00EA7B7B">
        <w:trPr>
          <w:trHeight w:val="20"/>
        </w:trPr>
        <w:tc>
          <w:tcPr>
            <w:tcW w:w="5524" w:type="dxa"/>
            <w:noWrap/>
          </w:tcPr>
          <w:p w14:paraId="56B63359" w14:textId="5CADA785" w:rsidR="00AA0145" w:rsidRPr="00CF4B08" w:rsidRDefault="00AA0145" w:rsidP="00EF777F">
            <w:pPr>
              <w:pStyle w:val="Tabletext"/>
              <w:keepLines/>
            </w:pPr>
            <w:r w:rsidRPr="00CF4B08">
              <w:t>NAPPED PEBD response of 60.15% (BC</w:t>
            </w:r>
            <w:r w:rsidR="00C838EC">
              <w:t xml:space="preserve"> = </w:t>
            </w:r>
            <w:r w:rsidRPr="00CF4B08">
              <w:t>32.3%)</w:t>
            </w:r>
          </w:p>
        </w:tc>
        <w:tc>
          <w:tcPr>
            <w:tcW w:w="992" w:type="dxa"/>
            <w:noWrap/>
            <w:vAlign w:val="center"/>
          </w:tcPr>
          <w:p w14:paraId="26DCC629" w14:textId="6B31AF2D"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66"/>
                <w14:textFill>
                  <w14:solidFill>
                    <w14:srgbClr w14:val="000000">
                      <w14:alpha w14:val="100000"/>
                    </w14:srgbClr>
                  </w14:solidFill>
                </w14:textFill>
              </w:rPr>
              <w:t>|</w:t>
            </w:r>
            <w:r w:rsidRPr="001549E4">
              <w:rPr>
                <w:color w:val="000000"/>
                <w:spacing w:val="1"/>
                <w:shd w:val="solid" w:color="000000" w:fill="000000"/>
                <w:fitText w:val="161" w:id="-693991166"/>
                <w14:textFill>
                  <w14:solidFill>
                    <w14:srgbClr w14:val="000000">
                      <w14:alpha w14:val="100000"/>
                    </w14:srgbClr>
                  </w14:solidFill>
                </w14:textFill>
              </w:rPr>
              <w:t>|</w:t>
            </w:r>
            <w:r w:rsidR="00BB1289" w:rsidRPr="00BB1289">
              <w:t xml:space="preserve"> </w:t>
            </w:r>
          </w:p>
        </w:tc>
        <w:tc>
          <w:tcPr>
            <w:tcW w:w="850" w:type="dxa"/>
            <w:noWrap/>
            <w:vAlign w:val="center"/>
          </w:tcPr>
          <w:p w14:paraId="7EAACACA" w14:textId="77777777" w:rsidR="00AA0145" w:rsidRPr="00CF4B08" w:rsidRDefault="00AA0145" w:rsidP="00EF777F">
            <w:pPr>
              <w:pStyle w:val="Tabletext"/>
              <w:keepLines/>
              <w:jc w:val="center"/>
            </w:pPr>
            <w:r w:rsidRPr="00CF4B08">
              <w:t>1.04</w:t>
            </w:r>
          </w:p>
        </w:tc>
        <w:tc>
          <w:tcPr>
            <w:tcW w:w="993" w:type="dxa"/>
            <w:noWrap/>
            <w:vAlign w:val="center"/>
          </w:tcPr>
          <w:p w14:paraId="7932948D" w14:textId="47602E8A"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65"/>
                <w14:textFill>
                  <w14:solidFill>
                    <w14:srgbClr w14:val="000000">
                      <w14:alpha w14:val="100000"/>
                    </w14:srgbClr>
                  </w14:solidFill>
                </w14:textFill>
              </w:rPr>
              <w:t>|</w:t>
            </w:r>
            <w:r w:rsidRPr="001549E4">
              <w:rPr>
                <w:color w:val="000000"/>
                <w:spacing w:val="1"/>
                <w:shd w:val="solid" w:color="000000" w:fill="000000"/>
                <w:fitText w:val="184" w:id="-693991165"/>
                <w14:textFill>
                  <w14:solidFill>
                    <w14:srgbClr w14:val="000000">
                      <w14:alpha w14:val="100000"/>
                    </w14:srgbClr>
                  </w14:solidFill>
                </w14:textFill>
              </w:rPr>
              <w:t>|</w:t>
            </w:r>
            <w:r w:rsidR="00FC1B0B" w:rsidRPr="00AB63E1">
              <w:rPr>
                <w:b/>
                <w:vertAlign w:val="superscript"/>
              </w:rPr>
              <w:t>1</w:t>
            </w:r>
          </w:p>
        </w:tc>
        <w:tc>
          <w:tcPr>
            <w:tcW w:w="658" w:type="dxa"/>
            <w:noWrap/>
            <w:vAlign w:val="center"/>
          </w:tcPr>
          <w:p w14:paraId="2479D817" w14:textId="359392FF" w:rsidR="00AA0145" w:rsidRPr="00CF4B08" w:rsidRDefault="001549E4" w:rsidP="00EF777F">
            <w:pPr>
              <w:pStyle w:val="Tabletext"/>
              <w:keepLines/>
              <w:jc w:val="center"/>
            </w:pPr>
            <w:r w:rsidRPr="001549E4">
              <w:rPr>
                <w:color w:val="000000"/>
                <w:spacing w:val="122"/>
                <w:shd w:val="solid" w:color="000000" w:fill="000000"/>
                <w:fitText w:val="208" w:id="-693991164"/>
                <w14:textFill>
                  <w14:solidFill>
                    <w14:srgbClr w14:val="000000">
                      <w14:alpha w14:val="100000"/>
                    </w14:srgbClr>
                  </w14:solidFill>
                </w14:textFill>
              </w:rPr>
              <w:t>|</w:t>
            </w:r>
            <w:r w:rsidRPr="001549E4">
              <w:rPr>
                <w:color w:val="000000"/>
                <w:spacing w:val="1"/>
                <w:shd w:val="solid" w:color="000000" w:fill="000000"/>
                <w:fitText w:val="208" w:id="-693991164"/>
                <w14:textFill>
                  <w14:solidFill>
                    <w14:srgbClr w14:val="000000">
                      <w14:alpha w14:val="100000"/>
                    </w14:srgbClr>
                  </w14:solidFill>
                </w14:textFill>
              </w:rPr>
              <w:t>|</w:t>
            </w:r>
            <w:r w:rsidR="00AA0145" w:rsidRPr="00CF4B08">
              <w:t>%</w:t>
            </w:r>
          </w:p>
        </w:tc>
      </w:tr>
      <w:tr w:rsidR="00AA0145" w:rsidRPr="00CF4B08" w14:paraId="1F2FCA0C" w14:textId="77777777" w:rsidTr="00EA7B7B">
        <w:trPr>
          <w:trHeight w:val="20"/>
        </w:trPr>
        <w:tc>
          <w:tcPr>
            <w:tcW w:w="5524" w:type="dxa"/>
            <w:noWrap/>
          </w:tcPr>
          <w:p w14:paraId="3F21D12E" w14:textId="2761463F" w:rsidR="00AA0145" w:rsidRPr="00CF4B08" w:rsidRDefault="00AA0145" w:rsidP="00EF777F">
            <w:pPr>
              <w:pStyle w:val="Tabletext"/>
              <w:keepLines/>
            </w:pPr>
            <w:r w:rsidRPr="00CF4B08">
              <w:lastRenderedPageBreak/>
              <w:t>Utility of ‘PEBD, response’ set to 0.830 to equal ‘no PEBD, loss of response’ (BC = 0.761)</w:t>
            </w:r>
          </w:p>
        </w:tc>
        <w:tc>
          <w:tcPr>
            <w:tcW w:w="992" w:type="dxa"/>
            <w:noWrap/>
            <w:vAlign w:val="center"/>
          </w:tcPr>
          <w:p w14:paraId="0F62A0D7" w14:textId="382BD82C"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63"/>
                <w14:textFill>
                  <w14:solidFill>
                    <w14:srgbClr w14:val="000000">
                      <w14:alpha w14:val="100000"/>
                    </w14:srgbClr>
                  </w14:solidFill>
                </w14:textFill>
              </w:rPr>
              <w:t>|</w:t>
            </w:r>
            <w:r w:rsidRPr="001549E4">
              <w:rPr>
                <w:color w:val="000000"/>
                <w:spacing w:val="1"/>
                <w:shd w:val="solid" w:color="000000" w:fill="000000"/>
                <w:fitText w:val="161" w:id="-693991163"/>
                <w14:textFill>
                  <w14:solidFill>
                    <w14:srgbClr w14:val="000000">
                      <w14:alpha w14:val="100000"/>
                    </w14:srgbClr>
                  </w14:solidFill>
                </w14:textFill>
              </w:rPr>
              <w:t>|</w:t>
            </w:r>
            <w:r w:rsidR="00BB1289" w:rsidRPr="00BB1289">
              <w:t xml:space="preserve"> </w:t>
            </w:r>
          </w:p>
        </w:tc>
        <w:tc>
          <w:tcPr>
            <w:tcW w:w="850" w:type="dxa"/>
            <w:noWrap/>
            <w:vAlign w:val="center"/>
          </w:tcPr>
          <w:p w14:paraId="55C10463" w14:textId="77777777" w:rsidR="00AA0145" w:rsidRPr="00CF4B08" w:rsidRDefault="00AA0145" w:rsidP="00EF777F">
            <w:pPr>
              <w:pStyle w:val="Tabletext"/>
              <w:keepLines/>
              <w:jc w:val="center"/>
            </w:pPr>
            <w:r w:rsidRPr="00CF4B08">
              <w:t>1.14</w:t>
            </w:r>
          </w:p>
        </w:tc>
        <w:tc>
          <w:tcPr>
            <w:tcW w:w="993" w:type="dxa"/>
            <w:noWrap/>
            <w:vAlign w:val="center"/>
          </w:tcPr>
          <w:p w14:paraId="68D23137" w14:textId="12C90B10"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62"/>
                <w14:textFill>
                  <w14:solidFill>
                    <w14:srgbClr w14:val="000000">
                      <w14:alpha w14:val="100000"/>
                    </w14:srgbClr>
                  </w14:solidFill>
                </w14:textFill>
              </w:rPr>
              <w:t>|</w:t>
            </w:r>
            <w:r w:rsidRPr="001549E4">
              <w:rPr>
                <w:color w:val="000000"/>
                <w:spacing w:val="1"/>
                <w:shd w:val="solid" w:color="000000" w:fill="000000"/>
                <w:fitText w:val="184" w:id="-693991162"/>
                <w14:textFill>
                  <w14:solidFill>
                    <w14:srgbClr w14:val="000000">
                      <w14:alpha w14:val="100000"/>
                    </w14:srgbClr>
                  </w14:solidFill>
                </w14:textFill>
              </w:rPr>
              <w:t>|</w:t>
            </w:r>
            <w:r w:rsidR="00FC1B0B" w:rsidRPr="00AB63E1">
              <w:rPr>
                <w:b/>
                <w:vertAlign w:val="superscript"/>
              </w:rPr>
              <w:t>1</w:t>
            </w:r>
          </w:p>
        </w:tc>
        <w:tc>
          <w:tcPr>
            <w:tcW w:w="658" w:type="dxa"/>
            <w:noWrap/>
            <w:vAlign w:val="center"/>
          </w:tcPr>
          <w:p w14:paraId="62B6F05B" w14:textId="1DDC7496" w:rsidR="00AA0145" w:rsidRPr="00CF4B08" w:rsidRDefault="001549E4" w:rsidP="00EF777F">
            <w:pPr>
              <w:pStyle w:val="Tabletext"/>
              <w:keepLines/>
              <w:jc w:val="center"/>
            </w:pPr>
            <w:r w:rsidRPr="001549E4">
              <w:rPr>
                <w:color w:val="000000"/>
                <w:spacing w:val="122"/>
                <w:shd w:val="solid" w:color="000000" w:fill="000000"/>
                <w:fitText w:val="208" w:id="-693991161"/>
                <w14:textFill>
                  <w14:solidFill>
                    <w14:srgbClr w14:val="000000">
                      <w14:alpha w14:val="100000"/>
                    </w14:srgbClr>
                  </w14:solidFill>
                </w14:textFill>
              </w:rPr>
              <w:t>|</w:t>
            </w:r>
            <w:r w:rsidRPr="001549E4">
              <w:rPr>
                <w:color w:val="000000"/>
                <w:spacing w:val="1"/>
                <w:shd w:val="solid" w:color="000000" w:fill="000000"/>
                <w:fitText w:val="208" w:id="-693991161"/>
                <w14:textFill>
                  <w14:solidFill>
                    <w14:srgbClr w14:val="000000">
                      <w14:alpha w14:val="100000"/>
                    </w14:srgbClr>
                  </w14:solidFill>
                </w14:textFill>
              </w:rPr>
              <w:t>|</w:t>
            </w:r>
            <w:r w:rsidR="00AA0145" w:rsidRPr="00CF4B08">
              <w:t>%</w:t>
            </w:r>
          </w:p>
        </w:tc>
      </w:tr>
      <w:tr w:rsidR="00AA0145" w:rsidRPr="00CF4B08" w14:paraId="4F717F38" w14:textId="77777777" w:rsidTr="00EA7B7B">
        <w:trPr>
          <w:trHeight w:val="20"/>
        </w:trPr>
        <w:tc>
          <w:tcPr>
            <w:tcW w:w="5524" w:type="dxa"/>
            <w:noWrap/>
          </w:tcPr>
          <w:p w14:paraId="0E6AFD27" w14:textId="1D4175D6" w:rsidR="00AA0145" w:rsidRPr="00CF4B08" w:rsidRDefault="00AA0145" w:rsidP="00EF777F">
            <w:pPr>
              <w:pStyle w:val="Tabletext"/>
              <w:keepLines/>
              <w:rPr>
                <w:vertAlign w:val="superscript"/>
              </w:rPr>
            </w:pPr>
            <w:r w:rsidRPr="00CF4B08">
              <w:t xml:space="preserve">6-year time on odevixibat treatment per financial estimates (BC = 3.39 years) </w:t>
            </w:r>
            <w:r w:rsidRPr="00CF4B08">
              <w:rPr>
                <w:vertAlign w:val="superscript"/>
              </w:rPr>
              <w:t>b</w:t>
            </w:r>
          </w:p>
        </w:tc>
        <w:tc>
          <w:tcPr>
            <w:tcW w:w="992" w:type="dxa"/>
            <w:noWrap/>
            <w:vAlign w:val="center"/>
          </w:tcPr>
          <w:p w14:paraId="397E7EC2" w14:textId="6579FC7E"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60"/>
                <w14:textFill>
                  <w14:solidFill>
                    <w14:srgbClr w14:val="000000">
                      <w14:alpha w14:val="100000"/>
                    </w14:srgbClr>
                  </w14:solidFill>
                </w14:textFill>
              </w:rPr>
              <w:t>|</w:t>
            </w:r>
            <w:r w:rsidRPr="001549E4">
              <w:rPr>
                <w:color w:val="000000"/>
                <w:spacing w:val="1"/>
                <w:shd w:val="solid" w:color="000000" w:fill="000000"/>
                <w:fitText w:val="161" w:id="-693991160"/>
                <w14:textFill>
                  <w14:solidFill>
                    <w14:srgbClr w14:val="000000">
                      <w14:alpha w14:val="100000"/>
                    </w14:srgbClr>
                  </w14:solidFill>
                </w14:textFill>
              </w:rPr>
              <w:t>|</w:t>
            </w:r>
            <w:r w:rsidR="00BB1289" w:rsidRPr="00BB1289">
              <w:t xml:space="preserve"> </w:t>
            </w:r>
          </w:p>
        </w:tc>
        <w:tc>
          <w:tcPr>
            <w:tcW w:w="850" w:type="dxa"/>
            <w:noWrap/>
            <w:vAlign w:val="center"/>
          </w:tcPr>
          <w:p w14:paraId="44D1BE27" w14:textId="77777777" w:rsidR="00AA0145" w:rsidRPr="00CF4B08" w:rsidRDefault="00AA0145" w:rsidP="00EF777F">
            <w:pPr>
              <w:pStyle w:val="Tabletext"/>
              <w:keepLines/>
              <w:jc w:val="center"/>
            </w:pPr>
            <w:r w:rsidRPr="00CF4B08">
              <w:t>1.45</w:t>
            </w:r>
          </w:p>
        </w:tc>
        <w:tc>
          <w:tcPr>
            <w:tcW w:w="993" w:type="dxa"/>
            <w:noWrap/>
            <w:vAlign w:val="center"/>
          </w:tcPr>
          <w:p w14:paraId="3D78CAAA" w14:textId="636064DF"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59"/>
                <w14:textFill>
                  <w14:solidFill>
                    <w14:srgbClr w14:val="000000">
                      <w14:alpha w14:val="100000"/>
                    </w14:srgbClr>
                  </w14:solidFill>
                </w14:textFill>
              </w:rPr>
              <w:t>|</w:t>
            </w:r>
            <w:r w:rsidRPr="001549E4">
              <w:rPr>
                <w:color w:val="000000"/>
                <w:spacing w:val="1"/>
                <w:shd w:val="solid" w:color="000000" w:fill="000000"/>
                <w:fitText w:val="184" w:id="-693991159"/>
                <w14:textFill>
                  <w14:solidFill>
                    <w14:srgbClr w14:val="000000">
                      <w14:alpha w14:val="100000"/>
                    </w14:srgbClr>
                  </w14:solidFill>
                </w14:textFill>
              </w:rPr>
              <w:t>|</w:t>
            </w:r>
            <w:r w:rsidR="00A34B12">
              <w:rPr>
                <w:vertAlign w:val="superscript"/>
              </w:rPr>
              <w:t>2</w:t>
            </w:r>
          </w:p>
        </w:tc>
        <w:tc>
          <w:tcPr>
            <w:tcW w:w="658" w:type="dxa"/>
            <w:noWrap/>
            <w:vAlign w:val="center"/>
          </w:tcPr>
          <w:p w14:paraId="5E03B632" w14:textId="5B91519D" w:rsidR="00AA0145" w:rsidRPr="00CF4B08" w:rsidRDefault="001549E4" w:rsidP="00EF777F">
            <w:pPr>
              <w:pStyle w:val="Tabletext"/>
              <w:keepLines/>
              <w:jc w:val="center"/>
            </w:pPr>
            <w:r w:rsidRPr="001549E4">
              <w:rPr>
                <w:color w:val="000000"/>
                <w:spacing w:val="122"/>
                <w:shd w:val="solid" w:color="000000" w:fill="000000"/>
                <w:fitText w:val="208" w:id="-693991158"/>
                <w14:textFill>
                  <w14:solidFill>
                    <w14:srgbClr w14:val="000000">
                      <w14:alpha w14:val="100000"/>
                    </w14:srgbClr>
                  </w14:solidFill>
                </w14:textFill>
              </w:rPr>
              <w:t>|</w:t>
            </w:r>
            <w:r w:rsidRPr="001549E4">
              <w:rPr>
                <w:color w:val="000000"/>
                <w:spacing w:val="1"/>
                <w:shd w:val="solid" w:color="000000" w:fill="000000"/>
                <w:fitText w:val="208" w:id="-693991158"/>
                <w14:textFill>
                  <w14:solidFill>
                    <w14:srgbClr w14:val="000000">
                      <w14:alpha w14:val="100000"/>
                    </w14:srgbClr>
                  </w14:solidFill>
                </w14:textFill>
              </w:rPr>
              <w:t>|</w:t>
            </w:r>
            <w:r w:rsidR="00AA0145" w:rsidRPr="00CF4B08">
              <w:t>%</w:t>
            </w:r>
          </w:p>
        </w:tc>
      </w:tr>
      <w:tr w:rsidR="00AA0145" w:rsidRPr="00CF4B08" w14:paraId="5B4B7115" w14:textId="77777777" w:rsidTr="00EA7B7B">
        <w:trPr>
          <w:trHeight w:val="20"/>
        </w:trPr>
        <w:tc>
          <w:tcPr>
            <w:tcW w:w="5524" w:type="dxa"/>
            <w:noWrap/>
          </w:tcPr>
          <w:p w14:paraId="502A6621" w14:textId="5495E598" w:rsidR="00AA0145" w:rsidRPr="00CF4B08" w:rsidRDefault="00AA0145" w:rsidP="00EF777F">
            <w:pPr>
              <w:pStyle w:val="Tabletext"/>
              <w:keepLines/>
            </w:pPr>
            <w:r w:rsidRPr="00CF4B08">
              <w:t>Annual rate of PEBD in odevixibat arm increased by 1% (BC = 1.16% [PEDFIC 2])</w:t>
            </w:r>
          </w:p>
        </w:tc>
        <w:tc>
          <w:tcPr>
            <w:tcW w:w="992" w:type="dxa"/>
            <w:noWrap/>
            <w:vAlign w:val="center"/>
          </w:tcPr>
          <w:p w14:paraId="059CD137" w14:textId="1CE6BE3B"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57"/>
                <w14:textFill>
                  <w14:solidFill>
                    <w14:srgbClr w14:val="000000">
                      <w14:alpha w14:val="100000"/>
                    </w14:srgbClr>
                  </w14:solidFill>
                </w14:textFill>
              </w:rPr>
              <w:t>|</w:t>
            </w:r>
            <w:r w:rsidRPr="001549E4">
              <w:rPr>
                <w:color w:val="000000"/>
                <w:spacing w:val="1"/>
                <w:shd w:val="solid" w:color="000000" w:fill="000000"/>
                <w:fitText w:val="161" w:id="-693991157"/>
                <w14:textFill>
                  <w14:solidFill>
                    <w14:srgbClr w14:val="000000">
                      <w14:alpha w14:val="100000"/>
                    </w14:srgbClr>
                  </w14:solidFill>
                </w14:textFill>
              </w:rPr>
              <w:t>|</w:t>
            </w:r>
            <w:r w:rsidR="00BB1289" w:rsidRPr="00BB1289">
              <w:t xml:space="preserve"> </w:t>
            </w:r>
          </w:p>
        </w:tc>
        <w:tc>
          <w:tcPr>
            <w:tcW w:w="850" w:type="dxa"/>
            <w:noWrap/>
            <w:vAlign w:val="center"/>
          </w:tcPr>
          <w:p w14:paraId="6C12DA8F" w14:textId="77777777" w:rsidR="00AA0145" w:rsidRPr="00CF4B08" w:rsidRDefault="00AA0145" w:rsidP="00EF777F">
            <w:pPr>
              <w:pStyle w:val="Tabletext"/>
              <w:keepLines/>
              <w:jc w:val="center"/>
            </w:pPr>
            <w:r w:rsidRPr="00CF4B08">
              <w:t>1.05</w:t>
            </w:r>
          </w:p>
        </w:tc>
        <w:tc>
          <w:tcPr>
            <w:tcW w:w="993" w:type="dxa"/>
            <w:noWrap/>
            <w:vAlign w:val="center"/>
          </w:tcPr>
          <w:p w14:paraId="2A5786E7" w14:textId="46B42489"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56"/>
                <w14:textFill>
                  <w14:solidFill>
                    <w14:srgbClr w14:val="000000">
                      <w14:alpha w14:val="100000"/>
                    </w14:srgbClr>
                  </w14:solidFill>
                </w14:textFill>
              </w:rPr>
              <w:t>|</w:t>
            </w:r>
            <w:r w:rsidRPr="001549E4">
              <w:rPr>
                <w:color w:val="000000"/>
                <w:spacing w:val="1"/>
                <w:shd w:val="solid" w:color="000000" w:fill="000000"/>
                <w:fitText w:val="184" w:id="-693991156"/>
                <w14:textFill>
                  <w14:solidFill>
                    <w14:srgbClr w14:val="000000">
                      <w14:alpha w14:val="100000"/>
                    </w14:srgbClr>
                  </w14:solidFill>
                </w14:textFill>
              </w:rPr>
              <w:t>|</w:t>
            </w:r>
            <w:r w:rsidR="00FC1B0B" w:rsidRPr="00AB63E1">
              <w:rPr>
                <w:b/>
                <w:vertAlign w:val="superscript"/>
              </w:rPr>
              <w:t>1</w:t>
            </w:r>
          </w:p>
        </w:tc>
        <w:tc>
          <w:tcPr>
            <w:tcW w:w="658" w:type="dxa"/>
            <w:noWrap/>
            <w:vAlign w:val="center"/>
          </w:tcPr>
          <w:p w14:paraId="7ADF1592" w14:textId="10B2B847" w:rsidR="00AA0145" w:rsidRPr="00CF4B08" w:rsidRDefault="001549E4" w:rsidP="00EF777F">
            <w:pPr>
              <w:pStyle w:val="Tabletext"/>
              <w:keepLines/>
              <w:jc w:val="center"/>
            </w:pPr>
            <w:r w:rsidRPr="001549E4">
              <w:rPr>
                <w:color w:val="000000"/>
                <w:spacing w:val="122"/>
                <w:shd w:val="solid" w:color="000000" w:fill="000000"/>
                <w:fitText w:val="208" w:id="-693991155"/>
                <w14:textFill>
                  <w14:solidFill>
                    <w14:srgbClr w14:val="000000">
                      <w14:alpha w14:val="100000"/>
                    </w14:srgbClr>
                  </w14:solidFill>
                </w14:textFill>
              </w:rPr>
              <w:t>|</w:t>
            </w:r>
            <w:r w:rsidRPr="001549E4">
              <w:rPr>
                <w:color w:val="000000"/>
                <w:spacing w:val="1"/>
                <w:shd w:val="solid" w:color="000000" w:fill="000000"/>
                <w:fitText w:val="208" w:id="-693991155"/>
                <w14:textFill>
                  <w14:solidFill>
                    <w14:srgbClr w14:val="000000">
                      <w14:alpha w14:val="100000"/>
                    </w14:srgbClr>
                  </w14:solidFill>
                </w14:textFill>
              </w:rPr>
              <w:t>|</w:t>
            </w:r>
            <w:r w:rsidR="00AA0145" w:rsidRPr="00CF4B08">
              <w:t>%</w:t>
            </w:r>
          </w:p>
        </w:tc>
      </w:tr>
      <w:tr w:rsidR="00AA0145" w:rsidRPr="00CF4B08" w14:paraId="01C82F5E" w14:textId="77777777" w:rsidTr="00EA7B7B">
        <w:trPr>
          <w:trHeight w:val="20"/>
        </w:trPr>
        <w:tc>
          <w:tcPr>
            <w:tcW w:w="5524" w:type="dxa"/>
            <w:noWrap/>
          </w:tcPr>
          <w:p w14:paraId="783E13F5" w14:textId="00B2AC22" w:rsidR="00AA0145" w:rsidRPr="00CF4B08" w:rsidRDefault="00AA0145" w:rsidP="00EF777F">
            <w:pPr>
              <w:pStyle w:val="Tabletext"/>
              <w:keepLines/>
              <w:rPr>
                <w:sz w:val="18"/>
                <w:szCs w:val="22"/>
              </w:rPr>
            </w:pPr>
            <w:r w:rsidRPr="00CF4B08">
              <w:t xml:space="preserve">Annual rate of PEBD in odevixibat arm reduced by 1% </w:t>
            </w:r>
          </w:p>
        </w:tc>
        <w:tc>
          <w:tcPr>
            <w:tcW w:w="992" w:type="dxa"/>
            <w:noWrap/>
            <w:vAlign w:val="center"/>
          </w:tcPr>
          <w:p w14:paraId="00909C56" w14:textId="673CA0C6"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54"/>
                <w14:textFill>
                  <w14:solidFill>
                    <w14:srgbClr w14:val="000000">
                      <w14:alpha w14:val="100000"/>
                    </w14:srgbClr>
                  </w14:solidFill>
                </w14:textFill>
              </w:rPr>
              <w:t>|</w:t>
            </w:r>
            <w:r w:rsidRPr="001549E4">
              <w:rPr>
                <w:color w:val="000000"/>
                <w:spacing w:val="1"/>
                <w:shd w:val="solid" w:color="000000" w:fill="000000"/>
                <w:fitText w:val="161" w:id="-693991154"/>
                <w14:textFill>
                  <w14:solidFill>
                    <w14:srgbClr w14:val="000000">
                      <w14:alpha w14:val="100000"/>
                    </w14:srgbClr>
                  </w14:solidFill>
                </w14:textFill>
              </w:rPr>
              <w:t>|</w:t>
            </w:r>
            <w:r w:rsidR="00BB1289" w:rsidRPr="00BB1289">
              <w:t xml:space="preserve"> </w:t>
            </w:r>
          </w:p>
        </w:tc>
        <w:tc>
          <w:tcPr>
            <w:tcW w:w="850" w:type="dxa"/>
            <w:noWrap/>
            <w:vAlign w:val="center"/>
          </w:tcPr>
          <w:p w14:paraId="46CA4C4F" w14:textId="77777777" w:rsidR="00AA0145" w:rsidRPr="00CF4B08" w:rsidRDefault="00AA0145" w:rsidP="00EF777F">
            <w:pPr>
              <w:pStyle w:val="Tabletext"/>
              <w:keepLines/>
              <w:jc w:val="center"/>
            </w:pPr>
            <w:r w:rsidRPr="00CF4B08">
              <w:t>1.40</w:t>
            </w:r>
          </w:p>
        </w:tc>
        <w:tc>
          <w:tcPr>
            <w:tcW w:w="993" w:type="dxa"/>
            <w:noWrap/>
            <w:vAlign w:val="center"/>
          </w:tcPr>
          <w:p w14:paraId="59DE4DF6" w14:textId="3EB85458"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53"/>
                <w14:textFill>
                  <w14:solidFill>
                    <w14:srgbClr w14:val="000000">
                      <w14:alpha w14:val="100000"/>
                    </w14:srgbClr>
                  </w14:solidFill>
                </w14:textFill>
              </w:rPr>
              <w:t>|</w:t>
            </w:r>
            <w:r w:rsidRPr="001549E4">
              <w:rPr>
                <w:color w:val="000000"/>
                <w:spacing w:val="1"/>
                <w:shd w:val="solid" w:color="000000" w:fill="000000"/>
                <w:fitText w:val="184" w:id="-693991153"/>
                <w14:textFill>
                  <w14:solidFill>
                    <w14:srgbClr w14:val="000000">
                      <w14:alpha w14:val="100000"/>
                    </w14:srgbClr>
                  </w14:solidFill>
                </w14:textFill>
              </w:rPr>
              <w:t>|</w:t>
            </w:r>
            <w:r w:rsidR="00BA17BB" w:rsidRPr="00CB19AB">
              <w:rPr>
                <w:vertAlign w:val="superscript"/>
              </w:rPr>
              <w:t>4</w:t>
            </w:r>
          </w:p>
        </w:tc>
        <w:tc>
          <w:tcPr>
            <w:tcW w:w="658" w:type="dxa"/>
            <w:noWrap/>
            <w:vAlign w:val="center"/>
          </w:tcPr>
          <w:p w14:paraId="4061C4D0" w14:textId="4860C45F" w:rsidR="00AA0145" w:rsidRPr="00CF4B08" w:rsidRDefault="00AA0145" w:rsidP="00EF777F">
            <w:pPr>
              <w:pStyle w:val="Tabletext"/>
              <w:keepLines/>
              <w:jc w:val="center"/>
            </w:pPr>
            <w:r w:rsidRPr="00CF4B08">
              <w:t>-</w:t>
            </w:r>
            <w:r w:rsidR="001549E4" w:rsidRPr="001549E4">
              <w:rPr>
                <w:color w:val="000000"/>
                <w:spacing w:val="122"/>
                <w:shd w:val="solid" w:color="000000" w:fill="000000"/>
                <w:fitText w:val="208" w:id="-693991152"/>
                <w14:textFill>
                  <w14:solidFill>
                    <w14:srgbClr w14:val="000000">
                      <w14:alpha w14:val="100000"/>
                    </w14:srgbClr>
                  </w14:solidFill>
                </w14:textFill>
              </w:rPr>
              <w:t>|</w:t>
            </w:r>
            <w:r w:rsidR="001549E4" w:rsidRPr="001549E4">
              <w:rPr>
                <w:color w:val="000000"/>
                <w:spacing w:val="1"/>
                <w:shd w:val="solid" w:color="000000" w:fill="000000"/>
                <w:fitText w:val="208" w:id="-693991152"/>
                <w14:textFill>
                  <w14:solidFill>
                    <w14:srgbClr w14:val="000000">
                      <w14:alpha w14:val="100000"/>
                    </w14:srgbClr>
                  </w14:solidFill>
                </w14:textFill>
              </w:rPr>
              <w:t>|</w:t>
            </w:r>
            <w:r w:rsidRPr="00CF4B08">
              <w:t>%</w:t>
            </w:r>
          </w:p>
        </w:tc>
      </w:tr>
      <w:tr w:rsidR="00AA0145" w:rsidRPr="00CF4B08" w14:paraId="752EECDA" w14:textId="77777777" w:rsidTr="00EA7B7B">
        <w:trPr>
          <w:trHeight w:val="20"/>
        </w:trPr>
        <w:tc>
          <w:tcPr>
            <w:tcW w:w="5524" w:type="dxa"/>
            <w:noWrap/>
          </w:tcPr>
          <w:p w14:paraId="77CDC76B" w14:textId="56AF6124" w:rsidR="00AA0145" w:rsidRPr="00CF4B08" w:rsidRDefault="00AA0145" w:rsidP="00EF777F">
            <w:pPr>
              <w:pStyle w:val="Tabletext"/>
              <w:keepLines/>
            </w:pPr>
            <w:r w:rsidRPr="00CF4B08">
              <w:t>Annual rate of PEBD in SoC arm increased by 1% (BC = 5.52% [OvEC])</w:t>
            </w:r>
          </w:p>
        </w:tc>
        <w:tc>
          <w:tcPr>
            <w:tcW w:w="992" w:type="dxa"/>
            <w:noWrap/>
            <w:vAlign w:val="center"/>
          </w:tcPr>
          <w:p w14:paraId="2C683C66" w14:textId="2B5B7B2E"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68"/>
                <w14:textFill>
                  <w14:solidFill>
                    <w14:srgbClr w14:val="000000">
                      <w14:alpha w14:val="100000"/>
                    </w14:srgbClr>
                  </w14:solidFill>
                </w14:textFill>
              </w:rPr>
              <w:t>|</w:t>
            </w:r>
            <w:r w:rsidRPr="001549E4">
              <w:rPr>
                <w:color w:val="000000"/>
                <w:spacing w:val="1"/>
                <w:shd w:val="solid" w:color="000000" w:fill="000000"/>
                <w:fitText w:val="161" w:id="-693991168"/>
                <w14:textFill>
                  <w14:solidFill>
                    <w14:srgbClr w14:val="000000">
                      <w14:alpha w14:val="100000"/>
                    </w14:srgbClr>
                  </w14:solidFill>
                </w14:textFill>
              </w:rPr>
              <w:t>|</w:t>
            </w:r>
            <w:r w:rsidR="00BB1289" w:rsidRPr="00BB1289">
              <w:t xml:space="preserve"> </w:t>
            </w:r>
          </w:p>
        </w:tc>
        <w:tc>
          <w:tcPr>
            <w:tcW w:w="850" w:type="dxa"/>
            <w:noWrap/>
            <w:vAlign w:val="center"/>
          </w:tcPr>
          <w:p w14:paraId="35E1EE72" w14:textId="77777777" w:rsidR="00AA0145" w:rsidRPr="00CF4B08" w:rsidRDefault="00AA0145" w:rsidP="00EF777F">
            <w:pPr>
              <w:pStyle w:val="Tabletext"/>
              <w:keepLines/>
              <w:jc w:val="center"/>
            </w:pPr>
            <w:r w:rsidRPr="00CF4B08">
              <w:t>1.30</w:t>
            </w:r>
          </w:p>
        </w:tc>
        <w:tc>
          <w:tcPr>
            <w:tcW w:w="993" w:type="dxa"/>
            <w:noWrap/>
            <w:vAlign w:val="center"/>
          </w:tcPr>
          <w:p w14:paraId="378559A4" w14:textId="5A731B8A"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67"/>
                <w14:textFill>
                  <w14:solidFill>
                    <w14:srgbClr w14:val="000000">
                      <w14:alpha w14:val="100000"/>
                    </w14:srgbClr>
                  </w14:solidFill>
                </w14:textFill>
              </w:rPr>
              <w:t>|</w:t>
            </w:r>
            <w:r w:rsidRPr="001549E4">
              <w:rPr>
                <w:color w:val="000000"/>
                <w:spacing w:val="1"/>
                <w:shd w:val="solid" w:color="000000" w:fill="000000"/>
                <w:fitText w:val="184" w:id="-693991167"/>
                <w14:textFill>
                  <w14:solidFill>
                    <w14:srgbClr w14:val="000000">
                      <w14:alpha w14:val="100000"/>
                    </w14:srgbClr>
                  </w14:solidFill>
                </w14:textFill>
              </w:rPr>
              <w:t>|</w:t>
            </w:r>
            <w:r w:rsidR="00B36571" w:rsidRPr="00B36571">
              <w:rPr>
                <w:vertAlign w:val="superscript"/>
              </w:rPr>
              <w:t>4</w:t>
            </w:r>
          </w:p>
        </w:tc>
        <w:tc>
          <w:tcPr>
            <w:tcW w:w="658" w:type="dxa"/>
            <w:noWrap/>
            <w:vAlign w:val="center"/>
          </w:tcPr>
          <w:p w14:paraId="11CCB455" w14:textId="630EEBB9" w:rsidR="00AA0145" w:rsidRPr="00CF4B08" w:rsidRDefault="00AA0145" w:rsidP="00EF777F">
            <w:pPr>
              <w:pStyle w:val="Tabletext"/>
              <w:keepLines/>
              <w:jc w:val="center"/>
            </w:pPr>
            <w:r w:rsidRPr="00CF4B08">
              <w:t>-</w:t>
            </w:r>
            <w:r w:rsidR="001549E4" w:rsidRPr="001549E4">
              <w:rPr>
                <w:color w:val="000000"/>
                <w:spacing w:val="122"/>
                <w:shd w:val="solid" w:color="000000" w:fill="000000"/>
                <w:fitText w:val="208" w:id="-693991166"/>
                <w14:textFill>
                  <w14:solidFill>
                    <w14:srgbClr w14:val="000000">
                      <w14:alpha w14:val="100000"/>
                    </w14:srgbClr>
                  </w14:solidFill>
                </w14:textFill>
              </w:rPr>
              <w:t>|</w:t>
            </w:r>
            <w:r w:rsidR="001549E4" w:rsidRPr="001549E4">
              <w:rPr>
                <w:color w:val="000000"/>
                <w:spacing w:val="1"/>
                <w:shd w:val="solid" w:color="000000" w:fill="000000"/>
                <w:fitText w:val="208" w:id="-693991166"/>
                <w14:textFill>
                  <w14:solidFill>
                    <w14:srgbClr w14:val="000000">
                      <w14:alpha w14:val="100000"/>
                    </w14:srgbClr>
                  </w14:solidFill>
                </w14:textFill>
              </w:rPr>
              <w:t>|</w:t>
            </w:r>
            <w:r w:rsidRPr="00CF4B08">
              <w:t>%</w:t>
            </w:r>
          </w:p>
        </w:tc>
      </w:tr>
      <w:tr w:rsidR="00AA0145" w:rsidRPr="00CF4B08" w14:paraId="3F58FF02" w14:textId="77777777" w:rsidTr="00EA7B7B">
        <w:trPr>
          <w:trHeight w:val="20"/>
        </w:trPr>
        <w:tc>
          <w:tcPr>
            <w:tcW w:w="5524" w:type="dxa"/>
            <w:noWrap/>
          </w:tcPr>
          <w:p w14:paraId="24416E71" w14:textId="35017DD9" w:rsidR="00AA0145" w:rsidRPr="00CF4B08" w:rsidRDefault="00AA0145" w:rsidP="00EF777F">
            <w:pPr>
              <w:pStyle w:val="Tabletext"/>
              <w:keepLines/>
            </w:pPr>
            <w:r w:rsidRPr="00CF4B08">
              <w:t xml:space="preserve">Annual rate of PEBD in SoC arm reduced by 1% </w:t>
            </w:r>
          </w:p>
        </w:tc>
        <w:tc>
          <w:tcPr>
            <w:tcW w:w="992" w:type="dxa"/>
            <w:noWrap/>
            <w:vAlign w:val="center"/>
          </w:tcPr>
          <w:p w14:paraId="7D36B9A4" w14:textId="789BA483"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65"/>
                <w14:textFill>
                  <w14:solidFill>
                    <w14:srgbClr w14:val="000000">
                      <w14:alpha w14:val="100000"/>
                    </w14:srgbClr>
                  </w14:solidFill>
                </w14:textFill>
              </w:rPr>
              <w:t>|</w:t>
            </w:r>
            <w:r w:rsidRPr="001549E4">
              <w:rPr>
                <w:color w:val="000000"/>
                <w:spacing w:val="1"/>
                <w:shd w:val="solid" w:color="000000" w:fill="000000"/>
                <w:fitText w:val="161" w:id="-693991165"/>
                <w14:textFill>
                  <w14:solidFill>
                    <w14:srgbClr w14:val="000000">
                      <w14:alpha w14:val="100000"/>
                    </w14:srgbClr>
                  </w14:solidFill>
                </w14:textFill>
              </w:rPr>
              <w:t>|</w:t>
            </w:r>
            <w:r w:rsidR="00BB1289" w:rsidRPr="00BB1289">
              <w:t xml:space="preserve"> </w:t>
            </w:r>
          </w:p>
        </w:tc>
        <w:tc>
          <w:tcPr>
            <w:tcW w:w="850" w:type="dxa"/>
            <w:noWrap/>
            <w:vAlign w:val="center"/>
          </w:tcPr>
          <w:p w14:paraId="377CCB8E" w14:textId="77777777" w:rsidR="00AA0145" w:rsidRPr="00CF4B08" w:rsidRDefault="00AA0145" w:rsidP="00EF777F">
            <w:pPr>
              <w:pStyle w:val="Tabletext"/>
              <w:keepLines/>
              <w:jc w:val="center"/>
            </w:pPr>
            <w:r w:rsidRPr="00CF4B08">
              <w:t>1.10</w:t>
            </w:r>
          </w:p>
        </w:tc>
        <w:tc>
          <w:tcPr>
            <w:tcW w:w="993" w:type="dxa"/>
            <w:noWrap/>
            <w:vAlign w:val="center"/>
          </w:tcPr>
          <w:p w14:paraId="4999CD8B" w14:textId="5EA8504D"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64"/>
                <w14:textFill>
                  <w14:solidFill>
                    <w14:srgbClr w14:val="000000">
                      <w14:alpha w14:val="100000"/>
                    </w14:srgbClr>
                  </w14:solidFill>
                </w14:textFill>
              </w:rPr>
              <w:t>|</w:t>
            </w:r>
            <w:r w:rsidRPr="001549E4">
              <w:rPr>
                <w:color w:val="000000"/>
                <w:spacing w:val="1"/>
                <w:shd w:val="solid" w:color="000000" w:fill="000000"/>
                <w:fitText w:val="184" w:id="-693991164"/>
                <w14:textFill>
                  <w14:solidFill>
                    <w14:srgbClr w14:val="000000">
                      <w14:alpha w14:val="100000"/>
                    </w14:srgbClr>
                  </w14:solidFill>
                </w14:textFill>
              </w:rPr>
              <w:t>|</w:t>
            </w:r>
            <w:r w:rsidR="00FC1B0B" w:rsidRPr="00AB63E1">
              <w:rPr>
                <w:b/>
                <w:vertAlign w:val="superscript"/>
              </w:rPr>
              <w:t>1</w:t>
            </w:r>
          </w:p>
        </w:tc>
        <w:tc>
          <w:tcPr>
            <w:tcW w:w="658" w:type="dxa"/>
            <w:noWrap/>
            <w:vAlign w:val="center"/>
          </w:tcPr>
          <w:p w14:paraId="2C6F27DC" w14:textId="3F8679D2" w:rsidR="00AA0145" w:rsidRPr="00CF4B08" w:rsidRDefault="001549E4" w:rsidP="00EF777F">
            <w:pPr>
              <w:pStyle w:val="Tabletext"/>
              <w:keepLines/>
              <w:jc w:val="center"/>
            </w:pPr>
            <w:r w:rsidRPr="001549E4">
              <w:rPr>
                <w:color w:val="000000"/>
                <w:spacing w:val="122"/>
                <w:shd w:val="solid" w:color="000000" w:fill="000000"/>
                <w:fitText w:val="208" w:id="-693991163"/>
                <w14:textFill>
                  <w14:solidFill>
                    <w14:srgbClr w14:val="000000">
                      <w14:alpha w14:val="100000"/>
                    </w14:srgbClr>
                  </w14:solidFill>
                </w14:textFill>
              </w:rPr>
              <w:t>|</w:t>
            </w:r>
            <w:r w:rsidRPr="001549E4">
              <w:rPr>
                <w:color w:val="000000"/>
                <w:spacing w:val="1"/>
                <w:shd w:val="solid" w:color="000000" w:fill="000000"/>
                <w:fitText w:val="208" w:id="-693991163"/>
                <w14:textFill>
                  <w14:solidFill>
                    <w14:srgbClr w14:val="000000">
                      <w14:alpha w14:val="100000"/>
                    </w14:srgbClr>
                  </w14:solidFill>
                </w14:textFill>
              </w:rPr>
              <w:t>|</w:t>
            </w:r>
            <w:r w:rsidR="00AA0145" w:rsidRPr="00CF4B08">
              <w:t>%</w:t>
            </w:r>
          </w:p>
        </w:tc>
      </w:tr>
      <w:tr w:rsidR="00AA0145" w:rsidRPr="00CF4B08" w14:paraId="4AA28BCB" w14:textId="77777777" w:rsidTr="00EA7B7B">
        <w:trPr>
          <w:trHeight w:val="20"/>
        </w:trPr>
        <w:tc>
          <w:tcPr>
            <w:tcW w:w="5524" w:type="dxa"/>
            <w:noWrap/>
          </w:tcPr>
          <w:p w14:paraId="543BD2A2" w14:textId="1B71D88F" w:rsidR="00AA0145" w:rsidRPr="00CF4B08" w:rsidRDefault="00AA0145" w:rsidP="00EF777F">
            <w:pPr>
              <w:pStyle w:val="Tabletext"/>
              <w:keepLines/>
              <w:rPr>
                <w:vertAlign w:val="superscript"/>
              </w:rPr>
            </w:pPr>
            <w:r w:rsidRPr="00CF4B08">
              <w:t xml:space="preserve">Annual rate of PEBD in odevixibat arm changed to equal SoC </w:t>
            </w:r>
            <w:r w:rsidRPr="00CF4B08">
              <w:rPr>
                <w:vertAlign w:val="superscript"/>
              </w:rPr>
              <w:t>c</w:t>
            </w:r>
          </w:p>
        </w:tc>
        <w:tc>
          <w:tcPr>
            <w:tcW w:w="992" w:type="dxa"/>
            <w:noWrap/>
            <w:vAlign w:val="center"/>
          </w:tcPr>
          <w:p w14:paraId="160C61B4" w14:textId="1CDFF5B0"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62"/>
                <w14:textFill>
                  <w14:solidFill>
                    <w14:srgbClr w14:val="000000">
                      <w14:alpha w14:val="100000"/>
                    </w14:srgbClr>
                  </w14:solidFill>
                </w14:textFill>
              </w:rPr>
              <w:t>|</w:t>
            </w:r>
            <w:r w:rsidRPr="001549E4">
              <w:rPr>
                <w:color w:val="000000"/>
                <w:spacing w:val="1"/>
                <w:shd w:val="solid" w:color="000000" w:fill="000000"/>
                <w:fitText w:val="161" w:id="-693991162"/>
                <w14:textFill>
                  <w14:solidFill>
                    <w14:srgbClr w14:val="000000">
                      <w14:alpha w14:val="100000"/>
                    </w14:srgbClr>
                  </w14:solidFill>
                </w14:textFill>
              </w:rPr>
              <w:t>|</w:t>
            </w:r>
            <w:r w:rsidR="00BB1289" w:rsidRPr="00BB1289">
              <w:t xml:space="preserve"> </w:t>
            </w:r>
          </w:p>
        </w:tc>
        <w:tc>
          <w:tcPr>
            <w:tcW w:w="850" w:type="dxa"/>
            <w:noWrap/>
            <w:vAlign w:val="center"/>
          </w:tcPr>
          <w:p w14:paraId="740CE97D" w14:textId="77777777" w:rsidR="00AA0145" w:rsidRPr="00CF4B08" w:rsidRDefault="00AA0145" w:rsidP="00EF777F">
            <w:pPr>
              <w:pStyle w:val="Tabletext"/>
              <w:keepLines/>
              <w:jc w:val="center"/>
            </w:pPr>
            <w:r w:rsidRPr="00CF4B08">
              <w:t>0.66</w:t>
            </w:r>
          </w:p>
        </w:tc>
        <w:tc>
          <w:tcPr>
            <w:tcW w:w="993" w:type="dxa"/>
            <w:noWrap/>
            <w:vAlign w:val="center"/>
          </w:tcPr>
          <w:p w14:paraId="2E665BF8" w14:textId="310AC997"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61"/>
                <w14:textFill>
                  <w14:solidFill>
                    <w14:srgbClr w14:val="000000">
                      <w14:alpha w14:val="100000"/>
                    </w14:srgbClr>
                  </w14:solidFill>
                </w14:textFill>
              </w:rPr>
              <w:t>|</w:t>
            </w:r>
            <w:r w:rsidRPr="001549E4">
              <w:rPr>
                <w:color w:val="000000"/>
                <w:spacing w:val="1"/>
                <w:shd w:val="solid" w:color="000000" w:fill="000000"/>
                <w:fitText w:val="184" w:id="-693991161"/>
                <w14:textFill>
                  <w14:solidFill>
                    <w14:srgbClr w14:val="000000">
                      <w14:alpha w14:val="100000"/>
                    </w14:srgbClr>
                  </w14:solidFill>
                </w14:textFill>
              </w:rPr>
              <w:t>|</w:t>
            </w:r>
            <w:r w:rsidR="006B5FA1" w:rsidRPr="00BA17BB">
              <w:rPr>
                <w:vertAlign w:val="superscript"/>
              </w:rPr>
              <w:t>5</w:t>
            </w:r>
          </w:p>
        </w:tc>
        <w:tc>
          <w:tcPr>
            <w:tcW w:w="658" w:type="dxa"/>
            <w:noWrap/>
            <w:vAlign w:val="center"/>
          </w:tcPr>
          <w:p w14:paraId="27E300CD" w14:textId="17E8D967" w:rsidR="00AA0145" w:rsidRPr="00CF4B08" w:rsidRDefault="001549E4" w:rsidP="00EF777F">
            <w:pPr>
              <w:pStyle w:val="Tabletext"/>
              <w:keepLines/>
              <w:jc w:val="center"/>
            </w:pPr>
            <w:r w:rsidRPr="001549E4">
              <w:rPr>
                <w:color w:val="000000"/>
                <w:spacing w:val="122"/>
                <w:shd w:val="solid" w:color="000000" w:fill="000000"/>
                <w:fitText w:val="208" w:id="-693991160"/>
                <w14:textFill>
                  <w14:solidFill>
                    <w14:srgbClr w14:val="000000">
                      <w14:alpha w14:val="100000"/>
                    </w14:srgbClr>
                  </w14:solidFill>
                </w14:textFill>
              </w:rPr>
              <w:t>|</w:t>
            </w:r>
            <w:r w:rsidRPr="001549E4">
              <w:rPr>
                <w:color w:val="000000"/>
                <w:spacing w:val="1"/>
                <w:shd w:val="solid" w:color="000000" w:fill="000000"/>
                <w:fitText w:val="208" w:id="-693991160"/>
                <w14:textFill>
                  <w14:solidFill>
                    <w14:srgbClr w14:val="000000">
                      <w14:alpha w14:val="100000"/>
                    </w14:srgbClr>
                  </w14:solidFill>
                </w14:textFill>
              </w:rPr>
              <w:t>|</w:t>
            </w:r>
            <w:r w:rsidR="00AA0145" w:rsidRPr="00CF4B08">
              <w:t>%</w:t>
            </w:r>
          </w:p>
        </w:tc>
      </w:tr>
      <w:tr w:rsidR="00AA0145" w:rsidRPr="00CF4B08" w14:paraId="7C17049E" w14:textId="77777777" w:rsidTr="00EA7B7B">
        <w:trPr>
          <w:trHeight w:val="20"/>
        </w:trPr>
        <w:tc>
          <w:tcPr>
            <w:tcW w:w="5524" w:type="dxa"/>
            <w:noWrap/>
          </w:tcPr>
          <w:p w14:paraId="58D9C3FC" w14:textId="4806299C" w:rsidR="00AA0145" w:rsidRPr="00CF4B08" w:rsidRDefault="00AA0145" w:rsidP="00EF777F">
            <w:pPr>
              <w:pStyle w:val="Tabletext"/>
              <w:keepLines/>
              <w:rPr>
                <w:vertAlign w:val="superscript"/>
              </w:rPr>
            </w:pPr>
            <w:r w:rsidRPr="00CF4B08">
              <w:t xml:space="preserve">Annual rate of PEBD in SoC arm changed to equal odevixibat </w:t>
            </w:r>
            <w:r w:rsidRPr="00CF4B08">
              <w:rPr>
                <w:vertAlign w:val="superscript"/>
              </w:rPr>
              <w:t>d</w:t>
            </w:r>
          </w:p>
        </w:tc>
        <w:tc>
          <w:tcPr>
            <w:tcW w:w="992" w:type="dxa"/>
            <w:noWrap/>
            <w:vAlign w:val="center"/>
          </w:tcPr>
          <w:p w14:paraId="35408133" w14:textId="6DF0AAB3" w:rsidR="00AA0145" w:rsidRPr="00EF06B0" w:rsidRDefault="001549E4" w:rsidP="00EF777F">
            <w:pPr>
              <w:pStyle w:val="Tabletext"/>
              <w:keepLines/>
              <w:jc w:val="center"/>
              <w:rPr>
                <w:highlight w:val="darkGray"/>
              </w:rPr>
            </w:pPr>
            <w:r w:rsidRPr="001549E4">
              <w:rPr>
                <w:color w:val="000000"/>
                <w:spacing w:val="75"/>
                <w:shd w:val="solid" w:color="000000" w:fill="000000"/>
                <w:fitText w:val="161" w:id="-693991159"/>
                <w14:textFill>
                  <w14:solidFill>
                    <w14:srgbClr w14:val="000000">
                      <w14:alpha w14:val="100000"/>
                    </w14:srgbClr>
                  </w14:solidFill>
                </w14:textFill>
              </w:rPr>
              <w:t>|</w:t>
            </w:r>
            <w:r w:rsidRPr="001549E4">
              <w:rPr>
                <w:color w:val="000000"/>
                <w:spacing w:val="1"/>
                <w:shd w:val="solid" w:color="000000" w:fill="000000"/>
                <w:fitText w:val="161" w:id="-693991159"/>
                <w14:textFill>
                  <w14:solidFill>
                    <w14:srgbClr w14:val="000000">
                      <w14:alpha w14:val="100000"/>
                    </w14:srgbClr>
                  </w14:solidFill>
                </w14:textFill>
              </w:rPr>
              <w:t>|</w:t>
            </w:r>
            <w:r w:rsidR="00BB1289" w:rsidRPr="00BB1289">
              <w:t xml:space="preserve"> </w:t>
            </w:r>
          </w:p>
        </w:tc>
        <w:tc>
          <w:tcPr>
            <w:tcW w:w="850" w:type="dxa"/>
            <w:noWrap/>
            <w:vAlign w:val="center"/>
          </w:tcPr>
          <w:p w14:paraId="06A95587" w14:textId="77777777" w:rsidR="00AA0145" w:rsidRPr="00CF4B08" w:rsidRDefault="00AA0145" w:rsidP="00EF777F">
            <w:pPr>
              <w:pStyle w:val="Tabletext"/>
              <w:keepLines/>
              <w:jc w:val="center"/>
            </w:pPr>
            <w:r w:rsidRPr="00CF4B08">
              <w:t>0.57</w:t>
            </w:r>
          </w:p>
        </w:tc>
        <w:tc>
          <w:tcPr>
            <w:tcW w:w="993" w:type="dxa"/>
            <w:noWrap/>
            <w:vAlign w:val="center"/>
          </w:tcPr>
          <w:p w14:paraId="2942C0E9" w14:textId="240A22A3" w:rsidR="00AA0145" w:rsidRPr="00EF06B0" w:rsidRDefault="001549E4" w:rsidP="00EF777F">
            <w:pPr>
              <w:pStyle w:val="Tabletext"/>
              <w:keepLines/>
              <w:jc w:val="center"/>
              <w:rPr>
                <w:highlight w:val="darkGray"/>
              </w:rPr>
            </w:pPr>
            <w:r w:rsidRPr="001549E4">
              <w:rPr>
                <w:color w:val="000000"/>
                <w:spacing w:val="98"/>
                <w:shd w:val="solid" w:color="000000" w:fill="000000"/>
                <w:fitText w:val="184" w:id="-693991158"/>
                <w14:textFill>
                  <w14:solidFill>
                    <w14:srgbClr w14:val="000000">
                      <w14:alpha w14:val="100000"/>
                    </w14:srgbClr>
                  </w14:solidFill>
                </w14:textFill>
              </w:rPr>
              <w:t>|</w:t>
            </w:r>
            <w:r w:rsidRPr="001549E4">
              <w:rPr>
                <w:color w:val="000000"/>
                <w:spacing w:val="1"/>
                <w:shd w:val="solid" w:color="000000" w:fill="000000"/>
                <w:fitText w:val="184" w:id="-693991158"/>
                <w14:textFill>
                  <w14:solidFill>
                    <w14:srgbClr w14:val="000000">
                      <w14:alpha w14:val="100000"/>
                    </w14:srgbClr>
                  </w14:solidFill>
                </w14:textFill>
              </w:rPr>
              <w:t>|</w:t>
            </w:r>
            <w:r w:rsidR="00B36571" w:rsidRPr="00B36571">
              <w:rPr>
                <w:vertAlign w:val="superscript"/>
              </w:rPr>
              <w:t>8</w:t>
            </w:r>
          </w:p>
        </w:tc>
        <w:tc>
          <w:tcPr>
            <w:tcW w:w="658" w:type="dxa"/>
            <w:noWrap/>
            <w:vAlign w:val="center"/>
          </w:tcPr>
          <w:p w14:paraId="00EF6C36" w14:textId="15AA1774" w:rsidR="00AA0145" w:rsidRPr="00CF4B08" w:rsidRDefault="001549E4" w:rsidP="00EF777F">
            <w:pPr>
              <w:pStyle w:val="Tabletext"/>
              <w:keepLines/>
              <w:jc w:val="center"/>
            </w:pPr>
            <w:r w:rsidRPr="001549E4">
              <w:rPr>
                <w:color w:val="000000"/>
                <w:spacing w:val="122"/>
                <w:shd w:val="solid" w:color="000000" w:fill="000000"/>
                <w:fitText w:val="208" w:id="-693991157"/>
                <w14:textFill>
                  <w14:solidFill>
                    <w14:srgbClr w14:val="000000">
                      <w14:alpha w14:val="100000"/>
                    </w14:srgbClr>
                  </w14:solidFill>
                </w14:textFill>
              </w:rPr>
              <w:t>|</w:t>
            </w:r>
            <w:r w:rsidRPr="001549E4">
              <w:rPr>
                <w:color w:val="000000"/>
                <w:spacing w:val="1"/>
                <w:shd w:val="solid" w:color="000000" w:fill="000000"/>
                <w:fitText w:val="208" w:id="-693991157"/>
                <w14:textFill>
                  <w14:solidFill>
                    <w14:srgbClr w14:val="000000">
                      <w14:alpha w14:val="100000"/>
                    </w14:srgbClr>
                  </w14:solidFill>
                </w14:textFill>
              </w:rPr>
              <w:t>|</w:t>
            </w:r>
            <w:r w:rsidR="00AA0145" w:rsidRPr="00CF4B08">
              <w:t>%</w:t>
            </w:r>
          </w:p>
        </w:tc>
      </w:tr>
      <w:tr w:rsidR="00AA0145" w:rsidRPr="00CF4B08" w14:paraId="1F2FE3AC" w14:textId="77777777" w:rsidTr="00EA7B7B">
        <w:trPr>
          <w:trHeight w:val="20"/>
        </w:trPr>
        <w:tc>
          <w:tcPr>
            <w:tcW w:w="5524" w:type="dxa"/>
            <w:noWrap/>
          </w:tcPr>
          <w:p w14:paraId="2FE96269" w14:textId="6150AFE6" w:rsidR="00AA0145" w:rsidRPr="00CF4B08" w:rsidRDefault="00AA0145" w:rsidP="00AA0145">
            <w:pPr>
              <w:pStyle w:val="Tabletext"/>
            </w:pPr>
            <w:r w:rsidRPr="00CF4B08">
              <w:t>Starting age set to 7.62 years per the mean age of Cohort 2 in PEDFIC 2 (BC = 4.25)</w:t>
            </w:r>
          </w:p>
        </w:tc>
        <w:tc>
          <w:tcPr>
            <w:tcW w:w="992" w:type="dxa"/>
            <w:noWrap/>
            <w:vAlign w:val="center"/>
          </w:tcPr>
          <w:p w14:paraId="27713348" w14:textId="139DDC94" w:rsidR="00AA0145" w:rsidRPr="00EF06B0" w:rsidRDefault="001549E4" w:rsidP="00AA0145">
            <w:pPr>
              <w:pStyle w:val="Tabletext"/>
              <w:jc w:val="center"/>
              <w:rPr>
                <w:highlight w:val="darkGray"/>
              </w:rPr>
            </w:pPr>
            <w:r w:rsidRPr="001549E4">
              <w:rPr>
                <w:color w:val="000000"/>
                <w:spacing w:val="75"/>
                <w:shd w:val="solid" w:color="000000" w:fill="000000"/>
                <w:fitText w:val="161" w:id="-693991156"/>
                <w14:textFill>
                  <w14:solidFill>
                    <w14:srgbClr w14:val="000000">
                      <w14:alpha w14:val="100000"/>
                    </w14:srgbClr>
                  </w14:solidFill>
                </w14:textFill>
              </w:rPr>
              <w:t>|</w:t>
            </w:r>
            <w:r w:rsidRPr="001549E4">
              <w:rPr>
                <w:color w:val="000000"/>
                <w:spacing w:val="1"/>
                <w:shd w:val="solid" w:color="000000" w:fill="000000"/>
                <w:fitText w:val="161" w:id="-693991156"/>
                <w14:textFill>
                  <w14:solidFill>
                    <w14:srgbClr w14:val="000000">
                      <w14:alpha w14:val="100000"/>
                    </w14:srgbClr>
                  </w14:solidFill>
                </w14:textFill>
              </w:rPr>
              <w:t>|</w:t>
            </w:r>
            <w:r w:rsidR="00BB1289" w:rsidRPr="00BB1289">
              <w:t xml:space="preserve"> </w:t>
            </w:r>
          </w:p>
        </w:tc>
        <w:tc>
          <w:tcPr>
            <w:tcW w:w="850" w:type="dxa"/>
            <w:noWrap/>
            <w:vAlign w:val="center"/>
          </w:tcPr>
          <w:p w14:paraId="3CC92287" w14:textId="77777777" w:rsidR="00AA0145" w:rsidRPr="00CF4B08" w:rsidRDefault="00AA0145" w:rsidP="00AA0145">
            <w:pPr>
              <w:pStyle w:val="Tabletext"/>
              <w:jc w:val="center"/>
            </w:pPr>
            <w:r w:rsidRPr="00CF4B08">
              <w:t>1.18</w:t>
            </w:r>
          </w:p>
        </w:tc>
        <w:tc>
          <w:tcPr>
            <w:tcW w:w="993" w:type="dxa"/>
            <w:noWrap/>
            <w:vAlign w:val="center"/>
          </w:tcPr>
          <w:p w14:paraId="0B3E78ED" w14:textId="3610AD71" w:rsidR="00AA0145" w:rsidRPr="00EF06B0" w:rsidRDefault="001549E4" w:rsidP="00AA0145">
            <w:pPr>
              <w:pStyle w:val="Tabletext"/>
              <w:jc w:val="center"/>
              <w:rPr>
                <w:highlight w:val="darkGray"/>
              </w:rPr>
            </w:pPr>
            <w:r w:rsidRPr="001549E4">
              <w:rPr>
                <w:color w:val="000000"/>
                <w:spacing w:val="98"/>
                <w:shd w:val="solid" w:color="000000" w:fill="000000"/>
                <w:fitText w:val="184" w:id="-693991155"/>
                <w14:textFill>
                  <w14:solidFill>
                    <w14:srgbClr w14:val="000000">
                      <w14:alpha w14:val="100000"/>
                    </w14:srgbClr>
                  </w14:solidFill>
                </w14:textFill>
              </w:rPr>
              <w:t>|</w:t>
            </w:r>
            <w:r w:rsidRPr="001549E4">
              <w:rPr>
                <w:color w:val="000000"/>
                <w:spacing w:val="1"/>
                <w:shd w:val="solid" w:color="000000" w:fill="000000"/>
                <w:fitText w:val="184" w:id="-693991155"/>
                <w14:textFill>
                  <w14:solidFill>
                    <w14:srgbClr w14:val="000000">
                      <w14:alpha w14:val="100000"/>
                    </w14:srgbClr>
                  </w14:solidFill>
                </w14:textFill>
              </w:rPr>
              <w:t>|</w:t>
            </w:r>
            <w:r w:rsidR="001871C5" w:rsidRPr="00FC1B0B">
              <w:rPr>
                <w:vertAlign w:val="superscript"/>
              </w:rPr>
              <w:t>2</w:t>
            </w:r>
          </w:p>
        </w:tc>
        <w:tc>
          <w:tcPr>
            <w:tcW w:w="658" w:type="dxa"/>
            <w:noWrap/>
            <w:vAlign w:val="center"/>
          </w:tcPr>
          <w:p w14:paraId="76B1D471" w14:textId="2224BA1E" w:rsidR="00AA0145" w:rsidRPr="00CF4B08" w:rsidRDefault="001549E4" w:rsidP="00AA0145">
            <w:pPr>
              <w:pStyle w:val="Tabletext"/>
              <w:jc w:val="center"/>
            </w:pPr>
            <w:r w:rsidRPr="001549E4">
              <w:rPr>
                <w:color w:val="000000"/>
                <w:spacing w:val="122"/>
                <w:shd w:val="solid" w:color="000000" w:fill="000000"/>
                <w:fitText w:val="208" w:id="-693991154"/>
                <w14:textFill>
                  <w14:solidFill>
                    <w14:srgbClr w14:val="000000">
                      <w14:alpha w14:val="100000"/>
                    </w14:srgbClr>
                  </w14:solidFill>
                </w14:textFill>
              </w:rPr>
              <w:t>|</w:t>
            </w:r>
            <w:r w:rsidRPr="001549E4">
              <w:rPr>
                <w:color w:val="000000"/>
                <w:spacing w:val="1"/>
                <w:shd w:val="solid" w:color="000000" w:fill="000000"/>
                <w:fitText w:val="208" w:id="-693991154"/>
                <w14:textFill>
                  <w14:solidFill>
                    <w14:srgbClr w14:val="000000">
                      <w14:alpha w14:val="100000"/>
                    </w14:srgbClr>
                  </w14:solidFill>
                </w14:textFill>
              </w:rPr>
              <w:t>|</w:t>
            </w:r>
            <w:r w:rsidR="00AA0145" w:rsidRPr="00CF4B08">
              <w:t>%</w:t>
            </w:r>
          </w:p>
        </w:tc>
      </w:tr>
      <w:tr w:rsidR="00AA0145" w:rsidRPr="00CF4B08" w14:paraId="2175BC60" w14:textId="77777777" w:rsidTr="00EA7B7B">
        <w:trPr>
          <w:trHeight w:val="20"/>
        </w:trPr>
        <w:tc>
          <w:tcPr>
            <w:tcW w:w="5524" w:type="dxa"/>
            <w:noWrap/>
          </w:tcPr>
          <w:p w14:paraId="0B3DF143" w14:textId="44EC0BB1" w:rsidR="00AA0145" w:rsidRPr="00CF4B08" w:rsidRDefault="00AA0145" w:rsidP="00AA0145">
            <w:pPr>
              <w:pStyle w:val="Tabletext"/>
            </w:pPr>
            <w:r w:rsidRPr="00CF4B08">
              <w:t xml:space="preserve">Starting age set to 13.8 years per the prevalent patients in the financial estimates </w:t>
            </w:r>
          </w:p>
        </w:tc>
        <w:tc>
          <w:tcPr>
            <w:tcW w:w="992" w:type="dxa"/>
            <w:noWrap/>
            <w:vAlign w:val="center"/>
          </w:tcPr>
          <w:p w14:paraId="625D5E85" w14:textId="6C03CE97" w:rsidR="00AA0145" w:rsidRPr="00EF06B0" w:rsidRDefault="001549E4" w:rsidP="00AA0145">
            <w:pPr>
              <w:pStyle w:val="Tabletext"/>
              <w:jc w:val="center"/>
              <w:rPr>
                <w:highlight w:val="darkGray"/>
              </w:rPr>
            </w:pPr>
            <w:r w:rsidRPr="001549E4">
              <w:rPr>
                <w:color w:val="000000"/>
                <w:spacing w:val="75"/>
                <w:shd w:val="solid" w:color="000000" w:fill="000000"/>
                <w:fitText w:val="161" w:id="-693991153"/>
                <w14:textFill>
                  <w14:solidFill>
                    <w14:srgbClr w14:val="000000">
                      <w14:alpha w14:val="100000"/>
                    </w14:srgbClr>
                  </w14:solidFill>
                </w14:textFill>
              </w:rPr>
              <w:t>|</w:t>
            </w:r>
            <w:r w:rsidRPr="001549E4">
              <w:rPr>
                <w:color w:val="000000"/>
                <w:spacing w:val="1"/>
                <w:shd w:val="solid" w:color="000000" w:fill="000000"/>
                <w:fitText w:val="161" w:id="-693991153"/>
                <w14:textFill>
                  <w14:solidFill>
                    <w14:srgbClr w14:val="000000">
                      <w14:alpha w14:val="100000"/>
                    </w14:srgbClr>
                  </w14:solidFill>
                </w14:textFill>
              </w:rPr>
              <w:t>|</w:t>
            </w:r>
            <w:r w:rsidR="00BB1289" w:rsidRPr="00BB1289">
              <w:t xml:space="preserve"> </w:t>
            </w:r>
          </w:p>
        </w:tc>
        <w:tc>
          <w:tcPr>
            <w:tcW w:w="850" w:type="dxa"/>
            <w:noWrap/>
            <w:vAlign w:val="center"/>
          </w:tcPr>
          <w:p w14:paraId="33000396" w14:textId="77777777" w:rsidR="00AA0145" w:rsidRPr="00CF4B08" w:rsidRDefault="00AA0145" w:rsidP="00AA0145">
            <w:pPr>
              <w:pStyle w:val="Tabletext"/>
              <w:jc w:val="center"/>
            </w:pPr>
            <w:r w:rsidRPr="00CF4B08">
              <w:t>1.12</w:t>
            </w:r>
          </w:p>
        </w:tc>
        <w:tc>
          <w:tcPr>
            <w:tcW w:w="993" w:type="dxa"/>
            <w:noWrap/>
            <w:vAlign w:val="center"/>
          </w:tcPr>
          <w:p w14:paraId="22966138" w14:textId="0340498E" w:rsidR="00AA0145" w:rsidRPr="00EF06B0" w:rsidRDefault="001549E4" w:rsidP="00AA0145">
            <w:pPr>
              <w:pStyle w:val="Tabletext"/>
              <w:jc w:val="center"/>
              <w:rPr>
                <w:highlight w:val="darkGray"/>
              </w:rPr>
            </w:pPr>
            <w:r w:rsidRPr="001549E4">
              <w:rPr>
                <w:color w:val="000000"/>
                <w:spacing w:val="98"/>
                <w:shd w:val="solid" w:color="000000" w:fill="000000"/>
                <w:fitText w:val="184" w:id="-693991152"/>
                <w14:textFill>
                  <w14:solidFill>
                    <w14:srgbClr w14:val="000000">
                      <w14:alpha w14:val="100000"/>
                    </w14:srgbClr>
                  </w14:solidFill>
                </w14:textFill>
              </w:rPr>
              <w:t>|</w:t>
            </w:r>
            <w:r w:rsidRPr="001549E4">
              <w:rPr>
                <w:color w:val="000000"/>
                <w:spacing w:val="1"/>
                <w:shd w:val="solid" w:color="000000" w:fill="000000"/>
                <w:fitText w:val="184" w:id="-693991152"/>
                <w14:textFill>
                  <w14:solidFill>
                    <w14:srgbClr w14:val="000000">
                      <w14:alpha w14:val="100000"/>
                    </w14:srgbClr>
                  </w14:solidFill>
                </w14:textFill>
              </w:rPr>
              <w:t>|</w:t>
            </w:r>
            <w:r w:rsidR="00CD70B2" w:rsidRPr="00B36571">
              <w:rPr>
                <w:vertAlign w:val="superscript"/>
              </w:rPr>
              <w:t>8</w:t>
            </w:r>
          </w:p>
        </w:tc>
        <w:tc>
          <w:tcPr>
            <w:tcW w:w="658" w:type="dxa"/>
            <w:noWrap/>
            <w:vAlign w:val="center"/>
          </w:tcPr>
          <w:p w14:paraId="7E1C5F02" w14:textId="61C5B5C3" w:rsidR="00AA0145" w:rsidRPr="00CF4B08" w:rsidRDefault="001549E4" w:rsidP="00AA0145">
            <w:pPr>
              <w:pStyle w:val="Tabletext"/>
              <w:jc w:val="center"/>
            </w:pPr>
            <w:r w:rsidRPr="001549E4">
              <w:rPr>
                <w:color w:val="000000"/>
                <w:spacing w:val="122"/>
                <w:shd w:val="solid" w:color="000000" w:fill="000000"/>
                <w:fitText w:val="208" w:id="-693991168"/>
                <w14:textFill>
                  <w14:solidFill>
                    <w14:srgbClr w14:val="000000">
                      <w14:alpha w14:val="100000"/>
                    </w14:srgbClr>
                  </w14:solidFill>
                </w14:textFill>
              </w:rPr>
              <w:t>|</w:t>
            </w:r>
            <w:r w:rsidRPr="001549E4">
              <w:rPr>
                <w:color w:val="000000"/>
                <w:spacing w:val="1"/>
                <w:shd w:val="solid" w:color="000000" w:fill="000000"/>
                <w:fitText w:val="208" w:id="-693991168"/>
                <w14:textFill>
                  <w14:solidFill>
                    <w14:srgbClr w14:val="000000">
                      <w14:alpha w14:val="100000"/>
                    </w14:srgbClr>
                  </w14:solidFill>
                </w14:textFill>
              </w:rPr>
              <w:t>|</w:t>
            </w:r>
            <w:r w:rsidR="00AA0145" w:rsidRPr="00CF4B08">
              <w:t>%</w:t>
            </w:r>
          </w:p>
        </w:tc>
      </w:tr>
      <w:tr w:rsidR="007A42A7" w:rsidRPr="000F51F7" w14:paraId="488228DD" w14:textId="77777777" w:rsidTr="0016414B">
        <w:trPr>
          <w:trHeight w:val="20"/>
        </w:trPr>
        <w:tc>
          <w:tcPr>
            <w:tcW w:w="9017" w:type="dxa"/>
            <w:gridSpan w:val="5"/>
            <w:noWrap/>
          </w:tcPr>
          <w:p w14:paraId="52D174FE" w14:textId="003357C2" w:rsidR="007A42A7" w:rsidRPr="000F51F7" w:rsidRDefault="007A42A7" w:rsidP="007A42A7">
            <w:pPr>
              <w:pStyle w:val="Tabletext"/>
              <w:rPr>
                <w:b/>
                <w:iCs/>
              </w:rPr>
            </w:pPr>
            <w:r w:rsidRPr="000F51F7">
              <w:rPr>
                <w:b/>
                <w:iCs/>
              </w:rPr>
              <w:t>Multivariate sensitivity analyses</w:t>
            </w:r>
          </w:p>
        </w:tc>
      </w:tr>
      <w:tr w:rsidR="007A42A7" w:rsidRPr="000F51F7" w14:paraId="6D37AFFA" w14:textId="77777777" w:rsidTr="00EA7B7B">
        <w:trPr>
          <w:trHeight w:val="20"/>
        </w:trPr>
        <w:tc>
          <w:tcPr>
            <w:tcW w:w="5524" w:type="dxa"/>
            <w:noWrap/>
          </w:tcPr>
          <w:p w14:paraId="10058DA4" w14:textId="77777777" w:rsidR="007A42A7" w:rsidRPr="000F51F7" w:rsidRDefault="00EC4FCF" w:rsidP="00AA0145">
            <w:pPr>
              <w:pStyle w:val="Tabletext"/>
              <w:rPr>
                <w:iCs/>
              </w:rPr>
            </w:pPr>
            <w:r w:rsidRPr="000F51F7">
              <w:rPr>
                <w:iCs/>
              </w:rPr>
              <w:t xml:space="preserve">9% price reduction offered in PSCR + </w:t>
            </w:r>
          </w:p>
          <w:p w14:paraId="29D36F2F" w14:textId="337E2DFF" w:rsidR="00EC4FCF" w:rsidRPr="000F51F7" w:rsidRDefault="002144A0" w:rsidP="00AA0145">
            <w:pPr>
              <w:pStyle w:val="Tabletext"/>
              <w:rPr>
                <w:iCs/>
              </w:rPr>
            </w:pPr>
            <w:r w:rsidRPr="000F51F7">
              <w:rPr>
                <w:iCs/>
              </w:rPr>
              <w:t>Alternate approach</w:t>
            </w:r>
            <w:r w:rsidR="008347C1" w:rsidRPr="000F51F7">
              <w:rPr>
                <w:iCs/>
              </w:rPr>
              <w:t xml:space="preserve"> (</w:t>
            </w:r>
            <w:r w:rsidR="001549E4" w:rsidRPr="001549E4">
              <w:rPr>
                <w:iCs/>
                <w:color w:val="000000"/>
                <w:spacing w:val="54"/>
                <w:shd w:val="solid" w:color="000000" w:fill="000000"/>
                <w:fitText w:val="334" w:id="-693991167"/>
                <w14:textFill>
                  <w14:solidFill>
                    <w14:srgbClr w14:val="000000">
                      <w14:alpha w14:val="100000"/>
                    </w14:srgbClr>
                  </w14:solidFill>
                </w14:textFill>
              </w:rPr>
              <w:t>|||</w:t>
            </w:r>
            <w:r w:rsidR="001549E4" w:rsidRPr="001549E4">
              <w:rPr>
                <w:iCs/>
                <w:color w:val="000000"/>
                <w:spacing w:val="2"/>
                <w:shd w:val="solid" w:color="000000" w:fill="000000"/>
                <w:fitText w:val="334" w:id="-693991167"/>
                <w14:textFill>
                  <w14:solidFill>
                    <w14:srgbClr w14:val="000000">
                      <w14:alpha w14:val="100000"/>
                    </w14:srgbClr>
                  </w14:solidFill>
                </w14:textFill>
              </w:rPr>
              <w:t>|</w:t>
            </w:r>
            <w:r w:rsidR="00BB1289" w:rsidRPr="00BB1289">
              <w:rPr>
                <w:iCs/>
              </w:rPr>
              <w:t xml:space="preserve"> </w:t>
            </w:r>
            <w:r w:rsidR="001549E4" w:rsidRPr="001549E4">
              <w:rPr>
                <w:iCs/>
                <w:color w:val="000000"/>
                <w:spacing w:val="54"/>
                <w:shd w:val="solid" w:color="000000" w:fill="000000"/>
                <w:fitText w:val="334" w:id="-693991166"/>
                <w14:textFill>
                  <w14:solidFill>
                    <w14:srgbClr w14:val="000000">
                      <w14:alpha w14:val="100000"/>
                    </w14:srgbClr>
                  </w14:solidFill>
                </w14:textFill>
              </w:rPr>
              <w:t>|||</w:t>
            </w:r>
            <w:r w:rsidR="001549E4" w:rsidRPr="001549E4">
              <w:rPr>
                <w:iCs/>
                <w:color w:val="000000"/>
                <w:spacing w:val="2"/>
                <w:shd w:val="solid" w:color="000000" w:fill="000000"/>
                <w:fitText w:val="334" w:id="-693991166"/>
                <w14:textFill>
                  <w14:solidFill>
                    <w14:srgbClr w14:val="000000">
                      <w14:alpha w14:val="100000"/>
                    </w14:srgbClr>
                  </w14:solidFill>
                </w14:textFill>
              </w:rPr>
              <w:t>|</w:t>
            </w:r>
            <w:r w:rsidR="00BB1289" w:rsidRPr="00BB1289">
              <w:rPr>
                <w:iCs/>
              </w:rPr>
              <w:t xml:space="preserve"> </w:t>
            </w:r>
            <w:r w:rsidR="00975B1B" w:rsidRPr="00921CB2">
              <w:rPr>
                <w:iCs/>
              </w:rPr>
              <w:t>cost</w:t>
            </w:r>
            <w:r w:rsidR="00CE1D31" w:rsidRPr="00921CB2">
              <w:rPr>
                <w:iCs/>
              </w:rPr>
              <w:t>, response</w:t>
            </w:r>
            <w:r w:rsidR="00CE1D31" w:rsidRPr="000F51F7">
              <w:rPr>
                <w:iCs/>
              </w:rPr>
              <w:t xml:space="preserve"> rate for combined doses +</w:t>
            </w:r>
          </w:p>
          <w:p w14:paraId="7CC0F512" w14:textId="71B04442" w:rsidR="007A42A7" w:rsidRPr="000F51F7" w:rsidRDefault="00CE1D31" w:rsidP="00AA0145">
            <w:pPr>
              <w:pStyle w:val="Tabletext"/>
              <w:rPr>
                <w:iCs/>
              </w:rPr>
            </w:pPr>
            <w:r w:rsidRPr="000F51F7">
              <w:rPr>
                <w:iCs/>
              </w:rPr>
              <w:t>PEBD response utility</w:t>
            </w:r>
            <w:r w:rsidR="004A7AE7" w:rsidRPr="000F51F7">
              <w:rPr>
                <w:iCs/>
              </w:rPr>
              <w:t xml:space="preserve"> = no PEBD, no response (i.e. 0.83</w:t>
            </w:r>
            <w:r w:rsidR="00785371" w:rsidRPr="000F51F7">
              <w:rPr>
                <w:iCs/>
              </w:rPr>
              <w:t xml:space="preserve">0) </w:t>
            </w:r>
          </w:p>
        </w:tc>
        <w:tc>
          <w:tcPr>
            <w:tcW w:w="992" w:type="dxa"/>
            <w:noWrap/>
            <w:vAlign w:val="center"/>
          </w:tcPr>
          <w:p w14:paraId="1186ACED" w14:textId="7220FCC0" w:rsidR="007A42A7" w:rsidRPr="00EF06B0" w:rsidRDefault="001549E4" w:rsidP="00AA0145">
            <w:pPr>
              <w:pStyle w:val="Tabletext"/>
              <w:jc w:val="center"/>
              <w:rPr>
                <w:iCs/>
                <w:highlight w:val="darkGray"/>
              </w:rPr>
            </w:pPr>
            <w:r w:rsidRPr="001549E4">
              <w:rPr>
                <w:iCs/>
                <w:color w:val="000000"/>
                <w:spacing w:val="75"/>
                <w:shd w:val="solid" w:color="000000" w:fill="000000"/>
                <w:fitText w:val="161" w:id="-693991165"/>
                <w14:textFill>
                  <w14:solidFill>
                    <w14:srgbClr w14:val="000000">
                      <w14:alpha w14:val="100000"/>
                    </w14:srgbClr>
                  </w14:solidFill>
                </w14:textFill>
              </w:rPr>
              <w:t>|</w:t>
            </w:r>
            <w:r w:rsidRPr="001549E4">
              <w:rPr>
                <w:iCs/>
                <w:color w:val="000000"/>
                <w:spacing w:val="1"/>
                <w:shd w:val="solid" w:color="000000" w:fill="000000"/>
                <w:fitText w:val="161" w:id="-693991165"/>
                <w14:textFill>
                  <w14:solidFill>
                    <w14:srgbClr w14:val="000000">
                      <w14:alpha w14:val="100000"/>
                    </w14:srgbClr>
                  </w14:solidFill>
                </w14:textFill>
              </w:rPr>
              <w:t>|</w:t>
            </w:r>
            <w:r w:rsidR="00BB1289" w:rsidRPr="00BB1289">
              <w:rPr>
                <w:iCs/>
              </w:rPr>
              <w:t xml:space="preserve"> </w:t>
            </w:r>
          </w:p>
        </w:tc>
        <w:tc>
          <w:tcPr>
            <w:tcW w:w="850" w:type="dxa"/>
            <w:noWrap/>
            <w:vAlign w:val="center"/>
          </w:tcPr>
          <w:p w14:paraId="76A4BD76" w14:textId="5D25117A" w:rsidR="007A42A7" w:rsidRPr="000F51F7" w:rsidRDefault="008C1918" w:rsidP="00AA0145">
            <w:pPr>
              <w:pStyle w:val="Tabletext"/>
              <w:jc w:val="center"/>
              <w:rPr>
                <w:iCs/>
              </w:rPr>
            </w:pPr>
            <w:r w:rsidRPr="000F51F7">
              <w:rPr>
                <w:iCs/>
              </w:rPr>
              <w:t>0.99</w:t>
            </w:r>
          </w:p>
        </w:tc>
        <w:tc>
          <w:tcPr>
            <w:tcW w:w="993" w:type="dxa"/>
            <w:noWrap/>
            <w:vAlign w:val="center"/>
          </w:tcPr>
          <w:p w14:paraId="29054F01" w14:textId="537B4F0B" w:rsidR="007A42A7" w:rsidRPr="00EF06B0" w:rsidRDefault="001549E4" w:rsidP="00AA0145">
            <w:pPr>
              <w:pStyle w:val="Tabletext"/>
              <w:jc w:val="center"/>
              <w:rPr>
                <w:iCs/>
                <w:highlight w:val="darkGray"/>
              </w:rPr>
            </w:pPr>
            <w:r w:rsidRPr="001549E4">
              <w:rPr>
                <w:iCs/>
                <w:color w:val="000000"/>
                <w:spacing w:val="98"/>
                <w:shd w:val="solid" w:color="000000" w:fill="000000"/>
                <w:fitText w:val="184" w:id="-693991164"/>
                <w14:textFill>
                  <w14:solidFill>
                    <w14:srgbClr w14:val="000000">
                      <w14:alpha w14:val="100000"/>
                    </w14:srgbClr>
                  </w14:solidFill>
                </w14:textFill>
              </w:rPr>
              <w:t>|</w:t>
            </w:r>
            <w:r w:rsidRPr="001549E4">
              <w:rPr>
                <w:iCs/>
                <w:color w:val="000000"/>
                <w:spacing w:val="1"/>
                <w:shd w:val="solid" w:color="000000" w:fill="000000"/>
                <w:fitText w:val="184" w:id="-693991164"/>
                <w14:textFill>
                  <w14:solidFill>
                    <w14:srgbClr w14:val="000000">
                      <w14:alpha w14:val="100000"/>
                    </w14:srgbClr>
                  </w14:solidFill>
                </w14:textFill>
              </w:rPr>
              <w:t>|</w:t>
            </w:r>
            <w:r w:rsidR="00CD70B2" w:rsidRPr="00B36571">
              <w:rPr>
                <w:vertAlign w:val="superscript"/>
              </w:rPr>
              <w:t>8</w:t>
            </w:r>
          </w:p>
        </w:tc>
        <w:tc>
          <w:tcPr>
            <w:tcW w:w="658" w:type="dxa"/>
            <w:noWrap/>
            <w:vAlign w:val="center"/>
          </w:tcPr>
          <w:p w14:paraId="4BB4AC02" w14:textId="5E79A125" w:rsidR="007A42A7" w:rsidRPr="000F51F7" w:rsidRDefault="001549E4" w:rsidP="00AA0145">
            <w:pPr>
              <w:pStyle w:val="Tabletext"/>
              <w:jc w:val="center"/>
              <w:rPr>
                <w:iCs/>
              </w:rPr>
            </w:pPr>
            <w:r w:rsidRPr="001549E4">
              <w:rPr>
                <w:iCs/>
                <w:color w:val="000000"/>
                <w:spacing w:val="122"/>
                <w:shd w:val="solid" w:color="000000" w:fill="000000"/>
                <w:fitText w:val="208" w:id="-693991163"/>
                <w14:textFill>
                  <w14:solidFill>
                    <w14:srgbClr w14:val="000000">
                      <w14:alpha w14:val="100000"/>
                    </w14:srgbClr>
                  </w14:solidFill>
                </w14:textFill>
              </w:rPr>
              <w:t>|</w:t>
            </w:r>
            <w:r w:rsidRPr="001549E4">
              <w:rPr>
                <w:iCs/>
                <w:color w:val="000000"/>
                <w:spacing w:val="1"/>
                <w:shd w:val="solid" w:color="000000" w:fill="000000"/>
                <w:fitText w:val="208" w:id="-693991163"/>
                <w14:textFill>
                  <w14:solidFill>
                    <w14:srgbClr w14:val="000000">
                      <w14:alpha w14:val="100000"/>
                    </w14:srgbClr>
                  </w14:solidFill>
                </w14:textFill>
              </w:rPr>
              <w:t>|</w:t>
            </w:r>
            <w:r w:rsidR="00B155B8" w:rsidRPr="000F51F7">
              <w:rPr>
                <w:iCs/>
              </w:rPr>
              <w:t>%</w:t>
            </w:r>
          </w:p>
        </w:tc>
      </w:tr>
      <w:tr w:rsidR="007A42A7" w:rsidRPr="000F51F7" w14:paraId="5A95374D" w14:textId="77777777" w:rsidTr="00EA7B7B">
        <w:trPr>
          <w:trHeight w:val="20"/>
        </w:trPr>
        <w:tc>
          <w:tcPr>
            <w:tcW w:w="5524" w:type="dxa"/>
            <w:noWrap/>
          </w:tcPr>
          <w:p w14:paraId="099C9492" w14:textId="77777777" w:rsidR="008C1918" w:rsidRPr="000F51F7" w:rsidRDefault="008C1918" w:rsidP="008C1918">
            <w:pPr>
              <w:pStyle w:val="Tabletext"/>
              <w:rPr>
                <w:iCs/>
              </w:rPr>
            </w:pPr>
            <w:r w:rsidRPr="000F51F7">
              <w:rPr>
                <w:iCs/>
              </w:rPr>
              <w:t xml:space="preserve">9% price reduction offered in PSCR + </w:t>
            </w:r>
          </w:p>
          <w:p w14:paraId="56FC6434" w14:textId="52196431" w:rsidR="008C1918" w:rsidRPr="000F51F7" w:rsidRDefault="008C1918" w:rsidP="008C1918">
            <w:pPr>
              <w:pStyle w:val="Tabletext"/>
              <w:rPr>
                <w:iCs/>
              </w:rPr>
            </w:pPr>
            <w:r w:rsidRPr="000F51F7">
              <w:rPr>
                <w:iCs/>
              </w:rPr>
              <w:t>Alternate approach (</w:t>
            </w:r>
            <w:r w:rsidR="001549E4" w:rsidRPr="001549E4">
              <w:rPr>
                <w:iCs/>
                <w:color w:val="000000"/>
                <w:spacing w:val="54"/>
                <w:shd w:val="solid" w:color="000000" w:fill="000000"/>
                <w:fitText w:val="334" w:id="-693991162"/>
                <w14:textFill>
                  <w14:solidFill>
                    <w14:srgbClr w14:val="000000">
                      <w14:alpha w14:val="100000"/>
                    </w14:srgbClr>
                  </w14:solidFill>
                </w14:textFill>
              </w:rPr>
              <w:t>|||</w:t>
            </w:r>
            <w:r w:rsidR="001549E4" w:rsidRPr="001549E4">
              <w:rPr>
                <w:iCs/>
                <w:color w:val="000000"/>
                <w:spacing w:val="2"/>
                <w:shd w:val="solid" w:color="000000" w:fill="000000"/>
                <w:fitText w:val="334" w:id="-693991162"/>
                <w14:textFill>
                  <w14:solidFill>
                    <w14:srgbClr w14:val="000000">
                      <w14:alpha w14:val="100000"/>
                    </w14:srgbClr>
                  </w14:solidFill>
                </w14:textFill>
              </w:rPr>
              <w:t>|</w:t>
            </w:r>
            <w:r w:rsidR="00BB1289" w:rsidRPr="00BB1289">
              <w:rPr>
                <w:iCs/>
              </w:rPr>
              <w:t xml:space="preserve"> </w:t>
            </w:r>
            <w:r w:rsidR="001549E4" w:rsidRPr="001549E4">
              <w:rPr>
                <w:iCs/>
                <w:color w:val="000000"/>
                <w:spacing w:val="54"/>
                <w:shd w:val="solid" w:color="000000" w:fill="000000"/>
                <w:fitText w:val="334" w:id="-693991161"/>
                <w14:textFill>
                  <w14:solidFill>
                    <w14:srgbClr w14:val="000000">
                      <w14:alpha w14:val="100000"/>
                    </w14:srgbClr>
                  </w14:solidFill>
                </w14:textFill>
              </w:rPr>
              <w:t>|||</w:t>
            </w:r>
            <w:r w:rsidR="001549E4" w:rsidRPr="001549E4">
              <w:rPr>
                <w:iCs/>
                <w:color w:val="000000"/>
                <w:spacing w:val="2"/>
                <w:shd w:val="solid" w:color="000000" w:fill="000000"/>
                <w:fitText w:val="334" w:id="-693991161"/>
                <w14:textFill>
                  <w14:solidFill>
                    <w14:srgbClr w14:val="000000">
                      <w14:alpha w14:val="100000"/>
                    </w14:srgbClr>
                  </w14:solidFill>
                </w14:textFill>
              </w:rPr>
              <w:t>|</w:t>
            </w:r>
            <w:r w:rsidR="00BB1289" w:rsidRPr="00BB1289">
              <w:rPr>
                <w:iCs/>
              </w:rPr>
              <w:t xml:space="preserve"> </w:t>
            </w:r>
            <w:r w:rsidRPr="00921CB2">
              <w:rPr>
                <w:iCs/>
              </w:rPr>
              <w:t>cost</w:t>
            </w:r>
            <w:r w:rsidRPr="000F51F7">
              <w:rPr>
                <w:iCs/>
              </w:rPr>
              <w:t>, response rate for combined doses +</w:t>
            </w:r>
          </w:p>
          <w:p w14:paraId="5E19E381" w14:textId="77777777" w:rsidR="008C1918" w:rsidRPr="000F51F7" w:rsidRDefault="008C1918" w:rsidP="008C1918">
            <w:pPr>
              <w:pStyle w:val="Tabletext"/>
              <w:rPr>
                <w:iCs/>
              </w:rPr>
            </w:pPr>
            <w:r w:rsidRPr="000F51F7">
              <w:rPr>
                <w:iCs/>
              </w:rPr>
              <w:t>PEBD response utility = no PEBD, no response (i.e. 0.830) +</w:t>
            </w:r>
          </w:p>
          <w:p w14:paraId="371257E1" w14:textId="5F3FF003" w:rsidR="007A42A7" w:rsidRPr="000F51F7" w:rsidRDefault="008C1918" w:rsidP="00AA0145">
            <w:pPr>
              <w:pStyle w:val="Tabletext"/>
              <w:rPr>
                <w:iCs/>
              </w:rPr>
            </w:pPr>
            <w:r w:rsidRPr="000F51F7">
              <w:rPr>
                <w:iCs/>
              </w:rPr>
              <w:t>Caregiver utilities</w:t>
            </w:r>
            <w:r w:rsidR="00B0764E" w:rsidRPr="000F51F7">
              <w:rPr>
                <w:iCs/>
              </w:rPr>
              <w:t xml:space="preserve"> included</w:t>
            </w:r>
          </w:p>
        </w:tc>
        <w:tc>
          <w:tcPr>
            <w:tcW w:w="992" w:type="dxa"/>
            <w:noWrap/>
            <w:vAlign w:val="center"/>
          </w:tcPr>
          <w:p w14:paraId="55C22AB4" w14:textId="5F9246F2" w:rsidR="007A42A7" w:rsidRPr="00EF06B0" w:rsidRDefault="001549E4" w:rsidP="00AA0145">
            <w:pPr>
              <w:pStyle w:val="Tabletext"/>
              <w:jc w:val="center"/>
              <w:rPr>
                <w:iCs/>
                <w:highlight w:val="darkGray"/>
              </w:rPr>
            </w:pPr>
            <w:r w:rsidRPr="001549E4">
              <w:rPr>
                <w:iCs/>
                <w:color w:val="000000"/>
                <w:spacing w:val="75"/>
                <w:shd w:val="solid" w:color="000000" w:fill="000000"/>
                <w:fitText w:val="161" w:id="-693991160"/>
                <w14:textFill>
                  <w14:solidFill>
                    <w14:srgbClr w14:val="000000">
                      <w14:alpha w14:val="100000"/>
                    </w14:srgbClr>
                  </w14:solidFill>
                </w14:textFill>
              </w:rPr>
              <w:t>|</w:t>
            </w:r>
            <w:r w:rsidRPr="001549E4">
              <w:rPr>
                <w:iCs/>
                <w:color w:val="000000"/>
                <w:spacing w:val="1"/>
                <w:shd w:val="solid" w:color="000000" w:fill="000000"/>
                <w:fitText w:val="161" w:id="-693991160"/>
                <w14:textFill>
                  <w14:solidFill>
                    <w14:srgbClr w14:val="000000">
                      <w14:alpha w14:val="100000"/>
                    </w14:srgbClr>
                  </w14:solidFill>
                </w14:textFill>
              </w:rPr>
              <w:t>|</w:t>
            </w:r>
            <w:r w:rsidR="00BB1289" w:rsidRPr="00BB1289">
              <w:rPr>
                <w:iCs/>
              </w:rPr>
              <w:t xml:space="preserve"> </w:t>
            </w:r>
          </w:p>
        </w:tc>
        <w:tc>
          <w:tcPr>
            <w:tcW w:w="850" w:type="dxa"/>
            <w:noWrap/>
            <w:vAlign w:val="center"/>
          </w:tcPr>
          <w:p w14:paraId="14ED1EAC" w14:textId="5ABBF1BD" w:rsidR="007A42A7" w:rsidRPr="000F51F7" w:rsidRDefault="00330332" w:rsidP="00AA0145">
            <w:pPr>
              <w:pStyle w:val="Tabletext"/>
              <w:jc w:val="center"/>
              <w:rPr>
                <w:iCs/>
              </w:rPr>
            </w:pPr>
            <w:r w:rsidRPr="000F51F7">
              <w:rPr>
                <w:iCs/>
              </w:rPr>
              <w:t>1.27</w:t>
            </w:r>
          </w:p>
        </w:tc>
        <w:tc>
          <w:tcPr>
            <w:tcW w:w="993" w:type="dxa"/>
            <w:noWrap/>
            <w:vAlign w:val="center"/>
          </w:tcPr>
          <w:p w14:paraId="67BE79CF" w14:textId="4573D4C5" w:rsidR="007A42A7" w:rsidRPr="00EF06B0" w:rsidRDefault="001549E4" w:rsidP="00AA0145">
            <w:pPr>
              <w:pStyle w:val="Tabletext"/>
              <w:jc w:val="center"/>
              <w:rPr>
                <w:iCs/>
                <w:highlight w:val="darkGray"/>
              </w:rPr>
            </w:pPr>
            <w:r w:rsidRPr="001549E4">
              <w:rPr>
                <w:iCs/>
                <w:color w:val="000000"/>
                <w:spacing w:val="98"/>
                <w:shd w:val="solid" w:color="000000" w:fill="000000"/>
                <w:fitText w:val="184" w:id="-693991159"/>
                <w14:textFill>
                  <w14:solidFill>
                    <w14:srgbClr w14:val="000000">
                      <w14:alpha w14:val="100000"/>
                    </w14:srgbClr>
                  </w14:solidFill>
                </w14:textFill>
              </w:rPr>
              <w:t>|</w:t>
            </w:r>
            <w:r w:rsidRPr="001549E4">
              <w:rPr>
                <w:iCs/>
                <w:color w:val="000000"/>
                <w:spacing w:val="1"/>
                <w:shd w:val="solid" w:color="000000" w:fill="000000"/>
                <w:fitText w:val="184" w:id="-693991159"/>
                <w14:textFill>
                  <w14:solidFill>
                    <w14:srgbClr w14:val="000000">
                      <w14:alpha w14:val="100000"/>
                    </w14:srgbClr>
                  </w14:solidFill>
                </w14:textFill>
              </w:rPr>
              <w:t>|</w:t>
            </w:r>
            <w:r w:rsidR="006B5FA1" w:rsidRPr="00BA17BB">
              <w:rPr>
                <w:vertAlign w:val="superscript"/>
              </w:rPr>
              <w:t>5</w:t>
            </w:r>
          </w:p>
        </w:tc>
        <w:tc>
          <w:tcPr>
            <w:tcW w:w="658" w:type="dxa"/>
            <w:noWrap/>
            <w:vAlign w:val="center"/>
          </w:tcPr>
          <w:p w14:paraId="1153E56D" w14:textId="3A6CB048" w:rsidR="007A42A7" w:rsidRPr="000F51F7" w:rsidRDefault="001549E4" w:rsidP="00AA0145">
            <w:pPr>
              <w:pStyle w:val="Tabletext"/>
              <w:jc w:val="center"/>
              <w:rPr>
                <w:iCs/>
              </w:rPr>
            </w:pPr>
            <w:r w:rsidRPr="001549E4">
              <w:rPr>
                <w:iCs/>
                <w:color w:val="000000"/>
                <w:spacing w:val="122"/>
                <w:shd w:val="solid" w:color="000000" w:fill="000000"/>
                <w:fitText w:val="208" w:id="-693991158"/>
                <w14:textFill>
                  <w14:solidFill>
                    <w14:srgbClr w14:val="000000">
                      <w14:alpha w14:val="100000"/>
                    </w14:srgbClr>
                  </w14:solidFill>
                </w14:textFill>
              </w:rPr>
              <w:t>|</w:t>
            </w:r>
            <w:r w:rsidRPr="001549E4">
              <w:rPr>
                <w:iCs/>
                <w:color w:val="000000"/>
                <w:spacing w:val="1"/>
                <w:shd w:val="solid" w:color="000000" w:fill="000000"/>
                <w:fitText w:val="208" w:id="-693991158"/>
                <w14:textFill>
                  <w14:solidFill>
                    <w14:srgbClr w14:val="000000">
                      <w14:alpha w14:val="100000"/>
                    </w14:srgbClr>
                  </w14:solidFill>
                </w14:textFill>
              </w:rPr>
              <w:t>|</w:t>
            </w:r>
            <w:r w:rsidR="007D0536" w:rsidRPr="000F51F7">
              <w:rPr>
                <w:iCs/>
              </w:rPr>
              <w:t>%</w:t>
            </w:r>
          </w:p>
        </w:tc>
      </w:tr>
    </w:tbl>
    <w:p w14:paraId="35E8E737" w14:textId="76597CEB" w:rsidR="00F7105E" w:rsidRDefault="0010194C" w:rsidP="00F7105E">
      <w:pPr>
        <w:pStyle w:val="FooterTableFigure"/>
        <w:keepLines/>
        <w:widowControl w:val="0"/>
        <w:jc w:val="left"/>
      </w:pPr>
      <w:r>
        <w:t xml:space="preserve">Source: </w:t>
      </w:r>
      <w:r w:rsidRPr="0010194C">
        <w:t>Table 3-11 p60 of the resubmission</w:t>
      </w:r>
      <w:r w:rsidR="00F60AD7">
        <w:t xml:space="preserve"> </w:t>
      </w:r>
      <w:r w:rsidR="00F60AD7" w:rsidRPr="004E49F7">
        <w:t xml:space="preserve">and </w:t>
      </w:r>
      <w:r w:rsidRPr="004E49F7">
        <w:t>conducted during evaluation.</w:t>
      </w:r>
      <w:r>
        <w:br/>
        <w:t xml:space="preserve">Abbreviations: </w:t>
      </w:r>
      <w:r w:rsidR="00AC5A61">
        <w:t xml:space="preserve">BC = base case; </w:t>
      </w:r>
      <w:r w:rsidRPr="00FF1904">
        <w:t xml:space="preserve">QALY = quality adjusted life year; SOC = standard of care; PEBD = Partial external biliary diversion; LT = liver transplant; </w:t>
      </w:r>
      <w:r w:rsidRPr="00950D10">
        <w:br/>
        <w:t>a Corrected to include the cost reduction of 200</w:t>
      </w:r>
      <w:r w:rsidR="00436AE2">
        <w:t> </w:t>
      </w:r>
      <w:r w:rsidRPr="00950D10">
        <w:t>mcg capsules. Drug cost per pack list price in ‘Cost data’ E40 changed from $</w:t>
      </w:r>
      <w:r w:rsidR="001549E4" w:rsidRPr="001549E4">
        <w:rPr>
          <w:color w:val="000000"/>
          <w:spacing w:val="211"/>
          <w:shd w:val="solid" w:color="000000" w:fill="000000"/>
          <w:fitText w:val="288" w:id="-693991157"/>
          <w14:textFill>
            <w14:solidFill>
              <w14:srgbClr w14:val="000000">
                <w14:alpha w14:val="100000"/>
              </w14:srgbClr>
            </w14:solidFill>
          </w14:textFill>
        </w:rPr>
        <w:t>|</w:t>
      </w:r>
      <w:r w:rsidR="001549E4" w:rsidRPr="001549E4">
        <w:rPr>
          <w:color w:val="000000"/>
          <w:spacing w:val="1"/>
          <w:shd w:val="solid" w:color="000000" w:fill="000000"/>
          <w:fitText w:val="288" w:id="-693991157"/>
          <w14:textFill>
            <w14:solidFill>
              <w14:srgbClr w14:val="000000">
                <w14:alpha w14:val="100000"/>
              </w14:srgbClr>
            </w14:solidFill>
          </w14:textFill>
        </w:rPr>
        <w:t>|</w:t>
      </w:r>
      <w:r w:rsidRPr="00950D10">
        <w:t xml:space="preserve"> to $</w:t>
      </w:r>
      <w:r w:rsidR="001549E4" w:rsidRPr="006F5FAE">
        <w:rPr>
          <w:color w:val="000000"/>
          <w:spacing w:val="211"/>
          <w:shd w:val="solid" w:color="000000" w:fill="000000"/>
          <w:fitText w:val="288" w:id="-693991156"/>
          <w14:textFill>
            <w14:solidFill>
              <w14:srgbClr w14:val="000000">
                <w14:alpha w14:val="100000"/>
              </w14:srgbClr>
            </w14:solidFill>
          </w14:textFill>
        </w:rPr>
        <w:t>|</w:t>
      </w:r>
      <w:r w:rsidR="001549E4" w:rsidRPr="006F5FAE">
        <w:rPr>
          <w:color w:val="000000"/>
          <w:spacing w:val="1"/>
          <w:shd w:val="solid" w:color="000000" w:fill="000000"/>
          <w:fitText w:val="288" w:id="-693991156"/>
          <w14:textFill>
            <w14:solidFill>
              <w14:srgbClr w14:val="000000">
                <w14:alpha w14:val="100000"/>
              </w14:srgbClr>
            </w14:solidFill>
          </w14:textFill>
        </w:rPr>
        <w:t>|</w:t>
      </w:r>
      <w:r w:rsidRPr="00950D10">
        <w:t xml:space="preserve"> per Table 1.4.2.</w:t>
      </w:r>
      <w:r w:rsidRPr="00950D10">
        <w:br/>
      </w:r>
      <w:r>
        <w:t>b</w:t>
      </w:r>
      <w:r w:rsidRPr="00950D10">
        <w:t xml:space="preserve"> The model’s base case discontinuation rate (12.01%; PEDFIC 2 72-week analysis) was reduced until a 6</w:t>
      </w:r>
      <w:r w:rsidR="001B08A4">
        <w:t>-</w:t>
      </w:r>
      <w:r w:rsidRPr="00950D10">
        <w:t>year time on treatment (no PEBD, response) was met. The was reached with an annual probability of discontinuing of 6.67% in Cell K32, ‘Clinical data – Efficacy’.</w:t>
      </w:r>
      <w:r w:rsidRPr="00950D10">
        <w:br/>
      </w:r>
      <w:r>
        <w:t>e</w:t>
      </w:r>
      <w:r w:rsidRPr="00950D10">
        <w:t xml:space="preserve"> Annual probability of PEBD in the odevixibat arm (G49:G50, ‘ Clinical data – Efficacy’ ) set to equal that of the SoC arm (Column AA in ‘OvEC data’, 5.5202%).</w:t>
      </w:r>
      <w:r w:rsidRPr="00950D10">
        <w:br/>
      </w:r>
      <w:r>
        <w:t xml:space="preserve">c </w:t>
      </w:r>
      <w:r w:rsidRPr="00950D10">
        <w:t>Column AA in OvEC data set to equal the annual probability of PEBD in the odevixibat arm (1.16%).</w:t>
      </w:r>
      <w:r w:rsidRPr="00950D10">
        <w:br/>
      </w:r>
      <w:r>
        <w:t>d</w:t>
      </w:r>
      <w:r w:rsidRPr="00950D10">
        <w:t xml:space="preserve"> Annual probability of PEBD in the odevixibat arm (G49:G50, ‘ Clinical data – Efficacy’ ) set to equal that of the SoC arm minus 1% (Column AA in ‘OvEC data’, 5.5202%) – 1%.</w:t>
      </w:r>
      <w:r>
        <w:t xml:space="preserve"> </w:t>
      </w:r>
    </w:p>
    <w:p w14:paraId="13D4175E" w14:textId="43087121" w:rsidR="00F7105E" w:rsidRPr="007058D8" w:rsidRDefault="00F7105E" w:rsidP="00F7105E">
      <w:pPr>
        <w:pStyle w:val="FooterTableFigure"/>
        <w:keepLines/>
        <w:widowControl w:val="0"/>
        <w:jc w:val="left"/>
        <w:rPr>
          <w:i/>
          <w:iCs/>
        </w:rPr>
      </w:pPr>
      <w:r w:rsidRPr="007058D8">
        <w:rPr>
          <w:i/>
          <w:iCs/>
        </w:rPr>
        <w:t xml:space="preserve">The redacted values correspond to the following ranges: </w:t>
      </w:r>
    </w:p>
    <w:p w14:paraId="5D7B477A" w14:textId="77777777" w:rsidR="00F16D8C" w:rsidRPr="007058D8" w:rsidRDefault="00F7105E" w:rsidP="00F7105E">
      <w:pPr>
        <w:pStyle w:val="FooterTableFigure"/>
        <w:keepLines/>
        <w:widowControl w:val="0"/>
        <w:jc w:val="left"/>
        <w:rPr>
          <w:i/>
          <w:iCs/>
        </w:rPr>
      </w:pPr>
      <w:r w:rsidRPr="007058D8">
        <w:rPr>
          <w:i/>
          <w:iCs/>
          <w:vertAlign w:val="superscript"/>
        </w:rPr>
        <w:t>1</w:t>
      </w:r>
      <w:r w:rsidRPr="007058D8">
        <w:rPr>
          <w:i/>
          <w:iCs/>
        </w:rPr>
        <w:t xml:space="preserve"> </w:t>
      </w:r>
      <w:r w:rsidR="00F16D8C" w:rsidRPr="007058D8">
        <w:rPr>
          <w:i/>
          <w:iCs/>
        </w:rPr>
        <w:t>$355,000 to &lt; $455,000</w:t>
      </w:r>
    </w:p>
    <w:p w14:paraId="26A018BA" w14:textId="05259B67" w:rsidR="001871C5" w:rsidRPr="007058D8" w:rsidRDefault="001871C5" w:rsidP="00F7105E">
      <w:pPr>
        <w:pStyle w:val="FooterTableFigure"/>
        <w:keepLines/>
        <w:widowControl w:val="0"/>
        <w:jc w:val="left"/>
        <w:rPr>
          <w:i/>
          <w:iCs/>
        </w:rPr>
      </w:pPr>
      <w:r w:rsidRPr="007058D8">
        <w:rPr>
          <w:i/>
          <w:iCs/>
          <w:vertAlign w:val="superscript"/>
        </w:rPr>
        <w:t>2</w:t>
      </w:r>
      <w:r w:rsidRPr="007058D8">
        <w:rPr>
          <w:i/>
          <w:iCs/>
        </w:rPr>
        <w:t xml:space="preserve"> $555,000 to &lt; $655,000</w:t>
      </w:r>
    </w:p>
    <w:p w14:paraId="4D46F6A7" w14:textId="77777777" w:rsidR="0052348A" w:rsidRPr="007058D8" w:rsidRDefault="0052348A" w:rsidP="00F7105E">
      <w:pPr>
        <w:pStyle w:val="FooterTableFigure"/>
        <w:keepLines/>
        <w:widowControl w:val="0"/>
        <w:jc w:val="left"/>
        <w:rPr>
          <w:i/>
          <w:iCs/>
        </w:rPr>
      </w:pPr>
      <w:r w:rsidRPr="007058D8">
        <w:rPr>
          <w:i/>
          <w:iCs/>
          <w:vertAlign w:val="superscript"/>
        </w:rPr>
        <w:t>3</w:t>
      </w:r>
      <w:r w:rsidRPr="007058D8">
        <w:rPr>
          <w:i/>
          <w:iCs/>
        </w:rPr>
        <w:t xml:space="preserve"> $155,000 to &lt; $255,000</w:t>
      </w:r>
    </w:p>
    <w:p w14:paraId="7E989AFC" w14:textId="77777777" w:rsidR="00BA17BB" w:rsidRPr="007058D8" w:rsidRDefault="00BA17BB" w:rsidP="00F7105E">
      <w:pPr>
        <w:pStyle w:val="FooterTableFigure"/>
        <w:keepLines/>
        <w:widowControl w:val="0"/>
        <w:jc w:val="left"/>
        <w:rPr>
          <w:i/>
          <w:iCs/>
        </w:rPr>
      </w:pPr>
      <w:r w:rsidRPr="007058D8">
        <w:rPr>
          <w:i/>
          <w:iCs/>
          <w:vertAlign w:val="superscript"/>
        </w:rPr>
        <w:t>4</w:t>
      </w:r>
      <w:r w:rsidRPr="007058D8">
        <w:rPr>
          <w:i/>
          <w:iCs/>
        </w:rPr>
        <w:t xml:space="preserve"> $255,000 to &lt; $355,000</w:t>
      </w:r>
    </w:p>
    <w:p w14:paraId="4C7397EB" w14:textId="6B0E78D4" w:rsidR="003D7851" w:rsidRPr="007058D8" w:rsidRDefault="003D7851" w:rsidP="00F7105E">
      <w:pPr>
        <w:pStyle w:val="FooterTableFigure"/>
        <w:keepLines/>
        <w:widowControl w:val="0"/>
        <w:jc w:val="left"/>
        <w:rPr>
          <w:i/>
          <w:iCs/>
        </w:rPr>
      </w:pPr>
      <w:r w:rsidRPr="007058D8">
        <w:rPr>
          <w:i/>
          <w:iCs/>
          <w:vertAlign w:val="superscript"/>
        </w:rPr>
        <w:t>5</w:t>
      </w:r>
      <w:r w:rsidRPr="007058D8">
        <w:rPr>
          <w:i/>
          <w:iCs/>
        </w:rPr>
        <w:t xml:space="preserve"> $655,000 to &lt; $755,000</w:t>
      </w:r>
    </w:p>
    <w:p w14:paraId="5EE650CB" w14:textId="52665165" w:rsidR="007D4EF0" w:rsidRPr="007058D8" w:rsidRDefault="007D4EF0" w:rsidP="00F7105E">
      <w:pPr>
        <w:pStyle w:val="FooterTableFigure"/>
        <w:keepLines/>
        <w:widowControl w:val="0"/>
        <w:jc w:val="left"/>
        <w:rPr>
          <w:i/>
          <w:iCs/>
        </w:rPr>
      </w:pPr>
      <w:r w:rsidRPr="007058D8">
        <w:rPr>
          <w:i/>
          <w:iCs/>
          <w:vertAlign w:val="superscript"/>
        </w:rPr>
        <w:t>6</w:t>
      </w:r>
      <w:r w:rsidRPr="007058D8">
        <w:rPr>
          <w:i/>
          <w:iCs/>
        </w:rPr>
        <w:t xml:space="preserve"> $35,000 to &lt; $45,000</w:t>
      </w:r>
    </w:p>
    <w:p w14:paraId="1C3120E0" w14:textId="22D619F0" w:rsidR="006C3606" w:rsidRPr="007058D8" w:rsidRDefault="006C3606" w:rsidP="00F7105E">
      <w:pPr>
        <w:pStyle w:val="FooterTableFigure"/>
        <w:keepLines/>
        <w:widowControl w:val="0"/>
        <w:jc w:val="left"/>
        <w:rPr>
          <w:i/>
          <w:iCs/>
        </w:rPr>
      </w:pPr>
      <w:r w:rsidRPr="007058D8">
        <w:rPr>
          <w:i/>
          <w:iCs/>
          <w:vertAlign w:val="superscript"/>
        </w:rPr>
        <w:t>7</w:t>
      </w:r>
      <w:r w:rsidRPr="007058D8">
        <w:rPr>
          <w:i/>
          <w:iCs/>
        </w:rPr>
        <w:t xml:space="preserve"> $25,000 to &lt; $35,000</w:t>
      </w:r>
    </w:p>
    <w:p w14:paraId="001CA550" w14:textId="1BEA6F52" w:rsidR="0010194C" w:rsidRPr="007058D8" w:rsidRDefault="00CD70B2" w:rsidP="00F7105E">
      <w:pPr>
        <w:pStyle w:val="FooterTableFigure"/>
        <w:keepLines/>
        <w:widowControl w:val="0"/>
        <w:jc w:val="left"/>
        <w:rPr>
          <w:i/>
          <w:iCs/>
        </w:rPr>
      </w:pPr>
      <w:r w:rsidRPr="007058D8">
        <w:rPr>
          <w:i/>
          <w:iCs/>
          <w:vertAlign w:val="superscript"/>
        </w:rPr>
        <w:t>8</w:t>
      </w:r>
      <w:r w:rsidRPr="007058D8">
        <w:rPr>
          <w:i/>
          <w:iCs/>
        </w:rPr>
        <w:t xml:space="preserve"> $855,000 to &lt; $955,000</w:t>
      </w:r>
    </w:p>
    <w:p w14:paraId="37F5F2BF" w14:textId="353C0A8E" w:rsidR="00EF1432" w:rsidRPr="000F51F7" w:rsidRDefault="000A7630" w:rsidP="00EF1432">
      <w:pPr>
        <w:pStyle w:val="3-BodyText"/>
        <w:numPr>
          <w:ilvl w:val="1"/>
          <w:numId w:val="1"/>
        </w:numPr>
        <w:rPr>
          <w:color w:val="000000" w:themeColor="text1"/>
        </w:rPr>
      </w:pPr>
      <w:r w:rsidRPr="000F51F7">
        <w:rPr>
          <w:color w:val="000000" w:themeColor="text1"/>
        </w:rPr>
        <w:t>T</w:t>
      </w:r>
      <w:r w:rsidR="00C56991" w:rsidRPr="000F51F7">
        <w:rPr>
          <w:color w:val="000000" w:themeColor="text1"/>
        </w:rPr>
        <w:t xml:space="preserve">he </w:t>
      </w:r>
      <w:r w:rsidR="00E15706" w:rsidRPr="000F51F7">
        <w:rPr>
          <w:color w:val="000000" w:themeColor="text1"/>
        </w:rPr>
        <w:t>ESC noted</w:t>
      </w:r>
      <w:r w:rsidR="00EB4722" w:rsidRPr="000F51F7">
        <w:rPr>
          <w:color w:val="000000" w:themeColor="text1"/>
        </w:rPr>
        <w:t xml:space="preserve"> that</w:t>
      </w:r>
      <w:r w:rsidR="00F60AD7" w:rsidRPr="000F51F7">
        <w:rPr>
          <w:color w:val="000000" w:themeColor="text1"/>
        </w:rPr>
        <w:t xml:space="preserve"> </w:t>
      </w:r>
      <w:r w:rsidR="007269A1" w:rsidRPr="000F51F7">
        <w:rPr>
          <w:color w:val="000000" w:themeColor="text1"/>
        </w:rPr>
        <w:t xml:space="preserve">the </w:t>
      </w:r>
      <w:r w:rsidR="00C56991" w:rsidRPr="000F51F7">
        <w:rPr>
          <w:color w:val="000000" w:themeColor="text1"/>
        </w:rPr>
        <w:t xml:space="preserve">base case ICER </w:t>
      </w:r>
      <w:r w:rsidR="00F60AD7" w:rsidRPr="000F51F7">
        <w:rPr>
          <w:color w:val="000000" w:themeColor="text1"/>
        </w:rPr>
        <w:t xml:space="preserve">presented in the resubmission </w:t>
      </w:r>
      <w:r w:rsidR="00C56991" w:rsidRPr="000F51F7">
        <w:rPr>
          <w:color w:val="000000" w:themeColor="text1"/>
        </w:rPr>
        <w:t>was likely underestimated</w:t>
      </w:r>
      <w:r w:rsidR="00F30DE2" w:rsidRPr="000F51F7">
        <w:rPr>
          <w:color w:val="000000" w:themeColor="text1"/>
        </w:rPr>
        <w:t>,</w:t>
      </w:r>
      <w:r w:rsidR="00C56991" w:rsidRPr="000F51F7">
        <w:rPr>
          <w:color w:val="000000" w:themeColor="text1"/>
        </w:rPr>
        <w:t xml:space="preserve"> favoured odevixibat</w:t>
      </w:r>
      <w:r w:rsidR="00F30DE2" w:rsidRPr="000F51F7">
        <w:rPr>
          <w:color w:val="000000" w:themeColor="text1"/>
        </w:rPr>
        <w:t xml:space="preserve"> and was highly sensitive to changes</w:t>
      </w:r>
      <w:r w:rsidR="007962EF" w:rsidRPr="000F51F7">
        <w:rPr>
          <w:color w:val="000000" w:themeColor="text1"/>
        </w:rPr>
        <w:t xml:space="preserve"> in </w:t>
      </w:r>
      <w:r w:rsidR="00AC2472" w:rsidRPr="000F51F7">
        <w:rPr>
          <w:color w:val="000000" w:themeColor="text1"/>
        </w:rPr>
        <w:t xml:space="preserve">a number of </w:t>
      </w:r>
      <w:r w:rsidR="007962EF" w:rsidRPr="000F51F7">
        <w:rPr>
          <w:color w:val="000000" w:themeColor="text1"/>
        </w:rPr>
        <w:t>inputs.</w:t>
      </w:r>
      <w:r w:rsidR="007A42A7" w:rsidRPr="000F51F7">
        <w:rPr>
          <w:color w:val="000000" w:themeColor="text1"/>
        </w:rPr>
        <w:t xml:space="preserve"> The ESC also noted that the mean duration of treatment with odevixibat at 3.39 years was likely underestimated (see </w:t>
      </w:r>
      <w:r w:rsidR="007A42A7" w:rsidRPr="000F51F7">
        <w:rPr>
          <w:color w:val="000000" w:themeColor="text1"/>
        </w:rPr>
        <w:fldChar w:fldCharType="begin" w:fldLock="1"/>
      </w:r>
      <w:r w:rsidR="007A42A7" w:rsidRPr="000F51F7">
        <w:rPr>
          <w:color w:val="000000" w:themeColor="text1"/>
        </w:rPr>
        <w:instrText xml:space="preserve"> REF _Ref191022380 \h </w:instrText>
      </w:r>
      <w:r w:rsidR="000F51F7">
        <w:rPr>
          <w:color w:val="000000" w:themeColor="text1"/>
        </w:rPr>
        <w:instrText xml:space="preserve"> \* MERGEFORMAT </w:instrText>
      </w:r>
      <w:r w:rsidR="007A42A7" w:rsidRPr="000F51F7">
        <w:rPr>
          <w:color w:val="000000" w:themeColor="text1"/>
        </w:rPr>
      </w:r>
      <w:r w:rsidR="007A42A7" w:rsidRPr="000F51F7">
        <w:rPr>
          <w:color w:val="000000" w:themeColor="text1"/>
        </w:rPr>
        <w:fldChar w:fldCharType="separate"/>
      </w:r>
      <w:r w:rsidR="007A42A7" w:rsidRPr="000F51F7">
        <w:t xml:space="preserve">Table </w:t>
      </w:r>
      <w:r w:rsidR="007A42A7" w:rsidRPr="000F51F7">
        <w:rPr>
          <w:noProof/>
        </w:rPr>
        <w:t>18</w:t>
      </w:r>
      <w:r w:rsidR="007A42A7" w:rsidRPr="000F51F7">
        <w:rPr>
          <w:color w:val="000000" w:themeColor="text1"/>
        </w:rPr>
        <w:fldChar w:fldCharType="end"/>
      </w:r>
      <w:r w:rsidR="007A42A7" w:rsidRPr="000F51F7">
        <w:rPr>
          <w:color w:val="000000" w:themeColor="text1"/>
        </w:rPr>
        <w:t>). The ESC considered that this also reduced the ICER.</w:t>
      </w:r>
    </w:p>
    <w:p w14:paraId="383DEB50" w14:textId="2747C5A6" w:rsidR="00301162" w:rsidRPr="000F51F7" w:rsidRDefault="000A7630" w:rsidP="00301162">
      <w:pPr>
        <w:pStyle w:val="3-BodyText"/>
        <w:numPr>
          <w:ilvl w:val="1"/>
          <w:numId w:val="1"/>
        </w:numPr>
      </w:pPr>
      <w:bookmarkStart w:id="89" w:name="_Ref190604021"/>
      <w:r w:rsidRPr="000F51F7">
        <w:rPr>
          <w:color w:val="000000" w:themeColor="text1"/>
        </w:rPr>
        <w:lastRenderedPageBreak/>
        <w:t>Overall, the ESC considered that the</w:t>
      </w:r>
      <w:r w:rsidR="00910204" w:rsidRPr="000F51F7">
        <w:rPr>
          <w:color w:val="000000" w:themeColor="text1"/>
        </w:rPr>
        <w:t xml:space="preserve"> economic model presented in the resubmission was not </w:t>
      </w:r>
      <w:r w:rsidR="00A02844" w:rsidRPr="000F51F7">
        <w:rPr>
          <w:color w:val="000000" w:themeColor="text1"/>
        </w:rPr>
        <w:t xml:space="preserve">reliable </w:t>
      </w:r>
      <w:r w:rsidR="00910204" w:rsidRPr="000F51F7">
        <w:rPr>
          <w:color w:val="000000" w:themeColor="text1"/>
        </w:rPr>
        <w:t>for decision making as it lacked</w:t>
      </w:r>
      <w:r w:rsidRPr="000F51F7">
        <w:rPr>
          <w:color w:val="000000" w:themeColor="text1"/>
        </w:rPr>
        <w:t xml:space="preserve"> face validity regarding the change in ICER relative to the response rate and discontinuation rate of </w:t>
      </w:r>
      <w:proofErr w:type="spellStart"/>
      <w:r w:rsidRPr="000F51F7">
        <w:rPr>
          <w:color w:val="000000" w:themeColor="text1"/>
        </w:rPr>
        <w:t>odevixibat</w:t>
      </w:r>
      <w:proofErr w:type="spellEnd"/>
      <w:r w:rsidRPr="000F51F7">
        <w:rPr>
          <w:color w:val="000000" w:themeColor="text1"/>
        </w:rPr>
        <w:t xml:space="preserve"> (see paragraphs </w:t>
      </w:r>
      <w:r w:rsidRPr="000F51F7">
        <w:rPr>
          <w:color w:val="000000" w:themeColor="text1"/>
        </w:rPr>
        <w:fldChar w:fldCharType="begin" w:fldLock="1"/>
      </w:r>
      <w:r w:rsidRPr="000F51F7">
        <w:rPr>
          <w:color w:val="000000" w:themeColor="text1"/>
        </w:rPr>
        <w:instrText xml:space="preserve"> REF _Ref185260625 \r \h  \* MERGEFORMAT </w:instrText>
      </w:r>
      <w:r w:rsidRPr="000F51F7">
        <w:rPr>
          <w:color w:val="000000" w:themeColor="text1"/>
        </w:rPr>
      </w:r>
      <w:r w:rsidRPr="000F51F7">
        <w:rPr>
          <w:color w:val="000000" w:themeColor="text1"/>
        </w:rPr>
        <w:fldChar w:fldCharType="separate"/>
      </w:r>
      <w:r w:rsidR="00E16571">
        <w:rPr>
          <w:color w:val="000000" w:themeColor="text1"/>
        </w:rPr>
        <w:t>6.37</w:t>
      </w:r>
      <w:r w:rsidRPr="000F51F7">
        <w:rPr>
          <w:color w:val="000000" w:themeColor="text1"/>
        </w:rPr>
        <w:fldChar w:fldCharType="end"/>
      </w:r>
      <w:r w:rsidRPr="000F51F7">
        <w:rPr>
          <w:color w:val="000000" w:themeColor="text1"/>
        </w:rPr>
        <w:t xml:space="preserve"> and </w:t>
      </w:r>
      <w:r w:rsidRPr="000F51F7">
        <w:rPr>
          <w:color w:val="000000" w:themeColor="text1"/>
        </w:rPr>
        <w:fldChar w:fldCharType="begin" w:fldLock="1"/>
      </w:r>
      <w:r w:rsidRPr="000F51F7">
        <w:rPr>
          <w:color w:val="000000" w:themeColor="text1"/>
        </w:rPr>
        <w:instrText xml:space="preserve"> REF _Ref185090121 \r \h  \* MERGEFORMAT </w:instrText>
      </w:r>
      <w:r w:rsidRPr="000F51F7">
        <w:rPr>
          <w:color w:val="000000" w:themeColor="text1"/>
        </w:rPr>
      </w:r>
      <w:r w:rsidRPr="000F51F7">
        <w:rPr>
          <w:color w:val="000000" w:themeColor="text1"/>
        </w:rPr>
        <w:fldChar w:fldCharType="separate"/>
      </w:r>
      <w:r w:rsidR="00E16571">
        <w:rPr>
          <w:color w:val="000000" w:themeColor="text1"/>
        </w:rPr>
        <w:t>6.38</w:t>
      </w:r>
      <w:r w:rsidRPr="000F51F7">
        <w:rPr>
          <w:color w:val="000000" w:themeColor="text1"/>
        </w:rPr>
        <w:fldChar w:fldCharType="end"/>
      </w:r>
      <w:r w:rsidRPr="000F51F7">
        <w:rPr>
          <w:color w:val="000000" w:themeColor="text1"/>
        </w:rPr>
        <w:t>)</w:t>
      </w:r>
      <w:r w:rsidR="000A7BF5" w:rsidRPr="000F51F7">
        <w:rPr>
          <w:color w:val="000000" w:themeColor="text1"/>
        </w:rPr>
        <w:t xml:space="preserve"> </w:t>
      </w:r>
      <w:r w:rsidR="007A42A7" w:rsidRPr="000F51F7">
        <w:rPr>
          <w:color w:val="000000" w:themeColor="text1"/>
        </w:rPr>
        <w:t xml:space="preserve">and was </w:t>
      </w:r>
      <w:r w:rsidR="000A7BF5" w:rsidRPr="000F51F7">
        <w:rPr>
          <w:color w:val="000000" w:themeColor="text1"/>
        </w:rPr>
        <w:t xml:space="preserve">driven by implausible </w:t>
      </w:r>
      <w:r w:rsidR="002F4E36" w:rsidRPr="000F51F7">
        <w:rPr>
          <w:color w:val="000000" w:themeColor="text1"/>
        </w:rPr>
        <w:t>structural</w:t>
      </w:r>
      <w:r w:rsidR="000A7BF5" w:rsidRPr="000F51F7">
        <w:rPr>
          <w:color w:val="000000" w:themeColor="text1"/>
        </w:rPr>
        <w:t xml:space="preserve"> assumptions</w:t>
      </w:r>
      <w:r w:rsidR="007A0ED0" w:rsidRPr="000F51F7">
        <w:rPr>
          <w:color w:val="000000" w:themeColor="text1"/>
        </w:rPr>
        <w:t xml:space="preserve"> and uncertainty in data inputs</w:t>
      </w:r>
      <w:r w:rsidR="00301162" w:rsidRPr="000F51F7">
        <w:rPr>
          <w:color w:val="000000" w:themeColor="text1"/>
        </w:rPr>
        <w:t>.</w:t>
      </w:r>
      <w:bookmarkEnd w:id="89"/>
      <w:r w:rsidR="00301162" w:rsidRPr="000F51F7">
        <w:rPr>
          <w:color w:val="000000" w:themeColor="text1"/>
        </w:rPr>
        <w:t xml:space="preserve"> </w:t>
      </w:r>
      <w:bookmarkStart w:id="90" w:name="_Toc22897646"/>
      <w:bookmarkStart w:id="91" w:name="_Toc184822918"/>
      <w:bookmarkStart w:id="92" w:name="_Toc188451881"/>
    </w:p>
    <w:p w14:paraId="00841D2A" w14:textId="4BE8B522" w:rsidR="00C97CDA" w:rsidRPr="000F51F7" w:rsidRDefault="00C97CDA" w:rsidP="00301162">
      <w:pPr>
        <w:pStyle w:val="3-BodyText"/>
        <w:numPr>
          <w:ilvl w:val="1"/>
          <w:numId w:val="1"/>
        </w:numPr>
      </w:pPr>
      <w:r w:rsidRPr="000F51F7">
        <w:rPr>
          <w:color w:val="000000" w:themeColor="text1"/>
        </w:rPr>
        <w:t>The ESC considered that a</w:t>
      </w:r>
      <w:r w:rsidR="00702A27" w:rsidRPr="000F51F7">
        <w:rPr>
          <w:color w:val="000000" w:themeColor="text1"/>
        </w:rPr>
        <w:t>n incremental</w:t>
      </w:r>
      <w:r w:rsidRPr="000F51F7">
        <w:rPr>
          <w:color w:val="000000" w:themeColor="text1"/>
        </w:rPr>
        <w:t xml:space="preserve"> cost per responder analysis might </w:t>
      </w:r>
      <w:r w:rsidR="007269A1" w:rsidRPr="000F51F7">
        <w:rPr>
          <w:color w:val="000000" w:themeColor="text1"/>
        </w:rPr>
        <w:t xml:space="preserve">provide </w:t>
      </w:r>
      <w:r w:rsidR="00702A27" w:rsidRPr="000F51F7">
        <w:rPr>
          <w:color w:val="000000" w:themeColor="text1"/>
        </w:rPr>
        <w:t xml:space="preserve">a reasonable alternative </w:t>
      </w:r>
      <w:r w:rsidR="00F16E5D" w:rsidRPr="000F51F7">
        <w:rPr>
          <w:color w:val="000000" w:themeColor="text1"/>
        </w:rPr>
        <w:t xml:space="preserve">assessment of cost-effectiveness. </w:t>
      </w:r>
      <w:r w:rsidR="00F16E5D" w:rsidRPr="000F51F7">
        <w:t>The ESC noted that the PBAC has previously considered that cost per responder analyses were acceptable in the context of difficult to treat and relatively uncommon disease</w:t>
      </w:r>
      <w:r w:rsidR="002C2933">
        <w:t>s</w:t>
      </w:r>
      <w:r w:rsidR="00F16E5D" w:rsidRPr="000F51F7">
        <w:t xml:space="preserve"> and given the significant improvements in quality of life and symptom control that ‘response’ appeared to represent in this context.</w:t>
      </w:r>
    </w:p>
    <w:p w14:paraId="2C40BC0A" w14:textId="0CE2CF3A" w:rsidR="0087407A" w:rsidRPr="000F51F7" w:rsidRDefault="001711E8" w:rsidP="00301162">
      <w:pPr>
        <w:pStyle w:val="3-BodyText"/>
        <w:numPr>
          <w:ilvl w:val="1"/>
          <w:numId w:val="1"/>
        </w:numPr>
      </w:pPr>
      <w:r w:rsidRPr="000F51F7">
        <w:t xml:space="preserve">The ESC noted the incremental cost per responder </w:t>
      </w:r>
      <w:r w:rsidR="00DB6D48" w:rsidRPr="000F51F7">
        <w:t xml:space="preserve">analyses </w:t>
      </w:r>
      <w:r w:rsidRPr="000F51F7">
        <w:t xml:space="preserve">based on the clinical outcomes in the PEDFIC 1 trial at 24 weeks </w:t>
      </w:r>
      <w:r w:rsidR="00AB5209" w:rsidRPr="000F51F7">
        <w:t xml:space="preserve">and the price proposed in the PSCR </w:t>
      </w:r>
      <w:r w:rsidR="00DB6D48" w:rsidRPr="000F51F7">
        <w:t xml:space="preserve">presented in </w:t>
      </w:r>
      <w:r w:rsidR="007E0C3A" w:rsidRPr="000F51F7">
        <w:fldChar w:fldCharType="begin" w:fldLock="1"/>
      </w:r>
      <w:r w:rsidR="007E0C3A" w:rsidRPr="000F51F7">
        <w:instrText xml:space="preserve"> REF _Ref183089608 \h  \* MERGEFORMAT </w:instrText>
      </w:r>
      <w:r w:rsidR="007E0C3A" w:rsidRPr="000F51F7">
        <w:fldChar w:fldCharType="separate"/>
      </w:r>
      <w:r w:rsidR="007E0C3A" w:rsidRPr="000F51F7">
        <w:t xml:space="preserve">Table </w:t>
      </w:r>
      <w:r w:rsidR="007E0C3A" w:rsidRPr="000F51F7">
        <w:rPr>
          <w:noProof/>
        </w:rPr>
        <w:t>17</w:t>
      </w:r>
      <w:r w:rsidR="007E0C3A" w:rsidRPr="000F51F7">
        <w:fldChar w:fldCharType="end"/>
      </w:r>
      <w:r w:rsidR="007E0C3A" w:rsidRPr="000F51F7">
        <w:t>.</w:t>
      </w:r>
      <w:r w:rsidR="00176612" w:rsidRPr="000F51F7">
        <w:t xml:space="preserve"> </w:t>
      </w:r>
      <w:r w:rsidR="008936D1" w:rsidRPr="000F51F7">
        <w:t xml:space="preserve">The ESC noted </w:t>
      </w:r>
      <w:r w:rsidR="00CC4A07" w:rsidRPr="000F51F7">
        <w:t>that, given the weight</w:t>
      </w:r>
      <w:r w:rsidR="00F20A56" w:rsidRPr="000F51F7">
        <w:t>-</w:t>
      </w:r>
      <w:r w:rsidR="00CC4A07" w:rsidRPr="000F51F7">
        <w:t xml:space="preserve">based dosing for odevixibat, </w:t>
      </w:r>
      <w:r w:rsidR="008936D1" w:rsidRPr="000F51F7">
        <w:t xml:space="preserve">the incremental cost per patient would be higher for older </w:t>
      </w:r>
      <w:r w:rsidR="00F20A56" w:rsidRPr="000F51F7">
        <w:t xml:space="preserve">(heavier) </w:t>
      </w:r>
      <w:r w:rsidR="00CC4A07" w:rsidRPr="000F51F7">
        <w:t>patients.</w:t>
      </w:r>
    </w:p>
    <w:p w14:paraId="305982C8" w14:textId="1B2E8BB5" w:rsidR="00CC412E" w:rsidRPr="000F51F7" w:rsidRDefault="00CC412E" w:rsidP="00945B02">
      <w:pPr>
        <w:pStyle w:val="Caption"/>
        <w:spacing w:before="120"/>
      </w:pPr>
      <w:bookmarkStart w:id="93" w:name="_Ref183089608"/>
      <w:r w:rsidRPr="000F51F7">
        <w:t xml:space="preserve">Table </w:t>
      </w:r>
      <w:r w:rsidR="007E0C3A">
        <w:fldChar w:fldCharType="begin" w:fldLock="1"/>
      </w:r>
      <w:r w:rsidR="007E0C3A">
        <w:instrText xml:space="preserve"> SEQ Table \* ARABIC </w:instrText>
      </w:r>
      <w:r w:rsidR="007E0C3A">
        <w:fldChar w:fldCharType="separate"/>
      </w:r>
      <w:r w:rsidR="007E0C3A" w:rsidRPr="000F51F7">
        <w:rPr>
          <w:noProof/>
        </w:rPr>
        <w:t>17</w:t>
      </w:r>
      <w:r w:rsidR="007E0C3A">
        <w:rPr>
          <w:noProof/>
        </w:rPr>
        <w:fldChar w:fldCharType="end"/>
      </w:r>
      <w:bookmarkEnd w:id="93"/>
      <w:r w:rsidRPr="000F51F7">
        <w:t>: Cost and clinical outcome ratios: PEDFIC 1, me</w:t>
      </w:r>
      <w:r w:rsidR="00725924" w:rsidRPr="000F51F7">
        <w:t>an</w:t>
      </w:r>
      <w:r w:rsidRPr="000F51F7">
        <w:t xml:space="preserve"> age = </w:t>
      </w:r>
      <w:r w:rsidR="00B43297" w:rsidRPr="000F51F7">
        <w:t>3.2</w:t>
      </w:r>
      <w:r w:rsidR="00725924" w:rsidRPr="000F51F7">
        <w:t xml:space="preserve"> years (</w:t>
      </w:r>
      <w:r w:rsidR="00B43297" w:rsidRPr="000F51F7">
        <w:t>15.5</w:t>
      </w:r>
      <w:r w:rsidR="00725924" w:rsidRPr="000F51F7">
        <w:t xml:space="preserve"> kg)</w:t>
      </w:r>
      <w:r w:rsidR="00891B7B" w:rsidRPr="000F51F7">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st and clinical outcome ratios: PEDFIC 1, mean age = 3.2 years (15.5 kg)"/>
      </w:tblPr>
      <w:tblGrid>
        <w:gridCol w:w="3595"/>
        <w:gridCol w:w="2159"/>
        <w:gridCol w:w="1800"/>
        <w:gridCol w:w="1463"/>
      </w:tblGrid>
      <w:tr w:rsidR="00CC412E" w:rsidRPr="000F51F7" w14:paraId="13B459AE" w14:textId="77777777" w:rsidTr="00E42146">
        <w:trPr>
          <w:tblHeader/>
        </w:trPr>
        <w:tc>
          <w:tcPr>
            <w:tcW w:w="1993" w:type="pct"/>
          </w:tcPr>
          <w:p w14:paraId="74FAF5F0" w14:textId="77777777" w:rsidR="00CC412E" w:rsidRPr="000F51F7" w:rsidRDefault="00CC412E" w:rsidP="00945B02">
            <w:pPr>
              <w:pStyle w:val="In-tableHeading"/>
              <w:keepNext/>
              <w:framePr w:wrap="around"/>
              <w:rPr>
                <w:szCs w:val="20"/>
                <w:lang w:val="en-AU"/>
              </w:rPr>
            </w:pPr>
            <w:r w:rsidRPr="000F51F7">
              <w:rPr>
                <w:szCs w:val="20"/>
                <w:lang w:val="en-AU"/>
              </w:rPr>
              <w:t>Step and component</w:t>
            </w:r>
          </w:p>
        </w:tc>
        <w:tc>
          <w:tcPr>
            <w:tcW w:w="1197" w:type="pct"/>
          </w:tcPr>
          <w:p w14:paraId="20CD44EC" w14:textId="63B24C3C" w:rsidR="00CC412E" w:rsidRPr="000F51F7" w:rsidRDefault="00725924" w:rsidP="00945B02">
            <w:pPr>
              <w:pStyle w:val="In-tableHeading"/>
              <w:keepNext/>
              <w:framePr w:wrap="around"/>
              <w:jc w:val="center"/>
              <w:rPr>
                <w:szCs w:val="20"/>
                <w:lang w:val="en-AU"/>
              </w:rPr>
            </w:pPr>
            <w:r w:rsidRPr="000F51F7">
              <w:rPr>
                <w:szCs w:val="20"/>
                <w:lang w:val="en-AU"/>
              </w:rPr>
              <w:t xml:space="preserve">Odevixibat </w:t>
            </w:r>
          </w:p>
        </w:tc>
        <w:tc>
          <w:tcPr>
            <w:tcW w:w="998" w:type="pct"/>
          </w:tcPr>
          <w:p w14:paraId="7DD9CB33" w14:textId="77777777" w:rsidR="00CC412E" w:rsidRPr="000F51F7" w:rsidRDefault="00CC412E" w:rsidP="00945B02">
            <w:pPr>
              <w:pStyle w:val="In-tableHeading"/>
              <w:keepNext/>
              <w:framePr w:wrap="around"/>
              <w:jc w:val="center"/>
              <w:rPr>
                <w:szCs w:val="20"/>
                <w:lang w:val="en-AU"/>
              </w:rPr>
            </w:pPr>
            <w:r w:rsidRPr="000F51F7">
              <w:rPr>
                <w:szCs w:val="20"/>
                <w:lang w:val="en-AU"/>
              </w:rPr>
              <w:t>Placebo</w:t>
            </w:r>
          </w:p>
        </w:tc>
        <w:tc>
          <w:tcPr>
            <w:tcW w:w="811" w:type="pct"/>
          </w:tcPr>
          <w:p w14:paraId="27556FF2" w14:textId="77777777" w:rsidR="00CC412E" w:rsidRPr="000F51F7" w:rsidRDefault="00CC412E" w:rsidP="00945B02">
            <w:pPr>
              <w:pStyle w:val="In-tableHeading"/>
              <w:keepNext/>
              <w:framePr w:wrap="around"/>
              <w:jc w:val="center"/>
              <w:rPr>
                <w:szCs w:val="20"/>
                <w:lang w:val="en-AU"/>
              </w:rPr>
            </w:pPr>
            <w:r w:rsidRPr="000F51F7">
              <w:rPr>
                <w:szCs w:val="20"/>
                <w:lang w:val="en-AU"/>
              </w:rPr>
              <w:t>Increment</w:t>
            </w:r>
          </w:p>
        </w:tc>
      </w:tr>
    </w:tbl>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Cost and clinical outcome ratios: PEDFIC 1, mean age = 3.2 years (15.5 kg)"/>
      </w:tblPr>
      <w:tblGrid>
        <w:gridCol w:w="3625"/>
        <w:gridCol w:w="2159"/>
        <w:gridCol w:w="1803"/>
        <w:gridCol w:w="1462"/>
      </w:tblGrid>
      <w:tr w:rsidR="00B47B69" w:rsidRPr="000F51F7" w14:paraId="46877834" w14:textId="77777777" w:rsidTr="00B47B69">
        <w:trPr>
          <w:trHeight w:val="50"/>
          <w:tblHeader/>
        </w:trPr>
        <w:tc>
          <w:tcPr>
            <w:tcW w:w="2003" w:type="pct"/>
          </w:tcPr>
          <w:p w14:paraId="7DA1FF9D" w14:textId="4D9DE39B" w:rsidR="00B47B69" w:rsidRPr="000F51F7" w:rsidRDefault="00B47B69" w:rsidP="00E42146">
            <w:pPr>
              <w:pStyle w:val="NoSpacing"/>
              <w:jc w:val="left"/>
              <w:rPr>
                <w:rFonts w:ascii="Arial Narrow" w:hAnsi="Arial Narrow" w:cs="Calibri"/>
                <w:b/>
                <w:bCs/>
                <w:sz w:val="20"/>
              </w:rPr>
            </w:pPr>
            <w:r w:rsidRPr="000F51F7">
              <w:rPr>
                <w:rFonts w:ascii="Arial Narrow" w:hAnsi="Arial Narrow" w:cs="Calibri"/>
                <w:b/>
                <w:bCs/>
                <w:sz w:val="20"/>
              </w:rPr>
              <w:t>Odevixibat 40</w:t>
            </w:r>
            <w:r w:rsidR="0017081E">
              <w:rPr>
                <w:rFonts w:ascii="Arial Narrow" w:hAnsi="Arial Narrow" w:cs="Calibri"/>
                <w:b/>
                <w:bCs/>
                <w:sz w:val="20"/>
              </w:rPr>
              <w:t> mcg</w:t>
            </w:r>
            <w:r w:rsidRPr="000F51F7">
              <w:rPr>
                <w:rFonts w:ascii="Arial Narrow" w:hAnsi="Arial Narrow" w:cs="Calibri"/>
                <w:b/>
                <w:bCs/>
                <w:sz w:val="20"/>
              </w:rPr>
              <w:t>/kg/day</w:t>
            </w:r>
          </w:p>
        </w:tc>
        <w:tc>
          <w:tcPr>
            <w:tcW w:w="1193" w:type="pct"/>
          </w:tcPr>
          <w:p w14:paraId="4AD832EE" w14:textId="77777777" w:rsidR="00B47B69" w:rsidRPr="000F51F7" w:rsidRDefault="00B47B69" w:rsidP="00E42146">
            <w:pPr>
              <w:pStyle w:val="TableText0"/>
              <w:jc w:val="center"/>
              <w:rPr>
                <w:rFonts w:cs="Calibri"/>
                <w:szCs w:val="20"/>
              </w:rPr>
            </w:pPr>
          </w:p>
        </w:tc>
        <w:tc>
          <w:tcPr>
            <w:tcW w:w="996" w:type="pct"/>
          </w:tcPr>
          <w:p w14:paraId="6326A8E7" w14:textId="77777777" w:rsidR="00B47B69" w:rsidRPr="000F51F7" w:rsidRDefault="00B47B69" w:rsidP="00E42146">
            <w:pPr>
              <w:pStyle w:val="TableText0"/>
              <w:jc w:val="center"/>
              <w:rPr>
                <w:rFonts w:cs="Calibri"/>
                <w:szCs w:val="20"/>
              </w:rPr>
            </w:pPr>
          </w:p>
        </w:tc>
        <w:tc>
          <w:tcPr>
            <w:tcW w:w="808" w:type="pct"/>
          </w:tcPr>
          <w:p w14:paraId="5D2A9AF4" w14:textId="77777777" w:rsidR="00B47B69" w:rsidRPr="000F51F7" w:rsidRDefault="00B47B69" w:rsidP="0016414B">
            <w:pPr>
              <w:pStyle w:val="TableText0"/>
              <w:jc w:val="center"/>
              <w:rPr>
                <w:rFonts w:cs="Calibri"/>
                <w:szCs w:val="20"/>
              </w:rPr>
            </w:pPr>
          </w:p>
        </w:tc>
      </w:tr>
      <w:tr w:rsidR="00CC412E" w:rsidRPr="000F51F7" w14:paraId="275B9480" w14:textId="77777777" w:rsidTr="00B47B69">
        <w:trPr>
          <w:trHeight w:val="50"/>
          <w:tblHeader/>
        </w:trPr>
        <w:tc>
          <w:tcPr>
            <w:tcW w:w="2003" w:type="pct"/>
          </w:tcPr>
          <w:p w14:paraId="08E1159F" w14:textId="1D873609" w:rsidR="00CC412E" w:rsidRPr="000F51F7" w:rsidRDefault="00725924" w:rsidP="00E42146">
            <w:pPr>
              <w:pStyle w:val="NoSpacing"/>
              <w:jc w:val="left"/>
              <w:rPr>
                <w:rFonts w:ascii="Arial Narrow" w:hAnsi="Arial Narrow" w:cs="Calibri"/>
                <w:sz w:val="20"/>
              </w:rPr>
            </w:pPr>
            <w:r w:rsidRPr="000F51F7">
              <w:rPr>
                <w:rFonts w:ascii="Arial Narrow" w:hAnsi="Arial Narrow" w:cs="Calibri"/>
                <w:sz w:val="20"/>
              </w:rPr>
              <w:t xml:space="preserve">Odevixibat </w:t>
            </w:r>
            <w:r w:rsidR="00CC412E" w:rsidRPr="000F51F7">
              <w:rPr>
                <w:rFonts w:ascii="Arial Narrow" w:hAnsi="Arial Narrow" w:cs="Calibri"/>
                <w:sz w:val="20"/>
              </w:rPr>
              <w:t>cost per year</w:t>
            </w:r>
            <w:r w:rsidR="00FC6C26" w:rsidRPr="000F51F7">
              <w:rPr>
                <w:rFonts w:ascii="Arial Narrow" w:hAnsi="Arial Narrow" w:cs="Calibri"/>
                <w:sz w:val="20"/>
                <w:vertAlign w:val="superscript"/>
              </w:rPr>
              <w:t>2</w:t>
            </w:r>
          </w:p>
        </w:tc>
        <w:tc>
          <w:tcPr>
            <w:tcW w:w="1193" w:type="pct"/>
          </w:tcPr>
          <w:p w14:paraId="3E072B16" w14:textId="24012F2E" w:rsidR="00CC412E" w:rsidRPr="000F51F7" w:rsidRDefault="000F7877" w:rsidP="00E42146">
            <w:pPr>
              <w:pStyle w:val="TableText0"/>
              <w:jc w:val="center"/>
              <w:rPr>
                <w:rFonts w:cs="Calibri"/>
                <w:szCs w:val="20"/>
              </w:rPr>
            </w:pPr>
            <w:r w:rsidRPr="000F51F7">
              <w:rPr>
                <w:rFonts w:cs="Calibri"/>
                <w:szCs w:val="20"/>
              </w:rPr>
              <w:t>$</w:t>
            </w:r>
            <w:r w:rsidR="001549E4" w:rsidRPr="001549E4">
              <w:rPr>
                <w:rFonts w:cs="Calibri"/>
                <w:color w:val="000000"/>
                <w:szCs w:val="20"/>
                <w:shd w:val="solid" w:color="000000" w:fill="000000"/>
                <w14:textFill>
                  <w14:solidFill>
                    <w14:srgbClr w14:val="000000">
                      <w14:alpha w14:val="100000"/>
                    </w14:srgbClr>
                  </w14:solidFill>
                </w14:textFill>
              </w:rPr>
              <w:t>|</w:t>
            </w:r>
          </w:p>
        </w:tc>
        <w:tc>
          <w:tcPr>
            <w:tcW w:w="996" w:type="pct"/>
          </w:tcPr>
          <w:p w14:paraId="340CB8EB" w14:textId="39A58FD3" w:rsidR="00CC412E" w:rsidRPr="000F51F7" w:rsidRDefault="00686C69" w:rsidP="00E42146">
            <w:pPr>
              <w:pStyle w:val="TableText0"/>
              <w:jc w:val="center"/>
              <w:rPr>
                <w:rFonts w:cs="Calibri"/>
                <w:szCs w:val="20"/>
              </w:rPr>
            </w:pPr>
            <w:r w:rsidRPr="000F51F7">
              <w:rPr>
                <w:rFonts w:cs="Calibri"/>
                <w:szCs w:val="20"/>
              </w:rPr>
              <w:t>-</w:t>
            </w:r>
          </w:p>
        </w:tc>
        <w:tc>
          <w:tcPr>
            <w:tcW w:w="808" w:type="pct"/>
          </w:tcPr>
          <w:p w14:paraId="671EE59D" w14:textId="64BA6C24" w:rsidR="00CC412E" w:rsidRPr="000F51F7" w:rsidRDefault="00CC412E" w:rsidP="0016414B">
            <w:pPr>
              <w:pStyle w:val="TableText0"/>
              <w:jc w:val="center"/>
              <w:rPr>
                <w:rFonts w:cs="Calibri"/>
                <w:szCs w:val="20"/>
              </w:rPr>
            </w:pPr>
          </w:p>
        </w:tc>
      </w:tr>
      <w:tr w:rsidR="00CC412E" w:rsidRPr="000F51F7" w14:paraId="787DA71A" w14:textId="77777777" w:rsidTr="00B47B69">
        <w:trPr>
          <w:tblHeader/>
        </w:trPr>
        <w:tc>
          <w:tcPr>
            <w:tcW w:w="2003" w:type="pct"/>
            <w:vAlign w:val="center"/>
          </w:tcPr>
          <w:p w14:paraId="7F5CAB84" w14:textId="79C2D38A" w:rsidR="00CC412E" w:rsidRPr="000F51F7" w:rsidRDefault="00CC412E" w:rsidP="00E42146">
            <w:pPr>
              <w:pStyle w:val="NoSpacing"/>
              <w:jc w:val="left"/>
              <w:rPr>
                <w:rFonts w:ascii="Arial Narrow" w:hAnsi="Arial Narrow" w:cs="Calibri"/>
                <w:sz w:val="20"/>
              </w:rPr>
            </w:pPr>
            <w:r w:rsidRPr="000F51F7">
              <w:rPr>
                <w:rFonts w:ascii="Arial Narrow" w:hAnsi="Arial Narrow" w:cs="Calibri"/>
                <w:sz w:val="20"/>
              </w:rPr>
              <w:t>Proportion of patients with a</w:t>
            </w:r>
            <w:r w:rsidR="00B14CD5" w:rsidRPr="000F51F7">
              <w:rPr>
                <w:rFonts w:ascii="Arial Narrow" w:hAnsi="Arial Narrow" w:cs="Calibri"/>
                <w:sz w:val="20"/>
              </w:rPr>
              <w:t>n</w:t>
            </w:r>
            <w:r w:rsidR="00725924" w:rsidRPr="000F51F7">
              <w:rPr>
                <w:rFonts w:ascii="Arial Narrow" w:hAnsi="Arial Narrow" w:cs="Calibri"/>
                <w:sz w:val="20"/>
              </w:rPr>
              <w:t xml:space="preserve"> sBA respons</w:t>
            </w:r>
            <w:r w:rsidR="00B14CD5" w:rsidRPr="000F51F7">
              <w:rPr>
                <w:rFonts w:ascii="Arial Narrow" w:hAnsi="Arial Narrow" w:cs="Calibri"/>
                <w:sz w:val="20"/>
              </w:rPr>
              <w:t>e</w:t>
            </w:r>
            <w:r w:rsidR="00FC6C26" w:rsidRPr="000F51F7">
              <w:rPr>
                <w:rFonts w:ascii="Arial Narrow" w:hAnsi="Arial Narrow" w:cs="Calibri"/>
                <w:sz w:val="20"/>
                <w:vertAlign w:val="superscript"/>
              </w:rPr>
              <w:t>3</w:t>
            </w:r>
            <w:r w:rsidRPr="000F51F7">
              <w:rPr>
                <w:rFonts w:ascii="Arial Narrow" w:hAnsi="Arial Narrow" w:cs="Calibri"/>
                <w:sz w:val="20"/>
              </w:rPr>
              <w:t xml:space="preserve"> </w:t>
            </w:r>
          </w:p>
        </w:tc>
        <w:tc>
          <w:tcPr>
            <w:tcW w:w="1193" w:type="pct"/>
            <w:vAlign w:val="center"/>
          </w:tcPr>
          <w:p w14:paraId="212CEFED" w14:textId="542AEE12" w:rsidR="00CC412E" w:rsidRPr="000F51F7" w:rsidRDefault="0040013F" w:rsidP="00E42146">
            <w:pPr>
              <w:pStyle w:val="TableText0"/>
              <w:jc w:val="center"/>
              <w:rPr>
                <w:rFonts w:cs="Calibri"/>
                <w:szCs w:val="20"/>
              </w:rPr>
            </w:pPr>
            <w:r w:rsidRPr="000F51F7">
              <w:rPr>
                <w:rFonts w:cs="Calibri"/>
                <w:szCs w:val="20"/>
              </w:rPr>
              <w:t>43.5%</w:t>
            </w:r>
          </w:p>
        </w:tc>
        <w:tc>
          <w:tcPr>
            <w:tcW w:w="996" w:type="pct"/>
            <w:vAlign w:val="center"/>
          </w:tcPr>
          <w:p w14:paraId="53FD0C12" w14:textId="4525DF54" w:rsidR="00CC412E" w:rsidRPr="000F51F7" w:rsidRDefault="0040013F" w:rsidP="00E42146">
            <w:pPr>
              <w:pStyle w:val="TableText0"/>
              <w:jc w:val="center"/>
              <w:rPr>
                <w:rFonts w:cs="Calibri"/>
                <w:szCs w:val="20"/>
              </w:rPr>
            </w:pPr>
            <w:r w:rsidRPr="000F51F7">
              <w:rPr>
                <w:rFonts w:cs="Calibri"/>
                <w:szCs w:val="20"/>
              </w:rPr>
              <w:t>0%</w:t>
            </w:r>
          </w:p>
        </w:tc>
        <w:tc>
          <w:tcPr>
            <w:tcW w:w="808" w:type="pct"/>
            <w:vAlign w:val="center"/>
          </w:tcPr>
          <w:p w14:paraId="2DC4F87D" w14:textId="1EE4EF6A" w:rsidR="00CC412E" w:rsidRPr="000F51F7" w:rsidRDefault="0040013F" w:rsidP="0016414B">
            <w:pPr>
              <w:pStyle w:val="TableText0"/>
              <w:jc w:val="center"/>
              <w:rPr>
                <w:rFonts w:cs="Calibri"/>
                <w:szCs w:val="20"/>
              </w:rPr>
            </w:pPr>
            <w:r w:rsidRPr="000F51F7">
              <w:rPr>
                <w:rFonts w:cs="Calibri"/>
                <w:szCs w:val="20"/>
              </w:rPr>
              <w:t>44.1%</w:t>
            </w:r>
          </w:p>
        </w:tc>
      </w:tr>
      <w:tr w:rsidR="008D69A5" w:rsidRPr="000F51F7" w14:paraId="49A61E2F" w14:textId="77777777" w:rsidTr="00B47B69">
        <w:trPr>
          <w:tblHeader/>
        </w:trPr>
        <w:tc>
          <w:tcPr>
            <w:tcW w:w="2003" w:type="pct"/>
            <w:vAlign w:val="center"/>
          </w:tcPr>
          <w:p w14:paraId="26E99468" w14:textId="50593379" w:rsidR="008D69A5" w:rsidRPr="000F51F7" w:rsidRDefault="008D69A5" w:rsidP="00E42146">
            <w:pPr>
              <w:pStyle w:val="NoSpacing"/>
              <w:jc w:val="left"/>
              <w:rPr>
                <w:rFonts w:ascii="Arial Narrow" w:hAnsi="Arial Narrow" w:cs="Calibri"/>
                <w:sz w:val="20"/>
              </w:rPr>
            </w:pPr>
            <w:r w:rsidRPr="000F51F7">
              <w:rPr>
                <w:rFonts w:ascii="Arial Narrow" w:hAnsi="Arial Narrow" w:cs="Calibri"/>
                <w:sz w:val="20"/>
              </w:rPr>
              <w:t>Proportion of patients with a pruritus response</w:t>
            </w:r>
            <w:r w:rsidR="00FC6C26" w:rsidRPr="000F51F7">
              <w:rPr>
                <w:rFonts w:ascii="Arial Narrow" w:hAnsi="Arial Narrow" w:cs="Calibri"/>
                <w:sz w:val="20"/>
                <w:vertAlign w:val="superscript"/>
              </w:rPr>
              <w:t>4</w:t>
            </w:r>
            <w:r w:rsidRPr="000F51F7">
              <w:rPr>
                <w:rFonts w:ascii="Arial Narrow" w:hAnsi="Arial Narrow" w:cs="Calibri"/>
                <w:sz w:val="20"/>
              </w:rPr>
              <w:t>for ≥50% of the time</w:t>
            </w:r>
          </w:p>
        </w:tc>
        <w:tc>
          <w:tcPr>
            <w:tcW w:w="1193" w:type="pct"/>
            <w:vAlign w:val="center"/>
          </w:tcPr>
          <w:p w14:paraId="69EF2AED" w14:textId="5CC0BAA3" w:rsidR="008D69A5" w:rsidRPr="000F51F7" w:rsidRDefault="0080285D" w:rsidP="00E42146">
            <w:pPr>
              <w:pStyle w:val="TableText0"/>
              <w:jc w:val="center"/>
              <w:rPr>
                <w:rFonts w:cs="Calibri"/>
                <w:szCs w:val="20"/>
              </w:rPr>
            </w:pPr>
            <w:r w:rsidRPr="000F51F7">
              <w:rPr>
                <w:rFonts w:cs="Calibri"/>
                <w:szCs w:val="20"/>
              </w:rPr>
              <w:t>73.9%</w:t>
            </w:r>
          </w:p>
        </w:tc>
        <w:tc>
          <w:tcPr>
            <w:tcW w:w="996" w:type="pct"/>
            <w:vAlign w:val="center"/>
          </w:tcPr>
          <w:p w14:paraId="174EBB70" w14:textId="7BFCCC82" w:rsidR="008D69A5" w:rsidRPr="000F51F7" w:rsidRDefault="00384938" w:rsidP="00E42146">
            <w:pPr>
              <w:pStyle w:val="TableText0"/>
              <w:jc w:val="center"/>
              <w:rPr>
                <w:rFonts w:cs="Calibri"/>
                <w:szCs w:val="20"/>
              </w:rPr>
            </w:pPr>
            <w:r w:rsidRPr="000F51F7">
              <w:rPr>
                <w:rFonts w:cs="Calibri"/>
                <w:szCs w:val="20"/>
              </w:rPr>
              <w:t>20%</w:t>
            </w:r>
          </w:p>
        </w:tc>
        <w:tc>
          <w:tcPr>
            <w:tcW w:w="808" w:type="pct"/>
            <w:vAlign w:val="center"/>
          </w:tcPr>
          <w:p w14:paraId="42797C66" w14:textId="37F1EAFA" w:rsidR="008D69A5" w:rsidRPr="000F51F7" w:rsidRDefault="00384938" w:rsidP="0016414B">
            <w:pPr>
              <w:pStyle w:val="TableText0"/>
              <w:jc w:val="center"/>
              <w:rPr>
                <w:rFonts w:cs="Calibri"/>
                <w:szCs w:val="20"/>
              </w:rPr>
            </w:pPr>
            <w:r w:rsidRPr="000F51F7">
              <w:rPr>
                <w:rFonts w:cs="Calibri"/>
                <w:szCs w:val="20"/>
              </w:rPr>
              <w:t>53.9%</w:t>
            </w:r>
          </w:p>
        </w:tc>
      </w:tr>
      <w:tr w:rsidR="00CC412E" w:rsidRPr="000F51F7" w14:paraId="1D49ED3A" w14:textId="77777777" w:rsidTr="00B47B69">
        <w:trPr>
          <w:tblHeader/>
        </w:trPr>
        <w:tc>
          <w:tcPr>
            <w:tcW w:w="4192" w:type="pct"/>
            <w:gridSpan w:val="3"/>
            <w:vAlign w:val="center"/>
          </w:tcPr>
          <w:p w14:paraId="07808C88" w14:textId="63C90A99" w:rsidR="00CC412E" w:rsidRPr="000F51F7" w:rsidRDefault="00CC412E" w:rsidP="00E42146">
            <w:pPr>
              <w:pStyle w:val="NoSpacing"/>
              <w:jc w:val="left"/>
              <w:rPr>
                <w:rFonts w:ascii="Arial Narrow" w:hAnsi="Arial Narrow" w:cs="Calibri"/>
                <w:sz w:val="20"/>
              </w:rPr>
            </w:pPr>
            <w:r w:rsidRPr="000F51F7">
              <w:rPr>
                <w:rFonts w:ascii="Arial Narrow" w:hAnsi="Arial Narrow" w:cs="Calibri"/>
                <w:sz w:val="20"/>
              </w:rPr>
              <w:t>Incremental cost per patient with a</w:t>
            </w:r>
            <w:r w:rsidR="001B3D4B" w:rsidRPr="000F51F7">
              <w:rPr>
                <w:rFonts w:ascii="Arial Narrow" w:hAnsi="Arial Narrow" w:cs="Calibri"/>
                <w:sz w:val="20"/>
              </w:rPr>
              <w:t>n sBA response at 24</w:t>
            </w:r>
            <w:r w:rsidRPr="000F51F7">
              <w:rPr>
                <w:rFonts w:ascii="Arial Narrow" w:hAnsi="Arial Narrow" w:cs="Calibri"/>
                <w:sz w:val="20"/>
              </w:rPr>
              <w:t xml:space="preserve"> weeks </w:t>
            </w:r>
            <w:r w:rsidR="00747053" w:rsidRPr="000F51F7">
              <w:rPr>
                <w:rFonts w:ascii="Arial Narrow" w:hAnsi="Arial Narrow" w:cs="Calibri"/>
                <w:sz w:val="20"/>
              </w:rPr>
              <w:t>[($</w:t>
            </w:r>
            <w:r w:rsidR="001549E4" w:rsidRPr="001549E4">
              <w:rPr>
                <w:rFonts w:ascii="Arial Narrow" w:hAnsi="Arial Narrow" w:cs="Calibri"/>
                <w:color w:val="000000"/>
                <w:spacing w:val="54"/>
                <w:sz w:val="20"/>
                <w:shd w:val="solid" w:color="000000" w:fill="000000"/>
                <w:fitText w:val="334" w:id="-693991155"/>
                <w14:textFill>
                  <w14:solidFill>
                    <w14:srgbClr w14:val="000000">
                      <w14:alpha w14:val="100000"/>
                    </w14:srgbClr>
                  </w14:solidFill>
                </w14:textFill>
              </w:rPr>
              <w:t>|||</w:t>
            </w:r>
            <w:r w:rsidR="001549E4" w:rsidRPr="001549E4">
              <w:rPr>
                <w:rFonts w:ascii="Arial Narrow" w:hAnsi="Arial Narrow" w:cs="Calibri"/>
                <w:color w:val="000000"/>
                <w:spacing w:val="2"/>
                <w:sz w:val="20"/>
                <w:shd w:val="solid" w:color="000000" w:fill="000000"/>
                <w:fitText w:val="334" w:id="-693991155"/>
                <w14:textFill>
                  <w14:solidFill>
                    <w14:srgbClr w14:val="000000">
                      <w14:alpha w14:val="100000"/>
                    </w14:srgbClr>
                  </w14:solidFill>
                </w14:textFill>
              </w:rPr>
              <w:t>|</w:t>
            </w:r>
            <w:r w:rsidR="00747053" w:rsidRPr="000F51F7">
              <w:rPr>
                <w:rFonts w:ascii="Arial Narrow" w:hAnsi="Arial Narrow" w:cs="Calibri"/>
                <w:sz w:val="20"/>
              </w:rPr>
              <w:t>/52*24)</w:t>
            </w:r>
            <w:r w:rsidRPr="000F51F7">
              <w:rPr>
                <w:rFonts w:ascii="Arial Narrow" w:hAnsi="Arial Narrow" w:cs="Calibri"/>
                <w:sz w:val="20"/>
              </w:rPr>
              <w:t>/</w:t>
            </w:r>
            <w:r w:rsidR="00384938" w:rsidRPr="000F51F7">
              <w:rPr>
                <w:rFonts w:ascii="Arial Narrow" w:hAnsi="Arial Narrow" w:cs="Calibri"/>
                <w:sz w:val="20"/>
              </w:rPr>
              <w:t>0.441</w:t>
            </w:r>
            <w:r w:rsidR="00747053" w:rsidRPr="000F51F7">
              <w:rPr>
                <w:rFonts w:ascii="Arial Narrow" w:hAnsi="Arial Narrow" w:cs="Calibri"/>
                <w:sz w:val="20"/>
              </w:rPr>
              <w:t>]</w:t>
            </w:r>
          </w:p>
        </w:tc>
        <w:tc>
          <w:tcPr>
            <w:tcW w:w="808" w:type="pct"/>
            <w:vAlign w:val="center"/>
          </w:tcPr>
          <w:p w14:paraId="699BE916" w14:textId="3B863D4B" w:rsidR="00CC412E" w:rsidRPr="00EF210C" w:rsidRDefault="00061AF8" w:rsidP="0016414B">
            <w:pPr>
              <w:pStyle w:val="NoSpacing"/>
              <w:jc w:val="center"/>
              <w:rPr>
                <w:rFonts w:ascii="Arial Narrow" w:hAnsi="Arial Narrow" w:cs="Calibri"/>
                <w:sz w:val="20"/>
                <w:vertAlign w:val="superscript"/>
              </w:rPr>
            </w:pPr>
            <w:r w:rsidRPr="000F51F7">
              <w:rPr>
                <w:rFonts w:ascii="Arial Narrow" w:hAnsi="Arial Narrow" w:cs="Calibri"/>
                <w:sz w:val="20"/>
              </w:rPr>
              <w:t>$</w:t>
            </w:r>
            <w:r w:rsidR="001549E4" w:rsidRPr="001549E4">
              <w:rPr>
                <w:rFonts w:ascii="Arial Narrow" w:hAnsi="Arial Narrow" w:cs="Calibri"/>
                <w:color w:val="000000"/>
                <w:sz w:val="20"/>
                <w:shd w:val="solid" w:color="000000" w:fill="000000"/>
                <w14:textFill>
                  <w14:solidFill>
                    <w14:srgbClr w14:val="000000">
                      <w14:alpha w14:val="100000"/>
                    </w14:srgbClr>
                  </w14:solidFill>
                </w14:textFill>
              </w:rPr>
              <w:t>|</w:t>
            </w:r>
            <w:r w:rsidR="00EF210C" w:rsidRPr="00EF210C">
              <w:rPr>
                <w:rFonts w:ascii="Arial Narrow" w:hAnsi="Arial Narrow" w:cs="Calibri"/>
                <w:sz w:val="20"/>
                <w:vertAlign w:val="superscript"/>
              </w:rPr>
              <w:t>a</w:t>
            </w:r>
          </w:p>
        </w:tc>
      </w:tr>
      <w:tr w:rsidR="001B3D4B" w:rsidRPr="000F51F7" w14:paraId="42EF77BB" w14:textId="77777777" w:rsidTr="00B47B69">
        <w:trPr>
          <w:tblHeader/>
        </w:trPr>
        <w:tc>
          <w:tcPr>
            <w:tcW w:w="4192" w:type="pct"/>
            <w:gridSpan w:val="3"/>
            <w:vAlign w:val="center"/>
          </w:tcPr>
          <w:p w14:paraId="759483E8" w14:textId="3171C02E" w:rsidR="001B3D4B" w:rsidRPr="000F51F7" w:rsidRDefault="001B3D4B" w:rsidP="00E42146">
            <w:pPr>
              <w:pStyle w:val="NoSpacing"/>
              <w:jc w:val="left"/>
              <w:rPr>
                <w:rFonts w:ascii="Arial Narrow" w:hAnsi="Arial Narrow" w:cs="Calibri"/>
                <w:sz w:val="20"/>
              </w:rPr>
            </w:pPr>
            <w:r w:rsidRPr="000F51F7">
              <w:rPr>
                <w:rFonts w:ascii="Arial Narrow" w:hAnsi="Arial Narrow" w:cs="Calibri"/>
                <w:sz w:val="20"/>
              </w:rPr>
              <w:t>Incremental cost per patient with a</w:t>
            </w:r>
            <w:r w:rsidR="00AB5209" w:rsidRPr="000F51F7">
              <w:rPr>
                <w:rFonts w:ascii="Arial Narrow" w:hAnsi="Arial Narrow" w:cs="Calibri"/>
                <w:sz w:val="20"/>
              </w:rPr>
              <w:t xml:space="preserve"> prurit</w:t>
            </w:r>
            <w:r w:rsidR="00EE64CB">
              <w:rPr>
                <w:rFonts w:ascii="Arial Narrow" w:hAnsi="Arial Narrow" w:cs="Calibri"/>
                <w:sz w:val="20"/>
              </w:rPr>
              <w:t>u</w:t>
            </w:r>
            <w:r w:rsidR="00753000" w:rsidRPr="000F51F7">
              <w:rPr>
                <w:rFonts w:ascii="Arial Narrow" w:hAnsi="Arial Narrow" w:cs="Calibri"/>
                <w:sz w:val="20"/>
              </w:rPr>
              <w:t>s</w:t>
            </w:r>
            <w:r w:rsidR="00AB5209" w:rsidRPr="000F51F7">
              <w:rPr>
                <w:rFonts w:ascii="Arial Narrow" w:hAnsi="Arial Narrow" w:cs="Calibri"/>
                <w:sz w:val="20"/>
              </w:rPr>
              <w:t xml:space="preserve"> response for ≥50% of the time </w:t>
            </w:r>
            <w:r w:rsidRPr="000F51F7">
              <w:rPr>
                <w:rFonts w:ascii="Arial Narrow" w:hAnsi="Arial Narrow" w:cs="Calibri"/>
                <w:sz w:val="20"/>
              </w:rPr>
              <w:t xml:space="preserve">at 24 weeks </w:t>
            </w:r>
            <w:r w:rsidR="00747053" w:rsidRPr="000F51F7">
              <w:rPr>
                <w:rFonts w:ascii="Arial Narrow" w:hAnsi="Arial Narrow" w:cs="Calibri"/>
                <w:sz w:val="20"/>
              </w:rPr>
              <w:t>[($</w:t>
            </w:r>
            <w:r w:rsidR="001549E4" w:rsidRPr="001549E4">
              <w:rPr>
                <w:rFonts w:ascii="Arial Narrow" w:hAnsi="Arial Narrow" w:cs="Calibri"/>
                <w:color w:val="000000"/>
                <w:spacing w:val="54"/>
                <w:sz w:val="20"/>
                <w:shd w:val="solid" w:color="000000" w:fill="000000"/>
                <w:fitText w:val="334" w:id="-693991154"/>
                <w14:textFill>
                  <w14:solidFill>
                    <w14:srgbClr w14:val="000000">
                      <w14:alpha w14:val="100000"/>
                    </w14:srgbClr>
                  </w14:solidFill>
                </w14:textFill>
              </w:rPr>
              <w:t>|||</w:t>
            </w:r>
            <w:r w:rsidR="001549E4" w:rsidRPr="001549E4">
              <w:rPr>
                <w:rFonts w:ascii="Arial Narrow" w:hAnsi="Arial Narrow" w:cs="Calibri"/>
                <w:color w:val="000000"/>
                <w:spacing w:val="2"/>
                <w:sz w:val="20"/>
                <w:shd w:val="solid" w:color="000000" w:fill="000000"/>
                <w:fitText w:val="334" w:id="-693991154"/>
                <w14:textFill>
                  <w14:solidFill>
                    <w14:srgbClr w14:val="000000">
                      <w14:alpha w14:val="100000"/>
                    </w14:srgbClr>
                  </w14:solidFill>
                </w14:textFill>
              </w:rPr>
              <w:t>|</w:t>
            </w:r>
            <w:r w:rsidR="00747053" w:rsidRPr="000F51F7">
              <w:rPr>
                <w:rFonts w:ascii="Arial Narrow" w:hAnsi="Arial Narrow" w:cs="Calibri"/>
                <w:sz w:val="20"/>
              </w:rPr>
              <w:t>/52*24)/</w:t>
            </w:r>
            <w:r w:rsidR="00384938" w:rsidRPr="000F51F7">
              <w:rPr>
                <w:rFonts w:ascii="Arial Narrow" w:hAnsi="Arial Narrow" w:cs="Calibri"/>
                <w:sz w:val="20"/>
              </w:rPr>
              <w:t>0.539</w:t>
            </w:r>
            <w:r w:rsidR="00747053" w:rsidRPr="000F51F7">
              <w:rPr>
                <w:rFonts w:ascii="Arial Narrow" w:hAnsi="Arial Narrow" w:cs="Calibri"/>
                <w:sz w:val="20"/>
              </w:rPr>
              <w:t>]</w:t>
            </w:r>
          </w:p>
        </w:tc>
        <w:tc>
          <w:tcPr>
            <w:tcW w:w="808" w:type="pct"/>
            <w:vAlign w:val="center"/>
          </w:tcPr>
          <w:p w14:paraId="5D9547C7" w14:textId="6A3F3254" w:rsidR="001B3D4B" w:rsidRPr="00EF210C" w:rsidRDefault="00634ADF" w:rsidP="0016414B">
            <w:pPr>
              <w:pStyle w:val="NoSpacing"/>
              <w:jc w:val="center"/>
              <w:rPr>
                <w:rFonts w:ascii="Arial Narrow" w:hAnsi="Arial Narrow" w:cs="Calibri"/>
                <w:sz w:val="20"/>
                <w:vertAlign w:val="superscript"/>
              </w:rPr>
            </w:pPr>
            <w:r w:rsidRPr="000F51F7">
              <w:rPr>
                <w:rFonts w:ascii="Arial Narrow" w:hAnsi="Arial Narrow" w:cs="Calibri"/>
                <w:sz w:val="20"/>
              </w:rPr>
              <w:t>$</w:t>
            </w:r>
            <w:r w:rsidR="001549E4" w:rsidRPr="001549E4">
              <w:rPr>
                <w:rFonts w:ascii="Arial Narrow" w:hAnsi="Arial Narrow" w:cs="Calibri"/>
                <w:color w:val="000000"/>
                <w:sz w:val="20"/>
                <w:shd w:val="solid" w:color="000000" w:fill="000000"/>
                <w14:textFill>
                  <w14:solidFill>
                    <w14:srgbClr w14:val="000000">
                      <w14:alpha w14:val="100000"/>
                    </w14:srgbClr>
                  </w14:solidFill>
                </w14:textFill>
              </w:rPr>
              <w:t>|</w:t>
            </w:r>
            <w:r w:rsidR="00EF210C" w:rsidRPr="00EF210C">
              <w:rPr>
                <w:rFonts w:ascii="Arial Narrow" w:hAnsi="Arial Narrow" w:cs="Calibri"/>
                <w:sz w:val="20"/>
                <w:vertAlign w:val="superscript"/>
              </w:rPr>
              <w:t>b</w:t>
            </w:r>
          </w:p>
        </w:tc>
      </w:tr>
      <w:tr w:rsidR="00B47B69" w:rsidRPr="000F51F7" w14:paraId="6D0117D9" w14:textId="77777777" w:rsidTr="00B47B69">
        <w:trPr>
          <w:tblHeader/>
        </w:trPr>
        <w:tc>
          <w:tcPr>
            <w:tcW w:w="4192" w:type="pct"/>
            <w:gridSpan w:val="3"/>
            <w:vAlign w:val="center"/>
          </w:tcPr>
          <w:p w14:paraId="10F355D3" w14:textId="3118B4F4" w:rsidR="00B47B69" w:rsidRPr="000F51F7" w:rsidRDefault="00B47B69" w:rsidP="00E42146">
            <w:pPr>
              <w:pStyle w:val="NoSpacing"/>
              <w:jc w:val="left"/>
              <w:rPr>
                <w:rFonts w:ascii="Arial Narrow" w:hAnsi="Arial Narrow" w:cs="Calibri"/>
                <w:sz w:val="20"/>
              </w:rPr>
            </w:pPr>
            <w:r w:rsidRPr="000F51F7">
              <w:rPr>
                <w:rFonts w:ascii="Arial Narrow" w:hAnsi="Arial Narrow" w:cs="Calibri"/>
                <w:b/>
                <w:bCs/>
                <w:sz w:val="20"/>
              </w:rPr>
              <w:t>Odevixibat 120</w:t>
            </w:r>
            <w:r w:rsidR="0017081E">
              <w:rPr>
                <w:rFonts w:ascii="Arial Narrow" w:hAnsi="Arial Narrow" w:cs="Calibri"/>
                <w:b/>
                <w:bCs/>
                <w:sz w:val="20"/>
              </w:rPr>
              <w:t> mcg</w:t>
            </w:r>
            <w:r w:rsidRPr="000F51F7">
              <w:rPr>
                <w:rFonts w:ascii="Arial Narrow" w:hAnsi="Arial Narrow" w:cs="Calibri"/>
                <w:b/>
                <w:bCs/>
                <w:sz w:val="20"/>
              </w:rPr>
              <w:t>/kg/day</w:t>
            </w:r>
          </w:p>
        </w:tc>
        <w:tc>
          <w:tcPr>
            <w:tcW w:w="808" w:type="pct"/>
            <w:vAlign w:val="center"/>
          </w:tcPr>
          <w:p w14:paraId="62302B7C" w14:textId="77777777" w:rsidR="00B47B69" w:rsidRPr="000F51F7" w:rsidRDefault="00B47B69" w:rsidP="0016414B">
            <w:pPr>
              <w:pStyle w:val="NoSpacing"/>
              <w:jc w:val="center"/>
              <w:rPr>
                <w:rFonts w:ascii="Arial Narrow" w:hAnsi="Arial Narrow" w:cs="Calibri"/>
                <w:sz w:val="20"/>
              </w:rPr>
            </w:pPr>
          </w:p>
        </w:tc>
      </w:tr>
      <w:tr w:rsidR="00B47B69" w:rsidRPr="000F51F7" w14:paraId="7CADD7FA" w14:textId="77777777" w:rsidTr="00B47B69">
        <w:trPr>
          <w:trHeight w:val="50"/>
          <w:tblHeader/>
        </w:trPr>
        <w:tc>
          <w:tcPr>
            <w:tcW w:w="2003" w:type="pct"/>
          </w:tcPr>
          <w:p w14:paraId="62586712" w14:textId="14859267" w:rsidR="00B47B69" w:rsidRPr="000F51F7" w:rsidRDefault="00B47B69" w:rsidP="0016414B">
            <w:pPr>
              <w:pStyle w:val="NoSpacing"/>
              <w:jc w:val="left"/>
              <w:rPr>
                <w:rFonts w:ascii="Arial Narrow" w:hAnsi="Arial Narrow" w:cs="Calibri"/>
                <w:sz w:val="20"/>
              </w:rPr>
            </w:pPr>
            <w:r w:rsidRPr="000F51F7">
              <w:rPr>
                <w:rFonts w:ascii="Arial Narrow" w:hAnsi="Arial Narrow" w:cs="Calibri"/>
                <w:sz w:val="20"/>
              </w:rPr>
              <w:t>Odevixibat cost per year</w:t>
            </w:r>
            <w:r w:rsidR="00FC6C26" w:rsidRPr="000F51F7">
              <w:rPr>
                <w:rFonts w:ascii="Arial Narrow" w:hAnsi="Arial Narrow" w:cs="Calibri"/>
                <w:sz w:val="20"/>
                <w:vertAlign w:val="superscript"/>
              </w:rPr>
              <w:t>5</w:t>
            </w:r>
          </w:p>
        </w:tc>
        <w:tc>
          <w:tcPr>
            <w:tcW w:w="1193" w:type="pct"/>
          </w:tcPr>
          <w:p w14:paraId="7476FD25" w14:textId="2B64052A" w:rsidR="00B47B69" w:rsidRPr="000F51F7" w:rsidRDefault="00B47B69" w:rsidP="0016414B">
            <w:pPr>
              <w:pStyle w:val="TableText0"/>
              <w:jc w:val="center"/>
              <w:rPr>
                <w:rFonts w:cs="Calibri"/>
                <w:szCs w:val="20"/>
              </w:rPr>
            </w:pPr>
            <w:r w:rsidRPr="000F51F7">
              <w:rPr>
                <w:rFonts w:cs="Calibri"/>
                <w:szCs w:val="20"/>
              </w:rPr>
              <w:t>$</w:t>
            </w:r>
            <w:r w:rsidR="001549E4" w:rsidRPr="001549E4">
              <w:rPr>
                <w:rFonts w:cs="Calibri"/>
                <w:color w:val="000000"/>
                <w:szCs w:val="20"/>
                <w:shd w:val="solid" w:color="000000" w:fill="000000"/>
                <w14:textFill>
                  <w14:solidFill>
                    <w14:srgbClr w14:val="000000">
                      <w14:alpha w14:val="100000"/>
                    </w14:srgbClr>
                  </w14:solidFill>
                </w14:textFill>
              </w:rPr>
              <w:t>|</w:t>
            </w:r>
            <w:r w:rsidR="001637BE" w:rsidRPr="000F51F7">
              <w:rPr>
                <w:rFonts w:cs="Calibri"/>
                <w:szCs w:val="20"/>
                <w:vertAlign w:val="superscript"/>
              </w:rPr>
              <w:t>5</w:t>
            </w:r>
          </w:p>
        </w:tc>
        <w:tc>
          <w:tcPr>
            <w:tcW w:w="996" w:type="pct"/>
          </w:tcPr>
          <w:p w14:paraId="13DA6BF4" w14:textId="77777777" w:rsidR="00B47B69" w:rsidRPr="000F51F7" w:rsidRDefault="00B47B69" w:rsidP="0016414B">
            <w:pPr>
              <w:pStyle w:val="TableText0"/>
              <w:jc w:val="center"/>
              <w:rPr>
                <w:rFonts w:cs="Calibri"/>
                <w:szCs w:val="20"/>
              </w:rPr>
            </w:pPr>
            <w:r w:rsidRPr="000F51F7">
              <w:rPr>
                <w:rFonts w:cs="Calibri"/>
                <w:szCs w:val="20"/>
              </w:rPr>
              <w:t>-</w:t>
            </w:r>
          </w:p>
        </w:tc>
        <w:tc>
          <w:tcPr>
            <w:tcW w:w="808" w:type="pct"/>
          </w:tcPr>
          <w:p w14:paraId="3D6C3EB1" w14:textId="77777777" w:rsidR="00B47B69" w:rsidRPr="000F51F7" w:rsidRDefault="00B47B69" w:rsidP="0016414B">
            <w:pPr>
              <w:pStyle w:val="TableText0"/>
              <w:jc w:val="center"/>
              <w:rPr>
                <w:rFonts w:cs="Calibri"/>
                <w:szCs w:val="20"/>
              </w:rPr>
            </w:pPr>
          </w:p>
        </w:tc>
      </w:tr>
      <w:tr w:rsidR="00B47B69" w:rsidRPr="000F51F7" w14:paraId="1FA15F38" w14:textId="77777777" w:rsidTr="00B47B69">
        <w:trPr>
          <w:tblHeader/>
        </w:trPr>
        <w:tc>
          <w:tcPr>
            <w:tcW w:w="2003" w:type="pct"/>
            <w:vAlign w:val="center"/>
          </w:tcPr>
          <w:p w14:paraId="34437D32" w14:textId="77777777" w:rsidR="00B47B69" w:rsidRPr="000F51F7" w:rsidRDefault="00B47B69" w:rsidP="0016414B">
            <w:pPr>
              <w:pStyle w:val="NoSpacing"/>
              <w:jc w:val="left"/>
              <w:rPr>
                <w:rFonts w:ascii="Arial Narrow" w:hAnsi="Arial Narrow" w:cs="Calibri"/>
                <w:sz w:val="20"/>
              </w:rPr>
            </w:pPr>
            <w:r w:rsidRPr="000F51F7">
              <w:rPr>
                <w:rFonts w:ascii="Arial Narrow" w:hAnsi="Arial Narrow" w:cs="Calibri"/>
                <w:sz w:val="20"/>
              </w:rPr>
              <w:t>Proportion of patients with an sBA response</w:t>
            </w:r>
            <w:r w:rsidRPr="000F51F7">
              <w:rPr>
                <w:rFonts w:ascii="Arial Narrow" w:hAnsi="Arial Narrow" w:cs="Calibri"/>
                <w:sz w:val="20"/>
                <w:vertAlign w:val="superscript"/>
              </w:rPr>
              <w:t>2</w:t>
            </w:r>
            <w:r w:rsidRPr="000F51F7">
              <w:rPr>
                <w:rFonts w:ascii="Arial Narrow" w:hAnsi="Arial Narrow" w:cs="Calibri"/>
                <w:sz w:val="20"/>
              </w:rPr>
              <w:t xml:space="preserve"> </w:t>
            </w:r>
          </w:p>
        </w:tc>
        <w:tc>
          <w:tcPr>
            <w:tcW w:w="1193" w:type="pct"/>
            <w:vAlign w:val="center"/>
          </w:tcPr>
          <w:p w14:paraId="1C26A5E2" w14:textId="28CCAE6C" w:rsidR="00B47B69" w:rsidRPr="000F51F7" w:rsidRDefault="00AC4925" w:rsidP="0016414B">
            <w:pPr>
              <w:pStyle w:val="TableText0"/>
              <w:jc w:val="center"/>
              <w:rPr>
                <w:rFonts w:cs="Calibri"/>
                <w:szCs w:val="20"/>
              </w:rPr>
            </w:pPr>
            <w:r w:rsidRPr="000F51F7">
              <w:rPr>
                <w:rFonts w:cs="Calibri"/>
                <w:szCs w:val="20"/>
              </w:rPr>
              <w:t>21.1%</w:t>
            </w:r>
          </w:p>
        </w:tc>
        <w:tc>
          <w:tcPr>
            <w:tcW w:w="996" w:type="pct"/>
            <w:vAlign w:val="center"/>
          </w:tcPr>
          <w:p w14:paraId="11B683DB" w14:textId="77777777" w:rsidR="00B47B69" w:rsidRPr="000F51F7" w:rsidRDefault="00B47B69" w:rsidP="0016414B">
            <w:pPr>
              <w:pStyle w:val="TableText0"/>
              <w:jc w:val="center"/>
              <w:rPr>
                <w:rFonts w:cs="Calibri"/>
                <w:szCs w:val="20"/>
              </w:rPr>
            </w:pPr>
            <w:r w:rsidRPr="000F51F7">
              <w:rPr>
                <w:rFonts w:cs="Calibri"/>
                <w:szCs w:val="20"/>
              </w:rPr>
              <w:t>0%</w:t>
            </w:r>
          </w:p>
        </w:tc>
        <w:tc>
          <w:tcPr>
            <w:tcW w:w="808" w:type="pct"/>
            <w:vAlign w:val="center"/>
          </w:tcPr>
          <w:p w14:paraId="21ED173E" w14:textId="13CBF20A" w:rsidR="00B47B69" w:rsidRPr="000F51F7" w:rsidRDefault="00AC4925" w:rsidP="0016414B">
            <w:pPr>
              <w:pStyle w:val="TableText0"/>
              <w:jc w:val="center"/>
              <w:rPr>
                <w:rFonts w:cs="Calibri"/>
                <w:szCs w:val="20"/>
              </w:rPr>
            </w:pPr>
            <w:r w:rsidRPr="000F51F7">
              <w:rPr>
                <w:rFonts w:cs="Calibri"/>
                <w:szCs w:val="20"/>
              </w:rPr>
              <w:t>21</w:t>
            </w:r>
            <w:r w:rsidR="008E6598" w:rsidRPr="000F51F7">
              <w:rPr>
                <w:rFonts w:cs="Calibri"/>
                <w:szCs w:val="20"/>
              </w:rPr>
              <w:t>.6</w:t>
            </w:r>
            <w:r w:rsidRPr="000F51F7">
              <w:rPr>
                <w:rFonts w:cs="Calibri"/>
                <w:szCs w:val="20"/>
              </w:rPr>
              <w:t>%</w:t>
            </w:r>
          </w:p>
        </w:tc>
      </w:tr>
      <w:tr w:rsidR="00B47B69" w:rsidRPr="000F51F7" w14:paraId="1A41EB30" w14:textId="77777777" w:rsidTr="00B47B69">
        <w:trPr>
          <w:tblHeader/>
        </w:trPr>
        <w:tc>
          <w:tcPr>
            <w:tcW w:w="2003" w:type="pct"/>
            <w:vAlign w:val="center"/>
          </w:tcPr>
          <w:p w14:paraId="0CCEBBF1" w14:textId="77777777" w:rsidR="00B47B69" w:rsidRPr="000F51F7" w:rsidRDefault="00B47B69" w:rsidP="0016414B">
            <w:pPr>
              <w:pStyle w:val="NoSpacing"/>
              <w:jc w:val="left"/>
              <w:rPr>
                <w:rFonts w:ascii="Arial Narrow" w:hAnsi="Arial Narrow" w:cs="Calibri"/>
                <w:sz w:val="20"/>
              </w:rPr>
            </w:pPr>
            <w:r w:rsidRPr="000F51F7">
              <w:rPr>
                <w:rFonts w:ascii="Arial Narrow" w:hAnsi="Arial Narrow" w:cs="Calibri"/>
                <w:sz w:val="20"/>
              </w:rPr>
              <w:t>Proportion of patients with a pruritus response</w:t>
            </w:r>
            <w:r w:rsidRPr="000F51F7">
              <w:rPr>
                <w:rFonts w:ascii="Arial Narrow" w:hAnsi="Arial Narrow" w:cs="Calibri"/>
                <w:sz w:val="20"/>
                <w:vertAlign w:val="superscript"/>
              </w:rPr>
              <w:t>3</w:t>
            </w:r>
            <w:r w:rsidRPr="000F51F7">
              <w:rPr>
                <w:rFonts w:ascii="Arial Narrow" w:hAnsi="Arial Narrow" w:cs="Calibri"/>
                <w:sz w:val="20"/>
              </w:rPr>
              <w:t xml:space="preserve"> for ≥50% of the time</w:t>
            </w:r>
          </w:p>
        </w:tc>
        <w:tc>
          <w:tcPr>
            <w:tcW w:w="1193" w:type="pct"/>
            <w:vAlign w:val="center"/>
          </w:tcPr>
          <w:p w14:paraId="720CC2CC" w14:textId="71A03476" w:rsidR="00B47B69" w:rsidRPr="000F51F7" w:rsidRDefault="00AC4925" w:rsidP="0016414B">
            <w:pPr>
              <w:pStyle w:val="TableText0"/>
              <w:jc w:val="center"/>
              <w:rPr>
                <w:rFonts w:cs="Calibri"/>
                <w:szCs w:val="20"/>
              </w:rPr>
            </w:pPr>
            <w:r w:rsidRPr="000F51F7">
              <w:rPr>
                <w:rFonts w:cs="Calibri"/>
                <w:szCs w:val="20"/>
              </w:rPr>
              <w:t>47.4%</w:t>
            </w:r>
          </w:p>
        </w:tc>
        <w:tc>
          <w:tcPr>
            <w:tcW w:w="996" w:type="pct"/>
            <w:vAlign w:val="center"/>
          </w:tcPr>
          <w:p w14:paraId="6E99F96D" w14:textId="77777777" w:rsidR="00B47B69" w:rsidRPr="000F51F7" w:rsidRDefault="00B47B69" w:rsidP="0016414B">
            <w:pPr>
              <w:pStyle w:val="TableText0"/>
              <w:jc w:val="center"/>
              <w:rPr>
                <w:rFonts w:cs="Calibri"/>
                <w:szCs w:val="20"/>
              </w:rPr>
            </w:pPr>
            <w:r w:rsidRPr="000F51F7">
              <w:rPr>
                <w:rFonts w:cs="Calibri"/>
                <w:szCs w:val="20"/>
              </w:rPr>
              <w:t>20%</w:t>
            </w:r>
          </w:p>
        </w:tc>
        <w:tc>
          <w:tcPr>
            <w:tcW w:w="808" w:type="pct"/>
            <w:vAlign w:val="center"/>
          </w:tcPr>
          <w:p w14:paraId="2402CB67" w14:textId="11B2EF0B" w:rsidR="00B47B69" w:rsidRPr="000F51F7" w:rsidRDefault="008E6598" w:rsidP="0016414B">
            <w:pPr>
              <w:pStyle w:val="TableText0"/>
              <w:jc w:val="center"/>
              <w:rPr>
                <w:rFonts w:cs="Calibri"/>
                <w:szCs w:val="20"/>
              </w:rPr>
            </w:pPr>
            <w:r w:rsidRPr="000F51F7">
              <w:rPr>
                <w:rFonts w:cs="Calibri"/>
                <w:szCs w:val="20"/>
              </w:rPr>
              <w:t>27.4</w:t>
            </w:r>
            <w:r w:rsidR="00AC4925" w:rsidRPr="000F51F7">
              <w:rPr>
                <w:rFonts w:cs="Calibri"/>
                <w:szCs w:val="20"/>
              </w:rPr>
              <w:t>%</w:t>
            </w:r>
          </w:p>
        </w:tc>
      </w:tr>
      <w:tr w:rsidR="00B47B69" w:rsidRPr="000F51F7" w14:paraId="56A7664A" w14:textId="77777777" w:rsidTr="00B47B69">
        <w:trPr>
          <w:tblHeader/>
        </w:trPr>
        <w:tc>
          <w:tcPr>
            <w:tcW w:w="4192" w:type="pct"/>
            <w:gridSpan w:val="3"/>
            <w:vAlign w:val="center"/>
          </w:tcPr>
          <w:p w14:paraId="6DE84FD3" w14:textId="1425F895" w:rsidR="00B47B69" w:rsidRPr="000F51F7" w:rsidRDefault="00B47B69" w:rsidP="0016414B">
            <w:pPr>
              <w:pStyle w:val="NoSpacing"/>
              <w:jc w:val="left"/>
              <w:rPr>
                <w:rFonts w:ascii="Arial Narrow" w:hAnsi="Arial Narrow" w:cs="Calibri"/>
                <w:sz w:val="20"/>
              </w:rPr>
            </w:pPr>
            <w:r w:rsidRPr="000F51F7">
              <w:rPr>
                <w:rFonts w:ascii="Arial Narrow" w:hAnsi="Arial Narrow" w:cs="Calibri"/>
                <w:sz w:val="20"/>
              </w:rPr>
              <w:t>Incremental cost per patient with an sBA response at 24 weeks [($</w:t>
            </w:r>
            <w:r w:rsidR="001549E4" w:rsidRPr="001549E4">
              <w:rPr>
                <w:rFonts w:ascii="Arial Narrow" w:hAnsi="Arial Narrow" w:cs="Calibri"/>
                <w:color w:val="000000"/>
                <w:spacing w:val="54"/>
                <w:sz w:val="20"/>
                <w:shd w:val="solid" w:color="000000" w:fill="000000"/>
                <w:fitText w:val="334" w:id="-693991153"/>
                <w14:textFill>
                  <w14:solidFill>
                    <w14:srgbClr w14:val="000000">
                      <w14:alpha w14:val="100000"/>
                    </w14:srgbClr>
                  </w14:solidFill>
                </w14:textFill>
              </w:rPr>
              <w:t>|||</w:t>
            </w:r>
            <w:r w:rsidR="001549E4" w:rsidRPr="001549E4">
              <w:rPr>
                <w:rFonts w:ascii="Arial Narrow" w:hAnsi="Arial Narrow" w:cs="Calibri"/>
                <w:color w:val="000000"/>
                <w:spacing w:val="2"/>
                <w:sz w:val="20"/>
                <w:shd w:val="solid" w:color="000000" w:fill="000000"/>
                <w:fitText w:val="334" w:id="-693991153"/>
                <w14:textFill>
                  <w14:solidFill>
                    <w14:srgbClr w14:val="000000">
                      <w14:alpha w14:val="100000"/>
                    </w14:srgbClr>
                  </w14:solidFill>
                </w14:textFill>
              </w:rPr>
              <w:t>|</w:t>
            </w:r>
            <w:r w:rsidRPr="000F51F7">
              <w:rPr>
                <w:rFonts w:ascii="Arial Narrow" w:hAnsi="Arial Narrow" w:cs="Calibri"/>
                <w:sz w:val="20"/>
              </w:rPr>
              <w:t>/52*24)/0.</w:t>
            </w:r>
            <w:r w:rsidR="001637BE" w:rsidRPr="000F51F7">
              <w:rPr>
                <w:rFonts w:ascii="Arial Narrow" w:hAnsi="Arial Narrow" w:cs="Calibri"/>
                <w:sz w:val="20"/>
              </w:rPr>
              <w:t>216</w:t>
            </w:r>
            <w:r w:rsidRPr="000F51F7">
              <w:rPr>
                <w:rFonts w:ascii="Arial Narrow" w:hAnsi="Arial Narrow" w:cs="Calibri"/>
                <w:sz w:val="20"/>
              </w:rPr>
              <w:t>]</w:t>
            </w:r>
          </w:p>
        </w:tc>
        <w:tc>
          <w:tcPr>
            <w:tcW w:w="808" w:type="pct"/>
            <w:vAlign w:val="center"/>
          </w:tcPr>
          <w:p w14:paraId="044B451F" w14:textId="12AC511A" w:rsidR="00B47B69" w:rsidRPr="00EF210C" w:rsidRDefault="001637BE" w:rsidP="0016414B">
            <w:pPr>
              <w:pStyle w:val="NoSpacing"/>
              <w:jc w:val="center"/>
              <w:rPr>
                <w:rFonts w:ascii="Arial Narrow" w:hAnsi="Arial Narrow" w:cs="Calibri"/>
                <w:sz w:val="20"/>
                <w:vertAlign w:val="superscript"/>
              </w:rPr>
            </w:pPr>
            <w:r w:rsidRPr="000F51F7">
              <w:rPr>
                <w:rFonts w:ascii="Arial Narrow" w:hAnsi="Arial Narrow" w:cs="Calibri"/>
                <w:sz w:val="20"/>
              </w:rPr>
              <w:t>$</w:t>
            </w:r>
            <w:r w:rsidR="001549E4" w:rsidRPr="001549E4">
              <w:rPr>
                <w:rFonts w:ascii="Arial Narrow" w:hAnsi="Arial Narrow" w:cs="Calibri"/>
                <w:color w:val="000000"/>
                <w:sz w:val="20"/>
                <w:shd w:val="solid" w:color="000000" w:fill="000000"/>
                <w14:textFill>
                  <w14:solidFill>
                    <w14:srgbClr w14:val="000000">
                      <w14:alpha w14:val="100000"/>
                    </w14:srgbClr>
                  </w14:solidFill>
                </w14:textFill>
              </w:rPr>
              <w:t>|</w:t>
            </w:r>
            <w:r w:rsidR="00EF210C">
              <w:rPr>
                <w:rFonts w:ascii="Arial Narrow" w:hAnsi="Arial Narrow" w:cs="Calibri"/>
                <w:sz w:val="20"/>
                <w:vertAlign w:val="superscript"/>
              </w:rPr>
              <w:t>c</w:t>
            </w:r>
          </w:p>
        </w:tc>
      </w:tr>
      <w:tr w:rsidR="00B47B69" w:rsidRPr="000F51F7" w14:paraId="3D1E8B0A" w14:textId="77777777" w:rsidTr="00B47B69">
        <w:trPr>
          <w:tblHeader/>
        </w:trPr>
        <w:tc>
          <w:tcPr>
            <w:tcW w:w="4192" w:type="pct"/>
            <w:gridSpan w:val="3"/>
            <w:vAlign w:val="center"/>
          </w:tcPr>
          <w:p w14:paraId="6F0C0F47" w14:textId="6955DE23" w:rsidR="00B47B69" w:rsidRPr="000F51F7" w:rsidRDefault="00B47B69" w:rsidP="0016414B">
            <w:pPr>
              <w:pStyle w:val="NoSpacing"/>
              <w:jc w:val="left"/>
              <w:rPr>
                <w:rFonts w:ascii="Arial Narrow" w:hAnsi="Arial Narrow" w:cs="Calibri"/>
                <w:sz w:val="20"/>
              </w:rPr>
            </w:pPr>
            <w:r w:rsidRPr="000F51F7">
              <w:rPr>
                <w:rFonts w:ascii="Arial Narrow" w:hAnsi="Arial Narrow" w:cs="Calibri"/>
                <w:sz w:val="20"/>
              </w:rPr>
              <w:t>Incremental cost per patient with a prurit</w:t>
            </w:r>
            <w:r w:rsidR="00EE64CB">
              <w:rPr>
                <w:rFonts w:ascii="Arial Narrow" w:hAnsi="Arial Narrow" w:cs="Calibri"/>
                <w:sz w:val="20"/>
              </w:rPr>
              <w:t>u</w:t>
            </w:r>
            <w:r w:rsidRPr="000F51F7">
              <w:rPr>
                <w:rFonts w:ascii="Arial Narrow" w:hAnsi="Arial Narrow" w:cs="Calibri"/>
                <w:sz w:val="20"/>
              </w:rPr>
              <w:t>s response for ≥50% of the time at 24 weeks [($</w:t>
            </w:r>
            <w:r w:rsidR="001549E4" w:rsidRPr="001549E4">
              <w:rPr>
                <w:rFonts w:ascii="Arial Narrow" w:hAnsi="Arial Narrow" w:cs="Calibri"/>
                <w:color w:val="000000"/>
                <w:spacing w:val="54"/>
                <w:sz w:val="20"/>
                <w:shd w:val="solid" w:color="000000" w:fill="000000"/>
                <w:fitText w:val="334" w:id="-693991152"/>
                <w14:textFill>
                  <w14:solidFill>
                    <w14:srgbClr w14:val="000000">
                      <w14:alpha w14:val="100000"/>
                    </w14:srgbClr>
                  </w14:solidFill>
                </w14:textFill>
              </w:rPr>
              <w:t>|||</w:t>
            </w:r>
            <w:r w:rsidR="001549E4" w:rsidRPr="001549E4">
              <w:rPr>
                <w:rFonts w:ascii="Arial Narrow" w:hAnsi="Arial Narrow" w:cs="Calibri"/>
                <w:color w:val="000000"/>
                <w:spacing w:val="2"/>
                <w:sz w:val="20"/>
                <w:shd w:val="solid" w:color="000000" w:fill="000000"/>
                <w:fitText w:val="334" w:id="-693991152"/>
                <w14:textFill>
                  <w14:solidFill>
                    <w14:srgbClr w14:val="000000">
                      <w14:alpha w14:val="100000"/>
                    </w14:srgbClr>
                  </w14:solidFill>
                </w14:textFill>
              </w:rPr>
              <w:t>|</w:t>
            </w:r>
            <w:r w:rsidRPr="000F51F7">
              <w:rPr>
                <w:rFonts w:ascii="Arial Narrow" w:hAnsi="Arial Narrow" w:cs="Calibri"/>
                <w:sz w:val="20"/>
              </w:rPr>
              <w:t>/52*24)/0</w:t>
            </w:r>
            <w:r w:rsidR="001637BE" w:rsidRPr="000F51F7">
              <w:rPr>
                <w:rFonts w:ascii="Arial Narrow" w:hAnsi="Arial Narrow" w:cs="Calibri"/>
                <w:sz w:val="20"/>
              </w:rPr>
              <w:t>.274</w:t>
            </w:r>
            <w:r w:rsidRPr="000F51F7">
              <w:rPr>
                <w:rFonts w:ascii="Arial Narrow" w:hAnsi="Arial Narrow" w:cs="Calibri"/>
                <w:sz w:val="20"/>
              </w:rPr>
              <w:t>]</w:t>
            </w:r>
          </w:p>
        </w:tc>
        <w:tc>
          <w:tcPr>
            <w:tcW w:w="808" w:type="pct"/>
            <w:vAlign w:val="center"/>
          </w:tcPr>
          <w:p w14:paraId="3CB3144C" w14:textId="505FFEF8" w:rsidR="00B47B69" w:rsidRPr="00EF210C" w:rsidRDefault="006E094E" w:rsidP="00B47B69">
            <w:pPr>
              <w:pStyle w:val="NoSpacing"/>
              <w:jc w:val="center"/>
              <w:rPr>
                <w:rFonts w:ascii="Arial Narrow" w:hAnsi="Arial Narrow" w:cs="Calibri"/>
                <w:sz w:val="20"/>
                <w:vertAlign w:val="superscript"/>
              </w:rPr>
            </w:pPr>
            <w:r w:rsidRPr="000F51F7">
              <w:rPr>
                <w:rFonts w:ascii="Arial Narrow" w:hAnsi="Arial Narrow" w:cs="Calibri"/>
                <w:sz w:val="20"/>
              </w:rPr>
              <w:t>$</w:t>
            </w:r>
            <w:r w:rsidR="001549E4" w:rsidRPr="001549E4">
              <w:rPr>
                <w:rFonts w:ascii="Arial Narrow" w:hAnsi="Arial Narrow" w:cs="Calibri"/>
                <w:color w:val="000000"/>
                <w:sz w:val="20"/>
                <w:shd w:val="solid" w:color="000000" w:fill="000000"/>
                <w14:textFill>
                  <w14:solidFill>
                    <w14:srgbClr w14:val="000000">
                      <w14:alpha w14:val="100000"/>
                    </w14:srgbClr>
                  </w14:solidFill>
                </w14:textFill>
              </w:rPr>
              <w:t>|</w:t>
            </w:r>
            <w:r w:rsidR="00EF210C">
              <w:rPr>
                <w:rFonts w:ascii="Arial Narrow" w:hAnsi="Arial Narrow" w:cs="Calibri"/>
                <w:sz w:val="20"/>
                <w:vertAlign w:val="superscript"/>
              </w:rPr>
              <w:t>d</w:t>
            </w:r>
          </w:p>
        </w:tc>
      </w:tr>
    </w:tbl>
    <w:p w14:paraId="76639CE4" w14:textId="2E233E15" w:rsidR="00891B7B" w:rsidRPr="000F51F7" w:rsidRDefault="009F0A23" w:rsidP="00CD7AB6">
      <w:pPr>
        <w:pStyle w:val="3-BodyText"/>
        <w:numPr>
          <w:ilvl w:val="0"/>
          <w:numId w:val="32"/>
        </w:numPr>
        <w:spacing w:before="0" w:after="0"/>
        <w:ind w:left="357" w:hanging="357"/>
        <w:rPr>
          <w:rFonts w:ascii="Arial Narrow" w:hAnsi="Arial Narrow"/>
          <w:sz w:val="18"/>
          <w:szCs w:val="18"/>
        </w:rPr>
      </w:pPr>
      <w:r w:rsidRPr="000F51F7">
        <w:rPr>
          <w:rFonts w:ascii="Arial Narrow" w:hAnsi="Arial Narrow"/>
          <w:sz w:val="18"/>
          <w:szCs w:val="18"/>
        </w:rPr>
        <w:t>From</w:t>
      </w:r>
      <w:r w:rsidR="00D04239" w:rsidRPr="000F51F7">
        <w:rPr>
          <w:rFonts w:ascii="Arial Narrow" w:hAnsi="Arial Narrow"/>
          <w:sz w:val="18"/>
          <w:szCs w:val="18"/>
        </w:rPr>
        <w:t xml:space="preserve"> published PEDFIC1 pape</w:t>
      </w:r>
      <w:r w:rsidR="00C62DBB" w:rsidRPr="000F51F7">
        <w:rPr>
          <w:rFonts w:ascii="Arial Narrow" w:hAnsi="Arial Narrow"/>
          <w:sz w:val="18"/>
          <w:szCs w:val="18"/>
        </w:rPr>
        <w:t>r</w:t>
      </w:r>
      <w:r w:rsidRPr="000F51F7">
        <w:rPr>
          <w:rFonts w:ascii="Arial Narrow" w:hAnsi="Arial Narrow"/>
          <w:sz w:val="18"/>
          <w:szCs w:val="18"/>
        </w:rPr>
        <w:t xml:space="preserve"> </w:t>
      </w:r>
      <w:r w:rsidR="00D04239" w:rsidRPr="000F51F7">
        <w:rPr>
          <w:rFonts w:ascii="Arial Narrow" w:hAnsi="Arial Narrow"/>
          <w:sz w:val="18"/>
          <w:szCs w:val="18"/>
        </w:rPr>
        <w:t>(Thompson 2022)</w:t>
      </w:r>
    </w:p>
    <w:p w14:paraId="480EECA2" w14:textId="7A16E9AD" w:rsidR="00FC6C26" w:rsidRPr="000F51F7" w:rsidRDefault="00FC6C26" w:rsidP="00FC6C26">
      <w:pPr>
        <w:pStyle w:val="3-BodyText"/>
        <w:numPr>
          <w:ilvl w:val="0"/>
          <w:numId w:val="32"/>
        </w:numPr>
        <w:spacing w:before="0" w:after="0"/>
        <w:ind w:left="357" w:hanging="357"/>
        <w:rPr>
          <w:rFonts w:ascii="Arial Narrow" w:hAnsi="Arial Narrow"/>
          <w:color w:val="000000" w:themeColor="text1"/>
          <w:sz w:val="18"/>
          <w:szCs w:val="18"/>
        </w:rPr>
      </w:pPr>
      <w:r w:rsidRPr="000F51F7">
        <w:rPr>
          <w:rFonts w:ascii="Arial Narrow" w:hAnsi="Arial Narrow"/>
          <w:color w:val="000000" w:themeColor="text1"/>
          <w:sz w:val="18"/>
          <w:szCs w:val="18"/>
        </w:rPr>
        <w:t>40</w:t>
      </w:r>
      <w:r w:rsidR="0017081E">
        <w:rPr>
          <w:rFonts w:ascii="Arial Narrow" w:hAnsi="Arial Narrow"/>
          <w:color w:val="000000" w:themeColor="text1"/>
          <w:sz w:val="18"/>
          <w:szCs w:val="18"/>
        </w:rPr>
        <w:t> mcg</w:t>
      </w:r>
      <w:r w:rsidRPr="000F51F7">
        <w:rPr>
          <w:rFonts w:ascii="Arial Narrow" w:hAnsi="Arial Narrow"/>
          <w:color w:val="000000" w:themeColor="text1"/>
          <w:sz w:val="18"/>
          <w:szCs w:val="18"/>
        </w:rPr>
        <w:t>/kg/day x 15.5 kg x $</w:t>
      </w:r>
      <w:r w:rsidR="001549E4" w:rsidRPr="004A6DE4">
        <w:rPr>
          <w:rFonts w:ascii="Arial Narrow" w:hAnsi="Arial Narrow"/>
          <w:color w:val="000000" w:themeColor="text1"/>
          <w:spacing w:val="81"/>
          <w:sz w:val="18"/>
          <w:szCs w:val="18"/>
          <w:shd w:val="solid" w:color="000000" w:fill="000000"/>
          <w:fitText w:val="280" w:id="-693991168"/>
          <w14:textFill>
            <w14:solidFill>
              <w14:schemeClr w14:val="tx1">
                <w14:alpha w14:val="100000"/>
              </w14:schemeClr>
            </w14:solidFill>
          </w14:textFill>
        </w:rPr>
        <w:t>|</w:t>
      </w:r>
      <w:r w:rsidR="004A6DE4" w:rsidRPr="004A6DE4">
        <w:rPr>
          <w:rFonts w:ascii="Arial Narrow" w:hAnsi="Arial Narrow"/>
          <w:color w:val="000000" w:themeColor="text1"/>
          <w:spacing w:val="81"/>
          <w:sz w:val="18"/>
          <w:szCs w:val="18"/>
          <w:shd w:val="solid" w:color="000000" w:fill="000000"/>
          <w:fitText w:val="280" w:id="-693991168"/>
          <w14:textFill>
            <w14:solidFill>
              <w14:schemeClr w14:val="tx1">
                <w14:alpha w14:val="100000"/>
              </w14:schemeClr>
            </w14:solidFill>
          </w14:textFill>
        </w:rPr>
        <w:t xml:space="preserve"> </w:t>
      </w:r>
      <w:r w:rsidR="001549E4" w:rsidRPr="004A6DE4">
        <w:rPr>
          <w:rFonts w:ascii="Arial Narrow" w:hAnsi="Arial Narrow"/>
          <w:color w:val="000000" w:themeColor="text1"/>
          <w:spacing w:val="1"/>
          <w:sz w:val="18"/>
          <w:szCs w:val="18"/>
          <w:shd w:val="solid" w:color="000000" w:fill="000000"/>
          <w:fitText w:val="280" w:id="-693991168"/>
          <w14:textFill>
            <w14:solidFill>
              <w14:schemeClr w14:val="tx1">
                <w14:alpha w14:val="100000"/>
              </w14:schemeClr>
            </w14:solidFill>
          </w14:textFill>
        </w:rPr>
        <w:t>|</w:t>
      </w:r>
      <w:r w:rsidRPr="000F51F7">
        <w:rPr>
          <w:rFonts w:ascii="Arial Narrow" w:hAnsi="Arial Narrow"/>
          <w:color w:val="000000" w:themeColor="text1"/>
          <w:sz w:val="18"/>
          <w:szCs w:val="18"/>
        </w:rPr>
        <w:t>/mcg x 365.25</w:t>
      </w:r>
    </w:p>
    <w:p w14:paraId="015A0764" w14:textId="141C9E72" w:rsidR="00DB6D48" w:rsidRPr="000F51F7" w:rsidRDefault="00B14CD5" w:rsidP="00FC6C26">
      <w:pPr>
        <w:pStyle w:val="3-BodyText"/>
        <w:numPr>
          <w:ilvl w:val="0"/>
          <w:numId w:val="32"/>
        </w:numPr>
        <w:spacing w:before="0" w:after="0"/>
        <w:ind w:left="357" w:hanging="357"/>
        <w:rPr>
          <w:rFonts w:ascii="Arial Narrow" w:hAnsi="Arial Narrow"/>
          <w:sz w:val="18"/>
          <w:szCs w:val="18"/>
        </w:rPr>
      </w:pPr>
      <w:r w:rsidRPr="000F51F7">
        <w:rPr>
          <w:rFonts w:ascii="Arial Narrow" w:hAnsi="Arial Narrow"/>
          <w:color w:val="000000" w:themeColor="text1"/>
          <w:sz w:val="18"/>
          <w:szCs w:val="18"/>
        </w:rPr>
        <w:t>defined as ≥70% reduction in fasting sBA concentration from baseline to the end of treatment or reaching a level ≤ 70 µmol/L</w:t>
      </w:r>
      <w:r w:rsidR="00384D2F" w:rsidRPr="000F51F7">
        <w:rPr>
          <w:rFonts w:ascii="Arial Narrow" w:hAnsi="Arial Narrow"/>
          <w:color w:val="000000" w:themeColor="text1"/>
          <w:sz w:val="18"/>
          <w:szCs w:val="18"/>
        </w:rPr>
        <w:t xml:space="preserve">; results from </w:t>
      </w:r>
      <w:r w:rsidR="00384D2F" w:rsidRPr="000F51F7">
        <w:rPr>
          <w:rFonts w:ascii="Arial Narrow" w:hAnsi="Arial Narrow"/>
          <w:color w:val="000000" w:themeColor="text1"/>
          <w:sz w:val="18"/>
          <w:szCs w:val="18"/>
        </w:rPr>
        <w:fldChar w:fldCharType="begin" w:fldLock="1"/>
      </w:r>
      <w:r w:rsidR="00384D2F" w:rsidRPr="000F51F7">
        <w:rPr>
          <w:rFonts w:ascii="Arial Narrow" w:hAnsi="Arial Narrow"/>
          <w:color w:val="000000" w:themeColor="text1"/>
          <w:sz w:val="18"/>
          <w:szCs w:val="18"/>
        </w:rPr>
        <w:instrText xml:space="preserve"> REF _Ref184911084 \h  \* MERGEFORMAT </w:instrText>
      </w:r>
      <w:r w:rsidR="00384D2F" w:rsidRPr="000F51F7">
        <w:rPr>
          <w:rFonts w:ascii="Arial Narrow" w:hAnsi="Arial Narrow"/>
          <w:color w:val="000000" w:themeColor="text1"/>
          <w:sz w:val="18"/>
          <w:szCs w:val="18"/>
        </w:rPr>
      </w:r>
      <w:r w:rsidR="00384D2F" w:rsidRPr="000F51F7">
        <w:rPr>
          <w:rFonts w:ascii="Arial Narrow" w:hAnsi="Arial Narrow"/>
          <w:color w:val="000000" w:themeColor="text1"/>
          <w:sz w:val="18"/>
          <w:szCs w:val="18"/>
        </w:rPr>
        <w:fldChar w:fldCharType="separate"/>
      </w:r>
      <w:r w:rsidR="00384D2F" w:rsidRPr="000F51F7">
        <w:rPr>
          <w:rFonts w:ascii="Arial Narrow" w:hAnsi="Arial Narrow"/>
          <w:color w:val="000000" w:themeColor="text1"/>
          <w:sz w:val="18"/>
          <w:szCs w:val="18"/>
        </w:rPr>
        <w:t>Table 6</w:t>
      </w:r>
      <w:r w:rsidR="00384D2F" w:rsidRPr="000F51F7">
        <w:rPr>
          <w:rFonts w:ascii="Arial Narrow" w:hAnsi="Arial Narrow"/>
          <w:color w:val="000000" w:themeColor="text1"/>
          <w:sz w:val="18"/>
          <w:szCs w:val="18"/>
        </w:rPr>
        <w:fldChar w:fldCharType="end"/>
      </w:r>
    </w:p>
    <w:p w14:paraId="40F84B6E" w14:textId="28C3EB86" w:rsidR="00302AA4" w:rsidRPr="000F51F7" w:rsidRDefault="00302AA4" w:rsidP="00CD7AB6">
      <w:pPr>
        <w:pStyle w:val="3-BodyText"/>
        <w:numPr>
          <w:ilvl w:val="0"/>
          <w:numId w:val="32"/>
        </w:numPr>
        <w:spacing w:before="0" w:after="0"/>
        <w:ind w:left="357" w:hanging="357"/>
        <w:rPr>
          <w:rFonts w:ascii="Arial Narrow" w:hAnsi="Arial Narrow"/>
          <w:color w:val="000000" w:themeColor="text1"/>
          <w:sz w:val="18"/>
          <w:szCs w:val="18"/>
        </w:rPr>
      </w:pPr>
      <w:r w:rsidRPr="000F51F7">
        <w:rPr>
          <w:rFonts w:ascii="Arial Narrow" w:hAnsi="Arial Narrow"/>
          <w:color w:val="000000" w:themeColor="text1"/>
          <w:sz w:val="18"/>
          <w:szCs w:val="18"/>
        </w:rPr>
        <w:t>defined as a scratching score of ≤1 or at least a 1-point reduction from baseline on the Prucision ObsRO</w:t>
      </w:r>
      <w:r w:rsidR="00384D2F" w:rsidRPr="000F51F7">
        <w:rPr>
          <w:rFonts w:ascii="Arial Narrow" w:hAnsi="Arial Narrow"/>
          <w:color w:val="000000" w:themeColor="text1"/>
          <w:sz w:val="18"/>
          <w:szCs w:val="18"/>
        </w:rPr>
        <w:t xml:space="preserve">, results from </w:t>
      </w:r>
      <w:r w:rsidR="00384D2F" w:rsidRPr="000F51F7">
        <w:rPr>
          <w:rFonts w:ascii="Arial Narrow" w:hAnsi="Arial Narrow"/>
          <w:color w:val="000000" w:themeColor="text1"/>
          <w:sz w:val="18"/>
          <w:szCs w:val="18"/>
        </w:rPr>
        <w:fldChar w:fldCharType="begin" w:fldLock="1"/>
      </w:r>
      <w:r w:rsidR="00384D2F" w:rsidRPr="000F51F7">
        <w:rPr>
          <w:rFonts w:ascii="Arial Narrow" w:hAnsi="Arial Narrow"/>
          <w:color w:val="000000" w:themeColor="text1"/>
          <w:sz w:val="18"/>
          <w:szCs w:val="18"/>
        </w:rPr>
        <w:instrText xml:space="preserve"> REF _Ref184911084 \h  \* MERGEFORMAT </w:instrText>
      </w:r>
      <w:r w:rsidR="00384D2F" w:rsidRPr="000F51F7">
        <w:rPr>
          <w:rFonts w:ascii="Arial Narrow" w:hAnsi="Arial Narrow"/>
          <w:color w:val="000000" w:themeColor="text1"/>
          <w:sz w:val="18"/>
          <w:szCs w:val="18"/>
        </w:rPr>
      </w:r>
      <w:r w:rsidR="00384D2F" w:rsidRPr="000F51F7">
        <w:rPr>
          <w:rFonts w:ascii="Arial Narrow" w:hAnsi="Arial Narrow"/>
          <w:color w:val="000000" w:themeColor="text1"/>
          <w:sz w:val="18"/>
          <w:szCs w:val="18"/>
        </w:rPr>
        <w:fldChar w:fldCharType="separate"/>
      </w:r>
      <w:r w:rsidR="00384D2F" w:rsidRPr="000F51F7">
        <w:rPr>
          <w:rFonts w:ascii="Arial Narrow" w:hAnsi="Arial Narrow"/>
          <w:color w:val="000000" w:themeColor="text1"/>
          <w:sz w:val="18"/>
          <w:szCs w:val="18"/>
        </w:rPr>
        <w:t>Table 6</w:t>
      </w:r>
      <w:r w:rsidR="00384D2F" w:rsidRPr="000F51F7">
        <w:rPr>
          <w:rFonts w:ascii="Arial Narrow" w:hAnsi="Arial Narrow"/>
          <w:color w:val="000000" w:themeColor="text1"/>
          <w:sz w:val="18"/>
          <w:szCs w:val="18"/>
        </w:rPr>
        <w:fldChar w:fldCharType="end"/>
      </w:r>
    </w:p>
    <w:p w14:paraId="459F5BE4" w14:textId="5C574EFC" w:rsidR="008E6598" w:rsidRDefault="008E6598" w:rsidP="008E6598">
      <w:pPr>
        <w:pStyle w:val="3-BodyText"/>
        <w:numPr>
          <w:ilvl w:val="0"/>
          <w:numId w:val="32"/>
        </w:numPr>
        <w:spacing w:before="0" w:after="0"/>
        <w:ind w:left="357" w:hanging="357"/>
        <w:rPr>
          <w:rFonts w:ascii="Arial Narrow" w:hAnsi="Arial Narrow"/>
          <w:color w:val="000000" w:themeColor="text1"/>
          <w:sz w:val="18"/>
          <w:szCs w:val="18"/>
        </w:rPr>
      </w:pPr>
      <w:r w:rsidRPr="000F51F7">
        <w:rPr>
          <w:rFonts w:ascii="Arial Narrow" w:hAnsi="Arial Narrow"/>
          <w:color w:val="000000" w:themeColor="text1"/>
          <w:sz w:val="18"/>
          <w:szCs w:val="18"/>
        </w:rPr>
        <w:t>120</w:t>
      </w:r>
      <w:r w:rsidR="0017081E">
        <w:rPr>
          <w:rFonts w:ascii="Arial Narrow" w:hAnsi="Arial Narrow"/>
          <w:color w:val="000000" w:themeColor="text1"/>
          <w:sz w:val="18"/>
          <w:szCs w:val="18"/>
        </w:rPr>
        <w:t> mcg</w:t>
      </w:r>
      <w:r w:rsidRPr="000F51F7">
        <w:rPr>
          <w:rFonts w:ascii="Arial Narrow" w:hAnsi="Arial Narrow"/>
          <w:color w:val="000000" w:themeColor="text1"/>
          <w:sz w:val="18"/>
          <w:szCs w:val="18"/>
        </w:rPr>
        <w:t>/kg/day x 15.5 kg x $</w:t>
      </w:r>
      <w:r w:rsidR="001549E4" w:rsidRPr="004A6DE4">
        <w:rPr>
          <w:rFonts w:ascii="Arial Narrow" w:hAnsi="Arial Narrow"/>
          <w:color w:val="000000" w:themeColor="text1"/>
          <w:spacing w:val="81"/>
          <w:sz w:val="18"/>
          <w:szCs w:val="18"/>
          <w:shd w:val="solid" w:color="000000" w:fill="000000"/>
          <w:fitText w:val="280" w:id="-693991167"/>
          <w14:textFill>
            <w14:solidFill>
              <w14:schemeClr w14:val="tx1">
                <w14:alpha w14:val="100000"/>
              </w14:schemeClr>
            </w14:solidFill>
          </w14:textFill>
        </w:rPr>
        <w:t>|</w:t>
      </w:r>
      <w:r w:rsidR="004A6DE4" w:rsidRPr="004A6DE4">
        <w:rPr>
          <w:rFonts w:ascii="Arial Narrow" w:hAnsi="Arial Narrow"/>
          <w:color w:val="000000" w:themeColor="text1"/>
          <w:spacing w:val="81"/>
          <w:sz w:val="18"/>
          <w:szCs w:val="18"/>
          <w:shd w:val="solid" w:color="000000" w:fill="000000"/>
          <w:fitText w:val="280" w:id="-693991167"/>
          <w14:textFill>
            <w14:solidFill>
              <w14:schemeClr w14:val="tx1">
                <w14:alpha w14:val="100000"/>
              </w14:schemeClr>
            </w14:solidFill>
          </w14:textFill>
        </w:rPr>
        <w:t xml:space="preserve"> </w:t>
      </w:r>
      <w:r w:rsidR="001549E4" w:rsidRPr="004A6DE4">
        <w:rPr>
          <w:rFonts w:ascii="Arial Narrow" w:hAnsi="Arial Narrow"/>
          <w:color w:val="000000" w:themeColor="text1"/>
          <w:spacing w:val="1"/>
          <w:sz w:val="18"/>
          <w:szCs w:val="18"/>
          <w:shd w:val="solid" w:color="000000" w:fill="000000"/>
          <w:fitText w:val="280" w:id="-693991167"/>
          <w14:textFill>
            <w14:solidFill>
              <w14:schemeClr w14:val="tx1">
                <w14:alpha w14:val="100000"/>
              </w14:schemeClr>
            </w14:solidFill>
          </w14:textFill>
        </w:rPr>
        <w:t>|</w:t>
      </w:r>
      <w:r w:rsidRPr="000F51F7">
        <w:rPr>
          <w:rFonts w:ascii="Arial Narrow" w:hAnsi="Arial Narrow"/>
          <w:color w:val="000000" w:themeColor="text1"/>
          <w:sz w:val="18"/>
          <w:szCs w:val="18"/>
        </w:rPr>
        <w:t>/mcg x 365.25</w:t>
      </w:r>
    </w:p>
    <w:p w14:paraId="279B31CF" w14:textId="77777777" w:rsidR="00EF210C" w:rsidRPr="00D248EF" w:rsidRDefault="00EF210C" w:rsidP="00EF210C">
      <w:pPr>
        <w:pStyle w:val="FooterTableFigure"/>
        <w:keepLines/>
        <w:widowControl w:val="0"/>
        <w:jc w:val="left"/>
        <w:rPr>
          <w:i/>
          <w:iCs/>
        </w:rPr>
      </w:pPr>
      <w:r w:rsidRPr="00D248EF">
        <w:rPr>
          <w:i/>
          <w:iCs/>
        </w:rPr>
        <w:t xml:space="preserve">The redacted values correspond to the following ranges: </w:t>
      </w:r>
    </w:p>
    <w:p w14:paraId="07D2A573" w14:textId="5EC65B97" w:rsidR="00EF210C" w:rsidRPr="00D248EF" w:rsidRDefault="00EF210C" w:rsidP="00EF210C">
      <w:pPr>
        <w:pStyle w:val="FooterTableFigure"/>
        <w:keepLines/>
        <w:widowControl w:val="0"/>
        <w:jc w:val="left"/>
        <w:rPr>
          <w:i/>
          <w:iCs/>
        </w:rPr>
      </w:pPr>
      <w:r>
        <w:rPr>
          <w:i/>
          <w:iCs/>
          <w:vertAlign w:val="superscript"/>
        </w:rPr>
        <w:t>a</w:t>
      </w:r>
      <w:r w:rsidRPr="00D248EF">
        <w:rPr>
          <w:i/>
          <w:iCs/>
        </w:rPr>
        <w:t xml:space="preserve"> </w:t>
      </w:r>
      <w:r w:rsidR="00F5056A">
        <w:rPr>
          <w:i/>
          <w:iCs/>
        </w:rPr>
        <w:t xml:space="preserve">$95,000 </w:t>
      </w:r>
      <w:r w:rsidR="008D25FD">
        <w:rPr>
          <w:i/>
          <w:iCs/>
        </w:rPr>
        <w:t>to</w:t>
      </w:r>
      <w:r w:rsidR="00F5056A">
        <w:rPr>
          <w:i/>
          <w:iCs/>
        </w:rPr>
        <w:t xml:space="preserve"> &lt; S115,000</w:t>
      </w:r>
      <w:r w:rsidRPr="00D248EF">
        <w:rPr>
          <w:i/>
          <w:iCs/>
        </w:rPr>
        <w:t xml:space="preserve"> </w:t>
      </w:r>
    </w:p>
    <w:p w14:paraId="3721E430" w14:textId="16B10233" w:rsidR="00EF210C" w:rsidRPr="00D248EF" w:rsidRDefault="00EF210C" w:rsidP="00EF210C">
      <w:pPr>
        <w:pStyle w:val="FooterTableFigure"/>
        <w:keepLines/>
        <w:widowControl w:val="0"/>
        <w:jc w:val="left"/>
        <w:rPr>
          <w:i/>
          <w:iCs/>
        </w:rPr>
      </w:pPr>
      <w:r>
        <w:rPr>
          <w:i/>
          <w:iCs/>
          <w:vertAlign w:val="superscript"/>
        </w:rPr>
        <w:t>b</w:t>
      </w:r>
      <w:r w:rsidRPr="00D248EF">
        <w:rPr>
          <w:i/>
          <w:iCs/>
        </w:rPr>
        <w:t xml:space="preserve"> $75,000 to &lt; $</w:t>
      </w:r>
      <w:r w:rsidR="008D25FD">
        <w:rPr>
          <w:i/>
          <w:iCs/>
        </w:rPr>
        <w:t>9</w:t>
      </w:r>
      <w:r w:rsidRPr="00D248EF">
        <w:rPr>
          <w:i/>
          <w:iCs/>
        </w:rPr>
        <w:t>5,000</w:t>
      </w:r>
    </w:p>
    <w:p w14:paraId="2A3BD87F" w14:textId="684A959A" w:rsidR="00EF210C" w:rsidRPr="00D248EF" w:rsidRDefault="00F5056A" w:rsidP="00EF210C">
      <w:pPr>
        <w:pStyle w:val="FooterTableFigure"/>
        <w:keepLines/>
        <w:widowControl w:val="0"/>
        <w:jc w:val="left"/>
        <w:rPr>
          <w:i/>
          <w:iCs/>
        </w:rPr>
      </w:pPr>
      <w:r>
        <w:rPr>
          <w:i/>
          <w:iCs/>
          <w:vertAlign w:val="superscript"/>
        </w:rPr>
        <w:t>c</w:t>
      </w:r>
      <w:r w:rsidR="00EF210C" w:rsidRPr="00D248EF">
        <w:rPr>
          <w:i/>
          <w:iCs/>
        </w:rPr>
        <w:t xml:space="preserve"> $</w:t>
      </w:r>
      <w:r w:rsidR="008D25FD">
        <w:rPr>
          <w:i/>
          <w:iCs/>
        </w:rPr>
        <w:t>5</w:t>
      </w:r>
      <w:r w:rsidR="00EF210C" w:rsidRPr="00D248EF">
        <w:rPr>
          <w:i/>
          <w:iCs/>
        </w:rPr>
        <w:t>55,000 to &lt; $</w:t>
      </w:r>
      <w:r w:rsidR="008D25FD">
        <w:rPr>
          <w:i/>
          <w:iCs/>
        </w:rPr>
        <w:t>6</w:t>
      </w:r>
      <w:r w:rsidR="00EF210C" w:rsidRPr="00D248EF">
        <w:rPr>
          <w:i/>
          <w:iCs/>
        </w:rPr>
        <w:t xml:space="preserve">55,000 </w:t>
      </w:r>
    </w:p>
    <w:p w14:paraId="2A42CA28" w14:textId="6B02C230" w:rsidR="00EF210C" w:rsidRPr="00EF210C" w:rsidRDefault="00F5056A" w:rsidP="00EF210C">
      <w:pPr>
        <w:pStyle w:val="FooterTableFigure"/>
        <w:keepLines/>
        <w:widowControl w:val="0"/>
        <w:jc w:val="left"/>
        <w:rPr>
          <w:i/>
          <w:iCs/>
        </w:rPr>
      </w:pPr>
      <w:r>
        <w:rPr>
          <w:i/>
          <w:iCs/>
          <w:vertAlign w:val="superscript"/>
        </w:rPr>
        <w:t>e</w:t>
      </w:r>
      <w:r w:rsidR="00EF210C" w:rsidRPr="00D248EF">
        <w:rPr>
          <w:i/>
          <w:iCs/>
        </w:rPr>
        <w:t xml:space="preserve"> $</w:t>
      </w:r>
      <w:r w:rsidR="008D25FD">
        <w:rPr>
          <w:i/>
          <w:iCs/>
        </w:rPr>
        <w:t>4</w:t>
      </w:r>
      <w:r w:rsidR="00EF210C" w:rsidRPr="00D248EF">
        <w:rPr>
          <w:i/>
          <w:iCs/>
        </w:rPr>
        <w:t>55,000 to &lt; $</w:t>
      </w:r>
      <w:r w:rsidR="008D25FD">
        <w:rPr>
          <w:i/>
          <w:iCs/>
        </w:rPr>
        <w:t>5</w:t>
      </w:r>
      <w:r w:rsidR="00EF210C" w:rsidRPr="00D248EF">
        <w:rPr>
          <w:i/>
          <w:iCs/>
        </w:rPr>
        <w:t>55,000</w:t>
      </w:r>
    </w:p>
    <w:p w14:paraId="110B2183" w14:textId="65F4F980" w:rsidR="00EE0F0A" w:rsidRDefault="00EE0F0A" w:rsidP="00EE0F0A">
      <w:pPr>
        <w:pStyle w:val="3-BodyText"/>
      </w:pPr>
      <w:r w:rsidRPr="000F51F7">
        <w:t>For the PBAC to rely on an ICER presented as a cost</w:t>
      </w:r>
      <w:r w:rsidR="00051A87" w:rsidRPr="000F51F7">
        <w:t xml:space="preserve"> per </w:t>
      </w:r>
      <w:r w:rsidRPr="000F51F7">
        <w:t xml:space="preserve">responder it will need to value the benefits associated with a response. The ESC considered interpretation of the ICER </w:t>
      </w:r>
      <w:r w:rsidRPr="000F51F7">
        <w:lastRenderedPageBreak/>
        <w:t>in the context of previous PBAC considerations wo</w:t>
      </w:r>
      <w:r w:rsidR="00563BC1" w:rsidRPr="000F51F7">
        <w:t>u</w:t>
      </w:r>
      <w:r w:rsidRPr="000F51F7">
        <w:t>ld also be informative for the PBAC</w:t>
      </w:r>
      <w:r w:rsidR="00563BC1" w:rsidRPr="000F51F7">
        <w:t>.</w:t>
      </w:r>
    </w:p>
    <w:p w14:paraId="58AD7811" w14:textId="776A0F86" w:rsidR="00820426" w:rsidRPr="000F51F7" w:rsidRDefault="00F07385" w:rsidP="00EE0F0A">
      <w:pPr>
        <w:pStyle w:val="3-BodyText"/>
      </w:pPr>
      <w:r>
        <w:t xml:space="preserve">The pre-PBAC response stated that cost per responder analyses may oversimplify the </w:t>
      </w:r>
      <w:r w:rsidR="006C0B4E">
        <w:t>complexity of issues and may not reflect a comprehensive value assessment as a cost per QALY analysis does.</w:t>
      </w:r>
      <w:r w:rsidR="00050D26">
        <w:t xml:space="preserve"> </w:t>
      </w:r>
      <w:r w:rsidR="0094693A">
        <w:t xml:space="preserve">Further, the pre-PBAC response asks that the clinical value of a response </w:t>
      </w:r>
      <w:r w:rsidR="004C18AD">
        <w:t xml:space="preserve">be considered, as odevixibat significantly </w:t>
      </w:r>
      <w:r w:rsidR="0003065B">
        <w:t xml:space="preserve">(i) </w:t>
      </w:r>
      <w:r w:rsidR="004C18AD">
        <w:t xml:space="preserve">reduces bile acid levels compared to placebo, which </w:t>
      </w:r>
      <w:r w:rsidR="00C639D7">
        <w:t xml:space="preserve">may be </w:t>
      </w:r>
      <w:r w:rsidR="004C18AD">
        <w:t xml:space="preserve">associated with a </w:t>
      </w:r>
      <w:r w:rsidR="0041103A">
        <w:t>prolonged native liver survi</w:t>
      </w:r>
      <w:r w:rsidR="0003065B">
        <w:t>val; (ii)</w:t>
      </w:r>
      <w:r w:rsidR="0041103A">
        <w:t xml:space="preserve"> improves pruritus compared to placebo; </w:t>
      </w:r>
      <w:r w:rsidR="00C60CE3">
        <w:t xml:space="preserve">and </w:t>
      </w:r>
      <w:r w:rsidR="0041103A">
        <w:t xml:space="preserve">(iii) </w:t>
      </w:r>
      <w:r w:rsidR="00C60CE3">
        <w:t>improves event-free survival in patients with PFIC.</w:t>
      </w:r>
    </w:p>
    <w:p w14:paraId="771137EB" w14:textId="58A36FF6" w:rsidR="0007005D" w:rsidRDefault="00404D38" w:rsidP="006C55F4">
      <w:pPr>
        <w:pStyle w:val="4-SubsectionHeading"/>
      </w:pPr>
      <w:r w:rsidRPr="0098262F">
        <w:t>Drug cost/patient/year</w:t>
      </w:r>
      <w:bookmarkStart w:id="94" w:name="_Ref104805102"/>
      <w:bookmarkEnd w:id="90"/>
      <w:bookmarkEnd w:id="91"/>
      <w:bookmarkEnd w:id="92"/>
    </w:p>
    <w:p w14:paraId="69F3DFD5" w14:textId="65DEE8EB" w:rsidR="00404D38" w:rsidRDefault="00404D38" w:rsidP="00404D38">
      <w:pPr>
        <w:pStyle w:val="Caption"/>
        <w:rPr>
          <w:rStyle w:val="CommentReference"/>
          <w:b/>
          <w:szCs w:val="24"/>
        </w:rPr>
      </w:pPr>
      <w:bookmarkStart w:id="95" w:name="_Ref191022380"/>
      <w:r w:rsidRPr="0098262F">
        <w:t xml:space="preserve">Table </w:t>
      </w:r>
      <w:r w:rsidR="003F464D">
        <w:fldChar w:fldCharType="begin" w:fldLock="1"/>
      </w:r>
      <w:r w:rsidR="003F464D">
        <w:instrText xml:space="preserve"> SEQ Table \* ARABIC </w:instrText>
      </w:r>
      <w:r w:rsidR="003F464D">
        <w:fldChar w:fldCharType="separate"/>
      </w:r>
      <w:r w:rsidR="003F464D">
        <w:rPr>
          <w:noProof/>
        </w:rPr>
        <w:t>18</w:t>
      </w:r>
      <w:r w:rsidR="003F464D">
        <w:rPr>
          <w:noProof/>
        </w:rPr>
        <w:fldChar w:fldCharType="end"/>
      </w:r>
      <w:bookmarkEnd w:id="94"/>
      <w:bookmarkEnd w:id="95"/>
      <w:r w:rsidRPr="0098262F">
        <w:t>:</w:t>
      </w:r>
      <w:r w:rsidRPr="0098262F">
        <w:rPr>
          <w:rStyle w:val="CommentReference"/>
          <w:b/>
          <w:szCs w:val="24"/>
        </w:rPr>
        <w:t xml:space="preserve"> Drug cost per patient for proposed and comparator drugs</w:t>
      </w:r>
      <w:r>
        <w:rPr>
          <w:rStyle w:val="CommentReference"/>
          <w:b/>
          <w:szCs w:val="24"/>
        </w:rPr>
        <w:t xml:space="preserve"> based on PEDFIC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Drug cost per patient for proposed and comparator drugs based on PEDFIC 2"/>
      </w:tblPr>
      <w:tblGrid>
        <w:gridCol w:w="1413"/>
        <w:gridCol w:w="2269"/>
        <w:gridCol w:w="1273"/>
        <w:gridCol w:w="2031"/>
        <w:gridCol w:w="2031"/>
      </w:tblGrid>
      <w:tr w:rsidR="001539F0" w:rsidRPr="00CF4B08" w14:paraId="035F09EA" w14:textId="77777777" w:rsidTr="00BF6E21">
        <w:trPr>
          <w:cantSplit/>
          <w:tblHeader/>
          <w:jc w:val="center"/>
        </w:trPr>
        <w:tc>
          <w:tcPr>
            <w:tcW w:w="784" w:type="pct"/>
            <w:vMerge w:val="restart"/>
            <w:shd w:val="clear" w:color="auto" w:fill="auto"/>
            <w:vAlign w:val="center"/>
          </w:tcPr>
          <w:p w14:paraId="3B38457A" w14:textId="77777777" w:rsidR="001539F0" w:rsidRPr="00CF4B08" w:rsidRDefault="001539F0" w:rsidP="001539F0">
            <w:pPr>
              <w:pStyle w:val="Tabletext"/>
            </w:pPr>
          </w:p>
        </w:tc>
        <w:tc>
          <w:tcPr>
            <w:tcW w:w="4216" w:type="pct"/>
            <w:gridSpan w:val="4"/>
            <w:shd w:val="clear" w:color="auto" w:fill="auto"/>
            <w:vAlign w:val="center"/>
          </w:tcPr>
          <w:p w14:paraId="78CE3C39" w14:textId="7F826CF4" w:rsidR="001539F0" w:rsidRPr="00CF4B08" w:rsidRDefault="001539F0" w:rsidP="001539F0">
            <w:pPr>
              <w:pStyle w:val="Tabletext"/>
              <w:jc w:val="center"/>
              <w:rPr>
                <w:b/>
                <w:bCs/>
              </w:rPr>
            </w:pPr>
            <w:r w:rsidRPr="00CF4B08">
              <w:rPr>
                <w:b/>
                <w:bCs/>
              </w:rPr>
              <w:t>Odevixibat</w:t>
            </w:r>
            <w:r w:rsidRPr="00CF4B08">
              <w:rPr>
                <w:b/>
                <w:bCs/>
                <w:vertAlign w:val="superscript"/>
              </w:rPr>
              <w:t xml:space="preserve"> </w:t>
            </w:r>
            <w:r w:rsidR="008B5B8D" w:rsidRPr="00CF4B08">
              <w:rPr>
                <w:b/>
                <w:bCs/>
              </w:rPr>
              <w:t xml:space="preserve">(40mcg/kg/day) </w:t>
            </w:r>
            <w:r w:rsidRPr="00CF4B08">
              <w:rPr>
                <w:b/>
                <w:bCs/>
                <w:vertAlign w:val="superscript"/>
              </w:rPr>
              <w:t>a</w:t>
            </w:r>
          </w:p>
        </w:tc>
      </w:tr>
      <w:tr w:rsidR="001539F0" w:rsidRPr="00CF4B08" w14:paraId="296CD5FE" w14:textId="77777777" w:rsidTr="005D61B9">
        <w:trPr>
          <w:cantSplit/>
          <w:tblHeader/>
          <w:jc w:val="center"/>
        </w:trPr>
        <w:tc>
          <w:tcPr>
            <w:tcW w:w="784" w:type="pct"/>
            <w:vMerge/>
            <w:shd w:val="clear" w:color="auto" w:fill="auto"/>
            <w:vAlign w:val="center"/>
          </w:tcPr>
          <w:p w14:paraId="700C0BCE" w14:textId="77777777" w:rsidR="001539F0" w:rsidRPr="00CF4B08" w:rsidRDefault="001539F0" w:rsidP="001539F0">
            <w:pPr>
              <w:pStyle w:val="Tabletext"/>
            </w:pPr>
          </w:p>
        </w:tc>
        <w:tc>
          <w:tcPr>
            <w:tcW w:w="1258" w:type="pct"/>
            <w:shd w:val="clear" w:color="auto" w:fill="auto"/>
            <w:vAlign w:val="center"/>
          </w:tcPr>
          <w:p w14:paraId="192DC7B6" w14:textId="77777777" w:rsidR="001539F0" w:rsidRPr="00CF4B08" w:rsidRDefault="001539F0" w:rsidP="001539F0">
            <w:pPr>
              <w:pStyle w:val="Tabletext"/>
              <w:jc w:val="center"/>
              <w:rPr>
                <w:b/>
                <w:bCs/>
              </w:rPr>
            </w:pPr>
            <w:r w:rsidRPr="00CF4B08">
              <w:rPr>
                <w:b/>
                <w:bCs/>
              </w:rPr>
              <w:t>Trial dose and duration</w:t>
            </w:r>
          </w:p>
        </w:tc>
        <w:tc>
          <w:tcPr>
            <w:tcW w:w="706" w:type="pct"/>
            <w:shd w:val="clear" w:color="auto" w:fill="auto"/>
            <w:vAlign w:val="center"/>
          </w:tcPr>
          <w:p w14:paraId="0C535DEC" w14:textId="77777777" w:rsidR="001539F0" w:rsidRPr="00CF4B08" w:rsidRDefault="001539F0" w:rsidP="001539F0">
            <w:pPr>
              <w:pStyle w:val="Tabletext"/>
              <w:jc w:val="center"/>
              <w:rPr>
                <w:b/>
                <w:bCs/>
              </w:rPr>
            </w:pPr>
            <w:r w:rsidRPr="00CF4B08">
              <w:rPr>
                <w:b/>
                <w:bCs/>
              </w:rPr>
              <w:t>Model</w:t>
            </w:r>
          </w:p>
        </w:tc>
        <w:tc>
          <w:tcPr>
            <w:tcW w:w="2252" w:type="pct"/>
            <w:gridSpan w:val="2"/>
            <w:shd w:val="clear" w:color="auto" w:fill="auto"/>
            <w:vAlign w:val="center"/>
          </w:tcPr>
          <w:p w14:paraId="7546E12D" w14:textId="3C594FC7" w:rsidR="001539F0" w:rsidRPr="00CF4B08" w:rsidRDefault="001539F0" w:rsidP="001539F0">
            <w:pPr>
              <w:pStyle w:val="Tabletext"/>
              <w:jc w:val="center"/>
              <w:rPr>
                <w:b/>
                <w:bCs/>
              </w:rPr>
            </w:pPr>
            <w:r w:rsidRPr="00CF4B08">
              <w:rPr>
                <w:b/>
                <w:bCs/>
              </w:rPr>
              <w:t>Financial estimates</w:t>
            </w:r>
            <w:r w:rsidR="009A1F3E" w:rsidRPr="00CF4B08">
              <w:rPr>
                <w:b/>
                <w:bCs/>
              </w:rPr>
              <w:t xml:space="preserve"> </w:t>
            </w:r>
            <w:r w:rsidR="006921E0" w:rsidRPr="00CF4B08">
              <w:rPr>
                <w:b/>
                <w:bCs/>
              </w:rPr>
              <w:t>(</w:t>
            </w:r>
            <w:r w:rsidR="008B5B8D" w:rsidRPr="00CF4B08">
              <w:rPr>
                <w:b/>
                <w:bCs/>
              </w:rPr>
              <w:t xml:space="preserve">RSA </w:t>
            </w:r>
            <w:r w:rsidR="00DB2937" w:rsidRPr="00CF4B08">
              <w:rPr>
                <w:b/>
                <w:bCs/>
              </w:rPr>
              <w:t>‘</w:t>
            </w:r>
            <w:r w:rsidR="001549E4" w:rsidRPr="001549E4">
              <w:rPr>
                <w:rFonts w:hint="eastAsia"/>
                <w:b/>
                <w:bCs/>
                <w:color w:val="000000"/>
                <w:w w:val="25"/>
                <w:shd w:val="solid" w:color="000000" w:fill="000000"/>
                <w:fitText w:val="115" w:id="-693991166"/>
                <w14:textFill>
                  <w14:solidFill>
                    <w14:srgbClr w14:val="000000">
                      <w14:alpha w14:val="100000"/>
                    </w14:srgbClr>
                  </w14:solidFill>
                </w14:textFill>
              </w:rPr>
              <w:t xml:space="preserve">　</w:t>
            </w:r>
            <w:r w:rsidR="001549E4" w:rsidRPr="001549E4">
              <w:rPr>
                <w:b/>
                <w:bCs/>
                <w:color w:val="000000"/>
                <w:w w:val="25"/>
                <w:shd w:val="solid" w:color="000000" w:fill="000000"/>
                <w:fitText w:val="115" w:id="-693991166"/>
                <w14:textFill>
                  <w14:solidFill>
                    <w14:srgbClr w14:val="000000">
                      <w14:alpha w14:val="100000"/>
                    </w14:srgbClr>
                  </w14:solidFill>
                </w14:textFill>
              </w:rPr>
              <w:t>|</w:t>
            </w:r>
            <w:r w:rsidR="001549E4" w:rsidRPr="001549E4">
              <w:rPr>
                <w:rFonts w:hint="eastAsia"/>
                <w:b/>
                <w:bCs/>
                <w:color w:val="000000"/>
                <w:spacing w:val="3"/>
                <w:w w:val="25"/>
                <w:shd w:val="solid" w:color="000000" w:fill="000000"/>
                <w:fitText w:val="115" w:id="-693991166"/>
                <w14:textFill>
                  <w14:solidFill>
                    <w14:srgbClr w14:val="000000">
                      <w14:alpha w14:val="100000"/>
                    </w14:srgbClr>
                  </w14:solidFill>
                </w14:textFill>
              </w:rPr>
              <w:t xml:space="preserve">　</w:t>
            </w:r>
            <w:r w:rsidR="00BB1289" w:rsidRPr="00BB1289">
              <w:rPr>
                <w:b/>
                <w:bCs/>
              </w:rPr>
              <w:t xml:space="preserve"> </w:t>
            </w:r>
            <w:r w:rsidR="001549E4" w:rsidRPr="001549E4">
              <w:rPr>
                <w:b/>
                <w:bCs/>
                <w:color w:val="000000"/>
                <w:shd w:val="solid" w:color="000000" w:fill="000000"/>
                <w14:textFill>
                  <w14:solidFill>
                    <w14:srgbClr w14:val="000000">
                      <w14:alpha w14:val="100000"/>
                    </w14:srgbClr>
                  </w14:solidFill>
                </w14:textFill>
              </w:rPr>
              <w:t>|</w:t>
            </w:r>
            <w:r w:rsidR="00BB1289" w:rsidRPr="00BB1289">
              <w:rPr>
                <w:b/>
                <w:bCs/>
              </w:rPr>
              <w:t xml:space="preserve"> </w:t>
            </w:r>
            <w:r w:rsidR="006921E0" w:rsidRPr="00921CB2">
              <w:rPr>
                <w:b/>
                <w:bCs/>
              </w:rPr>
              <w:t>cost</w:t>
            </w:r>
            <w:r w:rsidR="00DB2937" w:rsidRPr="00921CB2">
              <w:rPr>
                <w:b/>
                <w:bCs/>
              </w:rPr>
              <w:t>’</w:t>
            </w:r>
            <w:r w:rsidR="006921E0" w:rsidRPr="00CF4B08">
              <w:rPr>
                <w:b/>
                <w:bCs/>
              </w:rPr>
              <w:t>)</w:t>
            </w:r>
          </w:p>
        </w:tc>
      </w:tr>
      <w:tr w:rsidR="001539F0" w:rsidRPr="00CF4B08" w14:paraId="648B80B4" w14:textId="77777777" w:rsidTr="005D61B9">
        <w:trPr>
          <w:cantSplit/>
          <w:jc w:val="center"/>
        </w:trPr>
        <w:tc>
          <w:tcPr>
            <w:tcW w:w="784" w:type="pct"/>
            <w:shd w:val="clear" w:color="auto" w:fill="auto"/>
            <w:vAlign w:val="center"/>
          </w:tcPr>
          <w:p w14:paraId="650A56FF" w14:textId="77777777" w:rsidR="001539F0" w:rsidRPr="00CF4B08" w:rsidRDefault="001539F0" w:rsidP="001539F0">
            <w:pPr>
              <w:pStyle w:val="Tabletext"/>
            </w:pPr>
            <w:r w:rsidRPr="00CF4B08">
              <w:t>Mean duration</w:t>
            </w:r>
          </w:p>
        </w:tc>
        <w:tc>
          <w:tcPr>
            <w:tcW w:w="1258" w:type="pct"/>
            <w:shd w:val="clear" w:color="auto" w:fill="auto"/>
            <w:vAlign w:val="center"/>
          </w:tcPr>
          <w:p w14:paraId="3619BCC8" w14:textId="537DBB62" w:rsidR="001539F0" w:rsidRPr="00CF4B08" w:rsidRDefault="001539F0" w:rsidP="001539F0">
            <w:pPr>
              <w:pStyle w:val="Tabletext"/>
              <w:jc w:val="center"/>
            </w:pPr>
            <w:r w:rsidRPr="00CF4B08">
              <w:t>115.62 weeks</w:t>
            </w:r>
            <w:r w:rsidR="00ED6B17" w:rsidRPr="00CF4B08">
              <w:t xml:space="preserve"> </w:t>
            </w:r>
            <w:r w:rsidR="00ED6B17" w:rsidRPr="00CF4B08">
              <w:rPr>
                <w:vertAlign w:val="superscript"/>
              </w:rPr>
              <w:t>b</w:t>
            </w:r>
            <w:r w:rsidR="00BF6E21" w:rsidRPr="00CF4B08">
              <w:t xml:space="preserve"> </w:t>
            </w:r>
            <w:r w:rsidRPr="00CF4B08">
              <w:t>(2.22 years)</w:t>
            </w:r>
          </w:p>
        </w:tc>
        <w:tc>
          <w:tcPr>
            <w:tcW w:w="706" w:type="pct"/>
            <w:shd w:val="clear" w:color="auto" w:fill="auto"/>
            <w:vAlign w:val="center"/>
          </w:tcPr>
          <w:p w14:paraId="146C095E" w14:textId="2F04F485" w:rsidR="001539F0" w:rsidRPr="00CF4B08" w:rsidRDefault="001539F0" w:rsidP="001539F0">
            <w:pPr>
              <w:pStyle w:val="Tabletext"/>
              <w:jc w:val="center"/>
            </w:pPr>
            <w:r w:rsidRPr="00CF4B08">
              <w:t>3.39 years</w:t>
            </w:r>
          </w:p>
        </w:tc>
        <w:tc>
          <w:tcPr>
            <w:tcW w:w="2252" w:type="pct"/>
            <w:gridSpan w:val="2"/>
            <w:shd w:val="clear" w:color="auto" w:fill="auto"/>
            <w:vAlign w:val="center"/>
          </w:tcPr>
          <w:p w14:paraId="0FB02448" w14:textId="464D7A7F" w:rsidR="001539F0" w:rsidRPr="00CF4B08" w:rsidRDefault="001539F0" w:rsidP="001539F0">
            <w:pPr>
              <w:pStyle w:val="Tabletext"/>
              <w:jc w:val="center"/>
            </w:pPr>
            <w:r w:rsidRPr="00CF4B08">
              <w:t>6 years</w:t>
            </w:r>
          </w:p>
        </w:tc>
      </w:tr>
      <w:tr w:rsidR="005D61B9" w:rsidRPr="00CF4B08" w14:paraId="02AE3F82" w14:textId="77777777" w:rsidTr="005D61B9">
        <w:trPr>
          <w:cantSplit/>
          <w:jc w:val="center"/>
        </w:trPr>
        <w:tc>
          <w:tcPr>
            <w:tcW w:w="784" w:type="pct"/>
            <w:shd w:val="clear" w:color="auto" w:fill="auto"/>
            <w:vAlign w:val="center"/>
          </w:tcPr>
          <w:p w14:paraId="56D55B05" w14:textId="77777777" w:rsidR="005D61B9" w:rsidRPr="00CF4B08" w:rsidRDefault="005D61B9" w:rsidP="001539F0">
            <w:pPr>
              <w:pStyle w:val="Tabletext"/>
            </w:pPr>
            <w:r w:rsidRPr="00CF4B08">
              <w:t>Cost/patient/year</w:t>
            </w:r>
          </w:p>
        </w:tc>
        <w:tc>
          <w:tcPr>
            <w:tcW w:w="1258" w:type="pct"/>
            <w:shd w:val="clear" w:color="auto" w:fill="auto"/>
            <w:vAlign w:val="center"/>
          </w:tcPr>
          <w:p w14:paraId="0E6579D5" w14:textId="3818E83B" w:rsidR="005D61B9" w:rsidRPr="00CF4B08" w:rsidRDefault="005D61B9" w:rsidP="001539F0">
            <w:pPr>
              <w:pStyle w:val="Tabletext"/>
              <w:jc w:val="center"/>
              <w:rPr>
                <w:vertAlign w:val="superscript"/>
              </w:rPr>
            </w:pPr>
            <w:r w:rsidRPr="00CF4B08">
              <w:t>$</w:t>
            </w:r>
            <w:r w:rsidR="001549E4" w:rsidRPr="001549E4">
              <w:rPr>
                <w:color w:val="000000"/>
                <w:shd w:val="solid" w:color="000000" w:fill="000000"/>
                <w14:textFill>
                  <w14:solidFill>
                    <w14:srgbClr w14:val="000000">
                      <w14:alpha w14:val="100000"/>
                    </w14:srgbClr>
                  </w14:solidFill>
                </w14:textFill>
              </w:rPr>
              <w:t>|</w:t>
            </w:r>
            <w:r w:rsidRPr="00CF4B08">
              <w:t xml:space="preserve"> </w:t>
            </w:r>
            <w:r w:rsidRPr="00CF4B08">
              <w:rPr>
                <w:vertAlign w:val="superscript"/>
              </w:rPr>
              <w:t>c</w:t>
            </w:r>
          </w:p>
        </w:tc>
        <w:tc>
          <w:tcPr>
            <w:tcW w:w="706" w:type="pct"/>
            <w:shd w:val="clear" w:color="auto" w:fill="auto"/>
            <w:vAlign w:val="center"/>
          </w:tcPr>
          <w:p w14:paraId="65FF88D7" w14:textId="7C58A04C" w:rsidR="005D61B9" w:rsidRPr="00CF4B08" w:rsidRDefault="005D61B9" w:rsidP="001539F0">
            <w:pPr>
              <w:pStyle w:val="Tabletext"/>
              <w:jc w:val="center"/>
              <w:rPr>
                <w:vertAlign w:val="superscript"/>
              </w:rPr>
            </w:pPr>
            <w:r w:rsidRPr="00CF4B08">
              <w:t>$</w:t>
            </w:r>
            <w:r w:rsidR="001549E4" w:rsidRPr="001549E4">
              <w:rPr>
                <w:rFonts w:hint="eastAsia"/>
                <w:color w:val="000000"/>
                <w:w w:val="15"/>
                <w:shd w:val="solid" w:color="000000" w:fill="000000"/>
                <w:fitText w:val="34" w:id="-693991165"/>
                <w14:textFill>
                  <w14:solidFill>
                    <w14:srgbClr w14:val="000000">
                      <w14:alpha w14:val="100000"/>
                    </w14:srgbClr>
                  </w14:solidFill>
                </w14:textFill>
              </w:rPr>
              <w:t xml:space="preserve">　</w:t>
            </w:r>
            <w:r w:rsidR="001549E4" w:rsidRPr="001549E4">
              <w:rPr>
                <w:color w:val="000000"/>
                <w:w w:val="15"/>
                <w:shd w:val="solid" w:color="000000" w:fill="000000"/>
                <w:fitText w:val="34" w:id="-693991165"/>
                <w14:textFill>
                  <w14:solidFill>
                    <w14:srgbClr w14:val="000000">
                      <w14:alpha w14:val="100000"/>
                    </w14:srgbClr>
                  </w14:solidFill>
                </w14:textFill>
              </w:rPr>
              <w:t>|</w:t>
            </w:r>
            <w:r w:rsidR="001549E4" w:rsidRPr="001549E4">
              <w:rPr>
                <w:rFonts w:hint="eastAsia"/>
                <w:color w:val="000000"/>
                <w:spacing w:val="-31"/>
                <w:w w:val="15"/>
                <w:shd w:val="solid" w:color="000000" w:fill="000000"/>
                <w:fitText w:val="34" w:id="-693991165"/>
                <w14:textFill>
                  <w14:solidFill>
                    <w14:srgbClr w14:val="000000">
                      <w14:alpha w14:val="100000"/>
                    </w14:srgbClr>
                  </w14:solidFill>
                </w14:textFill>
              </w:rPr>
              <w:t xml:space="preserve">　</w:t>
            </w:r>
            <w:r w:rsidRPr="00CF4B08">
              <w:t xml:space="preserve"> </w:t>
            </w:r>
            <w:r w:rsidRPr="00CF4B08">
              <w:rPr>
                <w:vertAlign w:val="superscript"/>
              </w:rPr>
              <w:t>d</w:t>
            </w:r>
          </w:p>
        </w:tc>
        <w:tc>
          <w:tcPr>
            <w:tcW w:w="1126" w:type="pct"/>
            <w:shd w:val="clear" w:color="auto" w:fill="auto"/>
            <w:vAlign w:val="center"/>
          </w:tcPr>
          <w:p w14:paraId="157EF8FA" w14:textId="40CAAB24" w:rsidR="005D61B9" w:rsidRPr="00CF4B08" w:rsidRDefault="005D61B9" w:rsidP="00901F80">
            <w:pPr>
              <w:pStyle w:val="Tabletext"/>
              <w:jc w:val="center"/>
            </w:pPr>
            <w:r w:rsidRPr="00CF4B08">
              <w:t>Responders</w:t>
            </w:r>
          </w:p>
          <w:p w14:paraId="7A18A786" w14:textId="72C23F25" w:rsidR="005D61B9" w:rsidRPr="00CF4B08" w:rsidRDefault="005D61B9" w:rsidP="00901F80">
            <w:pPr>
              <w:pStyle w:val="Tabletext"/>
              <w:jc w:val="center"/>
              <w:rPr>
                <w:vertAlign w:val="superscript"/>
              </w:rPr>
            </w:pPr>
            <w:r w:rsidRPr="00CF4B08">
              <w:t>$</w:t>
            </w:r>
            <w:r w:rsidR="001549E4" w:rsidRPr="00DA2049">
              <w:rPr>
                <w:rFonts w:hint="eastAsia"/>
                <w:color w:val="000000"/>
                <w:w w:val="15"/>
                <w:shd w:val="solid" w:color="000000" w:fill="000000"/>
                <w:fitText w:val="23" w:id="-693991164"/>
                <w14:textFill>
                  <w14:solidFill>
                    <w14:srgbClr w14:val="000000">
                      <w14:alpha w14:val="100000"/>
                    </w14:srgbClr>
                  </w14:solidFill>
                </w14:textFill>
              </w:rPr>
              <w:t xml:space="preserve">　</w:t>
            </w:r>
            <w:r w:rsidR="001549E4" w:rsidRPr="00DA2049">
              <w:rPr>
                <w:color w:val="000000"/>
                <w:w w:val="15"/>
                <w:shd w:val="solid" w:color="000000" w:fill="000000"/>
                <w:fitText w:val="23" w:id="-693991164"/>
                <w14:textFill>
                  <w14:solidFill>
                    <w14:srgbClr w14:val="000000">
                      <w14:alpha w14:val="100000"/>
                    </w14:srgbClr>
                  </w14:solidFill>
                </w14:textFill>
              </w:rPr>
              <w:t>|</w:t>
            </w:r>
            <w:r w:rsidR="001549E4" w:rsidRPr="00DA2049">
              <w:rPr>
                <w:rFonts w:hint="eastAsia"/>
                <w:color w:val="000000"/>
                <w:spacing w:val="-42"/>
                <w:w w:val="15"/>
                <w:shd w:val="solid" w:color="000000" w:fill="000000"/>
                <w:fitText w:val="23" w:id="-693991164"/>
                <w14:textFill>
                  <w14:solidFill>
                    <w14:srgbClr w14:val="000000">
                      <w14:alpha w14:val="100000"/>
                    </w14:srgbClr>
                  </w14:solidFill>
                </w14:textFill>
              </w:rPr>
              <w:t xml:space="preserve">　</w:t>
            </w:r>
            <w:r w:rsidRPr="00CF4B08">
              <w:t xml:space="preserve"> (incident) </w:t>
            </w:r>
            <w:r w:rsidRPr="00CF4B08">
              <w:rPr>
                <w:vertAlign w:val="superscript"/>
              </w:rPr>
              <w:t>e</w:t>
            </w:r>
          </w:p>
          <w:p w14:paraId="01274AB7" w14:textId="7B599103" w:rsidR="005D61B9" w:rsidRPr="00CF4B08" w:rsidRDefault="005D61B9" w:rsidP="00901F80">
            <w:pPr>
              <w:pStyle w:val="Tabletext"/>
              <w:jc w:val="center"/>
              <w:rPr>
                <w:vertAlign w:val="superscript"/>
              </w:rPr>
            </w:pPr>
            <w:r w:rsidRPr="00CF4B08">
              <w:t>$</w:t>
            </w:r>
            <w:r w:rsidR="001549E4" w:rsidRPr="001549E4">
              <w:rPr>
                <w:rFonts w:hint="eastAsia"/>
                <w:color w:val="000000"/>
                <w:w w:val="15"/>
                <w:shd w:val="solid" w:color="000000" w:fill="000000"/>
                <w:fitText w:val="47" w:id="-693991163"/>
                <w14:textFill>
                  <w14:solidFill>
                    <w14:srgbClr w14:val="000000">
                      <w14:alpha w14:val="100000"/>
                    </w14:srgbClr>
                  </w14:solidFill>
                </w14:textFill>
              </w:rPr>
              <w:t xml:space="preserve">　</w:t>
            </w:r>
            <w:r w:rsidR="001549E4" w:rsidRPr="001549E4">
              <w:rPr>
                <w:color w:val="000000"/>
                <w:w w:val="15"/>
                <w:shd w:val="solid" w:color="000000" w:fill="000000"/>
                <w:fitText w:val="47" w:id="-693991163"/>
                <w14:textFill>
                  <w14:solidFill>
                    <w14:srgbClr w14:val="000000">
                      <w14:alpha w14:val="100000"/>
                    </w14:srgbClr>
                  </w14:solidFill>
                </w14:textFill>
              </w:rPr>
              <w:t>|</w:t>
            </w:r>
            <w:r w:rsidR="001549E4" w:rsidRPr="001549E4">
              <w:rPr>
                <w:rFonts w:hint="eastAsia"/>
                <w:color w:val="000000"/>
                <w:spacing w:val="-18"/>
                <w:w w:val="15"/>
                <w:shd w:val="solid" w:color="000000" w:fill="000000"/>
                <w:fitText w:val="47" w:id="-693991163"/>
                <w14:textFill>
                  <w14:solidFill>
                    <w14:srgbClr w14:val="000000">
                      <w14:alpha w14:val="100000"/>
                    </w14:srgbClr>
                  </w14:solidFill>
                </w14:textFill>
              </w:rPr>
              <w:t xml:space="preserve">　</w:t>
            </w:r>
            <w:r w:rsidRPr="00CF4B08">
              <w:t xml:space="preserve"> (prevalent) </w:t>
            </w:r>
            <w:r w:rsidRPr="00CF4B08">
              <w:rPr>
                <w:vertAlign w:val="superscript"/>
              </w:rPr>
              <w:t>f</w:t>
            </w:r>
          </w:p>
        </w:tc>
        <w:tc>
          <w:tcPr>
            <w:tcW w:w="1126" w:type="pct"/>
            <w:shd w:val="clear" w:color="auto" w:fill="auto"/>
            <w:vAlign w:val="center"/>
          </w:tcPr>
          <w:p w14:paraId="4A4401BE" w14:textId="73E05B9B" w:rsidR="005D61B9" w:rsidRPr="00CF4B08" w:rsidRDefault="005D61B9" w:rsidP="00901F80">
            <w:pPr>
              <w:pStyle w:val="Tabletext"/>
              <w:jc w:val="center"/>
            </w:pPr>
            <w:r w:rsidRPr="00CF4B08">
              <w:t>Non-responders</w:t>
            </w:r>
          </w:p>
          <w:p w14:paraId="17317D3F" w14:textId="71A8D16E" w:rsidR="005D61B9" w:rsidRPr="00CF4B08" w:rsidRDefault="005D61B9" w:rsidP="00901F80">
            <w:pPr>
              <w:pStyle w:val="Tabletext"/>
              <w:jc w:val="center"/>
              <w:rPr>
                <w:vertAlign w:val="superscript"/>
              </w:rPr>
            </w:pPr>
            <w:r w:rsidRPr="00CF4B08">
              <w:t>$</w:t>
            </w:r>
            <w:r w:rsidR="001549E4" w:rsidRPr="00DA2049">
              <w:rPr>
                <w:rFonts w:hint="eastAsia"/>
                <w:color w:val="000000"/>
                <w:w w:val="15"/>
                <w:shd w:val="solid" w:color="000000" w:fill="000000"/>
                <w:fitText w:val="23" w:id="-693991162"/>
                <w14:textFill>
                  <w14:solidFill>
                    <w14:srgbClr w14:val="000000">
                      <w14:alpha w14:val="100000"/>
                    </w14:srgbClr>
                  </w14:solidFill>
                </w14:textFill>
              </w:rPr>
              <w:t xml:space="preserve">　</w:t>
            </w:r>
            <w:r w:rsidR="001549E4" w:rsidRPr="00DA2049">
              <w:rPr>
                <w:color w:val="000000"/>
                <w:w w:val="15"/>
                <w:shd w:val="solid" w:color="000000" w:fill="000000"/>
                <w:fitText w:val="23" w:id="-693991162"/>
                <w14:textFill>
                  <w14:solidFill>
                    <w14:srgbClr w14:val="000000">
                      <w14:alpha w14:val="100000"/>
                    </w14:srgbClr>
                  </w14:solidFill>
                </w14:textFill>
              </w:rPr>
              <w:t>|</w:t>
            </w:r>
            <w:r w:rsidR="001549E4" w:rsidRPr="00DA2049">
              <w:rPr>
                <w:rFonts w:hint="eastAsia"/>
                <w:color w:val="000000"/>
                <w:spacing w:val="-42"/>
                <w:w w:val="15"/>
                <w:shd w:val="solid" w:color="000000" w:fill="000000"/>
                <w:fitText w:val="23" w:id="-693991162"/>
                <w14:textFill>
                  <w14:solidFill>
                    <w14:srgbClr w14:val="000000">
                      <w14:alpha w14:val="100000"/>
                    </w14:srgbClr>
                  </w14:solidFill>
                </w14:textFill>
              </w:rPr>
              <w:t xml:space="preserve">　</w:t>
            </w:r>
            <w:r w:rsidRPr="00CF4B08">
              <w:t xml:space="preserve"> (incident) </w:t>
            </w:r>
            <w:r w:rsidRPr="00CF4B08">
              <w:rPr>
                <w:vertAlign w:val="superscript"/>
              </w:rPr>
              <w:t>g</w:t>
            </w:r>
            <w:r w:rsidRPr="00CF4B08">
              <w:br/>
              <w:t>$</w:t>
            </w:r>
            <w:r w:rsidR="001549E4" w:rsidRPr="001549E4">
              <w:rPr>
                <w:rFonts w:hint="eastAsia"/>
                <w:color w:val="000000"/>
                <w:w w:val="15"/>
                <w:shd w:val="solid" w:color="000000" w:fill="000000"/>
                <w:fitText w:val="46" w:id="-693991161"/>
                <w14:textFill>
                  <w14:solidFill>
                    <w14:srgbClr w14:val="000000">
                      <w14:alpha w14:val="100000"/>
                    </w14:srgbClr>
                  </w14:solidFill>
                </w14:textFill>
              </w:rPr>
              <w:t xml:space="preserve">　</w:t>
            </w:r>
            <w:r w:rsidR="001549E4" w:rsidRPr="001549E4">
              <w:rPr>
                <w:color w:val="000000"/>
                <w:w w:val="15"/>
                <w:shd w:val="solid" w:color="000000" w:fill="000000"/>
                <w:fitText w:val="46" w:id="-693991161"/>
                <w14:textFill>
                  <w14:solidFill>
                    <w14:srgbClr w14:val="000000">
                      <w14:alpha w14:val="100000"/>
                    </w14:srgbClr>
                  </w14:solidFill>
                </w14:textFill>
              </w:rPr>
              <w:t>|</w:t>
            </w:r>
            <w:r w:rsidR="001549E4" w:rsidRPr="001549E4">
              <w:rPr>
                <w:rFonts w:hint="eastAsia"/>
                <w:color w:val="000000"/>
                <w:spacing w:val="-19"/>
                <w:w w:val="15"/>
                <w:shd w:val="solid" w:color="000000" w:fill="000000"/>
                <w:fitText w:val="46" w:id="-693991161"/>
                <w14:textFill>
                  <w14:solidFill>
                    <w14:srgbClr w14:val="000000">
                      <w14:alpha w14:val="100000"/>
                    </w14:srgbClr>
                  </w14:solidFill>
                </w14:textFill>
              </w:rPr>
              <w:t xml:space="preserve">　</w:t>
            </w:r>
            <w:r w:rsidRPr="00CF4B08">
              <w:t xml:space="preserve">(prevalent) </w:t>
            </w:r>
            <w:r w:rsidRPr="00CF4B08">
              <w:rPr>
                <w:vertAlign w:val="superscript"/>
              </w:rPr>
              <w:t>h</w:t>
            </w:r>
          </w:p>
        </w:tc>
      </w:tr>
    </w:tbl>
    <w:p w14:paraId="3740C2A8" w14:textId="5BA0F17C" w:rsidR="0007005D" w:rsidRPr="0007005D" w:rsidRDefault="0007005D" w:rsidP="0007005D">
      <w:pPr>
        <w:pStyle w:val="Tabletext"/>
        <w:rPr>
          <w:sz w:val="18"/>
          <w:szCs w:val="22"/>
        </w:rPr>
      </w:pPr>
      <w:r w:rsidRPr="0007005D">
        <w:rPr>
          <w:sz w:val="18"/>
          <w:szCs w:val="22"/>
        </w:rPr>
        <w:t>Source: calculated the trial-based cost using on the weight distribution data from the model and mean weight from PEDFIC 1; ‘Base case results’ worksheet from the economic model</w:t>
      </w:r>
    </w:p>
    <w:p w14:paraId="0D2B2EB8" w14:textId="2E39EA39" w:rsidR="0007005D" w:rsidRPr="0007005D" w:rsidRDefault="0007005D" w:rsidP="0007005D">
      <w:pPr>
        <w:pStyle w:val="Tabletext"/>
        <w:rPr>
          <w:sz w:val="18"/>
          <w:szCs w:val="22"/>
        </w:rPr>
      </w:pPr>
      <w:r w:rsidRPr="0007005D">
        <w:rPr>
          <w:sz w:val="18"/>
          <w:szCs w:val="22"/>
          <w:vertAlign w:val="superscript"/>
        </w:rPr>
        <w:t>a</w:t>
      </w:r>
      <w:r w:rsidRPr="0007005D">
        <w:rPr>
          <w:sz w:val="18"/>
          <w:szCs w:val="22"/>
        </w:rPr>
        <w:t xml:space="preserve"> </w:t>
      </w:r>
      <w:proofErr w:type="spellStart"/>
      <w:r w:rsidR="00CA2748">
        <w:rPr>
          <w:sz w:val="18"/>
          <w:szCs w:val="22"/>
        </w:rPr>
        <w:t>A</w:t>
      </w:r>
      <w:proofErr w:type="spellEnd"/>
      <w:r w:rsidR="00CA2748">
        <w:rPr>
          <w:sz w:val="18"/>
          <w:szCs w:val="22"/>
        </w:rPr>
        <w:t xml:space="preserve"> </w:t>
      </w:r>
      <w:r w:rsidR="001549E4" w:rsidRPr="001549E4">
        <w:rPr>
          <w:color w:val="000000"/>
          <w:spacing w:val="223"/>
          <w:sz w:val="18"/>
          <w:szCs w:val="22"/>
          <w:shd w:val="solid" w:color="000000" w:fill="000000"/>
          <w:fitText w:val="300" w:id="-693991160"/>
          <w14:textFill>
            <w14:solidFill>
              <w14:srgbClr w14:val="000000">
                <w14:alpha w14:val="100000"/>
              </w14:srgbClr>
            </w14:solidFill>
          </w14:textFill>
        </w:rPr>
        <w:t>|</w:t>
      </w:r>
      <w:r w:rsidR="001549E4" w:rsidRPr="001549E4">
        <w:rPr>
          <w:color w:val="000000"/>
          <w:spacing w:val="1"/>
          <w:sz w:val="18"/>
          <w:szCs w:val="22"/>
          <w:shd w:val="solid" w:color="000000" w:fill="000000"/>
          <w:fitText w:val="300" w:id="-693991160"/>
          <w14:textFill>
            <w14:solidFill>
              <w14:srgbClr w14:val="000000">
                <w14:alpha w14:val="100000"/>
              </w14:srgbClr>
            </w14:solidFill>
          </w14:textFill>
        </w:rPr>
        <w:t>|</w:t>
      </w:r>
      <w:r w:rsidR="00BB1289" w:rsidRPr="00BB1289">
        <w:rPr>
          <w:sz w:val="18"/>
          <w:szCs w:val="22"/>
        </w:rPr>
        <w:t xml:space="preserve"> </w:t>
      </w:r>
      <w:r w:rsidR="001549E4" w:rsidRPr="001549E4">
        <w:rPr>
          <w:color w:val="000000"/>
          <w:spacing w:val="211"/>
          <w:sz w:val="18"/>
          <w:szCs w:val="22"/>
          <w:shd w:val="solid" w:color="000000" w:fill="000000"/>
          <w:fitText w:val="288" w:id="-693991159"/>
          <w14:textFill>
            <w14:solidFill>
              <w14:srgbClr w14:val="000000">
                <w14:alpha w14:val="100000"/>
              </w14:srgbClr>
            </w14:solidFill>
          </w14:textFill>
        </w:rPr>
        <w:t>|</w:t>
      </w:r>
      <w:r w:rsidR="001549E4" w:rsidRPr="001549E4">
        <w:rPr>
          <w:color w:val="000000"/>
          <w:spacing w:val="1"/>
          <w:sz w:val="18"/>
          <w:szCs w:val="22"/>
          <w:shd w:val="solid" w:color="000000" w:fill="000000"/>
          <w:fitText w:val="288" w:id="-693991159"/>
          <w14:textFill>
            <w14:solidFill>
              <w14:srgbClr w14:val="000000">
                <w14:alpha w14:val="100000"/>
              </w14:srgbClr>
            </w14:solidFill>
          </w14:textFill>
        </w:rPr>
        <w:t>|</w:t>
      </w:r>
      <w:r w:rsidR="00BB1289" w:rsidRPr="00BB1289">
        <w:rPr>
          <w:sz w:val="18"/>
          <w:szCs w:val="22"/>
        </w:rPr>
        <w:t xml:space="preserve"> </w:t>
      </w:r>
      <w:r w:rsidR="00CA2748" w:rsidRPr="00921CB2">
        <w:rPr>
          <w:sz w:val="18"/>
          <w:szCs w:val="22"/>
        </w:rPr>
        <w:t>cost</w:t>
      </w:r>
      <w:r w:rsidR="00CA2748">
        <w:rPr>
          <w:sz w:val="18"/>
          <w:szCs w:val="22"/>
        </w:rPr>
        <w:t xml:space="preserve"> was assumed</w:t>
      </w:r>
      <w:r w:rsidR="008B5B8D">
        <w:rPr>
          <w:sz w:val="18"/>
          <w:szCs w:val="22"/>
        </w:rPr>
        <w:t xml:space="preserve"> for each estimate</w:t>
      </w:r>
      <w:r w:rsidR="00ED6B17">
        <w:rPr>
          <w:sz w:val="18"/>
          <w:szCs w:val="22"/>
        </w:rPr>
        <w:t>,</w:t>
      </w:r>
      <w:r w:rsidR="008B5B8D">
        <w:rPr>
          <w:sz w:val="18"/>
          <w:szCs w:val="22"/>
        </w:rPr>
        <w:t xml:space="preserve"> i.e. </w:t>
      </w:r>
      <w:r w:rsidR="001549E4" w:rsidRPr="001549E4">
        <w:rPr>
          <w:color w:val="000000"/>
          <w:spacing w:val="223"/>
          <w:sz w:val="18"/>
          <w:szCs w:val="22"/>
          <w:shd w:val="solid" w:color="000000" w:fill="000000"/>
          <w:fitText w:val="300" w:id="-693991158"/>
          <w14:textFill>
            <w14:solidFill>
              <w14:srgbClr w14:val="000000">
                <w14:alpha w14:val="100000"/>
              </w14:srgbClr>
            </w14:solidFill>
          </w14:textFill>
        </w:rPr>
        <w:t>|</w:t>
      </w:r>
      <w:r w:rsidR="001549E4" w:rsidRPr="001549E4">
        <w:rPr>
          <w:color w:val="000000"/>
          <w:spacing w:val="1"/>
          <w:sz w:val="18"/>
          <w:szCs w:val="22"/>
          <w:shd w:val="solid" w:color="000000" w:fill="000000"/>
          <w:fitText w:val="300" w:id="-693991158"/>
          <w14:textFill>
            <w14:solidFill>
              <w14:srgbClr w14:val="000000">
                <w14:alpha w14:val="100000"/>
              </w14:srgbClr>
            </w14:solidFill>
          </w14:textFill>
        </w:rPr>
        <w:t>|</w:t>
      </w:r>
      <w:r w:rsidR="008B5B8D">
        <w:rPr>
          <w:sz w:val="18"/>
          <w:szCs w:val="22"/>
        </w:rPr>
        <w:t xml:space="preserve"> patients were assumed to receive 40mcgkg/day,</w:t>
      </w:r>
      <w:r w:rsidR="00535D94">
        <w:rPr>
          <w:sz w:val="18"/>
          <w:szCs w:val="22"/>
        </w:rPr>
        <w:t xml:space="preserve"> </w:t>
      </w:r>
      <w:r w:rsidR="00ED6B17">
        <w:rPr>
          <w:sz w:val="18"/>
          <w:szCs w:val="22"/>
        </w:rPr>
        <w:t>per the resubmission’s economic model</w:t>
      </w:r>
      <w:r w:rsidR="0090028B">
        <w:rPr>
          <w:sz w:val="18"/>
          <w:szCs w:val="22"/>
        </w:rPr>
        <w:t xml:space="preserve"> </w:t>
      </w:r>
      <w:r w:rsidR="008B5B8D">
        <w:rPr>
          <w:sz w:val="18"/>
          <w:szCs w:val="22"/>
        </w:rPr>
        <w:t xml:space="preserve">assumptions </w:t>
      </w:r>
      <w:r w:rsidR="0090028B">
        <w:rPr>
          <w:sz w:val="18"/>
          <w:szCs w:val="22"/>
        </w:rPr>
        <w:t xml:space="preserve">and </w:t>
      </w:r>
      <w:r w:rsidR="008B5B8D">
        <w:rPr>
          <w:sz w:val="18"/>
          <w:szCs w:val="22"/>
        </w:rPr>
        <w:t xml:space="preserve">the </w:t>
      </w:r>
      <w:r w:rsidR="0090028B">
        <w:rPr>
          <w:sz w:val="18"/>
          <w:szCs w:val="22"/>
        </w:rPr>
        <w:t>proposed risk share arrangement.</w:t>
      </w:r>
      <w:r w:rsidR="008B5B8D">
        <w:rPr>
          <w:sz w:val="18"/>
          <w:szCs w:val="22"/>
        </w:rPr>
        <w:t xml:space="preserve"> However, should the risk share arrangement not be realised, the shown cost/patient/year would be an underestimate. </w:t>
      </w:r>
    </w:p>
    <w:p w14:paraId="4CAC0B28" w14:textId="5D7EAE12" w:rsidR="0007005D" w:rsidRPr="0007005D" w:rsidRDefault="0007005D" w:rsidP="0007005D">
      <w:pPr>
        <w:pStyle w:val="Tabletext"/>
        <w:rPr>
          <w:sz w:val="18"/>
          <w:szCs w:val="22"/>
        </w:rPr>
      </w:pPr>
      <w:r w:rsidRPr="0007005D">
        <w:rPr>
          <w:sz w:val="18"/>
          <w:szCs w:val="22"/>
          <w:vertAlign w:val="superscript"/>
        </w:rPr>
        <w:t>b</w:t>
      </w:r>
      <w:r w:rsidRPr="0007005D">
        <w:rPr>
          <w:sz w:val="18"/>
          <w:szCs w:val="22"/>
        </w:rPr>
        <w:t xml:space="preserve"> </w:t>
      </w:r>
      <w:r w:rsidR="006009E3">
        <w:rPr>
          <w:sz w:val="18"/>
          <w:szCs w:val="22"/>
        </w:rPr>
        <w:t>M</w:t>
      </w:r>
      <w:r w:rsidRPr="0007005D">
        <w:rPr>
          <w:sz w:val="18"/>
          <w:szCs w:val="22"/>
        </w:rPr>
        <w:t xml:space="preserve">ean duration of exposure in PEDFIC </w:t>
      </w:r>
      <w:r w:rsidR="00ED6B17">
        <w:rPr>
          <w:sz w:val="18"/>
          <w:szCs w:val="22"/>
        </w:rPr>
        <w:t>2</w:t>
      </w:r>
    </w:p>
    <w:p w14:paraId="7F34CDDA" w14:textId="4FEF23AA" w:rsidR="0007005D" w:rsidRPr="0007005D" w:rsidRDefault="0007005D" w:rsidP="0007005D">
      <w:pPr>
        <w:pStyle w:val="Tabletext"/>
        <w:rPr>
          <w:sz w:val="18"/>
          <w:szCs w:val="22"/>
        </w:rPr>
      </w:pPr>
      <w:r w:rsidRPr="0007005D">
        <w:rPr>
          <w:sz w:val="18"/>
          <w:szCs w:val="22"/>
          <w:vertAlign w:val="superscript"/>
        </w:rPr>
        <w:t>c</w:t>
      </w:r>
      <w:r w:rsidRPr="0007005D">
        <w:rPr>
          <w:sz w:val="18"/>
          <w:szCs w:val="22"/>
        </w:rPr>
        <w:t xml:space="preserve"> </w:t>
      </w:r>
      <w:r w:rsidR="00ED6B17" w:rsidRPr="00ED6B17">
        <w:rPr>
          <w:sz w:val="18"/>
          <w:szCs w:val="22"/>
        </w:rPr>
        <w:t>Cost per patient over the trial period</w:t>
      </w:r>
      <w:r w:rsidR="00ED6B17">
        <w:rPr>
          <w:sz w:val="18"/>
          <w:szCs w:val="22"/>
        </w:rPr>
        <w:t xml:space="preserve"> was b</w:t>
      </w:r>
      <w:r w:rsidRPr="0007005D">
        <w:rPr>
          <w:sz w:val="18"/>
          <w:szCs w:val="22"/>
        </w:rPr>
        <w:t xml:space="preserve">ased on the mean </w:t>
      </w:r>
      <w:r w:rsidR="00CA2748">
        <w:rPr>
          <w:sz w:val="18"/>
          <w:szCs w:val="22"/>
        </w:rPr>
        <w:t>baseline w</w:t>
      </w:r>
      <w:r w:rsidRPr="0007005D">
        <w:rPr>
          <w:sz w:val="18"/>
          <w:szCs w:val="22"/>
        </w:rPr>
        <w:t xml:space="preserve">eight of </w:t>
      </w:r>
      <w:r w:rsidR="00CA2748">
        <w:rPr>
          <w:sz w:val="18"/>
          <w:szCs w:val="22"/>
        </w:rPr>
        <w:t>20.7</w:t>
      </w:r>
      <w:r w:rsidRPr="0007005D">
        <w:rPr>
          <w:sz w:val="18"/>
          <w:szCs w:val="22"/>
        </w:rPr>
        <w:t xml:space="preserve"> kg in PEDFIC </w:t>
      </w:r>
      <w:r w:rsidR="00CA2748">
        <w:rPr>
          <w:sz w:val="18"/>
          <w:szCs w:val="22"/>
        </w:rPr>
        <w:t>2</w:t>
      </w:r>
      <w:r w:rsidRPr="0007005D">
        <w:rPr>
          <w:sz w:val="18"/>
          <w:szCs w:val="22"/>
        </w:rPr>
        <w:t xml:space="preserve"> </w:t>
      </w:r>
      <w:r w:rsidR="00CA2748">
        <w:rPr>
          <w:sz w:val="18"/>
          <w:szCs w:val="22"/>
        </w:rPr>
        <w:t>(n=116)</w:t>
      </w:r>
      <w:r w:rsidR="009A1F3E">
        <w:rPr>
          <w:sz w:val="18"/>
          <w:szCs w:val="22"/>
        </w:rPr>
        <w:t xml:space="preserve"> and t</w:t>
      </w:r>
      <w:r w:rsidRPr="0007005D">
        <w:rPr>
          <w:sz w:val="18"/>
          <w:szCs w:val="22"/>
        </w:rPr>
        <w:t>he corresponding daily cost from the model was $</w:t>
      </w:r>
      <w:r w:rsidR="001549E4" w:rsidRPr="001549E4">
        <w:rPr>
          <w:color w:val="000000"/>
          <w:spacing w:val="222"/>
          <w:sz w:val="18"/>
          <w:szCs w:val="22"/>
          <w:shd w:val="solid" w:color="000000" w:fill="000000"/>
          <w:fitText w:val="299" w:id="-693991157"/>
          <w14:textFill>
            <w14:solidFill>
              <w14:srgbClr w14:val="000000">
                <w14:alpha w14:val="100000"/>
              </w14:srgbClr>
            </w14:solidFill>
          </w14:textFill>
        </w:rPr>
        <w:t>|</w:t>
      </w:r>
      <w:r w:rsidR="001549E4" w:rsidRPr="001549E4">
        <w:rPr>
          <w:color w:val="000000"/>
          <w:spacing w:val="1"/>
          <w:sz w:val="18"/>
          <w:szCs w:val="22"/>
          <w:shd w:val="solid" w:color="000000" w:fill="000000"/>
          <w:fitText w:val="299" w:id="-693991157"/>
          <w14:textFill>
            <w14:solidFill>
              <w14:srgbClr w14:val="000000">
                <w14:alpha w14:val="100000"/>
              </w14:srgbClr>
            </w14:solidFill>
          </w14:textFill>
        </w:rPr>
        <w:t>|</w:t>
      </w:r>
      <w:r w:rsidRPr="0007005D">
        <w:rPr>
          <w:sz w:val="18"/>
          <w:szCs w:val="22"/>
        </w:rPr>
        <w:t xml:space="preserve">/day for the </w:t>
      </w:r>
      <w:r w:rsidR="00CA2748">
        <w:rPr>
          <w:sz w:val="18"/>
          <w:szCs w:val="22"/>
        </w:rPr>
        <w:t>40mcg/kg/day</w:t>
      </w:r>
      <w:r w:rsidRPr="0007005D">
        <w:rPr>
          <w:sz w:val="18"/>
          <w:szCs w:val="22"/>
        </w:rPr>
        <w:t xml:space="preserve"> dose. Cost at the </w:t>
      </w:r>
      <w:r w:rsidR="00ED6B17">
        <w:rPr>
          <w:sz w:val="18"/>
          <w:szCs w:val="22"/>
        </w:rPr>
        <w:t xml:space="preserve">40mcg </w:t>
      </w:r>
      <w:r w:rsidRPr="0007005D">
        <w:rPr>
          <w:sz w:val="18"/>
          <w:szCs w:val="22"/>
        </w:rPr>
        <w:t xml:space="preserve">dose = </w:t>
      </w:r>
      <w:r w:rsidR="00ED6B17">
        <w:rPr>
          <w:sz w:val="18"/>
          <w:szCs w:val="22"/>
        </w:rPr>
        <w:t>(115.62</w:t>
      </w:r>
      <w:r w:rsidRPr="0007005D">
        <w:rPr>
          <w:sz w:val="18"/>
          <w:szCs w:val="22"/>
        </w:rPr>
        <w:t xml:space="preserve"> weeks x 7</w:t>
      </w:r>
      <w:r w:rsidR="00ED6B17">
        <w:rPr>
          <w:sz w:val="18"/>
          <w:szCs w:val="22"/>
        </w:rPr>
        <w:t>)</w:t>
      </w:r>
      <w:r w:rsidRPr="0007005D">
        <w:rPr>
          <w:sz w:val="18"/>
          <w:szCs w:val="22"/>
        </w:rPr>
        <w:t xml:space="preserve"> x $</w:t>
      </w:r>
      <w:r w:rsidR="001549E4" w:rsidRPr="001549E4">
        <w:rPr>
          <w:color w:val="000000"/>
          <w:spacing w:val="211"/>
          <w:sz w:val="18"/>
          <w:szCs w:val="22"/>
          <w:shd w:val="solid" w:color="000000" w:fill="000000"/>
          <w:fitText w:val="288" w:id="-693991156"/>
          <w14:textFill>
            <w14:solidFill>
              <w14:srgbClr w14:val="000000">
                <w14:alpha w14:val="100000"/>
              </w14:srgbClr>
            </w14:solidFill>
          </w14:textFill>
        </w:rPr>
        <w:t>|</w:t>
      </w:r>
      <w:r w:rsidR="001549E4" w:rsidRPr="001549E4">
        <w:rPr>
          <w:color w:val="000000"/>
          <w:spacing w:val="1"/>
          <w:sz w:val="18"/>
          <w:szCs w:val="22"/>
          <w:shd w:val="solid" w:color="000000" w:fill="000000"/>
          <w:fitText w:val="288" w:id="-693991156"/>
          <w14:textFill>
            <w14:solidFill>
              <w14:srgbClr w14:val="000000">
                <w14:alpha w14:val="100000"/>
              </w14:srgbClr>
            </w14:solidFill>
          </w14:textFill>
        </w:rPr>
        <w:t>|</w:t>
      </w:r>
      <w:r w:rsidR="002F495F">
        <w:rPr>
          <w:sz w:val="18"/>
          <w:szCs w:val="22"/>
        </w:rPr>
        <w:t xml:space="preserve"> </w:t>
      </w:r>
      <w:r w:rsidR="009A1F3E">
        <w:rPr>
          <w:sz w:val="18"/>
          <w:szCs w:val="22"/>
        </w:rPr>
        <w:t>= $</w:t>
      </w:r>
      <w:r w:rsidR="001549E4" w:rsidRPr="001549E4">
        <w:rPr>
          <w:color w:val="000000"/>
          <w:spacing w:val="211"/>
          <w:sz w:val="18"/>
          <w:szCs w:val="22"/>
          <w:shd w:val="solid" w:color="000000" w:fill="000000"/>
          <w:fitText w:val="288" w:id="-693991155"/>
          <w14:textFill>
            <w14:solidFill>
              <w14:srgbClr w14:val="000000">
                <w14:alpha w14:val="100000"/>
              </w14:srgbClr>
            </w14:solidFill>
          </w14:textFill>
        </w:rPr>
        <w:t>|</w:t>
      </w:r>
      <w:r w:rsidR="001549E4" w:rsidRPr="001549E4">
        <w:rPr>
          <w:color w:val="000000"/>
          <w:spacing w:val="1"/>
          <w:sz w:val="18"/>
          <w:szCs w:val="22"/>
          <w:shd w:val="solid" w:color="000000" w:fill="000000"/>
          <w:fitText w:val="288" w:id="-693991155"/>
          <w14:textFill>
            <w14:solidFill>
              <w14:srgbClr w14:val="000000">
                <w14:alpha w14:val="100000"/>
              </w14:srgbClr>
            </w14:solidFill>
          </w14:textFill>
        </w:rPr>
        <w:t>|</w:t>
      </w:r>
      <w:r w:rsidR="009A1F3E">
        <w:rPr>
          <w:sz w:val="18"/>
          <w:szCs w:val="22"/>
        </w:rPr>
        <w:t xml:space="preserve"> divided by 2.22 years.</w:t>
      </w:r>
    </w:p>
    <w:p w14:paraId="27CA199C" w14:textId="4F8B5A2F" w:rsidR="0007005D" w:rsidRPr="0007005D" w:rsidRDefault="0007005D" w:rsidP="0007005D">
      <w:pPr>
        <w:pStyle w:val="Tabletext"/>
        <w:rPr>
          <w:sz w:val="18"/>
          <w:szCs w:val="22"/>
        </w:rPr>
      </w:pPr>
      <w:r w:rsidRPr="0007005D">
        <w:rPr>
          <w:sz w:val="18"/>
          <w:szCs w:val="22"/>
          <w:vertAlign w:val="superscript"/>
        </w:rPr>
        <w:t>d</w:t>
      </w:r>
      <w:r w:rsidRPr="0007005D">
        <w:rPr>
          <w:sz w:val="18"/>
          <w:szCs w:val="22"/>
        </w:rPr>
        <w:t xml:space="preserve"> Undiscounted cost of response state divided by time spent in response state for odevixibat arm = </w:t>
      </w:r>
      <w:r w:rsidR="00ED6B17" w:rsidRPr="00ED6B17">
        <w:rPr>
          <w:sz w:val="18"/>
          <w:szCs w:val="22"/>
        </w:rPr>
        <w:t>$</w:t>
      </w:r>
      <w:r w:rsidR="001549E4" w:rsidRPr="001549E4">
        <w:rPr>
          <w:color w:val="000000"/>
          <w:spacing w:val="222"/>
          <w:sz w:val="18"/>
          <w:szCs w:val="22"/>
          <w:shd w:val="solid" w:color="000000" w:fill="000000"/>
          <w:fitText w:val="299" w:id="-693991154"/>
          <w14:textFill>
            <w14:solidFill>
              <w14:srgbClr w14:val="000000">
                <w14:alpha w14:val="100000"/>
              </w14:srgbClr>
            </w14:solidFill>
          </w14:textFill>
        </w:rPr>
        <w:t>|</w:t>
      </w:r>
      <w:r w:rsidR="001549E4" w:rsidRPr="001549E4">
        <w:rPr>
          <w:color w:val="000000"/>
          <w:spacing w:val="1"/>
          <w:sz w:val="18"/>
          <w:szCs w:val="22"/>
          <w:shd w:val="solid" w:color="000000" w:fill="000000"/>
          <w:fitText w:val="299" w:id="-693991154"/>
          <w14:textFill>
            <w14:solidFill>
              <w14:srgbClr w14:val="000000">
                <w14:alpha w14:val="100000"/>
              </w14:srgbClr>
            </w14:solidFill>
          </w14:textFill>
        </w:rPr>
        <w:t>|</w:t>
      </w:r>
      <w:r w:rsidRPr="0007005D">
        <w:rPr>
          <w:sz w:val="18"/>
          <w:szCs w:val="22"/>
        </w:rPr>
        <w:t xml:space="preserve">/ </w:t>
      </w:r>
      <w:r w:rsidR="00ED6B17">
        <w:rPr>
          <w:sz w:val="18"/>
          <w:szCs w:val="22"/>
        </w:rPr>
        <w:t>3.39</w:t>
      </w:r>
      <w:r w:rsidRPr="0007005D">
        <w:rPr>
          <w:sz w:val="18"/>
          <w:szCs w:val="22"/>
        </w:rPr>
        <w:t xml:space="preserve"> years</w:t>
      </w:r>
    </w:p>
    <w:p w14:paraId="058DA653" w14:textId="26158818" w:rsidR="00347764" w:rsidRDefault="0007005D" w:rsidP="00D95D5E">
      <w:pPr>
        <w:pStyle w:val="Tabletext"/>
        <w:rPr>
          <w:sz w:val="18"/>
          <w:szCs w:val="22"/>
        </w:rPr>
      </w:pPr>
      <w:r w:rsidRPr="0007005D">
        <w:rPr>
          <w:sz w:val="18"/>
          <w:szCs w:val="22"/>
          <w:vertAlign w:val="superscript"/>
        </w:rPr>
        <w:t xml:space="preserve">e </w:t>
      </w:r>
      <w:r w:rsidR="002659AD">
        <w:rPr>
          <w:sz w:val="18"/>
          <w:szCs w:val="22"/>
        </w:rPr>
        <w:t>Cost per patient was based on the mean</w:t>
      </w:r>
      <w:r w:rsidR="00D47D1C">
        <w:rPr>
          <w:sz w:val="18"/>
          <w:szCs w:val="22"/>
        </w:rPr>
        <w:t xml:space="preserve"> </w:t>
      </w:r>
      <w:r w:rsidR="006921E0">
        <w:rPr>
          <w:sz w:val="18"/>
          <w:szCs w:val="22"/>
        </w:rPr>
        <w:t xml:space="preserve">400mcg </w:t>
      </w:r>
      <w:r w:rsidR="00D47D1C">
        <w:rPr>
          <w:sz w:val="18"/>
          <w:szCs w:val="22"/>
        </w:rPr>
        <w:t>daily</w:t>
      </w:r>
      <w:r w:rsidR="002659AD">
        <w:rPr>
          <w:sz w:val="18"/>
          <w:szCs w:val="22"/>
        </w:rPr>
        <w:t xml:space="preserve"> </w:t>
      </w:r>
      <w:r w:rsidR="00D47D1C">
        <w:rPr>
          <w:sz w:val="18"/>
          <w:szCs w:val="22"/>
        </w:rPr>
        <w:t>cost (per the ‘general population’ sheet in the economic model)</w:t>
      </w:r>
      <w:r w:rsidR="002659AD">
        <w:rPr>
          <w:sz w:val="18"/>
          <w:szCs w:val="22"/>
        </w:rPr>
        <w:t xml:space="preserve"> </w:t>
      </w:r>
      <w:r w:rsidR="00D47D1C">
        <w:rPr>
          <w:sz w:val="18"/>
          <w:szCs w:val="22"/>
        </w:rPr>
        <w:t xml:space="preserve">of </w:t>
      </w:r>
      <w:r w:rsidR="002F495F">
        <w:rPr>
          <w:sz w:val="18"/>
          <w:szCs w:val="22"/>
        </w:rPr>
        <w:t>a</w:t>
      </w:r>
      <w:r w:rsidR="00D47D1C">
        <w:rPr>
          <w:sz w:val="18"/>
          <w:szCs w:val="22"/>
        </w:rPr>
        <w:t>n incident</w:t>
      </w:r>
      <w:r w:rsidR="002F495F">
        <w:rPr>
          <w:sz w:val="18"/>
          <w:szCs w:val="22"/>
        </w:rPr>
        <w:t xml:space="preserve"> patient </w:t>
      </w:r>
      <w:r w:rsidR="00D47D1C">
        <w:rPr>
          <w:sz w:val="18"/>
          <w:szCs w:val="22"/>
        </w:rPr>
        <w:t xml:space="preserve">aged </w:t>
      </w:r>
      <w:r w:rsidR="002F495F">
        <w:rPr>
          <w:sz w:val="18"/>
          <w:szCs w:val="22"/>
        </w:rPr>
        <w:t>four</w:t>
      </w:r>
      <w:r w:rsidR="00D47D1C">
        <w:rPr>
          <w:sz w:val="18"/>
          <w:szCs w:val="22"/>
        </w:rPr>
        <w:t xml:space="preserve"> (in year 1) to nine (in year 6), per the weight distribution estimates in the resubmission ($</w:t>
      </w:r>
      <w:r w:rsidR="001549E4" w:rsidRPr="001549E4">
        <w:rPr>
          <w:color w:val="000000"/>
          <w:spacing w:val="211"/>
          <w:sz w:val="18"/>
          <w:szCs w:val="22"/>
          <w:shd w:val="solid" w:color="000000" w:fill="000000"/>
          <w:fitText w:val="288" w:id="-693991153"/>
          <w14:textFill>
            <w14:solidFill>
              <w14:srgbClr w14:val="000000">
                <w14:alpha w14:val="100000"/>
              </w14:srgbClr>
            </w14:solidFill>
          </w14:textFill>
        </w:rPr>
        <w:t>|</w:t>
      </w:r>
      <w:r w:rsidR="001549E4" w:rsidRPr="001549E4">
        <w:rPr>
          <w:color w:val="000000"/>
          <w:spacing w:val="1"/>
          <w:sz w:val="18"/>
          <w:szCs w:val="22"/>
          <w:shd w:val="solid" w:color="000000" w:fill="000000"/>
          <w:fitText w:val="288" w:id="-693991153"/>
          <w14:textFill>
            <w14:solidFill>
              <w14:srgbClr w14:val="000000">
                <w14:alpha w14:val="100000"/>
              </w14:srgbClr>
            </w14:solidFill>
          </w14:textFill>
        </w:rPr>
        <w:t>|</w:t>
      </w:r>
      <w:r w:rsidR="00441B8D">
        <w:rPr>
          <w:sz w:val="18"/>
          <w:szCs w:val="22"/>
        </w:rPr>
        <w:t>/day</w:t>
      </w:r>
      <w:r w:rsidR="00D47D1C">
        <w:rPr>
          <w:sz w:val="18"/>
          <w:szCs w:val="22"/>
        </w:rPr>
        <w:t>). Responders were assumed to be treated for 12 months</w:t>
      </w:r>
      <w:r w:rsidR="00441B8D">
        <w:rPr>
          <w:sz w:val="18"/>
          <w:szCs w:val="22"/>
        </w:rPr>
        <w:t xml:space="preserve"> per year</w:t>
      </w:r>
      <w:r w:rsidR="00D47D1C">
        <w:rPr>
          <w:sz w:val="18"/>
          <w:szCs w:val="22"/>
        </w:rPr>
        <w:t>. The cost/patient/year = $</w:t>
      </w:r>
      <w:r w:rsidR="001549E4" w:rsidRPr="001549E4">
        <w:rPr>
          <w:color w:val="000000"/>
          <w:spacing w:val="222"/>
          <w:sz w:val="18"/>
          <w:szCs w:val="22"/>
          <w:shd w:val="solid" w:color="000000" w:fill="000000"/>
          <w:fitText w:val="299" w:id="-693991152"/>
          <w14:textFill>
            <w14:solidFill>
              <w14:srgbClr w14:val="000000">
                <w14:alpha w14:val="100000"/>
              </w14:srgbClr>
            </w14:solidFill>
          </w14:textFill>
        </w:rPr>
        <w:t>|</w:t>
      </w:r>
      <w:r w:rsidR="001549E4" w:rsidRPr="001549E4">
        <w:rPr>
          <w:color w:val="000000"/>
          <w:spacing w:val="1"/>
          <w:sz w:val="18"/>
          <w:szCs w:val="22"/>
          <w:shd w:val="solid" w:color="000000" w:fill="000000"/>
          <w:fitText w:val="299" w:id="-693991152"/>
          <w14:textFill>
            <w14:solidFill>
              <w14:srgbClr w14:val="000000">
                <w14:alpha w14:val="100000"/>
              </w14:srgbClr>
            </w14:solidFill>
          </w14:textFill>
        </w:rPr>
        <w:t>|</w:t>
      </w:r>
      <w:r w:rsidR="00D47D1C">
        <w:rPr>
          <w:sz w:val="18"/>
          <w:szCs w:val="22"/>
        </w:rPr>
        <w:t xml:space="preserve"> x 365.25</w:t>
      </w:r>
    </w:p>
    <w:p w14:paraId="4D2FBF5D" w14:textId="76C3D824" w:rsidR="00404D38" w:rsidRPr="00DD6AF7" w:rsidRDefault="00F03C4C" w:rsidP="00D95D5E">
      <w:pPr>
        <w:pStyle w:val="Tabletext"/>
        <w:rPr>
          <w:sz w:val="18"/>
          <w:szCs w:val="22"/>
        </w:rPr>
      </w:pPr>
      <w:r>
        <w:rPr>
          <w:sz w:val="18"/>
          <w:szCs w:val="22"/>
          <w:vertAlign w:val="superscript"/>
        </w:rPr>
        <w:t xml:space="preserve">f </w:t>
      </w:r>
      <w:r w:rsidRPr="00DD6AF7">
        <w:t>Cost</w:t>
      </w:r>
      <w:r w:rsidR="00DD6AF7" w:rsidRPr="00DD6AF7">
        <w:rPr>
          <w:sz w:val="18"/>
          <w:szCs w:val="22"/>
        </w:rPr>
        <w:t xml:space="preserve"> per patient was based on the mean</w:t>
      </w:r>
      <w:r w:rsidR="006921E0">
        <w:rPr>
          <w:sz w:val="18"/>
          <w:szCs w:val="22"/>
        </w:rPr>
        <w:t xml:space="preserve"> 400mcg</w:t>
      </w:r>
      <w:r w:rsidR="00DD6AF7" w:rsidRPr="00DD6AF7">
        <w:rPr>
          <w:sz w:val="18"/>
          <w:szCs w:val="22"/>
        </w:rPr>
        <w:t xml:space="preserve"> daily cost (per the ‘general population’ sheet in the economic model) of </w:t>
      </w:r>
      <w:r w:rsidR="008D7A3A" w:rsidRPr="00DD6AF7">
        <w:rPr>
          <w:sz w:val="18"/>
          <w:szCs w:val="22"/>
        </w:rPr>
        <w:t>a</w:t>
      </w:r>
      <w:r w:rsidR="00DD6AF7" w:rsidRPr="00DD6AF7">
        <w:rPr>
          <w:sz w:val="18"/>
          <w:szCs w:val="22"/>
        </w:rPr>
        <w:t xml:space="preserve"> </w:t>
      </w:r>
      <w:r w:rsidR="00DD6AF7">
        <w:rPr>
          <w:sz w:val="18"/>
          <w:szCs w:val="22"/>
        </w:rPr>
        <w:t>prevalent</w:t>
      </w:r>
      <w:r w:rsidR="00DD6AF7" w:rsidRPr="00DD6AF7">
        <w:rPr>
          <w:sz w:val="18"/>
          <w:szCs w:val="22"/>
        </w:rPr>
        <w:t xml:space="preserve"> patient aged </w:t>
      </w:r>
      <w:r w:rsidR="00DD6AF7">
        <w:rPr>
          <w:sz w:val="18"/>
          <w:szCs w:val="22"/>
        </w:rPr>
        <w:t>13</w:t>
      </w:r>
      <w:r w:rsidR="00DD6AF7" w:rsidRPr="00DD6AF7">
        <w:rPr>
          <w:sz w:val="18"/>
          <w:szCs w:val="22"/>
        </w:rPr>
        <w:t xml:space="preserve"> (in year 1) to </w:t>
      </w:r>
      <w:r w:rsidR="00DD6AF7">
        <w:rPr>
          <w:sz w:val="18"/>
          <w:szCs w:val="22"/>
        </w:rPr>
        <w:t>18</w:t>
      </w:r>
      <w:r w:rsidR="00DD6AF7" w:rsidRPr="00DD6AF7">
        <w:rPr>
          <w:sz w:val="18"/>
          <w:szCs w:val="22"/>
        </w:rPr>
        <w:t xml:space="preserve"> (in year 6), per the weight distribution estimates in the resubmission ($</w:t>
      </w:r>
      <w:r w:rsidR="001549E4" w:rsidRPr="001549E4">
        <w:rPr>
          <w:color w:val="000000"/>
          <w:spacing w:val="222"/>
          <w:sz w:val="18"/>
          <w:szCs w:val="22"/>
          <w:shd w:val="solid" w:color="000000" w:fill="000000"/>
          <w:fitText w:val="299" w:id="-693991168"/>
          <w14:textFill>
            <w14:solidFill>
              <w14:srgbClr w14:val="000000">
                <w14:alpha w14:val="100000"/>
              </w14:srgbClr>
            </w14:solidFill>
          </w14:textFill>
        </w:rPr>
        <w:t>|</w:t>
      </w:r>
      <w:r w:rsidR="001549E4" w:rsidRPr="001549E4">
        <w:rPr>
          <w:color w:val="000000"/>
          <w:spacing w:val="1"/>
          <w:sz w:val="18"/>
          <w:szCs w:val="22"/>
          <w:shd w:val="solid" w:color="000000" w:fill="000000"/>
          <w:fitText w:val="299" w:id="-693991168"/>
          <w14:textFill>
            <w14:solidFill>
              <w14:srgbClr w14:val="000000">
                <w14:alpha w14:val="100000"/>
              </w14:srgbClr>
            </w14:solidFill>
          </w14:textFill>
        </w:rPr>
        <w:t>|</w:t>
      </w:r>
      <w:r w:rsidR="00347764">
        <w:rPr>
          <w:sz w:val="18"/>
          <w:szCs w:val="22"/>
        </w:rPr>
        <w:t>/day</w:t>
      </w:r>
      <w:r w:rsidR="00DD6AF7" w:rsidRPr="00DD6AF7">
        <w:rPr>
          <w:sz w:val="18"/>
          <w:szCs w:val="22"/>
        </w:rPr>
        <w:t>). Responders were assumed to be treated for &gt;12 months. The cost/patient/year = $</w:t>
      </w:r>
      <w:r w:rsidR="001549E4" w:rsidRPr="001549E4">
        <w:rPr>
          <w:color w:val="000000"/>
          <w:spacing w:val="223"/>
          <w:sz w:val="18"/>
          <w:szCs w:val="22"/>
          <w:shd w:val="solid" w:color="000000" w:fill="000000"/>
          <w:fitText w:val="300" w:id="-693991167"/>
          <w14:textFill>
            <w14:solidFill>
              <w14:srgbClr w14:val="000000">
                <w14:alpha w14:val="100000"/>
              </w14:srgbClr>
            </w14:solidFill>
          </w14:textFill>
        </w:rPr>
        <w:t>|</w:t>
      </w:r>
      <w:r w:rsidR="001549E4" w:rsidRPr="001549E4">
        <w:rPr>
          <w:color w:val="000000"/>
          <w:spacing w:val="1"/>
          <w:sz w:val="18"/>
          <w:szCs w:val="22"/>
          <w:shd w:val="solid" w:color="000000" w:fill="000000"/>
          <w:fitText w:val="300" w:id="-693991167"/>
          <w14:textFill>
            <w14:solidFill>
              <w14:srgbClr w14:val="000000">
                <w14:alpha w14:val="100000"/>
              </w14:srgbClr>
            </w14:solidFill>
          </w14:textFill>
        </w:rPr>
        <w:t>|</w:t>
      </w:r>
      <w:r w:rsidR="00DD6AF7" w:rsidRPr="00DD6AF7">
        <w:rPr>
          <w:sz w:val="18"/>
          <w:szCs w:val="22"/>
        </w:rPr>
        <w:t xml:space="preserve"> x 365.25.</w:t>
      </w:r>
      <w:r w:rsidR="00DD6AF7">
        <w:rPr>
          <w:sz w:val="18"/>
          <w:szCs w:val="22"/>
        </w:rPr>
        <w:br/>
      </w:r>
      <w:r w:rsidR="00DD6AF7">
        <w:rPr>
          <w:sz w:val="18"/>
          <w:szCs w:val="22"/>
          <w:vertAlign w:val="superscript"/>
        </w:rPr>
        <w:t xml:space="preserve">g </w:t>
      </w:r>
      <w:r w:rsidR="00DD6AF7" w:rsidRPr="00DD6AF7">
        <w:rPr>
          <w:sz w:val="18"/>
          <w:szCs w:val="22"/>
        </w:rPr>
        <w:t>Cost per patient was based on the mean</w:t>
      </w:r>
      <w:r w:rsidR="006921E0">
        <w:rPr>
          <w:sz w:val="18"/>
          <w:szCs w:val="22"/>
        </w:rPr>
        <w:t xml:space="preserve"> 400mcg</w:t>
      </w:r>
      <w:r w:rsidR="00DD6AF7" w:rsidRPr="00DD6AF7">
        <w:rPr>
          <w:sz w:val="18"/>
          <w:szCs w:val="22"/>
        </w:rPr>
        <w:t xml:space="preserve"> daily cost (per the ‘general population’ sheet in the economic model) of an incident patient aged four</w:t>
      </w:r>
      <w:r w:rsidR="00DD6AF7">
        <w:rPr>
          <w:sz w:val="18"/>
          <w:szCs w:val="22"/>
        </w:rPr>
        <w:t xml:space="preserve">, </w:t>
      </w:r>
      <w:r w:rsidR="00DD6AF7" w:rsidRPr="00DD6AF7">
        <w:rPr>
          <w:sz w:val="18"/>
          <w:szCs w:val="22"/>
        </w:rPr>
        <w:t>$</w:t>
      </w:r>
      <w:r w:rsidR="001549E4" w:rsidRPr="001549E4">
        <w:rPr>
          <w:color w:val="000000"/>
          <w:spacing w:val="222"/>
          <w:sz w:val="18"/>
          <w:szCs w:val="22"/>
          <w:shd w:val="solid" w:color="000000" w:fill="000000"/>
          <w:fitText w:val="299" w:id="-693991166"/>
          <w14:textFill>
            <w14:solidFill>
              <w14:srgbClr w14:val="000000">
                <w14:alpha w14:val="100000"/>
              </w14:srgbClr>
            </w14:solidFill>
          </w14:textFill>
        </w:rPr>
        <w:t>|</w:t>
      </w:r>
      <w:r w:rsidR="001549E4" w:rsidRPr="001549E4">
        <w:rPr>
          <w:color w:val="000000"/>
          <w:spacing w:val="1"/>
          <w:sz w:val="18"/>
          <w:szCs w:val="22"/>
          <w:shd w:val="solid" w:color="000000" w:fill="000000"/>
          <w:fitText w:val="299" w:id="-693991166"/>
          <w14:textFill>
            <w14:solidFill>
              <w14:srgbClr w14:val="000000">
                <w14:alpha w14:val="100000"/>
              </w14:srgbClr>
            </w14:solidFill>
          </w14:textFill>
        </w:rPr>
        <w:t>|</w:t>
      </w:r>
      <w:r w:rsidR="00347764">
        <w:rPr>
          <w:sz w:val="18"/>
          <w:szCs w:val="22"/>
        </w:rPr>
        <w:t>/day</w:t>
      </w:r>
      <w:r w:rsidR="00DD6AF7" w:rsidRPr="00DD6AF7">
        <w:rPr>
          <w:sz w:val="18"/>
          <w:szCs w:val="22"/>
        </w:rPr>
        <w:t xml:space="preserve">. </w:t>
      </w:r>
      <w:r w:rsidR="00DD6AF7">
        <w:rPr>
          <w:sz w:val="18"/>
          <w:szCs w:val="22"/>
        </w:rPr>
        <w:t>Non-r</w:t>
      </w:r>
      <w:r w:rsidR="00DD6AF7" w:rsidRPr="00DD6AF7">
        <w:rPr>
          <w:sz w:val="18"/>
          <w:szCs w:val="22"/>
        </w:rPr>
        <w:t xml:space="preserve">esponders were assumed to be treated for </w:t>
      </w:r>
      <w:r w:rsidR="00DD6AF7">
        <w:rPr>
          <w:sz w:val="18"/>
          <w:szCs w:val="22"/>
        </w:rPr>
        <w:t>6</w:t>
      </w:r>
      <w:r w:rsidR="00DD6AF7" w:rsidRPr="00DD6AF7">
        <w:rPr>
          <w:sz w:val="18"/>
          <w:szCs w:val="22"/>
        </w:rPr>
        <w:t xml:space="preserve"> months. The cost/patient/year = $</w:t>
      </w:r>
      <w:r w:rsidR="001549E4" w:rsidRPr="001549E4">
        <w:rPr>
          <w:color w:val="000000"/>
          <w:spacing w:val="223"/>
          <w:sz w:val="18"/>
          <w:szCs w:val="22"/>
          <w:shd w:val="solid" w:color="000000" w:fill="000000"/>
          <w:fitText w:val="300" w:id="-693991165"/>
          <w14:textFill>
            <w14:solidFill>
              <w14:srgbClr w14:val="000000">
                <w14:alpha w14:val="100000"/>
              </w14:srgbClr>
            </w14:solidFill>
          </w14:textFill>
        </w:rPr>
        <w:t>|</w:t>
      </w:r>
      <w:r w:rsidR="001549E4" w:rsidRPr="001549E4">
        <w:rPr>
          <w:color w:val="000000"/>
          <w:spacing w:val="1"/>
          <w:sz w:val="18"/>
          <w:szCs w:val="22"/>
          <w:shd w:val="solid" w:color="000000" w:fill="000000"/>
          <w:fitText w:val="300" w:id="-693991165"/>
          <w14:textFill>
            <w14:solidFill>
              <w14:srgbClr w14:val="000000">
                <w14:alpha w14:val="100000"/>
              </w14:srgbClr>
            </w14:solidFill>
          </w14:textFill>
        </w:rPr>
        <w:t>|</w:t>
      </w:r>
      <w:r w:rsidR="00DD6AF7" w:rsidRPr="00DD6AF7">
        <w:rPr>
          <w:sz w:val="18"/>
          <w:szCs w:val="22"/>
        </w:rPr>
        <w:t xml:space="preserve"> x </w:t>
      </w:r>
      <w:r w:rsidR="00DD6AF7">
        <w:rPr>
          <w:sz w:val="18"/>
          <w:szCs w:val="22"/>
        </w:rPr>
        <w:t>(</w:t>
      </w:r>
      <w:r w:rsidR="00DD6AF7" w:rsidRPr="00DD6AF7">
        <w:rPr>
          <w:sz w:val="18"/>
          <w:szCs w:val="22"/>
        </w:rPr>
        <w:t>365.25</w:t>
      </w:r>
      <w:r w:rsidR="00DD6AF7">
        <w:rPr>
          <w:sz w:val="18"/>
          <w:szCs w:val="22"/>
        </w:rPr>
        <w:t>/2)</w:t>
      </w:r>
      <w:r w:rsidR="00DD6AF7" w:rsidRPr="00DD6AF7">
        <w:rPr>
          <w:sz w:val="18"/>
          <w:szCs w:val="22"/>
        </w:rPr>
        <w:t>.</w:t>
      </w:r>
      <w:r w:rsidR="00DD6AF7">
        <w:rPr>
          <w:sz w:val="18"/>
          <w:szCs w:val="22"/>
        </w:rPr>
        <w:br/>
      </w:r>
      <w:r w:rsidR="00DD6AF7">
        <w:rPr>
          <w:sz w:val="18"/>
          <w:szCs w:val="22"/>
          <w:vertAlign w:val="superscript"/>
        </w:rPr>
        <w:t xml:space="preserve">h </w:t>
      </w:r>
      <w:r w:rsidR="00DD6AF7" w:rsidRPr="00DD6AF7">
        <w:rPr>
          <w:sz w:val="18"/>
          <w:szCs w:val="22"/>
        </w:rPr>
        <w:t xml:space="preserve">Cost per patient was based on the mean </w:t>
      </w:r>
      <w:r w:rsidR="006921E0">
        <w:rPr>
          <w:sz w:val="18"/>
          <w:szCs w:val="22"/>
        </w:rPr>
        <w:t>400mcg</w:t>
      </w:r>
      <w:r w:rsidR="006921E0" w:rsidRPr="00DD6AF7">
        <w:rPr>
          <w:sz w:val="18"/>
          <w:szCs w:val="22"/>
        </w:rPr>
        <w:t xml:space="preserve"> </w:t>
      </w:r>
      <w:r w:rsidR="00DD6AF7" w:rsidRPr="00DD6AF7">
        <w:rPr>
          <w:sz w:val="18"/>
          <w:szCs w:val="22"/>
        </w:rPr>
        <w:t xml:space="preserve">daily cost (per the ‘general population’ sheet in the economic model) of a </w:t>
      </w:r>
      <w:r w:rsidR="00DD6AF7">
        <w:rPr>
          <w:sz w:val="18"/>
          <w:szCs w:val="22"/>
        </w:rPr>
        <w:t>prevalent</w:t>
      </w:r>
      <w:r w:rsidR="00DD6AF7" w:rsidRPr="00DD6AF7">
        <w:rPr>
          <w:sz w:val="18"/>
          <w:szCs w:val="22"/>
        </w:rPr>
        <w:t xml:space="preserve"> patient aged </w:t>
      </w:r>
      <w:r w:rsidR="00DD6AF7">
        <w:rPr>
          <w:sz w:val="18"/>
          <w:szCs w:val="22"/>
        </w:rPr>
        <w:t xml:space="preserve">13, </w:t>
      </w:r>
      <w:r w:rsidR="00DD6AF7" w:rsidRPr="00DD6AF7">
        <w:rPr>
          <w:sz w:val="18"/>
          <w:szCs w:val="22"/>
        </w:rPr>
        <w:t>$</w:t>
      </w:r>
      <w:r w:rsidR="001549E4" w:rsidRPr="001549E4">
        <w:rPr>
          <w:color w:val="000000"/>
          <w:spacing w:val="222"/>
          <w:sz w:val="18"/>
          <w:szCs w:val="22"/>
          <w:shd w:val="solid" w:color="000000" w:fill="000000"/>
          <w:fitText w:val="299" w:id="-693991164"/>
          <w14:textFill>
            <w14:solidFill>
              <w14:srgbClr w14:val="000000">
                <w14:alpha w14:val="100000"/>
              </w14:srgbClr>
            </w14:solidFill>
          </w14:textFill>
        </w:rPr>
        <w:t>|</w:t>
      </w:r>
      <w:r w:rsidR="001549E4" w:rsidRPr="001549E4">
        <w:rPr>
          <w:color w:val="000000"/>
          <w:spacing w:val="1"/>
          <w:sz w:val="18"/>
          <w:szCs w:val="22"/>
          <w:shd w:val="solid" w:color="000000" w:fill="000000"/>
          <w:fitText w:val="299" w:id="-693991164"/>
          <w14:textFill>
            <w14:solidFill>
              <w14:srgbClr w14:val="000000">
                <w14:alpha w14:val="100000"/>
              </w14:srgbClr>
            </w14:solidFill>
          </w14:textFill>
        </w:rPr>
        <w:t>|</w:t>
      </w:r>
      <w:r w:rsidR="00347764">
        <w:rPr>
          <w:sz w:val="18"/>
          <w:szCs w:val="22"/>
        </w:rPr>
        <w:t>/day</w:t>
      </w:r>
      <w:r w:rsidR="00DD6AF7" w:rsidRPr="00DD6AF7">
        <w:rPr>
          <w:sz w:val="18"/>
          <w:szCs w:val="22"/>
        </w:rPr>
        <w:t xml:space="preserve">). </w:t>
      </w:r>
      <w:r w:rsidR="00DD6AF7">
        <w:rPr>
          <w:sz w:val="18"/>
          <w:szCs w:val="22"/>
        </w:rPr>
        <w:t>Non-r</w:t>
      </w:r>
      <w:r w:rsidR="00DD6AF7" w:rsidRPr="00DD6AF7">
        <w:rPr>
          <w:sz w:val="18"/>
          <w:szCs w:val="22"/>
        </w:rPr>
        <w:t xml:space="preserve">esponders were assumed to be treated for </w:t>
      </w:r>
      <w:r w:rsidR="00DD6AF7">
        <w:rPr>
          <w:sz w:val="18"/>
          <w:szCs w:val="22"/>
        </w:rPr>
        <w:t>6</w:t>
      </w:r>
      <w:r w:rsidR="00DD6AF7" w:rsidRPr="00DD6AF7">
        <w:rPr>
          <w:sz w:val="18"/>
          <w:szCs w:val="22"/>
        </w:rPr>
        <w:t xml:space="preserve"> months.</w:t>
      </w:r>
      <w:r w:rsidR="006921E0">
        <w:rPr>
          <w:sz w:val="18"/>
          <w:szCs w:val="22"/>
        </w:rPr>
        <w:t xml:space="preserve"> </w:t>
      </w:r>
      <w:r w:rsidR="00DD6AF7" w:rsidRPr="00DD6AF7">
        <w:rPr>
          <w:sz w:val="18"/>
          <w:szCs w:val="22"/>
        </w:rPr>
        <w:t>The cost/patient/year = $</w:t>
      </w:r>
      <w:r w:rsidR="001549E4" w:rsidRPr="001549E4">
        <w:rPr>
          <w:color w:val="000000"/>
          <w:spacing w:val="223"/>
          <w:sz w:val="18"/>
          <w:szCs w:val="22"/>
          <w:shd w:val="solid" w:color="000000" w:fill="000000"/>
          <w:fitText w:val="300" w:id="-693991163"/>
          <w14:textFill>
            <w14:solidFill>
              <w14:srgbClr w14:val="000000">
                <w14:alpha w14:val="100000"/>
              </w14:srgbClr>
            </w14:solidFill>
          </w14:textFill>
        </w:rPr>
        <w:t>|</w:t>
      </w:r>
      <w:r w:rsidR="001549E4" w:rsidRPr="001549E4">
        <w:rPr>
          <w:color w:val="000000"/>
          <w:spacing w:val="1"/>
          <w:sz w:val="18"/>
          <w:szCs w:val="22"/>
          <w:shd w:val="solid" w:color="000000" w:fill="000000"/>
          <w:fitText w:val="300" w:id="-693991163"/>
          <w14:textFill>
            <w14:solidFill>
              <w14:srgbClr w14:val="000000">
                <w14:alpha w14:val="100000"/>
              </w14:srgbClr>
            </w14:solidFill>
          </w14:textFill>
        </w:rPr>
        <w:t>|</w:t>
      </w:r>
      <w:r w:rsidR="00DD6AF7" w:rsidRPr="00DD6AF7">
        <w:rPr>
          <w:sz w:val="18"/>
          <w:szCs w:val="22"/>
        </w:rPr>
        <w:t xml:space="preserve"> x </w:t>
      </w:r>
      <w:r w:rsidR="00DD6AF7">
        <w:rPr>
          <w:sz w:val="18"/>
          <w:szCs w:val="22"/>
        </w:rPr>
        <w:t>(</w:t>
      </w:r>
      <w:r w:rsidR="00DD6AF7" w:rsidRPr="00DD6AF7">
        <w:rPr>
          <w:sz w:val="18"/>
          <w:szCs w:val="22"/>
        </w:rPr>
        <w:t>365.25</w:t>
      </w:r>
      <w:r w:rsidR="00DD6AF7">
        <w:rPr>
          <w:sz w:val="18"/>
          <w:szCs w:val="22"/>
        </w:rPr>
        <w:t>/2)</w:t>
      </w:r>
    </w:p>
    <w:p w14:paraId="3BCD3817" w14:textId="5302BC57" w:rsidR="00404D38" w:rsidRPr="003C65D6" w:rsidRDefault="00D95D5E" w:rsidP="00404D38">
      <w:pPr>
        <w:pStyle w:val="3-BodyText"/>
        <w:numPr>
          <w:ilvl w:val="1"/>
          <w:numId w:val="1"/>
        </w:numPr>
        <w:rPr>
          <w:i/>
          <w:iCs/>
          <w:color w:val="000000" w:themeColor="text1"/>
        </w:rPr>
      </w:pPr>
      <w:bookmarkStart w:id="96" w:name="_Hlk107307804"/>
      <w:r w:rsidRPr="00725032">
        <w:rPr>
          <w:color w:val="000000" w:themeColor="text1"/>
        </w:rPr>
        <w:t xml:space="preserve">The cost per patient </w:t>
      </w:r>
      <w:r w:rsidR="00830067">
        <w:rPr>
          <w:color w:val="000000" w:themeColor="text1"/>
        </w:rPr>
        <w:t>receiving 40</w:t>
      </w:r>
      <w:r w:rsidR="0017081E">
        <w:rPr>
          <w:color w:val="000000" w:themeColor="text1"/>
        </w:rPr>
        <w:t> mcg</w:t>
      </w:r>
      <w:r w:rsidR="00830067">
        <w:rPr>
          <w:color w:val="000000" w:themeColor="text1"/>
        </w:rPr>
        <w:t xml:space="preserve">/kg </w:t>
      </w:r>
      <w:r w:rsidRPr="00725032">
        <w:rPr>
          <w:color w:val="000000" w:themeColor="text1"/>
        </w:rPr>
        <w:t>per year varied between the PEDFIC 2 trial, economic model, and the financial estimates</w:t>
      </w:r>
      <w:r w:rsidRPr="00890862">
        <w:rPr>
          <w:i/>
          <w:iCs/>
          <w:color w:val="000000" w:themeColor="text1"/>
        </w:rPr>
        <w:t xml:space="preserve">. </w:t>
      </w:r>
      <w:r w:rsidRPr="00CF4B08">
        <w:rPr>
          <w:color w:val="000000" w:themeColor="text1"/>
        </w:rPr>
        <w:t>Th</w:t>
      </w:r>
      <w:r w:rsidR="00725032" w:rsidRPr="00CF4B08">
        <w:rPr>
          <w:color w:val="000000" w:themeColor="text1"/>
        </w:rPr>
        <w:t>e difference in cost per patient per year were due to</w:t>
      </w:r>
      <w:r w:rsidRPr="00CF4B08">
        <w:rPr>
          <w:color w:val="000000" w:themeColor="text1"/>
        </w:rPr>
        <w:t xml:space="preserve"> differences in the treatment duration of odevixibat (2.22 years</w:t>
      </w:r>
      <w:r w:rsidR="002142FE" w:rsidRPr="00CF4B08">
        <w:rPr>
          <w:color w:val="000000" w:themeColor="text1"/>
        </w:rPr>
        <w:t xml:space="preserve"> vs </w:t>
      </w:r>
      <w:r w:rsidR="00782B62" w:rsidRPr="00CF4B08">
        <w:rPr>
          <w:color w:val="000000" w:themeColor="text1"/>
        </w:rPr>
        <w:t xml:space="preserve">3.39 years vs </w:t>
      </w:r>
      <w:r w:rsidR="002142FE" w:rsidRPr="00CF4B08">
        <w:rPr>
          <w:color w:val="000000" w:themeColor="text1"/>
        </w:rPr>
        <w:t xml:space="preserve">6 years in the trial, model and financial estimates, respectively), </w:t>
      </w:r>
      <w:r w:rsidRPr="00CF4B08">
        <w:rPr>
          <w:color w:val="000000" w:themeColor="text1"/>
        </w:rPr>
        <w:t xml:space="preserve">and </w:t>
      </w:r>
      <w:r w:rsidR="002142FE" w:rsidRPr="00CF4B08">
        <w:rPr>
          <w:color w:val="000000" w:themeColor="text1"/>
        </w:rPr>
        <w:t>differences in the mean age of patients, which impacts the weight</w:t>
      </w:r>
      <w:r w:rsidR="00347764" w:rsidRPr="00CF4B08">
        <w:rPr>
          <w:color w:val="000000" w:themeColor="text1"/>
        </w:rPr>
        <w:t>-</w:t>
      </w:r>
      <w:r w:rsidR="002142FE" w:rsidRPr="00CF4B08">
        <w:rPr>
          <w:color w:val="000000" w:themeColor="text1"/>
        </w:rPr>
        <w:t>based dosing</w:t>
      </w:r>
      <w:r w:rsidRPr="00CF4B08">
        <w:rPr>
          <w:color w:val="000000" w:themeColor="text1"/>
        </w:rPr>
        <w:t>.</w:t>
      </w:r>
      <w:r w:rsidR="00FC3502" w:rsidRPr="00CF4B08">
        <w:rPr>
          <w:color w:val="000000" w:themeColor="text1"/>
        </w:rPr>
        <w:t xml:space="preserve"> </w:t>
      </w:r>
      <w:r w:rsidR="002142FE" w:rsidRPr="00CF4B08">
        <w:rPr>
          <w:color w:val="000000" w:themeColor="text1"/>
        </w:rPr>
        <w:t xml:space="preserve">The mean baseline age of patients in </w:t>
      </w:r>
      <w:r w:rsidR="00E409C5" w:rsidRPr="00CF4B08">
        <w:rPr>
          <w:color w:val="000000" w:themeColor="text1"/>
        </w:rPr>
        <w:t xml:space="preserve">Cohort 2 of </w:t>
      </w:r>
      <w:r w:rsidR="002142FE" w:rsidRPr="00CF4B08">
        <w:rPr>
          <w:color w:val="000000" w:themeColor="text1"/>
        </w:rPr>
        <w:t xml:space="preserve">the PEDFIC 2 </w:t>
      </w:r>
      <w:r w:rsidR="00E409C5" w:rsidRPr="00CF4B08">
        <w:rPr>
          <w:color w:val="000000" w:themeColor="text1"/>
        </w:rPr>
        <w:t xml:space="preserve">study </w:t>
      </w:r>
      <w:r w:rsidR="002142FE" w:rsidRPr="00CF4B08">
        <w:rPr>
          <w:color w:val="000000" w:themeColor="text1"/>
        </w:rPr>
        <w:t>(n=6</w:t>
      </w:r>
      <w:r w:rsidR="00E409C5" w:rsidRPr="00CF4B08">
        <w:rPr>
          <w:color w:val="000000" w:themeColor="text1"/>
        </w:rPr>
        <w:t>0</w:t>
      </w:r>
      <w:r w:rsidR="002142FE" w:rsidRPr="00CF4B08">
        <w:rPr>
          <w:color w:val="000000" w:themeColor="text1"/>
        </w:rPr>
        <w:t>) was</w:t>
      </w:r>
      <w:r w:rsidR="00265169">
        <w:rPr>
          <w:color w:val="000000" w:themeColor="text1"/>
        </w:rPr>
        <w:t xml:space="preserve"> </w:t>
      </w:r>
      <w:r w:rsidR="00E409C5" w:rsidRPr="00CF4B08">
        <w:rPr>
          <w:color w:val="000000" w:themeColor="text1"/>
        </w:rPr>
        <w:t>7.62</w:t>
      </w:r>
      <w:r w:rsidR="00FD7779" w:rsidRPr="00CF4B08">
        <w:rPr>
          <w:color w:val="000000" w:themeColor="text1"/>
        </w:rPr>
        <w:t xml:space="preserve"> years, versus the model starting age of 4.25 years, and the financial estimates which assumed a mean age of 13.8 for prevalent patients, and 4 years for incident patients. </w:t>
      </w:r>
      <w:r w:rsidR="006D3336" w:rsidRPr="00CF4B08">
        <w:rPr>
          <w:color w:val="000000" w:themeColor="text1"/>
        </w:rPr>
        <w:t>The estimates assumed a ‘</w:t>
      </w:r>
      <w:r w:rsidR="001549E4" w:rsidRPr="00DA2049">
        <w:rPr>
          <w:color w:val="000000" w:themeColor="text1"/>
          <w:w w:val="15"/>
          <w:shd w:val="solid" w:color="000000" w:fill="000000"/>
          <w:fitText w:val="-20" w:id="-693991162"/>
          <w14:textFill>
            <w14:solidFill>
              <w14:schemeClr w14:val="tx1">
                <w14:alpha w14:val="100000"/>
              </w14:schemeClr>
            </w14:solidFill>
          </w14:textFill>
        </w:rPr>
        <w:t>|</w:t>
      </w:r>
      <w:r w:rsidR="004A6DE4" w:rsidRPr="00DA2049">
        <w:rPr>
          <w:color w:val="000000" w:themeColor="text1"/>
          <w:w w:val="15"/>
          <w:shd w:val="solid" w:color="000000" w:fill="000000"/>
          <w:fitText w:val="-20" w:id="-693991162"/>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162"/>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1161"/>
          <w14:textFill>
            <w14:solidFill>
              <w14:schemeClr w14:val="tx1">
                <w14:alpha w14:val="100000"/>
              </w14:schemeClr>
            </w14:solidFill>
          </w14:textFill>
        </w:rPr>
        <w:t>|</w:t>
      </w:r>
      <w:r w:rsidR="004A6DE4" w:rsidRPr="00DA2049">
        <w:rPr>
          <w:color w:val="000000" w:themeColor="text1"/>
          <w:w w:val="15"/>
          <w:shd w:val="solid" w:color="000000" w:fill="000000"/>
          <w:fitText w:val="-20" w:id="-693991161"/>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1161"/>
          <w14:textFill>
            <w14:solidFill>
              <w14:schemeClr w14:val="tx1">
                <w14:alpha w14:val="100000"/>
              </w14:schemeClr>
            </w14:solidFill>
          </w14:textFill>
        </w:rPr>
        <w:t>|</w:t>
      </w:r>
      <w:r w:rsidR="006D3336" w:rsidRPr="00CF4B08">
        <w:rPr>
          <w:color w:val="000000" w:themeColor="text1"/>
        </w:rPr>
        <w:t xml:space="preserve"> cost’ for patients receiving the 120</w:t>
      </w:r>
      <w:r w:rsidR="0017081E">
        <w:rPr>
          <w:color w:val="000000" w:themeColor="text1"/>
        </w:rPr>
        <w:t> mcg</w:t>
      </w:r>
      <w:r w:rsidR="006D3336" w:rsidRPr="00CF4B08">
        <w:rPr>
          <w:color w:val="000000" w:themeColor="text1"/>
        </w:rPr>
        <w:t>/kg dose. I</w:t>
      </w:r>
      <w:r w:rsidR="00F01740" w:rsidRPr="00CF4B08">
        <w:rPr>
          <w:color w:val="000000" w:themeColor="text1"/>
        </w:rPr>
        <w:t xml:space="preserve">f the expenditure caps in the resubmissions proposed RSA are not met, then the cost per patient per year </w:t>
      </w:r>
      <w:r w:rsidR="006D3336" w:rsidRPr="00CF4B08">
        <w:rPr>
          <w:color w:val="000000" w:themeColor="text1"/>
        </w:rPr>
        <w:t>would be higher.</w:t>
      </w:r>
    </w:p>
    <w:p w14:paraId="612BF1C1" w14:textId="380170BC" w:rsidR="003C65D6" w:rsidRPr="000F51F7" w:rsidRDefault="003C65D6" w:rsidP="003C65D6">
      <w:pPr>
        <w:pStyle w:val="3-BodyText"/>
        <w:numPr>
          <w:ilvl w:val="1"/>
          <w:numId w:val="1"/>
        </w:numPr>
        <w:spacing w:before="0"/>
      </w:pPr>
      <w:r w:rsidRPr="000F51F7">
        <w:lastRenderedPageBreak/>
        <w:t xml:space="preserve">The ESC noted </w:t>
      </w:r>
      <w:r w:rsidR="00A265FD" w:rsidRPr="000F51F7">
        <w:t>that, in Year 1</w:t>
      </w:r>
      <w:r w:rsidR="006E46F8" w:rsidRPr="000F51F7">
        <w:t xml:space="preserve"> of</w:t>
      </w:r>
      <w:r w:rsidR="00A265FD" w:rsidRPr="000F51F7">
        <w:t xml:space="preserve"> </w:t>
      </w:r>
      <w:r w:rsidRPr="000F51F7">
        <w:t xml:space="preserve">the </w:t>
      </w:r>
      <w:r w:rsidR="00C96123" w:rsidRPr="000F51F7">
        <w:t>financial model (</w:t>
      </w:r>
      <w:r w:rsidR="006E2713" w:rsidRPr="000F51F7">
        <w:t>using the price proposed in the</w:t>
      </w:r>
      <w:r w:rsidR="00BE1565" w:rsidRPr="000F51F7">
        <w:t xml:space="preserve"> PSCR</w:t>
      </w:r>
      <w:r w:rsidR="006E2713" w:rsidRPr="000F51F7">
        <w:t xml:space="preserve"> and </w:t>
      </w:r>
      <w:r w:rsidR="00C96123" w:rsidRPr="000F51F7">
        <w:t xml:space="preserve">without implementing a </w:t>
      </w:r>
      <w:r w:rsidR="001549E4" w:rsidRPr="00DA2049">
        <w:rPr>
          <w:color w:val="000000"/>
          <w:w w:val="15"/>
          <w:shd w:val="solid" w:color="000000" w:fill="000000"/>
          <w:fitText w:val="-20" w:id="-693991160"/>
          <w14:textFill>
            <w14:solidFill>
              <w14:srgbClr w14:val="000000">
                <w14:alpha w14:val="100000"/>
              </w14:srgbClr>
            </w14:solidFill>
          </w14:textFill>
        </w:rPr>
        <w:t>|</w:t>
      </w:r>
      <w:r w:rsidR="004A6DE4" w:rsidRPr="00DA2049">
        <w:rPr>
          <w:color w:val="000000"/>
          <w:w w:val="15"/>
          <w:shd w:val="solid" w:color="000000" w:fill="000000"/>
          <w:fitText w:val="-20" w:id="-693991160"/>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160"/>
          <w14:textFill>
            <w14:solidFill>
              <w14:srgbClr w14:val="000000">
                <w14:alpha w14:val="100000"/>
              </w14:srgbClr>
            </w14:solidFill>
          </w14:textFill>
        </w:rPr>
        <w:t>|</w:t>
      </w:r>
      <w:r w:rsidR="00BB1289" w:rsidRPr="00BB1289">
        <w:t xml:space="preserve"> </w:t>
      </w:r>
      <w:r w:rsidR="001549E4" w:rsidRPr="00DA2049">
        <w:rPr>
          <w:color w:val="000000"/>
          <w:w w:val="15"/>
          <w:shd w:val="solid" w:color="000000" w:fill="000000"/>
          <w:fitText w:val="-20" w:id="-693991159"/>
          <w14:textFill>
            <w14:solidFill>
              <w14:srgbClr w14:val="000000">
                <w14:alpha w14:val="100000"/>
              </w14:srgbClr>
            </w14:solidFill>
          </w14:textFill>
        </w:rPr>
        <w:t>|</w:t>
      </w:r>
      <w:r w:rsidR="004A6DE4" w:rsidRPr="00DA2049">
        <w:rPr>
          <w:color w:val="000000"/>
          <w:w w:val="15"/>
          <w:shd w:val="solid" w:color="000000" w:fill="000000"/>
          <w:fitText w:val="-20" w:id="-693991159"/>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159"/>
          <w14:textFill>
            <w14:solidFill>
              <w14:srgbClr w14:val="000000">
                <w14:alpha w14:val="100000"/>
              </w14:srgbClr>
            </w14:solidFill>
          </w14:textFill>
        </w:rPr>
        <w:t>|</w:t>
      </w:r>
      <w:r w:rsidR="00C96123" w:rsidRPr="000F51F7">
        <w:t xml:space="preserve"> cost) </w:t>
      </w:r>
      <w:r w:rsidR="009A51F5" w:rsidRPr="000F51F7">
        <w:t>the</w:t>
      </w:r>
      <w:r w:rsidR="00C96123" w:rsidRPr="000F51F7">
        <w:t xml:space="preserve"> </w:t>
      </w:r>
      <w:r w:rsidRPr="000F51F7">
        <w:t>annual cost per responding prevalent patient at the 40</w:t>
      </w:r>
      <w:r w:rsidR="0017081E">
        <w:t> mcg</w:t>
      </w:r>
      <w:r w:rsidRPr="000F51F7">
        <w:t>/kg/day dose was $</w:t>
      </w:r>
      <w:r w:rsidR="001549E4" w:rsidRPr="00DA2049">
        <w:rPr>
          <w:color w:val="000000"/>
          <w:w w:val="15"/>
          <w:shd w:val="solid" w:color="000000" w:fill="000000"/>
          <w:fitText w:val="-20" w:id="-693991158"/>
          <w14:textFill>
            <w14:solidFill>
              <w14:srgbClr w14:val="000000">
                <w14:alpha w14:val="100000"/>
              </w14:srgbClr>
            </w14:solidFill>
          </w14:textFill>
        </w:rPr>
        <w:t>|</w:t>
      </w:r>
      <w:r w:rsidR="004A6DE4" w:rsidRPr="00DA2049">
        <w:rPr>
          <w:color w:val="000000"/>
          <w:w w:val="15"/>
          <w:shd w:val="solid" w:color="000000" w:fill="000000"/>
          <w:fitText w:val="-20" w:id="-693991158"/>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158"/>
          <w14:textFill>
            <w14:solidFill>
              <w14:srgbClr w14:val="000000">
                <w14:alpha w14:val="100000"/>
              </w14:srgbClr>
            </w14:solidFill>
          </w14:textFill>
        </w:rPr>
        <w:t>|</w:t>
      </w:r>
      <w:r w:rsidR="0059237B" w:rsidRPr="000F51F7">
        <w:rPr>
          <w:rStyle w:val="FootnoteReference"/>
        </w:rPr>
        <w:footnoteReference w:id="6"/>
      </w:r>
      <w:r w:rsidR="008D7A19" w:rsidRPr="000F51F7">
        <w:t xml:space="preserve"> </w:t>
      </w:r>
      <w:r w:rsidR="00B0792C" w:rsidRPr="000F51F7">
        <w:t xml:space="preserve">and </w:t>
      </w:r>
      <w:r w:rsidRPr="000F51F7">
        <w:t>at the 120</w:t>
      </w:r>
      <w:r w:rsidR="0017081E">
        <w:t> mcg</w:t>
      </w:r>
      <w:r w:rsidRPr="000F51F7">
        <w:t>/kg/day dose was $</w:t>
      </w:r>
      <w:r w:rsidR="001549E4" w:rsidRPr="00DA2049">
        <w:rPr>
          <w:color w:val="000000"/>
          <w:w w:val="15"/>
          <w:shd w:val="solid" w:color="000000" w:fill="000000"/>
          <w:fitText w:val="-20" w:id="-693991157"/>
          <w14:textFill>
            <w14:solidFill>
              <w14:srgbClr w14:val="000000">
                <w14:alpha w14:val="100000"/>
              </w14:srgbClr>
            </w14:solidFill>
          </w14:textFill>
        </w:rPr>
        <w:t>|</w:t>
      </w:r>
      <w:r w:rsidR="004A6DE4" w:rsidRPr="00DA2049">
        <w:rPr>
          <w:color w:val="000000"/>
          <w:w w:val="15"/>
          <w:shd w:val="solid" w:color="000000" w:fill="000000"/>
          <w:fitText w:val="-20" w:id="-693991157"/>
          <w14:textFill>
            <w14:solidFill>
              <w14:srgbClr w14:val="000000">
                <w14:alpha w14:val="100000"/>
              </w14:srgbClr>
            </w14:solidFill>
          </w14:textFill>
        </w:rPr>
        <w:t xml:space="preserve"> </w:t>
      </w:r>
      <w:r w:rsidR="001549E4" w:rsidRPr="00DA2049">
        <w:rPr>
          <w:color w:val="000000"/>
          <w:spacing w:val="-61"/>
          <w:w w:val="15"/>
          <w:shd w:val="solid" w:color="000000" w:fill="000000"/>
          <w:fitText w:val="-20" w:id="-693991157"/>
          <w14:textFill>
            <w14:solidFill>
              <w14:srgbClr w14:val="000000">
                <w14:alpha w14:val="100000"/>
              </w14:srgbClr>
            </w14:solidFill>
          </w14:textFill>
        </w:rPr>
        <w:t>|</w:t>
      </w:r>
      <w:r w:rsidR="0059237B" w:rsidRPr="000F51F7">
        <w:rPr>
          <w:rStyle w:val="FootnoteReference"/>
        </w:rPr>
        <w:footnoteReference w:id="7"/>
      </w:r>
      <w:r w:rsidRPr="000F51F7">
        <w:t>.</w:t>
      </w:r>
    </w:p>
    <w:p w14:paraId="4AED9402" w14:textId="77777777" w:rsidR="00404D38" w:rsidRPr="00CF4B08" w:rsidRDefault="00404D38" w:rsidP="00404D38">
      <w:pPr>
        <w:pStyle w:val="4-SubsectionHeading"/>
        <w:rPr>
          <w:iCs/>
        </w:rPr>
      </w:pPr>
      <w:bookmarkStart w:id="97" w:name="_Toc22897647"/>
      <w:bookmarkStart w:id="98" w:name="_Toc184822919"/>
      <w:bookmarkStart w:id="99" w:name="_Toc188451882"/>
      <w:bookmarkEnd w:id="96"/>
      <w:r w:rsidRPr="00CF4B08">
        <w:rPr>
          <w:iCs/>
        </w:rPr>
        <w:t>Estimated PBS usage &amp; financial implications</w:t>
      </w:r>
      <w:bookmarkEnd w:id="97"/>
      <w:bookmarkEnd w:id="98"/>
      <w:bookmarkEnd w:id="99"/>
    </w:p>
    <w:p w14:paraId="1E6936D0" w14:textId="6F4EA6B9" w:rsidR="0033092D" w:rsidRPr="0033092D" w:rsidRDefault="00404D38" w:rsidP="0033092D">
      <w:pPr>
        <w:pStyle w:val="3-BodyText"/>
        <w:numPr>
          <w:ilvl w:val="1"/>
          <w:numId w:val="1"/>
        </w:numPr>
        <w:rPr>
          <w:color w:val="000000" w:themeColor="text1"/>
        </w:rPr>
      </w:pPr>
      <w:bookmarkStart w:id="100" w:name="_Ref185076515"/>
      <w:r w:rsidRPr="0098262F">
        <w:t xml:space="preserve">This </w:t>
      </w:r>
      <w:r w:rsidR="005C0ED6">
        <w:t>re</w:t>
      </w:r>
      <w:r w:rsidRPr="0098262F">
        <w:t xml:space="preserve">submission </w:t>
      </w:r>
      <w:r w:rsidR="005E7CB3">
        <w:t>was not</w:t>
      </w:r>
      <w:r w:rsidRPr="0098262F">
        <w:t xml:space="preserve"> considered by DUSC</w:t>
      </w:r>
      <w:r w:rsidR="005C0ED6">
        <w:t xml:space="preserve">. </w:t>
      </w:r>
      <w:r w:rsidR="007E3516">
        <w:t xml:space="preserve">In July 2024 the DUSC </w:t>
      </w:r>
      <w:r w:rsidR="00347764">
        <w:t>(</w:t>
      </w:r>
      <w:r w:rsidR="00347764">
        <w:rPr>
          <w:color w:val="000000" w:themeColor="text1"/>
        </w:rPr>
        <w:t>T</w:t>
      </w:r>
      <w:r w:rsidR="001623D9" w:rsidRPr="0033092D">
        <w:rPr>
          <w:color w:val="000000" w:themeColor="text1"/>
        </w:rPr>
        <w:t xml:space="preserve">able 21, odevixibat PSD, July 2024 PBAC meeting) </w:t>
      </w:r>
      <w:r w:rsidR="007E3516">
        <w:t>considered that the submission had likely overestimated the number of prevalent and incident patients</w:t>
      </w:r>
      <w:r w:rsidR="001623D9">
        <w:t xml:space="preserve"> </w:t>
      </w:r>
      <w:r w:rsidR="0033092D" w:rsidRPr="0033092D">
        <w:rPr>
          <w:color w:val="000000" w:themeColor="text1"/>
        </w:rPr>
        <w:t>as:</w:t>
      </w:r>
    </w:p>
    <w:p w14:paraId="45689DDB" w14:textId="5B697939" w:rsidR="0033092D" w:rsidRPr="0033092D" w:rsidRDefault="0033092D" w:rsidP="007C21AA">
      <w:pPr>
        <w:pStyle w:val="3-BodyText"/>
        <w:numPr>
          <w:ilvl w:val="0"/>
          <w:numId w:val="19"/>
        </w:numPr>
        <w:ind w:left="1080"/>
        <w:rPr>
          <w:color w:val="000000" w:themeColor="text1"/>
        </w:rPr>
      </w:pPr>
      <w:r w:rsidRPr="0033092D">
        <w:rPr>
          <w:color w:val="000000" w:themeColor="text1"/>
        </w:rPr>
        <w:t>Prevalence should not apply to entire population, but to the population aged 0</w:t>
      </w:r>
      <w:r w:rsidR="00921CB2">
        <w:rPr>
          <w:color w:val="000000" w:themeColor="text1"/>
        </w:rPr>
        <w:noBreakHyphen/>
      </w:r>
      <w:r w:rsidRPr="0033092D">
        <w:rPr>
          <w:color w:val="000000" w:themeColor="text1"/>
        </w:rPr>
        <w:t>19</w:t>
      </w:r>
      <w:r w:rsidR="00921CB2">
        <w:rPr>
          <w:color w:val="000000" w:themeColor="text1"/>
        </w:rPr>
        <w:t> </w:t>
      </w:r>
      <w:r w:rsidRPr="0033092D">
        <w:rPr>
          <w:color w:val="000000" w:themeColor="text1"/>
        </w:rPr>
        <w:t xml:space="preserve">years and adult patients estimated separately; and </w:t>
      </w:r>
    </w:p>
    <w:p w14:paraId="597CC1A9" w14:textId="59F942F6" w:rsidR="0033092D" w:rsidRPr="0033092D" w:rsidRDefault="0033092D" w:rsidP="007C21AA">
      <w:pPr>
        <w:pStyle w:val="3-BodyText"/>
        <w:numPr>
          <w:ilvl w:val="0"/>
          <w:numId w:val="19"/>
        </w:numPr>
        <w:ind w:left="1080"/>
        <w:rPr>
          <w:color w:val="000000" w:themeColor="text1"/>
        </w:rPr>
      </w:pPr>
      <w:r w:rsidRPr="0033092D">
        <w:rPr>
          <w:color w:val="000000" w:themeColor="text1"/>
        </w:rPr>
        <w:t>An estimate of 2-3 incident patients per year based on applying 0.07/10,000 live births may be more reasonable</w:t>
      </w:r>
      <w:r w:rsidR="00111F7B">
        <w:rPr>
          <w:color w:val="000000" w:themeColor="text1"/>
        </w:rPr>
        <w:t xml:space="preserve"> than </w:t>
      </w:r>
      <w:r w:rsidR="002610E8">
        <w:rPr>
          <w:color w:val="000000" w:themeColor="text1"/>
        </w:rPr>
        <w:t xml:space="preserve">the </w:t>
      </w:r>
      <w:r w:rsidR="00111F7B">
        <w:rPr>
          <w:color w:val="000000" w:themeColor="text1"/>
        </w:rPr>
        <w:t>6 patients per year</w:t>
      </w:r>
      <w:r w:rsidR="002610E8">
        <w:rPr>
          <w:color w:val="000000" w:themeColor="text1"/>
        </w:rPr>
        <w:t xml:space="preserve"> estimated</w:t>
      </w:r>
      <w:r w:rsidR="00111F7B">
        <w:rPr>
          <w:color w:val="000000" w:themeColor="text1"/>
        </w:rPr>
        <w:t>.</w:t>
      </w:r>
      <w:r w:rsidRPr="0033092D">
        <w:rPr>
          <w:color w:val="000000" w:themeColor="text1"/>
        </w:rPr>
        <w:t xml:space="preserve"> </w:t>
      </w:r>
    </w:p>
    <w:p w14:paraId="07E7DC40" w14:textId="315099BD" w:rsidR="0033092D" w:rsidRDefault="0033092D" w:rsidP="0033092D">
      <w:pPr>
        <w:pStyle w:val="3-BodyText"/>
        <w:numPr>
          <w:ilvl w:val="0"/>
          <w:numId w:val="0"/>
        </w:numPr>
        <w:spacing w:before="0"/>
        <w:ind w:left="720"/>
      </w:pPr>
      <w:r w:rsidRPr="00CF4B08">
        <w:rPr>
          <w:color w:val="000000" w:themeColor="text1"/>
        </w:rPr>
        <w:t xml:space="preserve">As the </w:t>
      </w:r>
      <w:r w:rsidR="00111F7B" w:rsidRPr="00CF4B08">
        <w:rPr>
          <w:color w:val="000000" w:themeColor="text1"/>
        </w:rPr>
        <w:t>resubmission applied the same method for estimating prevalence</w:t>
      </w:r>
      <w:r w:rsidRPr="00CF4B08">
        <w:rPr>
          <w:color w:val="000000" w:themeColor="text1"/>
        </w:rPr>
        <w:t xml:space="preserve">, the same likelihood of overestimation remains. </w:t>
      </w:r>
      <w:r w:rsidR="00166CF5" w:rsidRPr="00CF4B08">
        <w:rPr>
          <w:color w:val="000000" w:themeColor="text1"/>
        </w:rPr>
        <w:t>However, t</w:t>
      </w:r>
      <w:r w:rsidR="00111F7B" w:rsidRPr="00CF4B08">
        <w:rPr>
          <w:color w:val="000000" w:themeColor="text1"/>
        </w:rPr>
        <w:t>he number of incident patients was reduced</w:t>
      </w:r>
      <w:r w:rsidR="00DE63E4">
        <w:rPr>
          <w:color w:val="000000" w:themeColor="text1"/>
        </w:rPr>
        <w:t xml:space="preserve"> to</w:t>
      </w:r>
      <w:r w:rsidR="00111F7B" w:rsidRPr="00CF4B08">
        <w:rPr>
          <w:color w:val="000000" w:themeColor="text1"/>
        </w:rPr>
        <w:t xml:space="preserve"> </w:t>
      </w:r>
      <w:r w:rsidR="004F662C">
        <w:rPr>
          <w:color w:val="000000" w:themeColor="text1"/>
        </w:rPr>
        <w:t xml:space="preserve">4 per year </w:t>
      </w:r>
      <w:r w:rsidR="00111F7B" w:rsidRPr="00CF4B08">
        <w:rPr>
          <w:color w:val="000000" w:themeColor="text1"/>
        </w:rPr>
        <w:t xml:space="preserve">to align with the Facilitated Resolution Pathway Workshop </w:t>
      </w:r>
      <w:r w:rsidR="008D7A19">
        <w:rPr>
          <w:color w:val="000000" w:themeColor="text1"/>
        </w:rPr>
        <w:t>discussion</w:t>
      </w:r>
      <w:r w:rsidR="00111F7B">
        <w:rPr>
          <w:i/>
          <w:iCs/>
          <w:color w:val="000000" w:themeColor="text1"/>
        </w:rPr>
        <w:t xml:space="preserve">. </w:t>
      </w:r>
    </w:p>
    <w:bookmarkEnd w:id="100"/>
    <w:p w14:paraId="40704B78" w14:textId="5CCD1C4B" w:rsidR="005C0ED6" w:rsidRPr="005C0ED6" w:rsidRDefault="00C565D2" w:rsidP="0033092D">
      <w:pPr>
        <w:pStyle w:val="3-BodyText"/>
        <w:numPr>
          <w:ilvl w:val="1"/>
          <w:numId w:val="1"/>
        </w:numPr>
        <w:spacing w:before="0"/>
      </w:pPr>
      <w:r>
        <w:t xml:space="preserve">As in the July 2024 submission, the resubmission used an epidemiological approach to estimate the use and financial implication of listing odevixibat. </w:t>
      </w:r>
      <w:r w:rsidR="005C0ED6" w:rsidRPr="005C0ED6">
        <w:t xml:space="preserve">The </w:t>
      </w:r>
      <w:r w:rsidR="005C0ED6">
        <w:t xml:space="preserve">key </w:t>
      </w:r>
      <w:r w:rsidR="005C0ED6" w:rsidRPr="005C0ED6">
        <w:t>data inputs and sources used to inform the financial estimates are presented in</w:t>
      </w:r>
      <w:r w:rsidR="005C0ED6">
        <w:t xml:space="preserve"> </w:t>
      </w:r>
      <w:r w:rsidR="00404D38" w:rsidRPr="005C0ED6">
        <w:rPr>
          <w:color w:val="000000" w:themeColor="text1"/>
        </w:rPr>
        <w:fldChar w:fldCharType="begin" w:fldLock="1"/>
      </w:r>
      <w:r w:rsidR="00404D38" w:rsidRPr="005C0ED6">
        <w:rPr>
          <w:color w:val="000000" w:themeColor="text1"/>
        </w:rPr>
        <w:instrText xml:space="preserve"> REF _Ref104805262 \h  \* MERGEFORMAT </w:instrText>
      </w:r>
      <w:r w:rsidR="00404D38" w:rsidRPr="005C0ED6">
        <w:rPr>
          <w:color w:val="000000" w:themeColor="text1"/>
        </w:rPr>
      </w:r>
      <w:r w:rsidR="00404D38" w:rsidRPr="005C0ED6">
        <w:rPr>
          <w:color w:val="000000" w:themeColor="text1"/>
        </w:rPr>
        <w:fldChar w:fldCharType="separate"/>
      </w:r>
      <w:r w:rsidR="003F464D" w:rsidRPr="003F464D">
        <w:rPr>
          <w:color w:val="000000" w:themeColor="text1"/>
        </w:rPr>
        <w:t>Table 19</w:t>
      </w:r>
      <w:r w:rsidR="00404D38" w:rsidRPr="005C0ED6">
        <w:rPr>
          <w:color w:val="000000" w:themeColor="text1"/>
        </w:rPr>
        <w:fldChar w:fldCharType="end"/>
      </w:r>
      <w:r w:rsidR="005C0ED6" w:rsidRPr="005C0ED6">
        <w:rPr>
          <w:color w:val="000000" w:themeColor="text1"/>
        </w:rPr>
        <w:t>.</w:t>
      </w:r>
    </w:p>
    <w:p w14:paraId="59EAD4C7" w14:textId="70B96F87" w:rsidR="00404D38" w:rsidRPr="0098262F" w:rsidRDefault="00404D38" w:rsidP="00404D38">
      <w:pPr>
        <w:pStyle w:val="Caption"/>
        <w:rPr>
          <w:rStyle w:val="CommentReference"/>
          <w:b/>
          <w:szCs w:val="24"/>
        </w:rPr>
      </w:pPr>
      <w:bookmarkStart w:id="101" w:name="_Ref104805262"/>
      <w:r w:rsidRPr="0098262F">
        <w:t xml:space="preserve">Table </w:t>
      </w:r>
      <w:r w:rsidR="003F464D">
        <w:fldChar w:fldCharType="begin" w:fldLock="1"/>
      </w:r>
      <w:r w:rsidR="003F464D">
        <w:instrText xml:space="preserve"> SEQ Table \* ARABIC </w:instrText>
      </w:r>
      <w:r w:rsidR="003F464D">
        <w:fldChar w:fldCharType="separate"/>
      </w:r>
      <w:r w:rsidR="003F464D">
        <w:rPr>
          <w:noProof/>
        </w:rPr>
        <w:t>19</w:t>
      </w:r>
      <w:r w:rsidR="003F464D">
        <w:rPr>
          <w:noProof/>
        </w:rPr>
        <w:fldChar w:fldCharType="end"/>
      </w:r>
      <w:bookmarkEnd w:id="101"/>
      <w:r w:rsidRPr="0098262F">
        <w:t>:</w:t>
      </w:r>
      <w:r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Key inputs for financial estimates"/>
      </w:tblPr>
      <w:tblGrid>
        <w:gridCol w:w="1197"/>
        <w:gridCol w:w="1634"/>
        <w:gridCol w:w="2976"/>
        <w:gridCol w:w="3210"/>
      </w:tblGrid>
      <w:tr w:rsidR="00834C18" w:rsidRPr="000F51F7" w14:paraId="2DC78E56" w14:textId="77777777" w:rsidTr="00880ECA">
        <w:trPr>
          <w:cantSplit/>
          <w:tblHeader/>
        </w:trPr>
        <w:tc>
          <w:tcPr>
            <w:tcW w:w="664" w:type="pct"/>
            <w:shd w:val="clear" w:color="auto" w:fill="auto"/>
            <w:noWrap/>
            <w:vAlign w:val="center"/>
          </w:tcPr>
          <w:p w14:paraId="04DAF039" w14:textId="77777777" w:rsidR="00834C18" w:rsidRPr="000F51F7" w:rsidRDefault="00834C18" w:rsidP="009E7361">
            <w:pPr>
              <w:jc w:val="left"/>
              <w:rPr>
                <w:rFonts w:ascii="Arial Narrow" w:hAnsi="Arial Narrow" w:cs="Times New Roman"/>
                <w:b/>
                <w:sz w:val="20"/>
                <w:szCs w:val="20"/>
              </w:rPr>
            </w:pPr>
            <w:r w:rsidRPr="000F51F7">
              <w:rPr>
                <w:rFonts w:ascii="Arial Narrow" w:hAnsi="Arial Narrow" w:cs="Times New Roman"/>
                <w:b/>
                <w:sz w:val="20"/>
                <w:szCs w:val="20"/>
              </w:rPr>
              <w:t>Parameter</w:t>
            </w:r>
          </w:p>
        </w:tc>
        <w:tc>
          <w:tcPr>
            <w:tcW w:w="906" w:type="pct"/>
            <w:shd w:val="clear" w:color="auto" w:fill="auto"/>
            <w:noWrap/>
            <w:vAlign w:val="center"/>
          </w:tcPr>
          <w:p w14:paraId="5E3E63C4" w14:textId="2DBB2BD2" w:rsidR="00834C18" w:rsidRPr="000F51F7" w:rsidRDefault="00633EBE" w:rsidP="009E7361">
            <w:pPr>
              <w:jc w:val="left"/>
              <w:rPr>
                <w:rFonts w:ascii="Arial Narrow" w:hAnsi="Arial Narrow" w:cs="Times New Roman"/>
                <w:b/>
                <w:sz w:val="20"/>
                <w:szCs w:val="20"/>
              </w:rPr>
            </w:pPr>
            <w:r w:rsidRPr="000F51F7">
              <w:rPr>
                <w:rFonts w:ascii="Arial Narrow" w:hAnsi="Arial Narrow" w:cs="Times New Roman"/>
                <w:b/>
                <w:sz w:val="20"/>
                <w:szCs w:val="20"/>
              </w:rPr>
              <w:t>July 2024 submission</w:t>
            </w:r>
          </w:p>
        </w:tc>
        <w:tc>
          <w:tcPr>
            <w:tcW w:w="1650" w:type="pct"/>
            <w:shd w:val="clear" w:color="auto" w:fill="auto"/>
            <w:noWrap/>
            <w:vAlign w:val="center"/>
          </w:tcPr>
          <w:p w14:paraId="1A8644BA" w14:textId="77777777" w:rsidR="00834C18" w:rsidRPr="000F51F7" w:rsidRDefault="00834C18" w:rsidP="009E7361">
            <w:pPr>
              <w:jc w:val="left"/>
              <w:rPr>
                <w:rFonts w:ascii="Arial Narrow" w:hAnsi="Arial Narrow" w:cs="Times New Roman"/>
                <w:b/>
                <w:sz w:val="20"/>
                <w:szCs w:val="20"/>
                <w:vertAlign w:val="superscript"/>
              </w:rPr>
            </w:pPr>
            <w:r w:rsidRPr="000F51F7">
              <w:rPr>
                <w:rFonts w:ascii="Arial Narrow" w:hAnsi="Arial Narrow" w:cs="Times New Roman"/>
                <w:b/>
                <w:sz w:val="20"/>
                <w:szCs w:val="20"/>
              </w:rPr>
              <w:t xml:space="preserve">DUSC/PSD comment </w:t>
            </w:r>
          </w:p>
        </w:tc>
        <w:tc>
          <w:tcPr>
            <w:tcW w:w="1780" w:type="pct"/>
            <w:shd w:val="clear" w:color="auto" w:fill="auto"/>
            <w:noWrap/>
            <w:vAlign w:val="center"/>
          </w:tcPr>
          <w:p w14:paraId="2C0743FA" w14:textId="3BA37953" w:rsidR="00834C18" w:rsidRPr="000F51F7" w:rsidRDefault="00834C18" w:rsidP="009E7361">
            <w:pPr>
              <w:jc w:val="left"/>
              <w:rPr>
                <w:rFonts w:ascii="Arial Narrow" w:hAnsi="Arial Narrow" w:cs="Times New Roman"/>
                <w:b/>
                <w:sz w:val="20"/>
                <w:szCs w:val="20"/>
              </w:rPr>
            </w:pPr>
            <w:r w:rsidRPr="000F51F7">
              <w:rPr>
                <w:rFonts w:ascii="Arial Narrow" w:hAnsi="Arial Narrow" w:cs="Times New Roman"/>
                <w:b/>
                <w:sz w:val="20"/>
                <w:szCs w:val="20"/>
              </w:rPr>
              <w:t>Resubmission</w:t>
            </w:r>
            <w:r w:rsidR="00B81DC5" w:rsidRPr="000F51F7">
              <w:rPr>
                <w:rFonts w:ascii="Arial Narrow" w:hAnsi="Arial Narrow" w:cs="Times New Roman"/>
                <w:b/>
                <w:sz w:val="20"/>
                <w:szCs w:val="20"/>
              </w:rPr>
              <w:t>/Evaluation</w:t>
            </w:r>
            <w:r w:rsidRPr="000F51F7">
              <w:rPr>
                <w:rFonts w:ascii="Arial Narrow" w:hAnsi="Arial Narrow" w:cs="Times New Roman"/>
                <w:b/>
                <w:sz w:val="20"/>
                <w:szCs w:val="20"/>
              </w:rPr>
              <w:t xml:space="preserve"> Comment</w:t>
            </w:r>
          </w:p>
        </w:tc>
      </w:tr>
      <w:tr w:rsidR="00834C18" w:rsidRPr="000F51F7" w14:paraId="6766CEA2" w14:textId="77777777" w:rsidTr="00880ECA">
        <w:trPr>
          <w:cantSplit/>
        </w:trPr>
        <w:tc>
          <w:tcPr>
            <w:tcW w:w="664" w:type="pct"/>
            <w:shd w:val="clear" w:color="auto" w:fill="auto"/>
            <w:vAlign w:val="center"/>
          </w:tcPr>
          <w:p w14:paraId="5BAC3BC7"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Prevalent patients</w:t>
            </w:r>
          </w:p>
        </w:tc>
        <w:tc>
          <w:tcPr>
            <w:tcW w:w="906" w:type="pct"/>
            <w:shd w:val="clear" w:color="auto" w:fill="auto"/>
            <w:vAlign w:val="center"/>
          </w:tcPr>
          <w:p w14:paraId="797E2685" w14:textId="01A92E59"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PFIC prevalence rate of 0.07 per 10,000 people presented by Baker et al (Baker et al 2019) was used to estimate the Australian prevalent PFIC population. </w:t>
            </w:r>
          </w:p>
        </w:tc>
        <w:tc>
          <w:tcPr>
            <w:tcW w:w="1650" w:type="pct"/>
            <w:shd w:val="clear" w:color="auto" w:fill="auto"/>
            <w:vAlign w:val="center"/>
          </w:tcPr>
          <w:p w14:paraId="7798A55D" w14:textId="577023AC"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DUSC considered that applying this rate to the entire population may not have been appropriate. DUSC commented that this rate could be applied to the population aged 0-19 years old but suggested that the older population were more likely to have undergone </w:t>
            </w:r>
            <w:r w:rsidR="00F956BD" w:rsidRPr="000F51F7">
              <w:rPr>
                <w:rFonts w:ascii="Arial Narrow" w:hAnsi="Arial Narrow" w:cs="Times New Roman"/>
                <w:bCs/>
                <w:sz w:val="20"/>
                <w:szCs w:val="20"/>
              </w:rPr>
              <w:t>LT</w:t>
            </w:r>
            <w:r w:rsidRPr="000F51F7">
              <w:rPr>
                <w:rFonts w:ascii="Arial Narrow" w:hAnsi="Arial Narrow" w:cs="Times New Roman"/>
                <w:bCs/>
                <w:sz w:val="20"/>
                <w:szCs w:val="20"/>
              </w:rPr>
              <w:t xml:space="preserve"> or have died and considered that the utilisation in adults should be estimated separately. (Table 21, odevixibat PSD, July 2024 PBAC meeting)</w:t>
            </w:r>
          </w:p>
        </w:tc>
        <w:tc>
          <w:tcPr>
            <w:tcW w:w="1780" w:type="pct"/>
            <w:shd w:val="clear" w:color="auto" w:fill="auto"/>
            <w:vAlign w:val="center"/>
          </w:tcPr>
          <w:p w14:paraId="54B9650F" w14:textId="32066A44" w:rsidR="00834C18" w:rsidRPr="000F51F7" w:rsidRDefault="00834C18" w:rsidP="00B81DC5">
            <w:pPr>
              <w:jc w:val="left"/>
              <w:rPr>
                <w:rFonts w:ascii="Arial Narrow" w:hAnsi="Arial Narrow" w:cs="Times New Roman"/>
                <w:bCs/>
                <w:sz w:val="20"/>
                <w:szCs w:val="20"/>
                <w:vertAlign w:val="superscript"/>
              </w:rPr>
            </w:pPr>
            <w:r w:rsidRPr="000F51F7">
              <w:rPr>
                <w:rFonts w:ascii="Arial Narrow" w:hAnsi="Arial Narrow" w:cs="Times New Roman"/>
                <w:bCs/>
                <w:sz w:val="20"/>
                <w:szCs w:val="20"/>
              </w:rPr>
              <w:t xml:space="preserve">The rate of 0.07 per 10,000 was maintained for the entire population, which appeared inconsistent with DUSC advice, and may overestimate </w:t>
            </w:r>
            <w:r w:rsidR="0021473A" w:rsidRPr="000F51F7">
              <w:rPr>
                <w:rFonts w:ascii="Arial Narrow" w:hAnsi="Arial Narrow" w:cs="Times New Roman"/>
                <w:bCs/>
                <w:sz w:val="20"/>
                <w:szCs w:val="20"/>
              </w:rPr>
              <w:t xml:space="preserve">the </w:t>
            </w:r>
            <w:r w:rsidRPr="000F51F7">
              <w:rPr>
                <w:rFonts w:ascii="Arial Narrow" w:hAnsi="Arial Narrow" w:cs="Times New Roman"/>
                <w:bCs/>
                <w:sz w:val="20"/>
                <w:szCs w:val="20"/>
              </w:rPr>
              <w:t xml:space="preserve">prevalent </w:t>
            </w:r>
            <w:r w:rsidR="0021473A" w:rsidRPr="000F51F7">
              <w:rPr>
                <w:rFonts w:ascii="Arial Narrow" w:hAnsi="Arial Narrow" w:cs="Times New Roman"/>
                <w:bCs/>
                <w:sz w:val="20"/>
                <w:szCs w:val="20"/>
              </w:rPr>
              <w:t>adult population</w:t>
            </w:r>
            <w:r w:rsidRPr="000F51F7">
              <w:rPr>
                <w:rFonts w:ascii="Arial Narrow" w:hAnsi="Arial Narrow" w:cs="Times New Roman"/>
                <w:bCs/>
                <w:sz w:val="20"/>
                <w:szCs w:val="20"/>
              </w:rPr>
              <w:t>.</w:t>
            </w:r>
            <w:r w:rsidR="00632524" w:rsidRPr="000F51F7">
              <w:t xml:space="preserve"> </w:t>
            </w:r>
            <w:r w:rsidR="00632524" w:rsidRPr="000F51F7">
              <w:rPr>
                <w:rFonts w:ascii="Arial Narrow" w:hAnsi="Arial Narrow" w:cs="Times New Roman"/>
                <w:bCs/>
                <w:sz w:val="20"/>
                <w:szCs w:val="20"/>
              </w:rPr>
              <w:t>The DUSC previously noted that the prevalence estimate of 0.07 per 10,000 people was likely derived by multiplying the reported incidence of intrahepatic cholestasis (1 per 18,000 live births) by the estimated prevalence of PFIC among intrahepatic cholestasis patients (12.9%).</w:t>
            </w:r>
          </w:p>
        </w:tc>
      </w:tr>
      <w:tr w:rsidR="00834C18" w:rsidRPr="000F51F7" w14:paraId="06725879" w14:textId="77777777" w:rsidTr="00880ECA">
        <w:trPr>
          <w:cantSplit/>
        </w:trPr>
        <w:tc>
          <w:tcPr>
            <w:tcW w:w="664" w:type="pct"/>
            <w:shd w:val="clear" w:color="auto" w:fill="auto"/>
            <w:vAlign w:val="center"/>
          </w:tcPr>
          <w:p w14:paraId="6E12030D"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Incident patients</w:t>
            </w:r>
          </w:p>
        </w:tc>
        <w:tc>
          <w:tcPr>
            <w:tcW w:w="906" w:type="pct"/>
            <w:shd w:val="clear" w:color="auto" w:fill="auto"/>
            <w:vAlign w:val="center"/>
          </w:tcPr>
          <w:p w14:paraId="4556E662" w14:textId="17D54666" w:rsidR="00F65EFF"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The PFIC incident patient population of 1 in every 50,000 was calculated from the rate presented by Davit Spraul 2009.</w:t>
            </w:r>
            <w:r w:rsidR="00F65EFF" w:rsidRPr="000F51F7">
              <w:rPr>
                <w:rFonts w:ascii="Arial Narrow" w:hAnsi="Arial Narrow" w:cs="Times New Roman"/>
                <w:bCs/>
                <w:sz w:val="20"/>
                <w:szCs w:val="20"/>
              </w:rPr>
              <w:t xml:space="preserve"> </w:t>
            </w:r>
          </w:p>
        </w:tc>
        <w:tc>
          <w:tcPr>
            <w:tcW w:w="1650" w:type="pct"/>
            <w:shd w:val="clear" w:color="auto" w:fill="auto"/>
            <w:vAlign w:val="center"/>
          </w:tcPr>
          <w:p w14:paraId="31D125FA" w14:textId="49A8A07E"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DUSC considered that the incidence rate may be overestimated. DUSC considered </w:t>
            </w:r>
            <w:r w:rsidR="00F956BD" w:rsidRPr="000F51F7">
              <w:rPr>
                <w:rFonts w:ascii="Arial Narrow" w:hAnsi="Arial Narrow" w:cs="Times New Roman"/>
                <w:bCs/>
                <w:sz w:val="20"/>
                <w:szCs w:val="20"/>
              </w:rPr>
              <w:t>an</w:t>
            </w:r>
            <w:r w:rsidRPr="000F51F7">
              <w:rPr>
                <w:rFonts w:ascii="Arial Narrow" w:hAnsi="Arial Narrow" w:cs="Times New Roman"/>
                <w:bCs/>
                <w:sz w:val="20"/>
                <w:szCs w:val="20"/>
              </w:rPr>
              <w:t xml:space="preserve"> estimate of 2-3 per year may be more reasonable than the estimated number of 6 in the submission (Table 21, odevixibat PSD, July 2024 PBAC meeting).</w:t>
            </w:r>
          </w:p>
        </w:tc>
        <w:tc>
          <w:tcPr>
            <w:tcW w:w="1780" w:type="pct"/>
            <w:shd w:val="clear" w:color="auto" w:fill="auto"/>
            <w:vAlign w:val="center"/>
          </w:tcPr>
          <w:p w14:paraId="30FA1E8A" w14:textId="137C3EB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An incidence rate of 4 patients per year, an average of the two estimates was adopted</w:t>
            </w:r>
            <w:r w:rsidR="00F956BD" w:rsidRPr="000F51F7">
              <w:rPr>
                <w:rFonts w:ascii="Arial Narrow" w:hAnsi="Arial Narrow" w:cs="Times New Roman"/>
                <w:bCs/>
                <w:sz w:val="20"/>
                <w:szCs w:val="20"/>
              </w:rPr>
              <w:t xml:space="preserve"> in the resubmission.</w:t>
            </w:r>
          </w:p>
        </w:tc>
      </w:tr>
      <w:tr w:rsidR="00834C18" w:rsidRPr="000F51F7" w14:paraId="5249DC5A" w14:textId="77777777" w:rsidTr="00880ECA">
        <w:trPr>
          <w:cantSplit/>
        </w:trPr>
        <w:tc>
          <w:tcPr>
            <w:tcW w:w="664" w:type="pct"/>
            <w:shd w:val="clear" w:color="auto" w:fill="auto"/>
            <w:vAlign w:val="center"/>
          </w:tcPr>
          <w:p w14:paraId="6BB8C03E"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lastRenderedPageBreak/>
              <w:t xml:space="preserve">PFIC2 </w:t>
            </w:r>
            <w:r w:rsidRPr="003E58B6">
              <w:rPr>
                <w:rFonts w:ascii="Arial Narrow" w:hAnsi="Arial Narrow" w:cs="Times New Roman"/>
                <w:bCs/>
                <w:i/>
                <w:iCs/>
                <w:sz w:val="20"/>
                <w:szCs w:val="20"/>
              </w:rPr>
              <w:t xml:space="preserve">BSEP3 </w:t>
            </w:r>
            <w:r w:rsidRPr="000F51F7">
              <w:rPr>
                <w:rFonts w:ascii="Arial Narrow" w:hAnsi="Arial Narrow" w:cs="Times New Roman"/>
                <w:bCs/>
                <w:sz w:val="20"/>
                <w:szCs w:val="20"/>
              </w:rPr>
              <w:t>Subtype</w:t>
            </w:r>
          </w:p>
        </w:tc>
        <w:tc>
          <w:tcPr>
            <w:tcW w:w="906" w:type="pct"/>
            <w:shd w:val="clear" w:color="auto" w:fill="auto"/>
            <w:vAlign w:val="center"/>
          </w:tcPr>
          <w:p w14:paraId="29B403C2" w14:textId="35BAB24E"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PFIC2 </w:t>
            </w:r>
            <w:r w:rsidRPr="003E58B6">
              <w:rPr>
                <w:rFonts w:ascii="Arial Narrow" w:hAnsi="Arial Narrow" w:cs="Times New Roman"/>
                <w:bCs/>
                <w:i/>
                <w:iCs/>
                <w:sz w:val="20"/>
                <w:szCs w:val="20"/>
              </w:rPr>
              <w:t>BSEP3</w:t>
            </w:r>
            <w:r w:rsidRPr="000F51F7">
              <w:rPr>
                <w:rFonts w:ascii="Arial Narrow" w:hAnsi="Arial Narrow" w:cs="Times New Roman"/>
                <w:bCs/>
                <w:sz w:val="20"/>
                <w:szCs w:val="20"/>
              </w:rPr>
              <w:t xml:space="preserve"> genetic subtype group was excluded from patient estimates in the July 2024 submission.</w:t>
            </w:r>
          </w:p>
          <w:p w14:paraId="7A00FF6B" w14:textId="77777777" w:rsidR="00834C18" w:rsidRPr="000F51F7" w:rsidRDefault="00834C18" w:rsidP="009E7361">
            <w:pPr>
              <w:jc w:val="left"/>
              <w:rPr>
                <w:rFonts w:ascii="Arial Narrow" w:hAnsi="Arial Narrow" w:cs="Times New Roman"/>
                <w:bCs/>
                <w:sz w:val="20"/>
                <w:szCs w:val="20"/>
              </w:rPr>
            </w:pPr>
          </w:p>
          <w:p w14:paraId="135392D3"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proportion of patients with PFIC2 </w:t>
            </w:r>
            <w:r w:rsidRPr="003E58B6">
              <w:rPr>
                <w:rFonts w:ascii="Arial Narrow" w:hAnsi="Arial Narrow" w:cs="Times New Roman"/>
                <w:bCs/>
                <w:i/>
                <w:iCs/>
                <w:sz w:val="20"/>
                <w:szCs w:val="20"/>
              </w:rPr>
              <w:t>BSEP3</w:t>
            </w:r>
            <w:r w:rsidRPr="000F51F7">
              <w:rPr>
                <w:rFonts w:ascii="Arial Narrow" w:hAnsi="Arial Narrow" w:cs="Times New Roman"/>
                <w:bCs/>
                <w:sz w:val="20"/>
                <w:szCs w:val="20"/>
              </w:rPr>
              <w:t xml:space="preserve"> (7%) was based on </w:t>
            </w:r>
            <w:proofErr w:type="spellStart"/>
            <w:r w:rsidRPr="000F51F7">
              <w:rPr>
                <w:rFonts w:ascii="Arial Narrow" w:hAnsi="Arial Narrow" w:cs="Times New Roman"/>
                <w:bCs/>
                <w:sz w:val="20"/>
                <w:szCs w:val="20"/>
              </w:rPr>
              <w:t>Alsohaibani</w:t>
            </w:r>
            <w:proofErr w:type="spellEnd"/>
            <w:r w:rsidRPr="000F51F7">
              <w:rPr>
                <w:rFonts w:ascii="Arial Narrow" w:hAnsi="Arial Narrow" w:cs="Times New Roman"/>
                <w:bCs/>
                <w:sz w:val="20"/>
                <w:szCs w:val="20"/>
              </w:rPr>
              <w:t xml:space="preserve"> 2023 and Van Wessel 2020.</w:t>
            </w:r>
          </w:p>
        </w:tc>
        <w:tc>
          <w:tcPr>
            <w:tcW w:w="1650" w:type="pct"/>
            <w:shd w:val="clear" w:color="auto" w:fill="auto"/>
            <w:vAlign w:val="center"/>
          </w:tcPr>
          <w:p w14:paraId="5F120961" w14:textId="222A40DB" w:rsidR="00834C18" w:rsidRPr="000F51F7" w:rsidRDefault="00921E40" w:rsidP="008B3CBC">
            <w:pPr>
              <w:jc w:val="left"/>
            </w:pPr>
            <w:r w:rsidRPr="000F51F7">
              <w:rPr>
                <w:rFonts w:ascii="Arial Narrow" w:hAnsi="Arial Narrow" w:cs="Times New Roman"/>
                <w:bCs/>
                <w:sz w:val="20"/>
                <w:szCs w:val="20"/>
              </w:rPr>
              <w:t xml:space="preserve">The proposed restriction did not exclude patients according to PFIC subtype. </w:t>
            </w:r>
            <w:r w:rsidR="00834C18" w:rsidRPr="000F51F7">
              <w:rPr>
                <w:rFonts w:ascii="Arial Narrow" w:hAnsi="Arial Narrow" w:cs="Times New Roman"/>
                <w:bCs/>
                <w:sz w:val="20"/>
                <w:szCs w:val="20"/>
              </w:rPr>
              <w:t>DUSC considered this</w:t>
            </w:r>
            <w:r w:rsidR="006B5FA2" w:rsidRPr="000F51F7">
              <w:rPr>
                <w:rFonts w:ascii="Arial Narrow" w:hAnsi="Arial Narrow" w:cs="Times New Roman"/>
                <w:bCs/>
                <w:sz w:val="20"/>
                <w:szCs w:val="20"/>
              </w:rPr>
              <w:t xml:space="preserve"> without genetic testing</w:t>
            </w:r>
            <w:r w:rsidR="00314BFE" w:rsidRPr="000F51F7">
              <w:rPr>
                <w:rFonts w:ascii="Arial Narrow" w:hAnsi="Arial Narrow" w:cs="Times New Roman"/>
                <w:bCs/>
                <w:sz w:val="20"/>
                <w:szCs w:val="20"/>
              </w:rPr>
              <w:t>, patients with non-responsive subtypes</w:t>
            </w:r>
            <w:r w:rsidR="008B3CBC" w:rsidRPr="000F51F7">
              <w:rPr>
                <w:rFonts w:ascii="Arial Narrow" w:hAnsi="Arial Narrow" w:cs="Times New Roman"/>
                <w:bCs/>
                <w:sz w:val="20"/>
                <w:szCs w:val="20"/>
              </w:rPr>
              <w:t xml:space="preserve"> </w:t>
            </w:r>
            <w:r w:rsidR="00314BFE" w:rsidRPr="000F51F7">
              <w:rPr>
                <w:rFonts w:ascii="Arial Narrow" w:hAnsi="Arial Narrow" w:cs="Times New Roman"/>
                <w:bCs/>
                <w:sz w:val="20"/>
                <w:szCs w:val="20"/>
              </w:rPr>
              <w:t xml:space="preserve">were </w:t>
            </w:r>
            <w:r w:rsidR="008B3CBC" w:rsidRPr="000F51F7">
              <w:rPr>
                <w:rFonts w:ascii="Arial Narrow" w:hAnsi="Arial Narrow" w:cs="Times New Roman"/>
                <w:bCs/>
                <w:sz w:val="20"/>
                <w:szCs w:val="20"/>
              </w:rPr>
              <w:t>l</w:t>
            </w:r>
            <w:r w:rsidR="00314BFE" w:rsidRPr="000F51F7">
              <w:rPr>
                <w:rFonts w:ascii="Arial Narrow" w:hAnsi="Arial Narrow" w:cs="Times New Roman"/>
                <w:bCs/>
                <w:sz w:val="20"/>
                <w:szCs w:val="20"/>
              </w:rPr>
              <w:t>ikely to initiate, but not response after 3 months of treatment</w:t>
            </w:r>
            <w:r w:rsidR="008B3CBC" w:rsidRPr="000F51F7">
              <w:rPr>
                <w:rFonts w:ascii="Arial Narrow" w:hAnsi="Arial Narrow" w:cs="Times New Roman"/>
                <w:bCs/>
                <w:sz w:val="20"/>
                <w:szCs w:val="20"/>
              </w:rPr>
              <w:t>. DUSC</w:t>
            </w:r>
            <w:r w:rsidR="00834C18" w:rsidRPr="000F51F7">
              <w:rPr>
                <w:rFonts w:ascii="Arial Narrow" w:hAnsi="Arial Narrow" w:cs="Times New Roman"/>
                <w:bCs/>
                <w:sz w:val="20"/>
                <w:szCs w:val="20"/>
              </w:rPr>
              <w:t xml:space="preserve"> considered these estimates could instead inform continuation rates.</w:t>
            </w:r>
            <w:r w:rsidR="00834C18" w:rsidRPr="000F51F7">
              <w:t xml:space="preserve"> </w:t>
            </w:r>
            <w:r w:rsidR="00834C18" w:rsidRPr="000F51F7">
              <w:rPr>
                <w:rFonts w:ascii="Arial Narrow" w:hAnsi="Arial Narrow" w:cs="Times New Roman"/>
                <w:bCs/>
                <w:sz w:val="20"/>
                <w:szCs w:val="20"/>
              </w:rPr>
              <w:t>(Table 21, odevixibat PSD, July 2024 PBAC meeting).</w:t>
            </w:r>
          </w:p>
          <w:p w14:paraId="51FEAF6B" w14:textId="77777777" w:rsidR="00834C18" w:rsidRPr="000F51F7" w:rsidRDefault="00834C18" w:rsidP="009E7361">
            <w:pPr>
              <w:jc w:val="left"/>
              <w:rPr>
                <w:rFonts w:ascii="Arial Narrow" w:hAnsi="Arial Narrow" w:cs="Times New Roman"/>
                <w:b/>
                <w:sz w:val="20"/>
                <w:szCs w:val="20"/>
              </w:rPr>
            </w:pPr>
          </w:p>
          <w:p w14:paraId="329C8C44" w14:textId="7F5795AE"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Justification for informing PFIC2 subtype rates using </w:t>
            </w:r>
            <w:proofErr w:type="spellStart"/>
            <w:r w:rsidRPr="000F51F7">
              <w:rPr>
                <w:rFonts w:ascii="Arial Narrow" w:hAnsi="Arial Narrow" w:cs="Times New Roman"/>
                <w:bCs/>
                <w:sz w:val="20"/>
                <w:szCs w:val="20"/>
              </w:rPr>
              <w:t>Alsohaibani</w:t>
            </w:r>
            <w:proofErr w:type="spellEnd"/>
            <w:r w:rsidRPr="000F51F7">
              <w:rPr>
                <w:rFonts w:ascii="Arial Narrow" w:hAnsi="Arial Narrow" w:cs="Times New Roman"/>
                <w:bCs/>
                <w:sz w:val="20"/>
                <w:szCs w:val="20"/>
              </w:rPr>
              <w:t xml:space="preserve"> 2023 was not clear. Van Wessel 2020 provided a complete single source for estimating PFIC2 </w:t>
            </w:r>
            <w:r w:rsidRPr="003E58B6">
              <w:rPr>
                <w:rFonts w:ascii="Arial Narrow" w:hAnsi="Arial Narrow" w:cs="Times New Roman"/>
                <w:bCs/>
                <w:i/>
                <w:iCs/>
                <w:sz w:val="20"/>
                <w:szCs w:val="20"/>
              </w:rPr>
              <w:t xml:space="preserve">BSEP3 </w:t>
            </w:r>
            <w:r w:rsidRPr="000F51F7">
              <w:rPr>
                <w:rFonts w:ascii="Arial Narrow" w:hAnsi="Arial Narrow" w:cs="Times New Roman"/>
                <w:bCs/>
                <w:sz w:val="20"/>
                <w:szCs w:val="20"/>
              </w:rPr>
              <w:t xml:space="preserve">patients. The NAPPED data was considered robust and representative of PFIC and estimated 9.5% PFIC2 </w:t>
            </w:r>
            <w:r w:rsidRPr="003E58B6">
              <w:rPr>
                <w:rFonts w:ascii="Arial Narrow" w:hAnsi="Arial Narrow" w:cs="Times New Roman"/>
                <w:bCs/>
                <w:i/>
                <w:iCs/>
                <w:sz w:val="20"/>
                <w:szCs w:val="20"/>
              </w:rPr>
              <w:t>BSEP3</w:t>
            </w:r>
            <w:r w:rsidRPr="000F51F7">
              <w:rPr>
                <w:rFonts w:ascii="Arial Narrow" w:hAnsi="Arial Narrow" w:cs="Times New Roman"/>
                <w:bCs/>
                <w:sz w:val="20"/>
                <w:szCs w:val="20"/>
              </w:rPr>
              <w:t xml:space="preserve"> patients</w:t>
            </w:r>
            <w:r w:rsidR="0055162E" w:rsidRPr="000F51F7">
              <w:rPr>
                <w:rFonts w:ascii="Arial Narrow" w:hAnsi="Arial Narrow" w:cs="Times New Roman"/>
                <w:bCs/>
                <w:sz w:val="20"/>
                <w:szCs w:val="20"/>
              </w:rPr>
              <w:t>.</w:t>
            </w:r>
          </w:p>
        </w:tc>
        <w:tc>
          <w:tcPr>
            <w:tcW w:w="1780" w:type="pct"/>
            <w:shd w:val="clear" w:color="auto" w:fill="auto"/>
            <w:vAlign w:val="center"/>
          </w:tcPr>
          <w:p w14:paraId="3ABDD1DD" w14:textId="15AB0BD5"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The resubmission</w:t>
            </w:r>
            <w:r w:rsidR="00633EBE" w:rsidRPr="000F51F7">
              <w:rPr>
                <w:rFonts w:ascii="Arial Narrow" w:hAnsi="Arial Narrow" w:cs="Times New Roman"/>
                <w:bCs/>
                <w:sz w:val="20"/>
                <w:szCs w:val="20"/>
              </w:rPr>
              <w:t xml:space="preserve"> included these patients but</w:t>
            </w:r>
            <w:r w:rsidRPr="000F51F7">
              <w:rPr>
                <w:rFonts w:ascii="Arial Narrow" w:hAnsi="Arial Narrow" w:cs="Times New Roman"/>
                <w:bCs/>
                <w:sz w:val="20"/>
                <w:szCs w:val="20"/>
              </w:rPr>
              <w:t xml:space="preserve"> proposed to rebate the cost of treating these patients under the proposed RSA.</w:t>
            </w:r>
          </w:p>
          <w:p w14:paraId="1F28D7DD" w14:textId="77777777" w:rsidR="00834C18" w:rsidRPr="000F51F7" w:rsidRDefault="00834C18" w:rsidP="009E7361">
            <w:pPr>
              <w:jc w:val="left"/>
              <w:rPr>
                <w:rFonts w:ascii="Arial Narrow" w:hAnsi="Arial Narrow" w:cs="Times New Roman"/>
                <w:bCs/>
                <w:sz w:val="20"/>
                <w:szCs w:val="20"/>
              </w:rPr>
            </w:pPr>
          </w:p>
          <w:p w14:paraId="7CEE052F" w14:textId="2713B28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Only the PFIC2 </w:t>
            </w:r>
            <w:r w:rsidRPr="003E58B6">
              <w:rPr>
                <w:rFonts w:ascii="Arial Narrow" w:hAnsi="Arial Narrow" w:cs="Times New Roman"/>
                <w:bCs/>
                <w:i/>
                <w:iCs/>
                <w:sz w:val="20"/>
                <w:szCs w:val="20"/>
              </w:rPr>
              <w:t>BSEP3</w:t>
            </w:r>
            <w:r w:rsidRPr="000F51F7">
              <w:rPr>
                <w:rFonts w:ascii="Arial Narrow" w:hAnsi="Arial Narrow" w:cs="Times New Roman"/>
                <w:bCs/>
                <w:sz w:val="20"/>
                <w:szCs w:val="20"/>
              </w:rPr>
              <w:t xml:space="preserve"> subtype was considered in estimating the number of genetic non-responders</w:t>
            </w:r>
            <w:r w:rsidR="0055162E" w:rsidRPr="000F51F7">
              <w:rPr>
                <w:rFonts w:ascii="Arial Narrow" w:hAnsi="Arial Narrow" w:cs="Times New Roman"/>
                <w:bCs/>
                <w:sz w:val="20"/>
                <w:szCs w:val="20"/>
              </w:rPr>
              <w:t>, and potentially underestimated based on NAPPED data.</w:t>
            </w:r>
          </w:p>
        </w:tc>
      </w:tr>
      <w:tr w:rsidR="00834C18" w:rsidRPr="000F51F7" w14:paraId="18C88460" w14:textId="77777777" w:rsidTr="00880ECA">
        <w:trPr>
          <w:cantSplit/>
        </w:trPr>
        <w:tc>
          <w:tcPr>
            <w:tcW w:w="664" w:type="pct"/>
            <w:shd w:val="clear" w:color="auto" w:fill="auto"/>
            <w:vAlign w:val="center"/>
          </w:tcPr>
          <w:p w14:paraId="76974155"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Prior PEBD and LT</w:t>
            </w:r>
          </w:p>
        </w:tc>
        <w:tc>
          <w:tcPr>
            <w:tcW w:w="906" w:type="pct"/>
            <w:shd w:val="clear" w:color="auto" w:fill="auto"/>
            <w:vAlign w:val="center"/>
          </w:tcPr>
          <w:p w14:paraId="23B25583" w14:textId="3DF4C437" w:rsidR="00834C18" w:rsidRPr="000F51F7" w:rsidRDefault="00535D6D" w:rsidP="009E7361">
            <w:pPr>
              <w:jc w:val="left"/>
              <w:rPr>
                <w:rFonts w:ascii="Arial Narrow" w:hAnsi="Arial Narrow" w:cs="Times New Roman"/>
                <w:bCs/>
                <w:sz w:val="20"/>
                <w:szCs w:val="20"/>
              </w:rPr>
            </w:pPr>
            <w:r w:rsidRPr="000F51F7">
              <w:rPr>
                <w:rFonts w:ascii="Arial Narrow" w:hAnsi="Arial Narrow" w:cs="Times New Roman"/>
                <w:bCs/>
                <w:sz w:val="20"/>
                <w:szCs w:val="20"/>
              </w:rPr>
              <w:t>In the July 2024 submission, p</w:t>
            </w:r>
            <w:r w:rsidR="00F956BD" w:rsidRPr="000F51F7">
              <w:rPr>
                <w:rFonts w:ascii="Arial Narrow" w:hAnsi="Arial Narrow" w:cs="Times New Roman"/>
                <w:bCs/>
                <w:sz w:val="20"/>
                <w:szCs w:val="20"/>
              </w:rPr>
              <w:t>atients with prior</w:t>
            </w:r>
            <w:r w:rsidR="00834C18" w:rsidRPr="000F51F7">
              <w:rPr>
                <w:rFonts w:ascii="Arial Narrow" w:hAnsi="Arial Narrow" w:cs="Times New Roman"/>
                <w:bCs/>
                <w:sz w:val="20"/>
                <w:szCs w:val="20"/>
              </w:rPr>
              <w:t xml:space="preserve"> PEBD or LT</w:t>
            </w:r>
            <w:r w:rsidR="00F956BD" w:rsidRPr="000F51F7">
              <w:rPr>
                <w:rFonts w:ascii="Arial Narrow" w:hAnsi="Arial Narrow" w:cs="Times New Roman"/>
                <w:bCs/>
                <w:sz w:val="20"/>
                <w:szCs w:val="20"/>
              </w:rPr>
              <w:t xml:space="preserve"> were</w:t>
            </w:r>
            <w:r w:rsidR="00834C18" w:rsidRPr="000F51F7">
              <w:rPr>
                <w:rFonts w:ascii="Arial Narrow" w:hAnsi="Arial Narrow" w:cs="Times New Roman"/>
                <w:bCs/>
                <w:sz w:val="20"/>
                <w:szCs w:val="20"/>
              </w:rPr>
              <w:t xml:space="preserve"> exclude</w:t>
            </w:r>
            <w:r w:rsidR="00F956BD" w:rsidRPr="000F51F7">
              <w:rPr>
                <w:rFonts w:ascii="Arial Narrow" w:hAnsi="Arial Narrow" w:cs="Times New Roman"/>
                <w:bCs/>
                <w:sz w:val="20"/>
                <w:szCs w:val="20"/>
              </w:rPr>
              <w:t>d</w:t>
            </w:r>
            <w:r w:rsidRPr="000F51F7">
              <w:rPr>
                <w:rFonts w:ascii="Arial Narrow" w:hAnsi="Arial Narrow" w:cs="Times New Roman"/>
                <w:bCs/>
                <w:sz w:val="20"/>
                <w:szCs w:val="20"/>
              </w:rPr>
              <w:t xml:space="preserve"> b</w:t>
            </w:r>
            <w:r w:rsidR="00834C18" w:rsidRPr="000F51F7">
              <w:rPr>
                <w:rFonts w:ascii="Arial Narrow" w:hAnsi="Arial Narrow" w:cs="Times New Roman"/>
                <w:bCs/>
                <w:sz w:val="20"/>
                <w:szCs w:val="20"/>
              </w:rPr>
              <w:t xml:space="preserve">ased on </w:t>
            </w:r>
            <w:r w:rsidR="00CF34FB">
              <w:rPr>
                <w:rFonts w:ascii="Arial Narrow" w:hAnsi="Arial Narrow" w:cs="Times New Roman"/>
                <w:bCs/>
                <w:sz w:val="20"/>
                <w:szCs w:val="20"/>
              </w:rPr>
              <w:t>s</w:t>
            </w:r>
            <w:r w:rsidR="00834C18" w:rsidRPr="000F51F7">
              <w:rPr>
                <w:rFonts w:ascii="Arial Narrow" w:hAnsi="Arial Narrow" w:cs="Times New Roman"/>
                <w:bCs/>
                <w:sz w:val="20"/>
                <w:szCs w:val="20"/>
              </w:rPr>
              <w:t xml:space="preserve">ponsor assumption: </w:t>
            </w:r>
          </w:p>
          <w:p w14:paraId="0B875158" w14:textId="77777777" w:rsidR="00834C18" w:rsidRPr="000F51F7" w:rsidRDefault="00834C18" w:rsidP="007C21AA">
            <w:pPr>
              <w:pStyle w:val="ListParagraph"/>
              <w:numPr>
                <w:ilvl w:val="0"/>
                <w:numId w:val="9"/>
              </w:numPr>
              <w:spacing w:after="0"/>
              <w:ind w:left="200" w:hanging="160"/>
              <w:rPr>
                <w:rFonts w:ascii="Arial Narrow" w:hAnsi="Arial Narrow" w:cs="Times New Roman"/>
                <w:bCs/>
                <w:sz w:val="20"/>
                <w:szCs w:val="20"/>
              </w:rPr>
            </w:pPr>
            <w:r w:rsidRPr="000F51F7">
              <w:rPr>
                <w:rFonts w:ascii="Arial Narrow" w:hAnsi="Arial Narrow" w:cs="Times New Roman"/>
                <w:bCs/>
                <w:sz w:val="20"/>
                <w:szCs w:val="20"/>
              </w:rPr>
              <w:t xml:space="preserve">% who have undergone previous PEBD = 50% </w:t>
            </w:r>
          </w:p>
          <w:p w14:paraId="2DB61D6D" w14:textId="5D1F777C" w:rsidR="00834C18" w:rsidRPr="000F51F7" w:rsidRDefault="00834C18" w:rsidP="007C21AA">
            <w:pPr>
              <w:pStyle w:val="ListParagraph"/>
              <w:numPr>
                <w:ilvl w:val="0"/>
                <w:numId w:val="9"/>
              </w:numPr>
              <w:spacing w:after="0"/>
              <w:ind w:left="200" w:hanging="160"/>
              <w:rPr>
                <w:rFonts w:ascii="Arial Narrow" w:hAnsi="Arial Narrow" w:cs="Times New Roman"/>
                <w:b/>
                <w:sz w:val="20"/>
                <w:szCs w:val="20"/>
              </w:rPr>
            </w:pPr>
            <w:r w:rsidRPr="000F51F7">
              <w:rPr>
                <w:rFonts w:ascii="Arial Narrow" w:hAnsi="Arial Narrow" w:cs="Times New Roman"/>
                <w:bCs/>
                <w:sz w:val="20"/>
                <w:szCs w:val="20"/>
              </w:rPr>
              <w:t>% who have undergone previous LT = 80%</w:t>
            </w:r>
          </w:p>
        </w:tc>
        <w:tc>
          <w:tcPr>
            <w:tcW w:w="1650" w:type="pct"/>
            <w:shd w:val="clear" w:color="auto" w:fill="auto"/>
            <w:vAlign w:val="center"/>
          </w:tcPr>
          <w:p w14:paraId="3E939BBD" w14:textId="5E163CF4"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DUSC considered the submission’s approach underestimated the number of patients who would be treated. Further, DUSC noted that patients who have already undergone PEBD were not excluded from the PEDFIC1 trial and considered it may not be reasonable to exclude these patients from the estimates. </w:t>
            </w:r>
          </w:p>
          <w:p w14:paraId="760579FC" w14:textId="77777777" w:rsidR="00F956BD" w:rsidRPr="000F51F7" w:rsidRDefault="00F956BD" w:rsidP="009E7361">
            <w:pPr>
              <w:jc w:val="left"/>
              <w:rPr>
                <w:rFonts w:ascii="Arial Narrow" w:hAnsi="Arial Narrow" w:cs="Times New Roman"/>
                <w:bCs/>
                <w:sz w:val="20"/>
                <w:szCs w:val="20"/>
              </w:rPr>
            </w:pPr>
          </w:p>
          <w:p w14:paraId="5732A0B0" w14:textId="7F9B67BA"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DUSC agreed that it was reasonable to exclude LT patients but considered the submission’s estimate that 80% had undergone prior LT was likely an overestimate (Table 21, odevixibat PSD, July 2024 PBAC meeting).</w:t>
            </w:r>
          </w:p>
        </w:tc>
        <w:tc>
          <w:tcPr>
            <w:tcW w:w="1780" w:type="pct"/>
            <w:shd w:val="clear" w:color="auto" w:fill="auto"/>
            <w:vAlign w:val="center"/>
          </w:tcPr>
          <w:p w14:paraId="54C8AE19" w14:textId="0C3EACCC" w:rsidR="006014BF"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All patients with prior LT and prior PEBD remained excluded from the prevalent pool</w:t>
            </w:r>
            <w:r w:rsidR="0066355F" w:rsidRPr="000F51F7">
              <w:rPr>
                <w:rFonts w:ascii="Arial Narrow" w:hAnsi="Arial Narrow" w:cs="Times New Roman"/>
                <w:bCs/>
                <w:sz w:val="20"/>
                <w:szCs w:val="20"/>
              </w:rPr>
              <w:t xml:space="preserve">. </w:t>
            </w:r>
            <w:r w:rsidR="0066355F" w:rsidRPr="000F51F7">
              <w:rPr>
                <w:rFonts w:ascii="Arial Narrow" w:hAnsi="Arial Narrow" w:cs="Times New Roman"/>
                <w:bCs/>
                <w:sz w:val="20"/>
                <w:szCs w:val="20"/>
                <w:vertAlign w:val="superscript"/>
              </w:rPr>
              <w:t>a</w:t>
            </w:r>
            <w:r w:rsidR="00707D16" w:rsidRPr="000F51F7">
              <w:rPr>
                <w:rFonts w:ascii="Arial Narrow" w:hAnsi="Arial Narrow" w:cs="Times New Roman"/>
                <w:bCs/>
                <w:sz w:val="20"/>
                <w:szCs w:val="20"/>
              </w:rPr>
              <w:t xml:space="preserve"> </w:t>
            </w:r>
          </w:p>
          <w:p w14:paraId="346FC173" w14:textId="77777777" w:rsidR="006014BF" w:rsidRPr="000F51F7" w:rsidRDefault="006014BF" w:rsidP="009E7361">
            <w:pPr>
              <w:jc w:val="left"/>
              <w:rPr>
                <w:rFonts w:ascii="Arial Narrow" w:hAnsi="Arial Narrow" w:cs="Times New Roman"/>
                <w:bCs/>
                <w:sz w:val="20"/>
                <w:szCs w:val="20"/>
              </w:rPr>
            </w:pPr>
          </w:p>
          <w:p w14:paraId="2498E651" w14:textId="7ABCD1AD"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w:t>
            </w:r>
            <w:r w:rsidR="00B81DC5" w:rsidRPr="000F51F7">
              <w:rPr>
                <w:rFonts w:ascii="Arial Narrow" w:hAnsi="Arial Narrow" w:cs="Times New Roman"/>
                <w:bCs/>
                <w:sz w:val="20"/>
                <w:szCs w:val="20"/>
              </w:rPr>
              <w:t>percentage</w:t>
            </w:r>
            <w:r w:rsidRPr="000F51F7">
              <w:rPr>
                <w:rFonts w:ascii="Arial Narrow" w:hAnsi="Arial Narrow" w:cs="Times New Roman"/>
                <w:bCs/>
                <w:sz w:val="20"/>
                <w:szCs w:val="20"/>
              </w:rPr>
              <w:t xml:space="preserve"> of patients with prior PEBD or LT was reduced from 50% and 80% in the July 2024 submission to 37.3% and 54.1%, respectively</w:t>
            </w:r>
            <w:r w:rsidR="00144A6F">
              <w:rPr>
                <w:rFonts w:ascii="Arial Narrow" w:hAnsi="Arial Narrow" w:cs="Times New Roman"/>
                <w:bCs/>
                <w:sz w:val="20"/>
                <w:szCs w:val="20"/>
              </w:rPr>
              <w:t xml:space="preserve">. This </w:t>
            </w:r>
            <w:r w:rsidR="00633429">
              <w:rPr>
                <w:rFonts w:ascii="Arial Narrow" w:hAnsi="Arial Narrow" w:cs="Times New Roman"/>
                <w:bCs/>
                <w:sz w:val="20"/>
                <w:szCs w:val="20"/>
              </w:rPr>
              <w:t xml:space="preserve">was </w:t>
            </w:r>
            <w:r w:rsidR="00010B66">
              <w:rPr>
                <w:rFonts w:ascii="Arial Narrow" w:hAnsi="Arial Narrow" w:cs="Times New Roman"/>
                <w:bCs/>
                <w:sz w:val="20"/>
                <w:szCs w:val="20"/>
              </w:rPr>
              <w:t>based on</w:t>
            </w:r>
            <w:r w:rsidR="00144A6F">
              <w:rPr>
                <w:rFonts w:ascii="Arial Narrow" w:hAnsi="Arial Narrow" w:cs="Times New Roman"/>
                <w:bCs/>
                <w:sz w:val="20"/>
                <w:szCs w:val="20"/>
              </w:rPr>
              <w:t xml:space="preserve"> </w:t>
            </w:r>
            <w:r w:rsidR="002B4B32">
              <w:rPr>
                <w:rFonts w:ascii="Arial Narrow" w:hAnsi="Arial Narrow" w:cs="Times New Roman"/>
                <w:bCs/>
                <w:sz w:val="20"/>
                <w:szCs w:val="20"/>
              </w:rPr>
              <w:t>a weight</w:t>
            </w:r>
            <w:r w:rsidR="009C73DC">
              <w:rPr>
                <w:rFonts w:ascii="Arial Narrow" w:hAnsi="Arial Narrow" w:cs="Times New Roman"/>
                <w:bCs/>
                <w:sz w:val="20"/>
                <w:szCs w:val="20"/>
              </w:rPr>
              <w:t>ing prior PEBD or LT</w:t>
            </w:r>
            <w:r w:rsidR="002B4B32">
              <w:rPr>
                <w:rFonts w:ascii="Arial Narrow" w:hAnsi="Arial Narrow" w:cs="Times New Roman"/>
                <w:bCs/>
                <w:sz w:val="20"/>
                <w:szCs w:val="20"/>
              </w:rPr>
              <w:t xml:space="preserve"> </w:t>
            </w:r>
            <w:r w:rsidR="009C73DC">
              <w:rPr>
                <w:rFonts w:ascii="Arial Narrow" w:hAnsi="Arial Narrow" w:cs="Times New Roman"/>
                <w:bCs/>
                <w:sz w:val="20"/>
                <w:szCs w:val="20"/>
              </w:rPr>
              <w:t xml:space="preserve">in </w:t>
            </w:r>
            <w:r w:rsidR="002B4B32">
              <w:rPr>
                <w:rFonts w:ascii="Arial Narrow" w:hAnsi="Arial Narrow" w:cs="Times New Roman"/>
                <w:bCs/>
                <w:sz w:val="20"/>
                <w:szCs w:val="20"/>
              </w:rPr>
              <w:t>patient</w:t>
            </w:r>
            <w:r w:rsidR="00A82E9D">
              <w:rPr>
                <w:rFonts w:ascii="Arial Narrow" w:hAnsi="Arial Narrow" w:cs="Times New Roman"/>
                <w:bCs/>
                <w:sz w:val="20"/>
                <w:szCs w:val="20"/>
              </w:rPr>
              <w:t>s</w:t>
            </w:r>
            <w:r w:rsidR="002B4B32">
              <w:rPr>
                <w:rFonts w:ascii="Arial Narrow" w:hAnsi="Arial Narrow" w:cs="Times New Roman"/>
                <w:bCs/>
                <w:sz w:val="20"/>
                <w:szCs w:val="20"/>
              </w:rPr>
              <w:t xml:space="preserve"> </w:t>
            </w:r>
            <w:r w:rsidR="00032740">
              <w:rPr>
                <w:rFonts w:ascii="Arial Narrow" w:hAnsi="Arial Narrow" w:cs="Times New Roman"/>
                <w:bCs/>
                <w:sz w:val="20"/>
                <w:szCs w:val="20"/>
              </w:rPr>
              <w:t xml:space="preserve">19 and under </w:t>
            </w:r>
            <w:r w:rsidR="002B4B32">
              <w:rPr>
                <w:rFonts w:ascii="Arial Narrow" w:hAnsi="Arial Narrow" w:cs="Times New Roman"/>
                <w:bCs/>
                <w:sz w:val="20"/>
                <w:szCs w:val="20"/>
              </w:rPr>
              <w:t xml:space="preserve">years of age </w:t>
            </w:r>
            <w:r w:rsidR="00032740">
              <w:rPr>
                <w:rFonts w:ascii="Arial Narrow" w:hAnsi="Arial Narrow" w:cs="Times New Roman"/>
                <w:bCs/>
                <w:sz w:val="20"/>
                <w:szCs w:val="20"/>
              </w:rPr>
              <w:t xml:space="preserve">(75% of the population) </w:t>
            </w:r>
            <w:r w:rsidR="002B4B32">
              <w:rPr>
                <w:rFonts w:ascii="Arial Narrow" w:hAnsi="Arial Narrow" w:cs="Times New Roman"/>
                <w:bCs/>
                <w:sz w:val="20"/>
                <w:szCs w:val="20"/>
              </w:rPr>
              <w:t>and over 20 years of ag</w:t>
            </w:r>
            <w:r w:rsidR="00032740">
              <w:rPr>
                <w:rFonts w:ascii="Arial Narrow" w:hAnsi="Arial Narrow" w:cs="Times New Roman"/>
                <w:bCs/>
                <w:sz w:val="20"/>
                <w:szCs w:val="20"/>
              </w:rPr>
              <w:t>e</w:t>
            </w:r>
            <w:r w:rsidR="00D84967">
              <w:rPr>
                <w:rFonts w:ascii="Arial Narrow" w:hAnsi="Arial Narrow" w:cs="Times New Roman"/>
                <w:bCs/>
                <w:sz w:val="20"/>
                <w:szCs w:val="20"/>
              </w:rPr>
              <w:t>.</w:t>
            </w:r>
          </w:p>
        </w:tc>
      </w:tr>
      <w:tr w:rsidR="00834C18" w:rsidRPr="000F51F7" w14:paraId="0631F4AE" w14:textId="77777777" w:rsidTr="00880ECA">
        <w:trPr>
          <w:cantSplit/>
        </w:trPr>
        <w:tc>
          <w:tcPr>
            <w:tcW w:w="664" w:type="pct"/>
            <w:shd w:val="clear" w:color="auto" w:fill="auto"/>
            <w:vAlign w:val="center"/>
          </w:tcPr>
          <w:p w14:paraId="3BDAD641"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Responders and non-responders</w:t>
            </w:r>
          </w:p>
        </w:tc>
        <w:tc>
          <w:tcPr>
            <w:tcW w:w="906" w:type="pct"/>
            <w:shd w:val="clear" w:color="auto" w:fill="auto"/>
            <w:vAlign w:val="center"/>
          </w:tcPr>
          <w:p w14:paraId="206BA5FA" w14:textId="0EE2ACED" w:rsidR="00834C18" w:rsidRPr="000F51F7" w:rsidRDefault="00834C18" w:rsidP="00AD2E42">
            <w:pPr>
              <w:pStyle w:val="ListParagraph"/>
              <w:numPr>
                <w:ilvl w:val="0"/>
                <w:numId w:val="0"/>
              </w:numPr>
              <w:spacing w:after="0"/>
              <w:rPr>
                <w:rFonts w:ascii="Arial Narrow" w:hAnsi="Arial Narrow" w:cs="Times New Roman"/>
                <w:bCs/>
                <w:sz w:val="20"/>
                <w:szCs w:val="20"/>
              </w:rPr>
            </w:pPr>
            <w:r w:rsidRPr="000F51F7">
              <w:rPr>
                <w:rFonts w:ascii="Arial Narrow" w:hAnsi="Arial Narrow" w:cs="Times New Roman"/>
                <w:bCs/>
                <w:sz w:val="20"/>
                <w:szCs w:val="20"/>
              </w:rPr>
              <w:t>The July 2024 submission</w:t>
            </w:r>
            <w:r w:rsidR="00707D16" w:rsidRPr="000F51F7">
              <w:rPr>
                <w:rFonts w:ascii="Arial Narrow" w:hAnsi="Arial Narrow" w:cs="Times New Roman"/>
                <w:bCs/>
                <w:sz w:val="20"/>
                <w:szCs w:val="20"/>
              </w:rPr>
              <w:t xml:space="preserve"> used a</w:t>
            </w:r>
            <w:r w:rsidR="0022255E" w:rsidRPr="000F51F7">
              <w:rPr>
                <w:rFonts w:ascii="Arial Narrow" w:hAnsi="Arial Narrow" w:cs="Times New Roman"/>
                <w:bCs/>
                <w:sz w:val="20"/>
                <w:szCs w:val="20"/>
              </w:rPr>
              <w:t>n overall</w:t>
            </w:r>
            <w:r w:rsidR="00707D16" w:rsidRPr="000F51F7">
              <w:rPr>
                <w:rFonts w:ascii="Arial Narrow" w:hAnsi="Arial Narrow" w:cs="Times New Roman"/>
                <w:bCs/>
                <w:sz w:val="20"/>
                <w:szCs w:val="20"/>
              </w:rPr>
              <w:t xml:space="preserve"> response rate of </w:t>
            </w:r>
            <w:r w:rsidR="0022255E" w:rsidRPr="000F51F7">
              <w:rPr>
                <w:rFonts w:ascii="Arial Narrow" w:hAnsi="Arial Narrow" w:cs="Times New Roman"/>
                <w:bCs/>
                <w:sz w:val="20"/>
                <w:szCs w:val="20"/>
              </w:rPr>
              <w:t>58</w:t>
            </w:r>
            <w:r w:rsidR="00707D16" w:rsidRPr="000F51F7">
              <w:rPr>
                <w:rFonts w:ascii="Arial Narrow" w:hAnsi="Arial Narrow" w:cs="Times New Roman"/>
                <w:bCs/>
                <w:sz w:val="20"/>
                <w:szCs w:val="20"/>
              </w:rPr>
              <w:t>%</w:t>
            </w:r>
            <w:r w:rsidR="0022255E" w:rsidRPr="000F51F7">
              <w:rPr>
                <w:rFonts w:ascii="Arial Narrow" w:hAnsi="Arial Narrow" w:cs="Times New Roman"/>
                <w:bCs/>
                <w:sz w:val="20"/>
                <w:szCs w:val="20"/>
              </w:rPr>
              <w:t>, with 43.5% assumed to respond</w:t>
            </w:r>
            <w:r w:rsidR="00707D16" w:rsidRPr="000F51F7">
              <w:rPr>
                <w:rFonts w:ascii="Arial Narrow" w:hAnsi="Arial Narrow" w:cs="Times New Roman"/>
                <w:bCs/>
                <w:sz w:val="20"/>
                <w:szCs w:val="20"/>
              </w:rPr>
              <w:t xml:space="preserve"> to the 40</w:t>
            </w:r>
            <w:r w:rsidR="0017081E">
              <w:rPr>
                <w:rFonts w:ascii="Arial Narrow" w:hAnsi="Arial Narrow" w:cs="Times New Roman"/>
                <w:bCs/>
                <w:sz w:val="20"/>
                <w:szCs w:val="20"/>
              </w:rPr>
              <w:t> mcg</w:t>
            </w:r>
            <w:r w:rsidR="00707D16" w:rsidRPr="000F51F7">
              <w:rPr>
                <w:rFonts w:ascii="Arial Narrow" w:hAnsi="Arial Narrow" w:cs="Times New Roman"/>
                <w:bCs/>
                <w:sz w:val="20"/>
                <w:szCs w:val="20"/>
              </w:rPr>
              <w:t>/kg dose, based on PEDFIC 1 24</w:t>
            </w:r>
            <w:r w:rsidR="00B81DC5" w:rsidRPr="000F51F7">
              <w:rPr>
                <w:rFonts w:ascii="Arial Narrow" w:hAnsi="Arial Narrow" w:cs="Times New Roman"/>
                <w:bCs/>
                <w:sz w:val="20"/>
                <w:szCs w:val="20"/>
              </w:rPr>
              <w:noBreakHyphen/>
            </w:r>
            <w:r w:rsidR="00707D16" w:rsidRPr="000F51F7">
              <w:rPr>
                <w:rFonts w:ascii="Arial Narrow" w:hAnsi="Arial Narrow" w:cs="Times New Roman"/>
                <w:bCs/>
                <w:sz w:val="20"/>
                <w:szCs w:val="20"/>
              </w:rPr>
              <w:t>week response</w:t>
            </w:r>
            <w:r w:rsidR="00B9204E" w:rsidRPr="000F51F7">
              <w:rPr>
                <w:rFonts w:ascii="Arial Narrow" w:hAnsi="Arial Narrow" w:cs="Times New Roman"/>
                <w:bCs/>
                <w:sz w:val="20"/>
                <w:szCs w:val="20"/>
              </w:rPr>
              <w:t>, and an additional 14.5%</w:t>
            </w:r>
            <w:r w:rsidR="009A4968" w:rsidRPr="000F51F7">
              <w:rPr>
                <w:rFonts w:ascii="Arial Narrow" w:hAnsi="Arial Narrow" w:cs="Times New Roman"/>
                <w:bCs/>
                <w:sz w:val="20"/>
                <w:szCs w:val="20"/>
              </w:rPr>
              <w:t xml:space="preserve"> </w:t>
            </w:r>
            <w:r w:rsidR="009A4968" w:rsidRPr="000F51F7">
              <w:rPr>
                <w:rFonts w:ascii="Arial Narrow" w:hAnsi="Arial Narrow" w:cs="Times New Roman"/>
                <w:bCs/>
                <w:sz w:val="20"/>
                <w:szCs w:val="20"/>
                <w:vertAlign w:val="superscript"/>
              </w:rPr>
              <w:t xml:space="preserve">c </w:t>
            </w:r>
            <w:r w:rsidR="00B9204E" w:rsidRPr="000F51F7">
              <w:rPr>
                <w:rFonts w:ascii="Arial Narrow" w:hAnsi="Arial Narrow" w:cs="Times New Roman"/>
                <w:bCs/>
                <w:sz w:val="20"/>
                <w:szCs w:val="20"/>
              </w:rPr>
              <w:t>assumed to escalate and respond to 120mcg/kg</w:t>
            </w:r>
            <w:r w:rsidR="00CA27EA" w:rsidRPr="000F51F7">
              <w:rPr>
                <w:rFonts w:ascii="Arial Narrow" w:hAnsi="Arial Narrow" w:cs="Times New Roman"/>
                <w:bCs/>
                <w:sz w:val="20"/>
                <w:szCs w:val="20"/>
              </w:rPr>
              <w:t xml:space="preserve"> </w:t>
            </w:r>
          </w:p>
        </w:tc>
        <w:tc>
          <w:tcPr>
            <w:tcW w:w="1650" w:type="pct"/>
            <w:shd w:val="clear" w:color="auto" w:fill="auto"/>
            <w:vAlign w:val="center"/>
          </w:tcPr>
          <w:p w14:paraId="44368173"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lang w:bidi="en-US"/>
              </w:rPr>
              <w:t>DUSC noted that</w:t>
            </w:r>
            <w:r w:rsidR="00707D16" w:rsidRPr="000F51F7">
              <w:rPr>
                <w:rFonts w:ascii="Arial Narrow" w:hAnsi="Arial Narrow" w:cs="Times New Roman"/>
                <w:bCs/>
                <w:sz w:val="20"/>
                <w:szCs w:val="20"/>
                <w:lang w:bidi="en-US"/>
              </w:rPr>
              <w:t xml:space="preserve"> p</w:t>
            </w:r>
            <w:r w:rsidRPr="000F51F7">
              <w:rPr>
                <w:rFonts w:ascii="Arial Narrow" w:hAnsi="Arial Narrow" w:cs="Times New Roman"/>
                <w:bCs/>
                <w:sz w:val="20"/>
                <w:szCs w:val="20"/>
                <w:lang w:bidi="en-US"/>
              </w:rPr>
              <w:t>atients with other subtypes with unknown response will be eligible to initiate treatment thus, 43.5% might be an overestimate [of response]</w:t>
            </w:r>
            <w:r w:rsidR="00707D16" w:rsidRPr="000F51F7">
              <w:rPr>
                <w:rFonts w:ascii="Arial Narrow" w:hAnsi="Arial Narrow" w:cs="Times New Roman"/>
                <w:bCs/>
                <w:sz w:val="20"/>
                <w:szCs w:val="20"/>
                <w:lang w:bidi="en-US"/>
              </w:rPr>
              <w:t xml:space="preserve"> </w:t>
            </w:r>
            <w:r w:rsidRPr="000F51F7">
              <w:rPr>
                <w:rFonts w:ascii="Arial Narrow" w:hAnsi="Arial Narrow" w:cs="Times New Roman"/>
                <w:bCs/>
                <w:sz w:val="20"/>
                <w:szCs w:val="20"/>
              </w:rPr>
              <w:t>(Table 21, odevixibat PSD, July 2024 PBAC meeting)</w:t>
            </w:r>
          </w:p>
          <w:p w14:paraId="66A5589C" w14:textId="7F5310C1" w:rsidR="00CA27EA" w:rsidRPr="000F51F7" w:rsidRDefault="00F06D7F" w:rsidP="00955319">
            <w:pPr>
              <w:jc w:val="left"/>
              <w:rPr>
                <w:rFonts w:ascii="Arial Narrow" w:hAnsi="Arial Narrow" w:cs="Times New Roman"/>
                <w:bCs/>
                <w:sz w:val="20"/>
                <w:szCs w:val="20"/>
                <w:lang w:bidi="en-US"/>
              </w:rPr>
            </w:pPr>
            <w:r w:rsidRPr="000F51F7">
              <w:rPr>
                <w:rFonts w:ascii="Arial Narrow" w:hAnsi="Arial Narrow" w:cs="Times New Roman"/>
                <w:bCs/>
                <w:sz w:val="20"/>
                <w:szCs w:val="20"/>
                <w:lang w:bidi="en-US"/>
              </w:rPr>
              <w:t>DUSC also noted that</w:t>
            </w:r>
            <w:r w:rsidR="00CA27EA" w:rsidRPr="000F51F7">
              <w:rPr>
                <w:rFonts w:ascii="Arial Narrow" w:hAnsi="Arial Narrow" w:cs="Times New Roman"/>
                <w:bCs/>
                <w:sz w:val="20"/>
                <w:szCs w:val="20"/>
                <w:lang w:bidi="en-US"/>
              </w:rPr>
              <w:t xml:space="preserve"> </w:t>
            </w:r>
            <w:r w:rsidR="00955319" w:rsidRPr="000F51F7">
              <w:rPr>
                <w:rFonts w:ascii="Arial Narrow" w:hAnsi="Arial Narrow" w:cs="Times New Roman"/>
                <w:bCs/>
                <w:sz w:val="20"/>
                <w:szCs w:val="20"/>
                <w:lang w:bidi="en-US"/>
              </w:rPr>
              <w:t>patients initiated on 120</w:t>
            </w:r>
            <w:r w:rsidR="0017081E">
              <w:rPr>
                <w:rFonts w:ascii="Arial Narrow" w:hAnsi="Arial Narrow" w:cs="Times New Roman"/>
                <w:bCs/>
                <w:sz w:val="20"/>
                <w:szCs w:val="20"/>
                <w:lang w:bidi="en-US"/>
              </w:rPr>
              <w:t> mcg</w:t>
            </w:r>
            <w:r w:rsidR="00955319" w:rsidRPr="000F51F7">
              <w:rPr>
                <w:rFonts w:ascii="Arial Narrow" w:hAnsi="Arial Narrow" w:cs="Times New Roman"/>
                <w:bCs/>
                <w:sz w:val="20"/>
                <w:szCs w:val="20"/>
                <w:lang w:bidi="en-US"/>
              </w:rPr>
              <w:t xml:space="preserve">/kg did not respond as well at 22 weeks (21.1%), and the </w:t>
            </w:r>
            <w:r w:rsidR="00CA27EA" w:rsidRPr="000F51F7">
              <w:rPr>
                <w:rFonts w:ascii="Arial Narrow" w:hAnsi="Arial Narrow" w:cs="Times New Roman"/>
                <w:bCs/>
                <w:sz w:val="20"/>
                <w:szCs w:val="20"/>
                <w:lang w:bidi="en-US"/>
              </w:rPr>
              <w:t xml:space="preserve">response of patients who up-titrated could not be verified </w:t>
            </w:r>
            <w:r w:rsidRPr="000F51F7">
              <w:rPr>
                <w:rFonts w:ascii="Arial Narrow" w:hAnsi="Arial Narrow" w:cs="Times New Roman"/>
                <w:bCs/>
                <w:sz w:val="20"/>
                <w:szCs w:val="20"/>
                <w:lang w:bidi="en-US"/>
              </w:rPr>
              <w:t xml:space="preserve">and was </w:t>
            </w:r>
            <w:r w:rsidR="00955319" w:rsidRPr="000F51F7">
              <w:rPr>
                <w:rFonts w:ascii="Arial Narrow" w:hAnsi="Arial Narrow" w:cs="Times New Roman"/>
                <w:bCs/>
                <w:sz w:val="20"/>
                <w:szCs w:val="20"/>
                <w:lang w:bidi="en-US"/>
              </w:rPr>
              <w:t xml:space="preserve">therefore </w:t>
            </w:r>
            <w:r w:rsidRPr="000F51F7">
              <w:rPr>
                <w:rFonts w:ascii="Arial Narrow" w:hAnsi="Arial Narrow" w:cs="Times New Roman"/>
                <w:bCs/>
                <w:sz w:val="20"/>
                <w:szCs w:val="20"/>
                <w:lang w:bidi="en-US"/>
              </w:rPr>
              <w:t xml:space="preserve">uncertain </w:t>
            </w:r>
            <w:r w:rsidR="00CA27EA" w:rsidRPr="000F51F7">
              <w:rPr>
                <w:rFonts w:ascii="Arial Narrow" w:hAnsi="Arial Narrow" w:cs="Times New Roman"/>
                <w:bCs/>
                <w:sz w:val="20"/>
                <w:szCs w:val="20"/>
                <w:lang w:bidi="en-US"/>
              </w:rPr>
              <w:t>(Table 21, odevixibat PSD, July 2024 PBAC meeting)</w:t>
            </w:r>
            <w:r w:rsidRPr="000F51F7">
              <w:rPr>
                <w:rFonts w:ascii="Arial Narrow" w:hAnsi="Arial Narrow" w:cs="Times New Roman"/>
                <w:bCs/>
                <w:sz w:val="20"/>
                <w:szCs w:val="20"/>
                <w:lang w:bidi="en-US"/>
              </w:rPr>
              <w:t>.</w:t>
            </w:r>
          </w:p>
        </w:tc>
        <w:tc>
          <w:tcPr>
            <w:tcW w:w="1780" w:type="pct"/>
            <w:shd w:val="clear" w:color="auto" w:fill="auto"/>
            <w:vAlign w:val="center"/>
          </w:tcPr>
          <w:p w14:paraId="6D057A4E" w14:textId="6C802B50" w:rsidR="00834C18" w:rsidRPr="000F51F7" w:rsidRDefault="00CA27EA"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A </w:t>
            </w:r>
            <w:r w:rsidR="00B9204E" w:rsidRPr="000F51F7">
              <w:rPr>
                <w:rFonts w:ascii="Arial Narrow" w:hAnsi="Arial Narrow" w:cs="Times New Roman"/>
                <w:bCs/>
                <w:sz w:val="20"/>
                <w:szCs w:val="20"/>
              </w:rPr>
              <w:t xml:space="preserve">combined </w:t>
            </w:r>
            <w:r w:rsidR="00834C18" w:rsidRPr="000F51F7">
              <w:rPr>
                <w:rFonts w:ascii="Arial Narrow" w:hAnsi="Arial Narrow" w:cs="Times New Roman"/>
                <w:bCs/>
                <w:sz w:val="20"/>
                <w:szCs w:val="20"/>
              </w:rPr>
              <w:t>response rate</w:t>
            </w:r>
            <w:r w:rsidR="00707D16" w:rsidRPr="000F51F7">
              <w:rPr>
                <w:rFonts w:ascii="Arial Narrow" w:hAnsi="Arial Narrow" w:cs="Times New Roman"/>
                <w:bCs/>
                <w:sz w:val="20"/>
                <w:szCs w:val="20"/>
              </w:rPr>
              <w:t xml:space="preserve"> </w:t>
            </w:r>
            <w:r w:rsidR="00B9204E" w:rsidRPr="000F51F7">
              <w:rPr>
                <w:rFonts w:ascii="Arial Narrow" w:hAnsi="Arial Narrow" w:cs="Times New Roman"/>
                <w:bCs/>
                <w:sz w:val="20"/>
                <w:szCs w:val="20"/>
              </w:rPr>
              <w:t>of</w:t>
            </w:r>
            <w:r w:rsidR="00834C18" w:rsidRPr="000F51F7">
              <w:rPr>
                <w:rFonts w:ascii="Arial Narrow" w:hAnsi="Arial Narrow" w:cs="Times New Roman"/>
                <w:bCs/>
                <w:sz w:val="20"/>
                <w:szCs w:val="20"/>
              </w:rPr>
              <w:t xml:space="preserve"> 58%</w:t>
            </w:r>
            <w:r w:rsidR="00B9204E" w:rsidRPr="000F51F7">
              <w:rPr>
                <w:rFonts w:ascii="Arial Narrow" w:hAnsi="Arial Narrow" w:cs="Times New Roman"/>
                <w:bCs/>
                <w:sz w:val="20"/>
                <w:szCs w:val="20"/>
              </w:rPr>
              <w:t xml:space="preserve"> </w:t>
            </w:r>
            <w:r w:rsidRPr="000F51F7">
              <w:rPr>
                <w:rFonts w:ascii="Arial Narrow" w:hAnsi="Arial Narrow" w:cs="Times New Roman"/>
                <w:bCs/>
                <w:sz w:val="20"/>
                <w:szCs w:val="20"/>
              </w:rPr>
              <w:t>as used in</w:t>
            </w:r>
            <w:r w:rsidR="00B9204E" w:rsidRPr="000F51F7">
              <w:rPr>
                <w:rFonts w:ascii="Arial Narrow" w:hAnsi="Arial Narrow" w:cs="Times New Roman"/>
                <w:bCs/>
                <w:sz w:val="20"/>
                <w:szCs w:val="20"/>
              </w:rPr>
              <w:t xml:space="preserve"> the July 2024 </w:t>
            </w:r>
            <w:r w:rsidR="00507493" w:rsidRPr="000F51F7">
              <w:rPr>
                <w:rFonts w:ascii="Arial Narrow" w:hAnsi="Arial Narrow" w:cs="Times New Roman"/>
                <w:bCs/>
                <w:sz w:val="20"/>
                <w:szCs w:val="20"/>
              </w:rPr>
              <w:t>financial estimates</w:t>
            </w:r>
            <w:r w:rsidR="00B9204E" w:rsidRPr="000F51F7">
              <w:rPr>
                <w:rFonts w:ascii="Arial Narrow" w:hAnsi="Arial Narrow" w:cs="Times New Roman"/>
                <w:bCs/>
                <w:sz w:val="20"/>
                <w:szCs w:val="20"/>
              </w:rPr>
              <w:t xml:space="preserve"> was </w:t>
            </w:r>
            <w:r w:rsidRPr="000F51F7">
              <w:rPr>
                <w:rFonts w:ascii="Arial Narrow" w:hAnsi="Arial Narrow" w:cs="Times New Roman"/>
                <w:bCs/>
                <w:sz w:val="20"/>
                <w:szCs w:val="20"/>
              </w:rPr>
              <w:t>applied</w:t>
            </w:r>
            <w:r w:rsidR="00834C18" w:rsidRPr="000F51F7">
              <w:rPr>
                <w:rFonts w:ascii="Arial Narrow" w:hAnsi="Arial Narrow" w:cs="Times New Roman"/>
                <w:bCs/>
                <w:sz w:val="20"/>
                <w:szCs w:val="20"/>
              </w:rPr>
              <w:t xml:space="preserve"> </w:t>
            </w:r>
            <w:r w:rsidR="00693900" w:rsidRPr="000F51F7">
              <w:rPr>
                <w:rFonts w:ascii="Arial Narrow" w:hAnsi="Arial Narrow" w:cs="Times New Roman"/>
                <w:bCs/>
                <w:sz w:val="20"/>
                <w:szCs w:val="20"/>
              </w:rPr>
              <w:t>in the resubmission</w:t>
            </w:r>
            <w:r w:rsidR="00834C18" w:rsidRPr="000F51F7">
              <w:rPr>
                <w:rFonts w:ascii="Arial Narrow" w:hAnsi="Arial Narrow" w:cs="Times New Roman"/>
                <w:bCs/>
                <w:sz w:val="20"/>
                <w:szCs w:val="20"/>
              </w:rPr>
              <w:t xml:space="preserve">. This was inconsistent with </w:t>
            </w:r>
            <w:r w:rsidRPr="000F51F7">
              <w:rPr>
                <w:rFonts w:ascii="Arial Narrow" w:hAnsi="Arial Narrow" w:cs="Times New Roman"/>
                <w:bCs/>
                <w:sz w:val="20"/>
                <w:szCs w:val="20"/>
              </w:rPr>
              <w:t xml:space="preserve">both </w:t>
            </w:r>
            <w:r w:rsidR="00834C18" w:rsidRPr="000F51F7">
              <w:rPr>
                <w:rFonts w:ascii="Arial Narrow" w:hAnsi="Arial Narrow" w:cs="Times New Roman"/>
                <w:bCs/>
                <w:sz w:val="20"/>
                <w:szCs w:val="20"/>
              </w:rPr>
              <w:t xml:space="preserve">the </w:t>
            </w:r>
            <w:r w:rsidR="00B9204E" w:rsidRPr="000F51F7">
              <w:rPr>
                <w:rFonts w:ascii="Arial Narrow" w:hAnsi="Arial Narrow" w:cs="Times New Roman"/>
                <w:bCs/>
                <w:sz w:val="20"/>
                <w:szCs w:val="20"/>
              </w:rPr>
              <w:t xml:space="preserve">resubmission’s </w:t>
            </w:r>
            <w:r w:rsidR="00834C18" w:rsidRPr="000F51F7">
              <w:rPr>
                <w:rFonts w:ascii="Arial Narrow" w:hAnsi="Arial Narrow" w:cs="Times New Roman"/>
                <w:bCs/>
                <w:sz w:val="20"/>
                <w:szCs w:val="20"/>
              </w:rPr>
              <w:t xml:space="preserve">economic model </w:t>
            </w:r>
            <w:r w:rsidR="00B9204E" w:rsidRPr="000F51F7">
              <w:rPr>
                <w:rFonts w:ascii="Arial Narrow" w:hAnsi="Arial Narrow" w:cs="Times New Roman"/>
                <w:bCs/>
                <w:sz w:val="20"/>
                <w:szCs w:val="20"/>
              </w:rPr>
              <w:t>which used 40</w:t>
            </w:r>
            <w:r w:rsidR="0017081E">
              <w:rPr>
                <w:rFonts w:ascii="Arial Narrow" w:hAnsi="Arial Narrow" w:cs="Times New Roman"/>
                <w:bCs/>
                <w:sz w:val="20"/>
                <w:szCs w:val="20"/>
              </w:rPr>
              <w:t> mcg</w:t>
            </w:r>
            <w:r w:rsidR="00B9204E" w:rsidRPr="000F51F7">
              <w:rPr>
                <w:rFonts w:ascii="Arial Narrow" w:hAnsi="Arial Narrow" w:cs="Times New Roman"/>
                <w:bCs/>
                <w:sz w:val="20"/>
                <w:szCs w:val="20"/>
              </w:rPr>
              <w:t xml:space="preserve">/kg </w:t>
            </w:r>
            <w:r w:rsidR="00834C18" w:rsidRPr="000F51F7">
              <w:rPr>
                <w:rFonts w:ascii="Arial Narrow" w:hAnsi="Arial Narrow" w:cs="Times New Roman"/>
                <w:bCs/>
                <w:sz w:val="20"/>
                <w:szCs w:val="20"/>
              </w:rPr>
              <w:t>22-week response rates from PEDFIC 1 (43.5%)</w:t>
            </w:r>
            <w:r w:rsidRPr="000F51F7">
              <w:rPr>
                <w:rFonts w:ascii="Arial Narrow" w:hAnsi="Arial Narrow" w:cs="Times New Roman"/>
                <w:bCs/>
                <w:sz w:val="20"/>
                <w:szCs w:val="20"/>
              </w:rPr>
              <w:t xml:space="preserve">; and the </w:t>
            </w:r>
            <w:r w:rsidR="00507493" w:rsidRPr="000F51F7">
              <w:rPr>
                <w:rFonts w:ascii="Arial Narrow" w:hAnsi="Arial Narrow" w:cs="Times New Roman"/>
                <w:bCs/>
                <w:sz w:val="20"/>
                <w:szCs w:val="20"/>
              </w:rPr>
              <w:t>‘doses combined’ OvEC value of 62.28% used in the July 2024 economic model.</w:t>
            </w:r>
            <w:r w:rsidR="00834C18" w:rsidRPr="000F51F7">
              <w:rPr>
                <w:rFonts w:ascii="Arial Narrow" w:hAnsi="Arial Narrow" w:cs="Times New Roman"/>
                <w:bCs/>
                <w:sz w:val="20"/>
                <w:szCs w:val="20"/>
              </w:rPr>
              <w:t xml:space="preserve"> </w:t>
            </w:r>
          </w:p>
        </w:tc>
      </w:tr>
      <w:tr w:rsidR="00834C18" w:rsidRPr="000F51F7" w14:paraId="6255A22C" w14:textId="77777777" w:rsidTr="00880ECA">
        <w:trPr>
          <w:cantSplit/>
        </w:trPr>
        <w:tc>
          <w:tcPr>
            <w:tcW w:w="664" w:type="pct"/>
            <w:shd w:val="clear" w:color="auto" w:fill="auto"/>
            <w:vAlign w:val="center"/>
          </w:tcPr>
          <w:p w14:paraId="458471E1"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lastRenderedPageBreak/>
              <w:t>Treatment duration</w:t>
            </w:r>
          </w:p>
        </w:tc>
        <w:tc>
          <w:tcPr>
            <w:tcW w:w="906" w:type="pct"/>
            <w:shd w:val="clear" w:color="auto" w:fill="auto"/>
            <w:vAlign w:val="center"/>
          </w:tcPr>
          <w:p w14:paraId="1147F691" w14:textId="75CD2E2B"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The July 2024 submission presented three treatment</w:t>
            </w:r>
            <w:r w:rsidR="00B81DC5" w:rsidRPr="000F51F7">
              <w:rPr>
                <w:rFonts w:ascii="Arial Narrow" w:hAnsi="Arial Narrow" w:cs="Times New Roman"/>
                <w:bCs/>
                <w:sz w:val="20"/>
                <w:szCs w:val="20"/>
              </w:rPr>
              <w:t xml:space="preserve"> </w:t>
            </w:r>
            <w:r w:rsidRPr="000F51F7">
              <w:rPr>
                <w:rFonts w:ascii="Arial Narrow" w:hAnsi="Arial Narrow" w:cs="Times New Roman"/>
                <w:bCs/>
                <w:sz w:val="20"/>
                <w:szCs w:val="20"/>
              </w:rPr>
              <w:t>scenarios:</w:t>
            </w:r>
          </w:p>
          <w:p w14:paraId="10CAE482" w14:textId="77777777" w:rsidR="00834C18" w:rsidRPr="000F51F7" w:rsidRDefault="00834C18" w:rsidP="007C21AA">
            <w:pPr>
              <w:pStyle w:val="ListParagraph"/>
              <w:numPr>
                <w:ilvl w:val="0"/>
                <w:numId w:val="10"/>
              </w:numPr>
              <w:spacing w:after="0"/>
              <w:ind w:left="200" w:hanging="200"/>
              <w:rPr>
                <w:rFonts w:ascii="Arial Narrow" w:hAnsi="Arial Narrow" w:cs="Times New Roman"/>
                <w:bCs/>
                <w:sz w:val="20"/>
                <w:szCs w:val="20"/>
              </w:rPr>
            </w:pPr>
            <w:r w:rsidRPr="000F51F7">
              <w:rPr>
                <w:rFonts w:ascii="Arial Narrow" w:hAnsi="Arial Narrow" w:cs="Times New Roman"/>
                <w:bCs/>
                <w:sz w:val="20"/>
                <w:szCs w:val="20"/>
              </w:rPr>
              <w:t>Responders at low dose: initial treatment 3 months, then continue treatment for 72 months</w:t>
            </w:r>
          </w:p>
          <w:p w14:paraId="52ACFBCF" w14:textId="77777777" w:rsidR="00834C18" w:rsidRPr="000F51F7" w:rsidRDefault="00834C18" w:rsidP="007C21AA">
            <w:pPr>
              <w:pStyle w:val="ListParagraph"/>
              <w:numPr>
                <w:ilvl w:val="0"/>
                <w:numId w:val="10"/>
              </w:numPr>
              <w:spacing w:after="0"/>
              <w:ind w:left="200" w:hanging="200"/>
              <w:rPr>
                <w:rFonts w:ascii="Arial Narrow" w:hAnsi="Arial Narrow" w:cs="Times New Roman"/>
                <w:bCs/>
                <w:sz w:val="20"/>
                <w:szCs w:val="20"/>
              </w:rPr>
            </w:pPr>
            <w:r w:rsidRPr="000F51F7">
              <w:rPr>
                <w:rFonts w:ascii="Arial Narrow" w:hAnsi="Arial Narrow" w:cs="Times New Roman"/>
                <w:bCs/>
                <w:sz w:val="20"/>
                <w:szCs w:val="20"/>
              </w:rPr>
              <w:t>Responders at high dose: continue treatment for 72 months</w:t>
            </w:r>
          </w:p>
          <w:p w14:paraId="61A88242" w14:textId="1BA94EA1" w:rsidR="00834C18" w:rsidRPr="000F51F7" w:rsidRDefault="00834C18" w:rsidP="007C21AA">
            <w:pPr>
              <w:pStyle w:val="ListParagraph"/>
              <w:numPr>
                <w:ilvl w:val="0"/>
                <w:numId w:val="10"/>
              </w:numPr>
              <w:spacing w:after="0"/>
              <w:ind w:left="200" w:hanging="200"/>
              <w:rPr>
                <w:rFonts w:ascii="Arial Narrow" w:hAnsi="Arial Narrow" w:cs="Times New Roman"/>
                <w:bCs/>
                <w:sz w:val="20"/>
                <w:szCs w:val="20"/>
              </w:rPr>
            </w:pPr>
            <w:r w:rsidRPr="000F51F7">
              <w:rPr>
                <w:rFonts w:ascii="Arial Narrow" w:hAnsi="Arial Narrow" w:cs="Times New Roman"/>
                <w:bCs/>
                <w:sz w:val="20"/>
                <w:szCs w:val="20"/>
              </w:rPr>
              <w:t>Non-responders at all doses: continue treatment for 6 months</w:t>
            </w:r>
          </w:p>
        </w:tc>
        <w:tc>
          <w:tcPr>
            <w:tcW w:w="1650" w:type="pct"/>
            <w:shd w:val="clear" w:color="auto" w:fill="auto"/>
            <w:vAlign w:val="center"/>
          </w:tcPr>
          <w:p w14:paraId="6A5C89B3" w14:textId="0E93EE56"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Initial and continuing treatment durations were</w:t>
            </w:r>
            <w:r w:rsidR="00C862AE" w:rsidRPr="000F51F7">
              <w:rPr>
                <w:rFonts w:ascii="Arial Narrow" w:hAnsi="Arial Narrow" w:cs="Times New Roman"/>
                <w:bCs/>
                <w:sz w:val="20"/>
                <w:szCs w:val="20"/>
              </w:rPr>
              <w:t xml:space="preserve"> </w:t>
            </w:r>
            <w:r w:rsidRPr="000F51F7">
              <w:rPr>
                <w:rFonts w:ascii="Arial Narrow" w:hAnsi="Arial Narrow" w:cs="Times New Roman"/>
                <w:bCs/>
                <w:sz w:val="20"/>
                <w:szCs w:val="20"/>
              </w:rPr>
              <w:t>not specified in the proposed restriction and may not be reasonable. (Table 21, odevixibat PSD, July 2024 PBAC meeting)</w:t>
            </w:r>
          </w:p>
        </w:tc>
        <w:tc>
          <w:tcPr>
            <w:tcW w:w="1780" w:type="pct"/>
            <w:shd w:val="clear" w:color="auto" w:fill="auto"/>
            <w:vAlign w:val="center"/>
          </w:tcPr>
          <w:p w14:paraId="7B1B9A40" w14:textId="0DD653AC" w:rsidR="00834C18" w:rsidRPr="000F51F7" w:rsidRDefault="009C753B"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same treatment durations were assumed in the resubmission. </w:t>
            </w:r>
            <w:r w:rsidR="00834C18" w:rsidRPr="000F51F7">
              <w:rPr>
                <w:rFonts w:ascii="Arial Narrow" w:hAnsi="Arial Narrow" w:cs="Times New Roman"/>
                <w:bCs/>
                <w:sz w:val="20"/>
                <w:szCs w:val="20"/>
              </w:rPr>
              <w:t xml:space="preserve">The 72 month (6 years) continuing treatment </w:t>
            </w:r>
            <w:r w:rsidR="00E65AAB" w:rsidRPr="000F51F7">
              <w:rPr>
                <w:rFonts w:ascii="Arial Narrow" w:hAnsi="Arial Narrow" w:cs="Times New Roman"/>
                <w:bCs/>
                <w:sz w:val="20"/>
                <w:szCs w:val="20"/>
              </w:rPr>
              <w:t xml:space="preserve">for responders </w:t>
            </w:r>
            <w:r w:rsidR="009C3E61" w:rsidRPr="000F51F7">
              <w:rPr>
                <w:rFonts w:ascii="Arial Narrow" w:hAnsi="Arial Narrow" w:cs="Times New Roman"/>
                <w:bCs/>
                <w:sz w:val="20"/>
                <w:szCs w:val="20"/>
              </w:rPr>
              <w:t xml:space="preserve">remains </w:t>
            </w:r>
            <w:r w:rsidR="00834C18" w:rsidRPr="000F51F7">
              <w:rPr>
                <w:rFonts w:ascii="Arial Narrow" w:hAnsi="Arial Narrow" w:cs="Times New Roman"/>
                <w:bCs/>
                <w:sz w:val="20"/>
                <w:szCs w:val="20"/>
              </w:rPr>
              <w:t xml:space="preserve">inconsistent with the </w:t>
            </w:r>
            <w:r w:rsidR="00E65AAB" w:rsidRPr="000F51F7">
              <w:rPr>
                <w:rFonts w:ascii="Arial Narrow" w:hAnsi="Arial Narrow" w:cs="Times New Roman"/>
                <w:bCs/>
                <w:sz w:val="20"/>
                <w:szCs w:val="20"/>
              </w:rPr>
              <w:t xml:space="preserve">duration of treatment of responders over the first six years in the economic </w:t>
            </w:r>
            <w:r w:rsidR="00834C18" w:rsidRPr="000F51F7">
              <w:rPr>
                <w:rFonts w:ascii="Arial Narrow" w:hAnsi="Arial Narrow" w:cs="Times New Roman"/>
                <w:bCs/>
                <w:sz w:val="20"/>
                <w:szCs w:val="20"/>
              </w:rPr>
              <w:t>model (3.</w:t>
            </w:r>
            <w:r w:rsidR="00E65AAB" w:rsidRPr="000F51F7">
              <w:rPr>
                <w:rFonts w:ascii="Arial Narrow" w:hAnsi="Arial Narrow" w:cs="Times New Roman"/>
                <w:bCs/>
                <w:sz w:val="20"/>
                <w:szCs w:val="20"/>
              </w:rPr>
              <w:t>82</w:t>
            </w:r>
            <w:r w:rsidR="00834C18" w:rsidRPr="000F51F7">
              <w:rPr>
                <w:rFonts w:ascii="Arial Narrow" w:hAnsi="Arial Narrow" w:cs="Times New Roman"/>
                <w:bCs/>
                <w:sz w:val="20"/>
                <w:szCs w:val="20"/>
              </w:rPr>
              <w:t xml:space="preserve"> years). This may have led to an overestimate of the financial impact </w:t>
            </w:r>
          </w:p>
          <w:p w14:paraId="6AC5EE22" w14:textId="7254A77A"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Under the proposed </w:t>
            </w:r>
            <w:r w:rsidR="00D17D21" w:rsidRPr="000F51F7">
              <w:rPr>
                <w:rFonts w:ascii="Arial Narrow" w:hAnsi="Arial Narrow" w:cs="Times New Roman"/>
                <w:bCs/>
                <w:sz w:val="20"/>
                <w:szCs w:val="20"/>
              </w:rPr>
              <w:t>expenditure</w:t>
            </w:r>
            <w:r w:rsidRPr="000F51F7">
              <w:rPr>
                <w:rFonts w:ascii="Arial Narrow" w:hAnsi="Arial Narrow" w:cs="Times New Roman"/>
                <w:bCs/>
                <w:sz w:val="20"/>
                <w:szCs w:val="20"/>
              </w:rPr>
              <w:t xml:space="preserve"> caps in the resubmission, treatment scenario two was appropriately not included.</w:t>
            </w:r>
          </w:p>
          <w:p w14:paraId="2515955B" w14:textId="77777777" w:rsidR="0055162E" w:rsidRPr="000F51F7" w:rsidRDefault="0055162E" w:rsidP="009E7361">
            <w:pPr>
              <w:jc w:val="left"/>
              <w:rPr>
                <w:rFonts w:ascii="Arial Narrow" w:hAnsi="Arial Narrow" w:cs="Times New Roman"/>
                <w:bCs/>
                <w:sz w:val="20"/>
                <w:szCs w:val="20"/>
              </w:rPr>
            </w:pPr>
          </w:p>
          <w:p w14:paraId="3A54CD52" w14:textId="5AABAB8C" w:rsidR="0055162E" w:rsidRPr="000F51F7" w:rsidRDefault="0055162E" w:rsidP="009E7361">
            <w:pPr>
              <w:jc w:val="left"/>
              <w:rPr>
                <w:rFonts w:ascii="Arial Narrow" w:hAnsi="Arial Narrow" w:cs="Times New Roman"/>
                <w:bCs/>
                <w:sz w:val="20"/>
                <w:szCs w:val="20"/>
              </w:rPr>
            </w:pPr>
            <w:r w:rsidRPr="000F51F7">
              <w:rPr>
                <w:rFonts w:ascii="Arial Narrow" w:hAnsi="Arial Narrow" w:cs="Times New Roman"/>
                <w:bCs/>
                <w:sz w:val="20"/>
                <w:szCs w:val="20"/>
              </w:rPr>
              <w:t>‘Relapsing PFIC’ patients, which are expected by the resubmission to utilise a 6-month initial treatment period w</w:t>
            </w:r>
            <w:r w:rsidR="00EC07EC" w:rsidRPr="000F51F7">
              <w:rPr>
                <w:rFonts w:ascii="Arial Narrow" w:hAnsi="Arial Narrow" w:cs="Times New Roman"/>
                <w:bCs/>
                <w:sz w:val="20"/>
                <w:szCs w:val="20"/>
              </w:rPr>
              <w:t>ere</w:t>
            </w:r>
            <w:r w:rsidRPr="000F51F7">
              <w:rPr>
                <w:rFonts w:ascii="Arial Narrow" w:hAnsi="Arial Narrow" w:cs="Times New Roman"/>
                <w:bCs/>
                <w:sz w:val="20"/>
                <w:szCs w:val="20"/>
              </w:rPr>
              <w:t xml:space="preserve"> not considered.</w:t>
            </w:r>
            <w:r w:rsidR="00703FDD" w:rsidRPr="000F51F7">
              <w:rPr>
                <w:rFonts w:ascii="Arial Narrow" w:hAnsi="Arial Narrow" w:cs="Times New Roman"/>
                <w:bCs/>
                <w:sz w:val="20"/>
                <w:szCs w:val="20"/>
              </w:rPr>
              <w:t xml:space="preserve"> Additionally, recommencement of initial treatment, which is allowed in the proposed restriction (see paragraph </w:t>
            </w:r>
            <w:r w:rsidR="00703FDD" w:rsidRPr="000F51F7">
              <w:rPr>
                <w:rFonts w:ascii="Arial Narrow" w:hAnsi="Arial Narrow" w:cs="Times New Roman"/>
                <w:bCs/>
                <w:sz w:val="20"/>
                <w:szCs w:val="20"/>
              </w:rPr>
              <w:fldChar w:fldCharType="begin" w:fldLock="1"/>
            </w:r>
            <w:r w:rsidR="00703FDD" w:rsidRPr="000F51F7">
              <w:rPr>
                <w:rFonts w:ascii="Arial Narrow" w:hAnsi="Arial Narrow" w:cs="Times New Roman"/>
                <w:bCs/>
                <w:sz w:val="20"/>
                <w:szCs w:val="20"/>
              </w:rPr>
              <w:instrText xml:space="preserve"> REF _Ref185294853 \r \h </w:instrText>
            </w:r>
            <w:r w:rsidR="00CF4B08" w:rsidRPr="000F51F7">
              <w:rPr>
                <w:rFonts w:ascii="Arial Narrow" w:hAnsi="Arial Narrow" w:cs="Times New Roman"/>
                <w:bCs/>
                <w:sz w:val="20"/>
                <w:szCs w:val="20"/>
              </w:rPr>
              <w:instrText xml:space="preserve"> \* MERGEFORMAT </w:instrText>
            </w:r>
            <w:r w:rsidR="00703FDD" w:rsidRPr="000F51F7">
              <w:rPr>
                <w:rFonts w:ascii="Arial Narrow" w:hAnsi="Arial Narrow" w:cs="Times New Roman"/>
                <w:bCs/>
                <w:sz w:val="20"/>
                <w:szCs w:val="20"/>
              </w:rPr>
            </w:r>
            <w:r w:rsidR="00703FDD" w:rsidRPr="000F51F7">
              <w:rPr>
                <w:rFonts w:ascii="Arial Narrow" w:hAnsi="Arial Narrow" w:cs="Times New Roman"/>
                <w:bCs/>
                <w:sz w:val="20"/>
                <w:szCs w:val="20"/>
              </w:rPr>
              <w:fldChar w:fldCharType="separate"/>
            </w:r>
            <w:r w:rsidR="00E16571">
              <w:rPr>
                <w:rFonts w:ascii="Arial Narrow" w:hAnsi="Arial Narrow" w:cs="Times New Roman"/>
                <w:bCs/>
                <w:sz w:val="20"/>
                <w:szCs w:val="20"/>
              </w:rPr>
              <w:t>3.13</w:t>
            </w:r>
            <w:r w:rsidR="00703FDD" w:rsidRPr="000F51F7">
              <w:rPr>
                <w:rFonts w:ascii="Arial Narrow" w:hAnsi="Arial Narrow" w:cs="Times New Roman"/>
                <w:bCs/>
                <w:sz w:val="20"/>
                <w:szCs w:val="20"/>
              </w:rPr>
              <w:fldChar w:fldCharType="end"/>
            </w:r>
            <w:r w:rsidR="00703FDD" w:rsidRPr="000F51F7">
              <w:rPr>
                <w:rFonts w:ascii="Arial Narrow" w:hAnsi="Arial Narrow" w:cs="Times New Roman"/>
                <w:bCs/>
                <w:sz w:val="20"/>
                <w:szCs w:val="20"/>
              </w:rPr>
              <w:t>) was not considered</w:t>
            </w:r>
          </w:p>
        </w:tc>
      </w:tr>
      <w:tr w:rsidR="00834C18" w:rsidRPr="000F51F7" w14:paraId="78BD7D4F" w14:textId="77777777" w:rsidTr="00880ECA">
        <w:trPr>
          <w:cantSplit/>
        </w:trPr>
        <w:tc>
          <w:tcPr>
            <w:tcW w:w="664" w:type="pct"/>
            <w:shd w:val="clear" w:color="auto" w:fill="auto"/>
            <w:vAlign w:val="center"/>
          </w:tcPr>
          <w:p w14:paraId="0A3B5498" w14:textId="067217BE" w:rsidR="00834C18" w:rsidRPr="000F51F7" w:rsidRDefault="0055162E" w:rsidP="009E7361">
            <w:pPr>
              <w:jc w:val="left"/>
              <w:rPr>
                <w:rFonts w:ascii="Arial Narrow" w:hAnsi="Arial Narrow" w:cs="Times New Roman"/>
                <w:bCs/>
                <w:sz w:val="20"/>
                <w:szCs w:val="20"/>
              </w:rPr>
            </w:pPr>
            <w:r w:rsidRPr="000F51F7">
              <w:rPr>
                <w:rFonts w:ascii="Arial Narrow" w:hAnsi="Arial Narrow" w:cs="Times New Roman"/>
                <w:bCs/>
                <w:sz w:val="20"/>
                <w:szCs w:val="20"/>
              </w:rPr>
              <w:t>Mean age</w:t>
            </w:r>
            <w:r w:rsidR="0066355F" w:rsidRPr="000F51F7">
              <w:rPr>
                <w:rFonts w:ascii="Arial Narrow" w:hAnsi="Arial Narrow" w:cs="Times New Roman"/>
                <w:bCs/>
                <w:sz w:val="20"/>
                <w:szCs w:val="20"/>
              </w:rPr>
              <w:t xml:space="preserve"> (units dispensed)</w:t>
            </w:r>
            <w:r w:rsidR="00834C18" w:rsidRPr="000F51F7">
              <w:rPr>
                <w:rFonts w:ascii="Arial Narrow" w:hAnsi="Arial Narrow" w:cs="Times New Roman"/>
                <w:bCs/>
                <w:sz w:val="20"/>
                <w:szCs w:val="20"/>
              </w:rPr>
              <w:t xml:space="preserve"> </w:t>
            </w:r>
          </w:p>
        </w:tc>
        <w:tc>
          <w:tcPr>
            <w:tcW w:w="906" w:type="pct"/>
            <w:shd w:val="clear" w:color="auto" w:fill="auto"/>
            <w:vAlign w:val="center"/>
          </w:tcPr>
          <w:p w14:paraId="09A18923" w14:textId="29C6BA14"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The July 2024 submission assumed the mean age of prevalent patients was 12 years and for incident patients it was 4 years (assumed from the model).</w:t>
            </w:r>
          </w:p>
        </w:tc>
        <w:tc>
          <w:tcPr>
            <w:tcW w:w="1650" w:type="pct"/>
            <w:shd w:val="clear" w:color="auto" w:fill="auto"/>
            <w:vAlign w:val="center"/>
          </w:tcPr>
          <w:p w14:paraId="2253B1ED" w14:textId="68E5EFB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DUSC noted that the median age in PEDFIC 1 was 3.2 years</w:t>
            </w:r>
            <w:r w:rsidR="0055162E" w:rsidRPr="000F51F7">
              <w:rPr>
                <w:rFonts w:ascii="Arial Narrow" w:hAnsi="Arial Narrow" w:cs="Times New Roman"/>
                <w:bCs/>
                <w:sz w:val="20"/>
                <w:szCs w:val="20"/>
              </w:rPr>
              <w:t>, and</w:t>
            </w:r>
            <w:r w:rsidRPr="000F51F7">
              <w:rPr>
                <w:rFonts w:ascii="Arial Narrow" w:hAnsi="Arial Narrow" w:cs="Times New Roman"/>
                <w:bCs/>
                <w:sz w:val="20"/>
                <w:szCs w:val="20"/>
              </w:rPr>
              <w:t xml:space="preserve"> that in PEDFIC 2 Cohort 2 the mean age</w:t>
            </w:r>
            <w:r w:rsidR="00C862AE" w:rsidRPr="000F51F7">
              <w:rPr>
                <w:rFonts w:ascii="Arial Narrow" w:hAnsi="Arial Narrow" w:cs="Times New Roman"/>
                <w:bCs/>
                <w:sz w:val="20"/>
                <w:szCs w:val="20"/>
              </w:rPr>
              <w:t xml:space="preserve"> </w:t>
            </w:r>
            <w:r w:rsidRPr="000F51F7">
              <w:rPr>
                <w:rFonts w:ascii="Arial Narrow" w:hAnsi="Arial Narrow" w:cs="Times New Roman"/>
                <w:bCs/>
                <w:sz w:val="20"/>
                <w:szCs w:val="20"/>
              </w:rPr>
              <w:t xml:space="preserve">of patients was 7.8 years. </w:t>
            </w:r>
            <w:r w:rsidR="0055162E" w:rsidRPr="000F51F7">
              <w:rPr>
                <w:rFonts w:ascii="Arial Narrow" w:hAnsi="Arial Narrow" w:cs="Times New Roman"/>
                <w:bCs/>
                <w:sz w:val="20"/>
                <w:szCs w:val="20"/>
              </w:rPr>
              <w:t>DUSC considered using a mean age of 12 years may overestimate utilisation. (Table 21, odevixibat PSD, July 2024 PBAC meeting)</w:t>
            </w:r>
          </w:p>
        </w:tc>
        <w:tc>
          <w:tcPr>
            <w:tcW w:w="1780" w:type="pct"/>
            <w:shd w:val="clear" w:color="auto" w:fill="auto"/>
            <w:vAlign w:val="center"/>
          </w:tcPr>
          <w:p w14:paraId="7FDD8AB7" w14:textId="34A9E3CA"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prevalent patient age </w:t>
            </w:r>
            <w:r w:rsidR="00F956BD" w:rsidRPr="000F51F7">
              <w:rPr>
                <w:rFonts w:ascii="Arial Narrow" w:hAnsi="Arial Narrow" w:cs="Times New Roman"/>
                <w:bCs/>
                <w:sz w:val="20"/>
                <w:szCs w:val="20"/>
              </w:rPr>
              <w:t xml:space="preserve">was increased </w:t>
            </w:r>
            <w:r w:rsidRPr="000F51F7">
              <w:rPr>
                <w:rFonts w:ascii="Arial Narrow" w:hAnsi="Arial Narrow" w:cs="Times New Roman"/>
                <w:bCs/>
                <w:sz w:val="20"/>
                <w:szCs w:val="20"/>
              </w:rPr>
              <w:t xml:space="preserve">from 12 to 13.8 years </w:t>
            </w:r>
            <w:r w:rsidR="0055162E" w:rsidRPr="000F51F7">
              <w:rPr>
                <w:rFonts w:ascii="Arial Narrow" w:hAnsi="Arial Narrow" w:cs="Times New Roman"/>
                <w:bCs/>
                <w:sz w:val="20"/>
                <w:szCs w:val="20"/>
              </w:rPr>
              <w:t>based on early access data</w:t>
            </w:r>
            <w:r w:rsidR="00166CF5" w:rsidRPr="000F51F7">
              <w:rPr>
                <w:rFonts w:ascii="Arial Narrow" w:hAnsi="Arial Narrow" w:cs="Times New Roman"/>
                <w:bCs/>
                <w:sz w:val="20"/>
                <w:szCs w:val="20"/>
              </w:rPr>
              <w:t xml:space="preserve"> as per the Workshop outcomes</w:t>
            </w:r>
            <w:r w:rsidR="00376850" w:rsidRPr="000F51F7">
              <w:rPr>
                <w:rFonts w:ascii="Arial Narrow" w:hAnsi="Arial Narrow" w:cs="Times New Roman"/>
                <w:bCs/>
                <w:sz w:val="20"/>
                <w:szCs w:val="20"/>
              </w:rPr>
              <w:t xml:space="preserve"> (item 5.5)</w:t>
            </w:r>
            <w:r w:rsidR="00376850" w:rsidRPr="000F51F7">
              <w:t xml:space="preserve"> </w:t>
            </w:r>
            <w:r w:rsidR="00376850" w:rsidRPr="000F51F7">
              <w:rPr>
                <w:rFonts w:ascii="Arial Narrow" w:hAnsi="Arial Narrow" w:cs="Times New Roman"/>
                <w:bCs/>
                <w:sz w:val="20"/>
                <w:szCs w:val="20"/>
              </w:rPr>
              <w:t>but DUSC had previously considered that the submission had overestimated the average age of prevalent patients at initiation of treatment (paragraph 6.80, odevixibat PSD, July 2024 PBAC meeting).</w:t>
            </w:r>
            <w:r w:rsidRPr="000F51F7">
              <w:rPr>
                <w:rFonts w:ascii="Arial Narrow" w:hAnsi="Arial Narrow" w:cs="Times New Roman"/>
                <w:bCs/>
                <w:sz w:val="20"/>
                <w:szCs w:val="20"/>
              </w:rPr>
              <w:t xml:space="preserve"> A higher starting age would lead to a higher financial estimate due to more odevixibat being used. </w:t>
            </w:r>
          </w:p>
          <w:p w14:paraId="67EC8BD6" w14:textId="2CCC4EFC"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It was uncertain whether the mean age of the EAP (n=12) </w:t>
            </w:r>
            <w:r w:rsidR="0066355F" w:rsidRPr="000F51F7">
              <w:rPr>
                <w:rFonts w:ascii="Arial Narrow" w:hAnsi="Arial Narrow" w:cs="Times New Roman"/>
                <w:bCs/>
                <w:sz w:val="20"/>
                <w:szCs w:val="20"/>
                <w:vertAlign w:val="superscript"/>
              </w:rPr>
              <w:t>b</w:t>
            </w:r>
            <w:r w:rsidRPr="000F51F7">
              <w:rPr>
                <w:rFonts w:ascii="Arial Narrow" w:hAnsi="Arial Narrow" w:cs="Times New Roman"/>
                <w:bCs/>
                <w:sz w:val="20"/>
                <w:szCs w:val="20"/>
              </w:rPr>
              <w:t xml:space="preserve"> would be reflective of the mean age for the entire prevalent pool.</w:t>
            </w:r>
          </w:p>
        </w:tc>
      </w:tr>
      <w:tr w:rsidR="00834C18" w:rsidRPr="000F51F7" w14:paraId="3920638F" w14:textId="77777777" w:rsidTr="00880ECA">
        <w:trPr>
          <w:cantSplit/>
        </w:trPr>
        <w:tc>
          <w:tcPr>
            <w:tcW w:w="664" w:type="pct"/>
            <w:shd w:val="clear" w:color="auto" w:fill="auto"/>
            <w:vAlign w:val="center"/>
          </w:tcPr>
          <w:p w14:paraId="187D4779"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Compliance and uptake</w:t>
            </w:r>
          </w:p>
        </w:tc>
        <w:tc>
          <w:tcPr>
            <w:tcW w:w="906" w:type="pct"/>
            <w:shd w:val="clear" w:color="auto" w:fill="auto"/>
            <w:vAlign w:val="center"/>
          </w:tcPr>
          <w:p w14:paraId="192BA588" w14:textId="77777777"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100% compliance and uptake rate assumed.</w:t>
            </w:r>
          </w:p>
        </w:tc>
        <w:tc>
          <w:tcPr>
            <w:tcW w:w="1650" w:type="pct"/>
            <w:shd w:val="clear" w:color="auto" w:fill="auto"/>
            <w:vAlign w:val="center"/>
          </w:tcPr>
          <w:p w14:paraId="3A7A0B34" w14:textId="68D355B2" w:rsidR="00834C18" w:rsidRPr="000F51F7" w:rsidRDefault="00834C18"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Likely conservative </w:t>
            </w:r>
            <w:r w:rsidR="0055162E" w:rsidRPr="000F51F7">
              <w:rPr>
                <w:rFonts w:ascii="Arial Narrow" w:hAnsi="Arial Narrow" w:cs="Times New Roman"/>
                <w:bCs/>
                <w:sz w:val="20"/>
                <w:szCs w:val="20"/>
              </w:rPr>
              <w:t xml:space="preserve">but </w:t>
            </w:r>
            <w:r w:rsidRPr="000F51F7">
              <w:rPr>
                <w:rFonts w:ascii="Arial Narrow" w:hAnsi="Arial Narrow" w:cs="Times New Roman"/>
                <w:bCs/>
                <w:sz w:val="20"/>
                <w:szCs w:val="20"/>
              </w:rPr>
              <w:t>consistent with the model (Table 21, odevixibat PSD, July 2024 PBAC meeting)</w:t>
            </w:r>
          </w:p>
        </w:tc>
        <w:tc>
          <w:tcPr>
            <w:tcW w:w="1780" w:type="pct"/>
            <w:shd w:val="clear" w:color="auto" w:fill="auto"/>
            <w:vAlign w:val="center"/>
          </w:tcPr>
          <w:p w14:paraId="770C9797" w14:textId="4EC3F8CC" w:rsidR="00834C18" w:rsidRPr="000F51F7" w:rsidRDefault="009C3E61" w:rsidP="009E7361">
            <w:pPr>
              <w:jc w:val="left"/>
              <w:rPr>
                <w:rFonts w:ascii="Arial Narrow" w:hAnsi="Arial Narrow" w:cs="Times New Roman"/>
                <w:bCs/>
                <w:sz w:val="20"/>
                <w:szCs w:val="20"/>
              </w:rPr>
            </w:pPr>
            <w:r w:rsidRPr="000F51F7">
              <w:rPr>
                <w:rFonts w:ascii="Arial Narrow" w:hAnsi="Arial Narrow" w:cs="Times New Roman"/>
                <w:bCs/>
                <w:sz w:val="20"/>
                <w:szCs w:val="20"/>
              </w:rPr>
              <w:t>Unchanged and c</w:t>
            </w:r>
            <w:r w:rsidR="00834C18" w:rsidRPr="000F51F7">
              <w:rPr>
                <w:rFonts w:ascii="Arial Narrow" w:hAnsi="Arial Narrow" w:cs="Times New Roman"/>
                <w:bCs/>
                <w:sz w:val="20"/>
                <w:szCs w:val="20"/>
              </w:rPr>
              <w:t xml:space="preserve">onsistent with the economic model, however, treatment interruptions due to TEAEs in PEDFIC 2 were reported in 39/116 (34%) patients. Therefore 100% compliance may be an overestimate. </w:t>
            </w:r>
          </w:p>
        </w:tc>
      </w:tr>
      <w:tr w:rsidR="0066355F" w:rsidRPr="000F51F7" w14:paraId="13052335" w14:textId="77777777" w:rsidTr="00880ECA">
        <w:trPr>
          <w:cantSplit/>
        </w:trPr>
        <w:tc>
          <w:tcPr>
            <w:tcW w:w="664" w:type="pct"/>
            <w:shd w:val="clear" w:color="auto" w:fill="auto"/>
            <w:vAlign w:val="center"/>
          </w:tcPr>
          <w:p w14:paraId="5609F136" w14:textId="60A6062C" w:rsidR="0066355F" w:rsidRPr="000F51F7" w:rsidRDefault="0066355F" w:rsidP="009E7361">
            <w:pPr>
              <w:jc w:val="left"/>
              <w:rPr>
                <w:rFonts w:ascii="Arial Narrow" w:hAnsi="Arial Narrow" w:cs="Times New Roman"/>
                <w:bCs/>
                <w:sz w:val="20"/>
                <w:szCs w:val="20"/>
              </w:rPr>
            </w:pPr>
            <w:r w:rsidRPr="000F51F7">
              <w:rPr>
                <w:rFonts w:ascii="Arial Narrow" w:hAnsi="Arial Narrow" w:cs="Times New Roman"/>
                <w:bCs/>
                <w:sz w:val="20"/>
                <w:szCs w:val="20"/>
              </w:rPr>
              <w:t>Grandfathered patients</w:t>
            </w:r>
          </w:p>
        </w:tc>
        <w:tc>
          <w:tcPr>
            <w:tcW w:w="906" w:type="pct"/>
            <w:shd w:val="clear" w:color="auto" w:fill="auto"/>
            <w:vAlign w:val="center"/>
          </w:tcPr>
          <w:p w14:paraId="56778712" w14:textId="4802062C" w:rsidR="0066355F" w:rsidRPr="000F51F7" w:rsidRDefault="0066355F" w:rsidP="009E7361">
            <w:pPr>
              <w:jc w:val="left"/>
              <w:rPr>
                <w:rFonts w:ascii="Arial Narrow" w:hAnsi="Arial Narrow" w:cs="Times New Roman"/>
                <w:bCs/>
                <w:sz w:val="20"/>
                <w:szCs w:val="20"/>
              </w:rPr>
            </w:pPr>
            <w:r w:rsidRPr="000F51F7">
              <w:rPr>
                <w:rFonts w:ascii="Arial Narrow" w:hAnsi="Arial Narrow" w:cs="Times New Roman"/>
                <w:bCs/>
                <w:sz w:val="20"/>
                <w:szCs w:val="20"/>
              </w:rPr>
              <w:t xml:space="preserve">The July 2024 submission included </w:t>
            </w:r>
            <w:r w:rsidR="001549E4" w:rsidRPr="006F5FAE">
              <w:rPr>
                <w:rFonts w:ascii="Arial Narrow" w:hAnsi="Arial Narrow" w:cs="Times New Roman"/>
                <w:bCs/>
                <w:color w:val="000000"/>
                <w:spacing w:val="54"/>
                <w:sz w:val="20"/>
                <w:szCs w:val="20"/>
                <w:shd w:val="solid" w:color="000000" w:fill="000000"/>
                <w:fitText w:val="334" w:id="-693991156"/>
                <w14:textFill>
                  <w14:solidFill>
                    <w14:srgbClr w14:val="000000">
                      <w14:alpha w14:val="100000"/>
                    </w14:srgbClr>
                  </w14:solidFill>
                </w14:textFill>
              </w:rPr>
              <w:t>|||</w:t>
            </w:r>
            <w:r w:rsidR="001549E4" w:rsidRPr="006F5FAE">
              <w:rPr>
                <w:rFonts w:ascii="Arial Narrow" w:hAnsi="Arial Narrow" w:cs="Times New Roman"/>
                <w:bCs/>
                <w:color w:val="000000"/>
                <w:spacing w:val="2"/>
                <w:sz w:val="20"/>
                <w:szCs w:val="20"/>
                <w:shd w:val="solid" w:color="000000" w:fill="000000"/>
                <w:fitText w:val="334" w:id="-693991156"/>
                <w14:textFill>
                  <w14:solidFill>
                    <w14:srgbClr w14:val="000000">
                      <w14:alpha w14:val="100000"/>
                    </w14:srgbClr>
                  </w14:solidFill>
                </w14:textFill>
              </w:rPr>
              <w:t>|</w:t>
            </w:r>
            <w:r w:rsidR="00626BEF" w:rsidRPr="00626BEF">
              <w:rPr>
                <w:rFonts w:ascii="Arial Narrow" w:hAnsi="Arial Narrow" w:cs="Times New Roman"/>
                <w:bCs/>
                <w:sz w:val="20"/>
                <w:szCs w:val="20"/>
                <w:vertAlign w:val="superscript"/>
              </w:rPr>
              <w:t>1</w:t>
            </w:r>
            <w:r w:rsidRPr="000F51F7">
              <w:rPr>
                <w:rFonts w:ascii="Arial Narrow" w:hAnsi="Arial Narrow" w:cs="Times New Roman"/>
                <w:bCs/>
                <w:sz w:val="20"/>
                <w:szCs w:val="20"/>
              </w:rPr>
              <w:t xml:space="preserve"> patients from a compassionate access program.</w:t>
            </w:r>
          </w:p>
        </w:tc>
        <w:tc>
          <w:tcPr>
            <w:tcW w:w="1650" w:type="pct"/>
            <w:shd w:val="clear" w:color="auto" w:fill="auto"/>
            <w:vAlign w:val="center"/>
          </w:tcPr>
          <w:p w14:paraId="4285B14E" w14:textId="49F3B74A" w:rsidR="0066355F" w:rsidRPr="000F51F7" w:rsidRDefault="0066355F" w:rsidP="009E7361">
            <w:pPr>
              <w:jc w:val="left"/>
              <w:rPr>
                <w:rFonts w:ascii="Arial Narrow" w:hAnsi="Arial Narrow" w:cs="Times New Roman"/>
                <w:bCs/>
                <w:sz w:val="20"/>
                <w:szCs w:val="20"/>
              </w:rPr>
            </w:pPr>
            <w:r w:rsidRPr="000F51F7">
              <w:rPr>
                <w:rFonts w:ascii="Arial Narrow" w:hAnsi="Arial Narrow" w:cs="Times New Roman"/>
                <w:bCs/>
                <w:sz w:val="20"/>
                <w:szCs w:val="20"/>
              </w:rPr>
              <w:t>DUSC considered it was reasonable to assume that grandfathered patients will all continue treatment (Table 21, odevixibat PSD, July 2024 PBAC meeting)</w:t>
            </w:r>
          </w:p>
        </w:tc>
        <w:tc>
          <w:tcPr>
            <w:tcW w:w="1780" w:type="pct"/>
            <w:shd w:val="clear" w:color="auto" w:fill="auto"/>
            <w:vAlign w:val="center"/>
          </w:tcPr>
          <w:p w14:paraId="1DEFC92A" w14:textId="09B9D805" w:rsidR="0066355F" w:rsidRPr="000F51F7" w:rsidRDefault="0066355F" w:rsidP="009E7361">
            <w:pPr>
              <w:jc w:val="left"/>
              <w:rPr>
                <w:rFonts w:ascii="Arial Narrow" w:hAnsi="Arial Narrow" w:cs="Times New Roman"/>
                <w:bCs/>
                <w:sz w:val="20"/>
                <w:szCs w:val="20"/>
              </w:rPr>
            </w:pPr>
            <w:r w:rsidRPr="000F51F7">
              <w:rPr>
                <w:rFonts w:ascii="Arial Narrow" w:hAnsi="Arial Narrow" w:cs="Times New Roman"/>
                <w:bCs/>
                <w:sz w:val="20"/>
                <w:szCs w:val="20"/>
              </w:rPr>
              <w:t>This assumption was unchanged in the resubmission.</w:t>
            </w:r>
          </w:p>
        </w:tc>
      </w:tr>
    </w:tbl>
    <w:p w14:paraId="60986D1A" w14:textId="77777777" w:rsidR="00834C18" w:rsidRPr="00706A8D" w:rsidRDefault="00834C18" w:rsidP="00834C18">
      <w:pPr>
        <w:jc w:val="left"/>
        <w:rPr>
          <w:rFonts w:ascii="Arial Narrow" w:hAnsi="Arial Narrow"/>
          <w:sz w:val="18"/>
          <w:szCs w:val="18"/>
        </w:rPr>
      </w:pPr>
      <w:r w:rsidRPr="00706A8D">
        <w:rPr>
          <w:rFonts w:ascii="Arial Narrow" w:hAnsi="Arial Narrow"/>
          <w:sz w:val="18"/>
          <w:szCs w:val="18"/>
        </w:rPr>
        <w:t>Source: Table 21, odevixibat PSD, July 2024 PBAC Meeting, Table 37, p190 of PEDFIC 2 CSR 72-week analysis</w:t>
      </w:r>
    </w:p>
    <w:p w14:paraId="3D5E6510" w14:textId="18D50943" w:rsidR="00626BEF" w:rsidRDefault="00834C18" w:rsidP="00626BEF">
      <w:pPr>
        <w:jc w:val="left"/>
      </w:pPr>
      <w:r w:rsidRPr="00706A8D">
        <w:rPr>
          <w:rFonts w:ascii="Arial Narrow" w:hAnsi="Arial Narrow"/>
          <w:sz w:val="18"/>
          <w:szCs w:val="18"/>
        </w:rPr>
        <w:t xml:space="preserve">Abbreviations: </w:t>
      </w:r>
      <w:r w:rsidRPr="003E58B6">
        <w:rPr>
          <w:rFonts w:ascii="Arial Narrow" w:hAnsi="Arial Narrow"/>
          <w:i/>
          <w:iCs/>
          <w:sz w:val="18"/>
          <w:szCs w:val="18"/>
        </w:rPr>
        <w:t>BSEP</w:t>
      </w:r>
      <w:r w:rsidRPr="00706A8D">
        <w:rPr>
          <w:rFonts w:ascii="Arial Narrow" w:hAnsi="Arial Narrow"/>
          <w:sz w:val="18"/>
          <w:szCs w:val="18"/>
        </w:rPr>
        <w:t xml:space="preserve"> = bile salt export pump; DUSC = drug utilisation sub-committee; EAP = early access program; LT = liver transplant; PEBD = partial external biliary diversion; PFIC = progressive familial intrahepatic cholestasis</w:t>
      </w:r>
      <w:r w:rsidR="001C1A3B">
        <w:rPr>
          <w:rFonts w:ascii="Arial Narrow" w:hAnsi="Arial Narrow"/>
          <w:sz w:val="18"/>
          <w:szCs w:val="18"/>
        </w:rPr>
        <w:t xml:space="preserve">; </w:t>
      </w:r>
      <w:r w:rsidRPr="00706A8D">
        <w:rPr>
          <w:rFonts w:ascii="Arial Narrow" w:hAnsi="Arial Narrow"/>
          <w:sz w:val="18"/>
          <w:szCs w:val="18"/>
        </w:rPr>
        <w:t>S</w:t>
      </w:r>
      <w:r w:rsidR="001C1A3B">
        <w:rPr>
          <w:rFonts w:ascii="Arial Narrow" w:hAnsi="Arial Narrow"/>
          <w:sz w:val="18"/>
          <w:szCs w:val="18"/>
        </w:rPr>
        <w:t>o</w:t>
      </w:r>
      <w:r w:rsidRPr="00706A8D">
        <w:rPr>
          <w:rFonts w:ascii="Arial Narrow" w:hAnsi="Arial Narrow"/>
          <w:sz w:val="18"/>
          <w:szCs w:val="18"/>
        </w:rPr>
        <w:t>C = standard of care; TEAE = treatment emergent adverse event; RSA = risk share arrangement</w:t>
      </w:r>
      <w:r w:rsidRPr="00706A8D">
        <w:rPr>
          <w:rFonts w:ascii="Arial Narrow" w:hAnsi="Arial Narrow"/>
          <w:sz w:val="18"/>
          <w:szCs w:val="18"/>
        </w:rPr>
        <w:br/>
      </w:r>
      <w:r w:rsidR="0066355F">
        <w:rPr>
          <w:rFonts w:ascii="Arial Narrow" w:hAnsi="Arial Narrow"/>
          <w:sz w:val="18"/>
          <w:szCs w:val="18"/>
        </w:rPr>
        <w:t xml:space="preserve">a </w:t>
      </w:r>
      <w:r w:rsidR="0066355F" w:rsidRPr="0066355F">
        <w:rPr>
          <w:rFonts w:ascii="Arial Narrow" w:hAnsi="Arial Narrow"/>
          <w:sz w:val="18"/>
          <w:szCs w:val="18"/>
        </w:rPr>
        <w:t>In the resubmission’s financial model it was noted that ‘5% of prior PEBD [or prior LT] would benefit from treatment (clinical input from Facilitated Workshop)’, and two additional eligibility proportions (98.14% and 97.3%, respectively) were applied to the overall eligibility. It was unclear how these proportions were calculated, and the application effectively reduced overall eligibility by 4.56% ([1-0.9814] +[1-0.973]).</w:t>
      </w:r>
      <w:r w:rsidRPr="00706A8D">
        <w:rPr>
          <w:rFonts w:ascii="Arial Narrow" w:hAnsi="Arial Narrow"/>
          <w:sz w:val="18"/>
          <w:szCs w:val="18"/>
        </w:rPr>
        <w:br/>
      </w:r>
      <w:r w:rsidR="00202EC1">
        <w:rPr>
          <w:rFonts w:ascii="Arial Narrow" w:hAnsi="Arial Narrow"/>
          <w:sz w:val="18"/>
          <w:szCs w:val="18"/>
        </w:rPr>
        <w:t>b</w:t>
      </w:r>
      <w:r w:rsidR="00202EC1" w:rsidRPr="00706A8D">
        <w:rPr>
          <w:rFonts w:ascii="Arial Narrow" w:hAnsi="Arial Narrow"/>
          <w:sz w:val="18"/>
          <w:szCs w:val="18"/>
        </w:rPr>
        <w:t xml:space="preserve"> Patient</w:t>
      </w:r>
      <w:r w:rsidRPr="00706A8D">
        <w:rPr>
          <w:rFonts w:ascii="Arial Narrow" w:hAnsi="Arial Narrow"/>
          <w:sz w:val="18"/>
          <w:szCs w:val="18"/>
        </w:rPr>
        <w:t xml:space="preserve"> numbers extracted from the ‘Calculation for prior LT and PEBD eligibility based on EAP patient data’ in the resubmission’s </w:t>
      </w:r>
      <w:r w:rsidRPr="00706A8D">
        <w:rPr>
          <w:rFonts w:ascii="Arial Narrow" w:hAnsi="Arial Narrow"/>
          <w:sz w:val="18"/>
          <w:szCs w:val="18"/>
        </w:rPr>
        <w:lastRenderedPageBreak/>
        <w:t xml:space="preserve">financial model which had </w:t>
      </w:r>
      <w:r w:rsidR="00976F59">
        <w:rPr>
          <w:rFonts w:ascii="Arial Narrow" w:hAnsi="Arial Narrow"/>
          <w:sz w:val="18"/>
          <w:szCs w:val="18"/>
        </w:rPr>
        <w:t>&lt;500</w:t>
      </w:r>
      <w:r w:rsidR="00976F59" w:rsidRPr="00706A8D">
        <w:rPr>
          <w:rFonts w:ascii="Arial Narrow" w:hAnsi="Arial Narrow"/>
          <w:sz w:val="18"/>
          <w:szCs w:val="18"/>
        </w:rPr>
        <w:t xml:space="preserve"> </w:t>
      </w:r>
      <w:r w:rsidRPr="00706A8D">
        <w:rPr>
          <w:rFonts w:ascii="Arial Narrow" w:hAnsi="Arial Narrow"/>
          <w:sz w:val="18"/>
          <w:szCs w:val="18"/>
        </w:rPr>
        <w:t xml:space="preserve">patients age &gt;20 years and </w:t>
      </w:r>
      <w:r w:rsidR="00976F59">
        <w:rPr>
          <w:rFonts w:ascii="Arial Narrow" w:hAnsi="Arial Narrow"/>
          <w:sz w:val="18"/>
          <w:szCs w:val="18"/>
        </w:rPr>
        <w:t>&lt;500</w:t>
      </w:r>
      <w:r w:rsidR="00976F59" w:rsidRPr="00706A8D">
        <w:rPr>
          <w:rFonts w:ascii="Arial Narrow" w:hAnsi="Arial Narrow"/>
          <w:sz w:val="18"/>
          <w:szCs w:val="18"/>
        </w:rPr>
        <w:t xml:space="preserve"> </w:t>
      </w:r>
      <w:r w:rsidRPr="00706A8D">
        <w:rPr>
          <w:rFonts w:ascii="Arial Narrow" w:hAnsi="Arial Narrow"/>
          <w:sz w:val="18"/>
          <w:szCs w:val="18"/>
        </w:rPr>
        <w:t>patients age ≤19 years.</w:t>
      </w:r>
      <w:r w:rsidR="009A4968">
        <w:rPr>
          <w:rFonts w:ascii="Arial Narrow" w:hAnsi="Arial Narrow"/>
          <w:sz w:val="18"/>
          <w:szCs w:val="18"/>
        </w:rPr>
        <w:br/>
      </w:r>
      <w:r w:rsidR="009A4968" w:rsidRPr="005F6814">
        <w:rPr>
          <w:rFonts w:ascii="Arial Narrow" w:hAnsi="Arial Narrow"/>
          <w:sz w:val="18"/>
          <w:szCs w:val="18"/>
        </w:rPr>
        <w:t>c</w:t>
      </w:r>
      <w:r w:rsidR="009A4968">
        <w:rPr>
          <w:rFonts w:ascii="Arial Narrow" w:hAnsi="Arial Narrow"/>
          <w:sz w:val="18"/>
          <w:szCs w:val="18"/>
          <w:vertAlign w:val="superscript"/>
        </w:rPr>
        <w:t xml:space="preserve"> </w:t>
      </w:r>
      <w:r w:rsidR="009A4968" w:rsidRPr="009A4968">
        <w:rPr>
          <w:rFonts w:ascii="Arial Narrow" w:hAnsi="Arial Narrow"/>
          <w:sz w:val="18"/>
          <w:szCs w:val="18"/>
        </w:rPr>
        <w:t>Calculated as 24.5% x 58%</w:t>
      </w:r>
      <w:r w:rsidR="009A4968">
        <w:rPr>
          <w:rFonts w:ascii="Arial Narrow" w:hAnsi="Arial Narrow"/>
          <w:sz w:val="18"/>
          <w:szCs w:val="18"/>
        </w:rPr>
        <w:t xml:space="preserve"> where</w:t>
      </w:r>
      <w:r w:rsidR="009A4968" w:rsidRPr="009A4968">
        <w:rPr>
          <w:rFonts w:ascii="Arial Narrow" w:hAnsi="Arial Narrow"/>
          <w:sz w:val="18"/>
          <w:szCs w:val="18"/>
        </w:rPr>
        <w:t xml:space="preserve"> 24.5% = % high dose (internal data and PEDFIC response) </w:t>
      </w:r>
      <w:r w:rsidR="009A4968">
        <w:rPr>
          <w:rFonts w:ascii="Arial Narrow" w:hAnsi="Arial Narrow"/>
          <w:sz w:val="18"/>
          <w:szCs w:val="18"/>
        </w:rPr>
        <w:t xml:space="preserve">and </w:t>
      </w:r>
      <w:r w:rsidR="009A4968" w:rsidRPr="009A4968">
        <w:rPr>
          <w:rFonts w:ascii="Arial Narrow" w:hAnsi="Arial Narrow"/>
          <w:sz w:val="18"/>
          <w:szCs w:val="18"/>
        </w:rPr>
        <w:t>58% = total responders</w:t>
      </w:r>
      <w:r w:rsidR="00626BEF" w:rsidRPr="00626BEF">
        <w:t xml:space="preserve"> </w:t>
      </w:r>
    </w:p>
    <w:p w14:paraId="65720258" w14:textId="6E0127BD" w:rsidR="00626BEF" w:rsidRPr="00ED77F9" w:rsidRDefault="00626BEF" w:rsidP="00626BEF">
      <w:pPr>
        <w:jc w:val="left"/>
        <w:rPr>
          <w:rFonts w:ascii="Arial Narrow" w:hAnsi="Arial Narrow"/>
          <w:i/>
          <w:iCs/>
          <w:sz w:val="18"/>
          <w:szCs w:val="18"/>
        </w:rPr>
      </w:pPr>
      <w:r w:rsidRPr="00ED77F9">
        <w:rPr>
          <w:rFonts w:ascii="Arial Narrow" w:hAnsi="Arial Narrow"/>
          <w:i/>
          <w:iCs/>
          <w:sz w:val="18"/>
          <w:szCs w:val="18"/>
        </w:rPr>
        <w:t xml:space="preserve">The redacted values correspond to the following ranges: </w:t>
      </w:r>
    </w:p>
    <w:p w14:paraId="77CB2DF8" w14:textId="451671D8" w:rsidR="00D379F9" w:rsidRPr="00ED77F9" w:rsidRDefault="00626BEF" w:rsidP="00D379F9">
      <w:pPr>
        <w:jc w:val="left"/>
        <w:rPr>
          <w:rFonts w:ascii="Arial Narrow" w:hAnsi="Arial Narrow"/>
          <w:i/>
          <w:iCs/>
          <w:sz w:val="18"/>
          <w:szCs w:val="18"/>
        </w:rPr>
      </w:pPr>
      <w:r w:rsidRPr="00ED77F9">
        <w:rPr>
          <w:rFonts w:ascii="Arial Narrow" w:hAnsi="Arial Narrow"/>
          <w:i/>
          <w:iCs/>
          <w:sz w:val="18"/>
          <w:szCs w:val="18"/>
          <w:vertAlign w:val="superscript"/>
        </w:rPr>
        <w:t>1</w:t>
      </w:r>
      <w:r w:rsidRPr="00ED77F9">
        <w:rPr>
          <w:rFonts w:ascii="Arial Narrow" w:hAnsi="Arial Narrow"/>
          <w:i/>
          <w:iCs/>
          <w:sz w:val="18"/>
          <w:szCs w:val="18"/>
        </w:rPr>
        <w:t xml:space="preserve"> &lt; 500</w:t>
      </w:r>
    </w:p>
    <w:p w14:paraId="3E1B218A" w14:textId="5F0F4F48" w:rsidR="00CD7B0A" w:rsidRPr="000F51F7" w:rsidRDefault="00CD7B0A" w:rsidP="00CD7B0A">
      <w:pPr>
        <w:pStyle w:val="3-BodyText"/>
        <w:numPr>
          <w:ilvl w:val="1"/>
          <w:numId w:val="1"/>
        </w:numPr>
      </w:pPr>
      <w:bookmarkStart w:id="102" w:name="_Ref188274518"/>
      <w:r w:rsidRPr="000F51F7">
        <w:t>The resubmission made the following changes based on input at the Facilitated Resolution Pathway Workshop:</w:t>
      </w:r>
      <w:bookmarkEnd w:id="102"/>
    </w:p>
    <w:p w14:paraId="31E270AB" w14:textId="77777777" w:rsidR="00CD7B0A" w:rsidRPr="000F51F7" w:rsidRDefault="00CD7B0A" w:rsidP="007C21AA">
      <w:pPr>
        <w:pStyle w:val="3-BodyText"/>
        <w:numPr>
          <w:ilvl w:val="0"/>
          <w:numId w:val="16"/>
        </w:numPr>
        <w:ind w:left="1080"/>
      </w:pPr>
      <w:r w:rsidRPr="000F51F7">
        <w:t>The total proportion of prevalent patients assumed to have prior LT was reduced from 80% to 54.1%, due to prior LT rates in the under 20 population being reduced to 45.5% from van Wessell 2020;</w:t>
      </w:r>
    </w:p>
    <w:p w14:paraId="5709192D" w14:textId="77777777" w:rsidR="00CD7B0A" w:rsidRPr="000F51F7" w:rsidRDefault="00CD7B0A" w:rsidP="007C21AA">
      <w:pPr>
        <w:pStyle w:val="3-BodyText"/>
        <w:numPr>
          <w:ilvl w:val="0"/>
          <w:numId w:val="16"/>
        </w:numPr>
        <w:ind w:left="1080"/>
      </w:pPr>
      <w:r w:rsidRPr="000F51F7">
        <w:t>The total proportion of prevalent patients assumed to have prior PEBD was reduced from 50% to 37.3%, due to prior PEBD rates in the under 20 population being reduced to 23% from van Wessell 2020;</w:t>
      </w:r>
    </w:p>
    <w:p w14:paraId="1317B103" w14:textId="51CE343F" w:rsidR="00CD7B0A" w:rsidRPr="000F51F7" w:rsidRDefault="00CD7B0A" w:rsidP="007C21AA">
      <w:pPr>
        <w:pStyle w:val="3-BodyText"/>
        <w:numPr>
          <w:ilvl w:val="0"/>
          <w:numId w:val="16"/>
        </w:numPr>
        <w:ind w:left="1080"/>
      </w:pPr>
      <w:r w:rsidRPr="000F51F7">
        <w:t xml:space="preserve">The </w:t>
      </w:r>
      <w:r w:rsidR="002E197B" w:rsidRPr="000F51F7">
        <w:t xml:space="preserve">number </w:t>
      </w:r>
      <w:r w:rsidRPr="000F51F7">
        <w:t>of inciden</w:t>
      </w:r>
      <w:r w:rsidR="002E197B" w:rsidRPr="000F51F7">
        <w:t>t</w:t>
      </w:r>
      <w:r w:rsidR="00D379F9" w:rsidRPr="000F51F7">
        <w:t xml:space="preserve"> </w:t>
      </w:r>
      <w:r w:rsidRPr="000F51F7">
        <w:t>patients was reduced from 6 per year to 4 per year;</w:t>
      </w:r>
    </w:p>
    <w:p w14:paraId="0EEE7584" w14:textId="77777777" w:rsidR="00CD7B0A" w:rsidRPr="000F51F7" w:rsidRDefault="00CD7B0A" w:rsidP="007C21AA">
      <w:pPr>
        <w:pStyle w:val="3-BodyText"/>
        <w:numPr>
          <w:ilvl w:val="0"/>
          <w:numId w:val="16"/>
        </w:numPr>
        <w:ind w:left="1080"/>
      </w:pPr>
      <w:r w:rsidRPr="000F51F7">
        <w:t xml:space="preserve">Patients with the PFIC2 </w:t>
      </w:r>
      <w:r w:rsidRPr="003E58B6">
        <w:rPr>
          <w:i/>
          <w:iCs/>
        </w:rPr>
        <w:t xml:space="preserve">BSEP3 </w:t>
      </w:r>
      <w:r w:rsidRPr="000F51F7">
        <w:t>subtype, which were previously excluded, were included in the resubmission; and</w:t>
      </w:r>
    </w:p>
    <w:p w14:paraId="6D1F0FFC" w14:textId="77777777" w:rsidR="00CD7B0A" w:rsidRPr="000F51F7" w:rsidRDefault="00CD7B0A" w:rsidP="007C21AA">
      <w:pPr>
        <w:pStyle w:val="3-BodyText"/>
        <w:numPr>
          <w:ilvl w:val="0"/>
          <w:numId w:val="16"/>
        </w:numPr>
        <w:ind w:left="1080"/>
      </w:pPr>
      <w:r w:rsidRPr="000F51F7">
        <w:t xml:space="preserve">The age of prevalent patients was increased from 12 to 13.8 years, based on early access data (n=12). </w:t>
      </w:r>
    </w:p>
    <w:p w14:paraId="6D88C68D" w14:textId="4F7D0813" w:rsidR="00E50466" w:rsidRPr="000F51F7" w:rsidRDefault="00E50466" w:rsidP="00B81DC5">
      <w:pPr>
        <w:pStyle w:val="3-BodyText"/>
        <w:numPr>
          <w:ilvl w:val="1"/>
          <w:numId w:val="1"/>
        </w:numPr>
        <w:spacing w:before="0"/>
      </w:pPr>
      <w:r w:rsidRPr="000F51F7">
        <w:t xml:space="preserve">The number of eligible prevalent patients was increased in the resubmission from </w:t>
      </w:r>
      <w:r w:rsidR="00D836FF">
        <w:t>&lt;500</w:t>
      </w:r>
      <w:r w:rsidR="00D836FF" w:rsidRPr="000F51F7">
        <w:t xml:space="preserve"> </w:t>
      </w:r>
      <w:r w:rsidRPr="000F51F7">
        <w:t xml:space="preserve">to </w:t>
      </w:r>
      <w:r w:rsidR="00D836FF">
        <w:t>&lt;500</w:t>
      </w:r>
      <w:r w:rsidR="00D836FF" w:rsidRPr="000F51F7">
        <w:t xml:space="preserve"> </w:t>
      </w:r>
      <w:r w:rsidRPr="000F51F7">
        <w:t xml:space="preserve">patients largely due to the reduction in the assumed proportion of prevalent patients with prior LT or prior PEBD surgery (see paragraph </w:t>
      </w:r>
      <w:r w:rsidR="000F2F81" w:rsidRPr="000F51F7">
        <w:fldChar w:fldCharType="begin" w:fldLock="1"/>
      </w:r>
      <w:r w:rsidR="000F2F81" w:rsidRPr="000F51F7">
        <w:instrText xml:space="preserve"> REF _Ref188274518 \r \h </w:instrText>
      </w:r>
      <w:r w:rsidR="000F51F7" w:rsidRPr="000F51F7">
        <w:instrText xml:space="preserve"> \* MERGEFORMAT </w:instrText>
      </w:r>
      <w:r w:rsidR="000F2F81" w:rsidRPr="000F51F7">
        <w:fldChar w:fldCharType="separate"/>
      </w:r>
      <w:r w:rsidR="00E16571">
        <w:t>6.58</w:t>
      </w:r>
      <w:r w:rsidR="000F2F81" w:rsidRPr="000F51F7">
        <w:fldChar w:fldCharType="end"/>
      </w:r>
      <w:r w:rsidRPr="000F51F7">
        <w:t xml:space="preserve">). </w:t>
      </w:r>
      <w:r w:rsidR="00F913D3" w:rsidRPr="000F51F7">
        <w:t xml:space="preserve">All patients with prior LT or PEBD were excluded from the prevalent pool. </w:t>
      </w:r>
      <w:r w:rsidRPr="000F51F7">
        <w:t xml:space="preserve">It was acknowledged at the </w:t>
      </w:r>
      <w:r w:rsidR="000A52DA" w:rsidRPr="000F51F7">
        <w:t xml:space="preserve">Facilitated Resolution Pathway Workshop </w:t>
      </w:r>
      <w:r w:rsidRPr="000F51F7">
        <w:t>that the changes to prior LT and prior PEBD rates would increase the eligibility and prevalent population.</w:t>
      </w:r>
      <w:r w:rsidR="007A30CF" w:rsidRPr="000F51F7">
        <w:t xml:space="preserve"> </w:t>
      </w:r>
      <w:r w:rsidRPr="000F51F7">
        <w:t xml:space="preserve">However, </w:t>
      </w:r>
      <w:r w:rsidR="005A416C" w:rsidRPr="000F51F7">
        <w:t xml:space="preserve">the ESC noted that </w:t>
      </w:r>
      <w:r w:rsidRPr="000F51F7">
        <w:t xml:space="preserve">DUSC has previously considered that the July 2024 submission had likely overestimated the number of prevalent and incident patients (see paragraph </w:t>
      </w:r>
      <w:r w:rsidRPr="000F51F7">
        <w:fldChar w:fldCharType="begin" w:fldLock="1"/>
      </w:r>
      <w:r w:rsidRPr="000F51F7">
        <w:instrText xml:space="preserve"> REF _Ref185076515 \r \h </w:instrText>
      </w:r>
      <w:r w:rsidR="00CF4B08" w:rsidRPr="000F51F7">
        <w:instrText xml:space="preserve"> \* MERGEFORMAT </w:instrText>
      </w:r>
      <w:r w:rsidRPr="000F51F7">
        <w:fldChar w:fldCharType="separate"/>
      </w:r>
      <w:r w:rsidR="00E16571">
        <w:t>6.56</w:t>
      </w:r>
      <w:r w:rsidRPr="000F51F7">
        <w:fldChar w:fldCharType="end"/>
      </w:r>
      <w:r w:rsidRPr="000F51F7">
        <w:t xml:space="preserve">), and that applying the prevalence rate of 0.07 per 10,000 persons to the </w:t>
      </w:r>
      <w:r w:rsidR="00F006D3" w:rsidRPr="000F51F7">
        <w:t xml:space="preserve">adult </w:t>
      </w:r>
      <w:r w:rsidRPr="000F51F7">
        <w:t>population may not have been appropriate. Therefore, it was unclear whether the increase in eligible patients was reasonable without any adjustment to the overall prevalence pool.</w:t>
      </w:r>
      <w:r w:rsidR="004E7EE5" w:rsidRPr="000F51F7">
        <w:t xml:space="preserve"> </w:t>
      </w:r>
    </w:p>
    <w:p w14:paraId="333607C9" w14:textId="1D706839" w:rsidR="00E50466" w:rsidRPr="000F51F7" w:rsidRDefault="00E50466" w:rsidP="00B81DC5">
      <w:pPr>
        <w:pStyle w:val="3-BodyText"/>
        <w:numPr>
          <w:ilvl w:val="1"/>
          <w:numId w:val="1"/>
        </w:numPr>
        <w:spacing w:before="0"/>
      </w:pPr>
      <w:bookmarkStart w:id="103" w:name="_Ref185080740"/>
      <w:r w:rsidRPr="000F51F7">
        <w:t xml:space="preserve">The mean age of prevalent patients was increased in the resubmission from 12 to 13.8 years, based on early access program data (n=12, individual patient ages not reported). This was noted in the </w:t>
      </w:r>
      <w:r w:rsidR="000A52DA" w:rsidRPr="000F51F7">
        <w:t xml:space="preserve">Facilitated Resolution Pathway Workshop </w:t>
      </w:r>
      <w:r w:rsidR="008D7A19" w:rsidRPr="000F51F7">
        <w:t xml:space="preserve">discussion document </w:t>
      </w:r>
      <w:r w:rsidRPr="000F51F7">
        <w:t>as being considered a reasonable approach. However, DUSC has previously considered that the average age at initiation (which was 12 years in the July 2024 submission) may overestimate utilisation for prevalent patients (Table 21</w:t>
      </w:r>
      <w:r w:rsidR="009C7DB2" w:rsidRPr="000F51F7">
        <w:t xml:space="preserve"> and paragraph 6.80</w:t>
      </w:r>
      <w:r w:rsidRPr="000F51F7">
        <w:t>, odevixibat PSD, July 2024 PBAC meeting). The mean age of prevalent patients remains highly uncertain as:</w:t>
      </w:r>
      <w:bookmarkEnd w:id="103"/>
    </w:p>
    <w:p w14:paraId="3AD56789" w14:textId="77777777" w:rsidR="00E50466" w:rsidRPr="000F51F7" w:rsidRDefault="00E50466" w:rsidP="007C21AA">
      <w:pPr>
        <w:pStyle w:val="3-BodyText"/>
        <w:numPr>
          <w:ilvl w:val="0"/>
          <w:numId w:val="17"/>
        </w:numPr>
        <w:spacing w:before="0"/>
        <w:ind w:left="1080"/>
      </w:pPr>
      <w:r w:rsidRPr="000F51F7">
        <w:t>Data from the early access program (n=12) may not be reflective of the entire prevalent pool;</w:t>
      </w:r>
    </w:p>
    <w:p w14:paraId="27F1D17B" w14:textId="5762C53C" w:rsidR="00E50466" w:rsidRPr="000F51F7" w:rsidRDefault="00E50466" w:rsidP="007C21AA">
      <w:pPr>
        <w:pStyle w:val="3-BodyText"/>
        <w:numPr>
          <w:ilvl w:val="0"/>
          <w:numId w:val="17"/>
        </w:numPr>
        <w:ind w:left="1080"/>
      </w:pPr>
      <w:r w:rsidRPr="000F51F7">
        <w:lastRenderedPageBreak/>
        <w:t xml:space="preserve">the proposed restriction does not limit the age of initiation, and the impact of ‘episodic PFIC’ patients over the age of 18 (see paragraph </w:t>
      </w:r>
      <w:r w:rsidRPr="000F51F7">
        <w:fldChar w:fldCharType="begin" w:fldLock="1"/>
      </w:r>
      <w:r w:rsidRPr="000F51F7">
        <w:instrText xml:space="preserve"> REF _Ref185080629 \r \h </w:instrText>
      </w:r>
      <w:r w:rsidR="00CF4B08" w:rsidRPr="000F51F7">
        <w:instrText xml:space="preserve"> \* MERGEFORMAT </w:instrText>
      </w:r>
      <w:r w:rsidRPr="000F51F7">
        <w:fldChar w:fldCharType="separate"/>
      </w:r>
      <w:r w:rsidR="00E16571">
        <w:t>4.4</w:t>
      </w:r>
      <w:r w:rsidRPr="000F51F7">
        <w:fldChar w:fldCharType="end"/>
      </w:r>
      <w:r w:rsidRPr="000F51F7">
        <w:t>) on the prevalent pool was not considered by the resubmission; and</w:t>
      </w:r>
    </w:p>
    <w:p w14:paraId="02FE25F1" w14:textId="4D4E85F3" w:rsidR="00E50466" w:rsidRPr="000F51F7" w:rsidRDefault="00E50466" w:rsidP="007C21AA">
      <w:pPr>
        <w:pStyle w:val="3-BodyText"/>
        <w:numPr>
          <w:ilvl w:val="0"/>
          <w:numId w:val="17"/>
        </w:numPr>
        <w:spacing w:before="0"/>
        <w:ind w:left="1080"/>
      </w:pPr>
      <w:r w:rsidRPr="000F51F7">
        <w:t>the mean age of Cohort 2 in the PEDFIC 2 trial (n=60) was 7.62</w:t>
      </w:r>
      <w:r w:rsidR="00B549CA" w:rsidRPr="000F51F7">
        <w:t xml:space="preserve"> years</w:t>
      </w:r>
      <w:r w:rsidRPr="000F51F7">
        <w:t>, with a median age of 4.75</w:t>
      </w:r>
      <w:r w:rsidR="00B549CA" w:rsidRPr="000F51F7">
        <w:t xml:space="preserve"> years</w:t>
      </w:r>
      <w:r w:rsidRPr="000F51F7">
        <w:t>.</w:t>
      </w:r>
    </w:p>
    <w:p w14:paraId="7542CDCD" w14:textId="65613A8D" w:rsidR="008B78EF" w:rsidRPr="000F51F7" w:rsidRDefault="00B94758" w:rsidP="0016414B">
      <w:pPr>
        <w:pStyle w:val="3-BodyText"/>
        <w:numPr>
          <w:ilvl w:val="1"/>
          <w:numId w:val="1"/>
        </w:numPr>
        <w:spacing w:before="0"/>
        <w:rPr>
          <w:color w:val="000000" w:themeColor="text1"/>
        </w:rPr>
      </w:pPr>
      <w:bookmarkStart w:id="104" w:name="_Ref190597107"/>
      <w:r w:rsidRPr="000F51F7">
        <w:t>The estimated use and financial impacts of listing odevixibat</w:t>
      </w:r>
      <w:r w:rsidR="00866CBE" w:rsidRPr="000F51F7">
        <w:t xml:space="preserve"> as well as the proposed </w:t>
      </w:r>
      <w:r w:rsidR="00D17D21" w:rsidRPr="000F51F7">
        <w:t>expenditure</w:t>
      </w:r>
      <w:r w:rsidR="00866CBE" w:rsidRPr="000F51F7">
        <w:t xml:space="preserve"> caps</w:t>
      </w:r>
      <w:r w:rsidRPr="000F51F7">
        <w:t xml:space="preserve"> are summarised in</w:t>
      </w:r>
      <w:r w:rsidR="004D57B7" w:rsidRPr="000F51F7">
        <w:t xml:space="preserve"> </w:t>
      </w:r>
      <w:r w:rsidR="004D57B7" w:rsidRPr="000F51F7">
        <w:rPr>
          <w:rFonts w:cstheme="minorHAnsi"/>
          <w:szCs w:val="24"/>
        </w:rPr>
        <w:fldChar w:fldCharType="begin" w:fldLock="1"/>
      </w:r>
      <w:r w:rsidR="004D57B7" w:rsidRPr="000F51F7">
        <w:rPr>
          <w:rFonts w:cstheme="minorHAnsi"/>
          <w:szCs w:val="24"/>
        </w:rPr>
        <w:instrText xml:space="preserve"> REF _Ref190680291 \h  \* MERGEFORMAT </w:instrText>
      </w:r>
      <w:r w:rsidR="004D57B7" w:rsidRPr="000F51F7">
        <w:rPr>
          <w:rFonts w:cstheme="minorHAnsi"/>
          <w:szCs w:val="24"/>
        </w:rPr>
      </w:r>
      <w:r w:rsidR="004D57B7" w:rsidRPr="000F51F7">
        <w:rPr>
          <w:rFonts w:cstheme="minorHAnsi"/>
          <w:szCs w:val="24"/>
        </w:rPr>
        <w:fldChar w:fldCharType="separate"/>
      </w:r>
      <w:r w:rsidR="004D57B7" w:rsidRPr="000F51F7">
        <w:rPr>
          <w:rFonts w:cstheme="minorHAnsi"/>
          <w:szCs w:val="24"/>
        </w:rPr>
        <w:t xml:space="preserve">Table </w:t>
      </w:r>
      <w:r w:rsidR="004D57B7" w:rsidRPr="000F51F7">
        <w:rPr>
          <w:rFonts w:cstheme="minorHAnsi"/>
          <w:noProof/>
          <w:szCs w:val="24"/>
        </w:rPr>
        <w:t>20</w:t>
      </w:r>
      <w:r w:rsidR="004D57B7" w:rsidRPr="000F51F7">
        <w:rPr>
          <w:rFonts w:cstheme="minorHAnsi"/>
          <w:szCs w:val="24"/>
        </w:rPr>
        <w:fldChar w:fldCharType="end"/>
      </w:r>
      <w:r w:rsidRPr="000F51F7">
        <w:rPr>
          <w:rFonts w:cstheme="minorHAnsi"/>
          <w:szCs w:val="24"/>
        </w:rPr>
        <w:t>.</w:t>
      </w:r>
      <w:r w:rsidR="00404D38" w:rsidRPr="000F51F7">
        <w:t xml:space="preserve"> </w:t>
      </w:r>
      <w:bookmarkStart w:id="105" w:name="_Ref104805295"/>
      <w:bookmarkEnd w:id="104"/>
    </w:p>
    <w:p w14:paraId="71A9A57B" w14:textId="7F0CFA6C" w:rsidR="00404D38" w:rsidRPr="008B78EF" w:rsidRDefault="00404D38" w:rsidP="00A67446">
      <w:pPr>
        <w:pStyle w:val="3-BodyText"/>
        <w:keepNext/>
        <w:keepLines/>
        <w:numPr>
          <w:ilvl w:val="0"/>
          <w:numId w:val="0"/>
        </w:numPr>
        <w:spacing w:before="0" w:after="0"/>
        <w:rPr>
          <w:rStyle w:val="CommentReference"/>
          <w:rFonts w:asciiTheme="minorHAnsi" w:hAnsiTheme="minorHAnsi"/>
          <w:b w:val="0"/>
          <w:color w:val="000000" w:themeColor="text1"/>
          <w:sz w:val="24"/>
          <w:szCs w:val="22"/>
        </w:rPr>
      </w:pPr>
      <w:bookmarkStart w:id="106" w:name="_Ref190680291"/>
      <w:r w:rsidRPr="008B78EF">
        <w:rPr>
          <w:rFonts w:ascii="Arial Narrow" w:hAnsi="Arial Narrow"/>
          <w:b/>
          <w:bCs/>
          <w:sz w:val="20"/>
          <w:szCs w:val="20"/>
        </w:rPr>
        <w:lastRenderedPageBreak/>
        <w:t xml:space="preserve">Table </w:t>
      </w:r>
      <w:r w:rsidR="00382EF0" w:rsidRPr="008B78EF">
        <w:rPr>
          <w:rFonts w:ascii="Arial Narrow" w:hAnsi="Arial Narrow"/>
          <w:b/>
          <w:bCs/>
          <w:sz w:val="20"/>
          <w:szCs w:val="20"/>
        </w:rPr>
        <w:fldChar w:fldCharType="begin" w:fldLock="1"/>
      </w:r>
      <w:r w:rsidR="00382EF0" w:rsidRPr="008B78EF">
        <w:rPr>
          <w:rFonts w:ascii="Arial Narrow" w:hAnsi="Arial Narrow"/>
          <w:b/>
          <w:bCs/>
          <w:sz w:val="20"/>
          <w:szCs w:val="20"/>
        </w:rPr>
        <w:instrText xml:space="preserve"> SEQ Table \* ARABIC </w:instrText>
      </w:r>
      <w:r w:rsidR="00382EF0" w:rsidRPr="008B78EF">
        <w:rPr>
          <w:rFonts w:ascii="Arial Narrow" w:hAnsi="Arial Narrow"/>
          <w:b/>
          <w:bCs/>
          <w:sz w:val="20"/>
          <w:szCs w:val="20"/>
        </w:rPr>
        <w:fldChar w:fldCharType="separate"/>
      </w:r>
      <w:r w:rsidR="003F464D">
        <w:rPr>
          <w:rFonts w:ascii="Arial Narrow" w:hAnsi="Arial Narrow"/>
          <w:b/>
          <w:bCs/>
          <w:noProof/>
          <w:sz w:val="20"/>
          <w:szCs w:val="20"/>
        </w:rPr>
        <w:t>20</w:t>
      </w:r>
      <w:r w:rsidR="00382EF0" w:rsidRPr="008B78EF">
        <w:rPr>
          <w:rFonts w:ascii="Arial Narrow" w:hAnsi="Arial Narrow"/>
          <w:b/>
          <w:bCs/>
          <w:noProof/>
          <w:sz w:val="20"/>
          <w:szCs w:val="20"/>
        </w:rPr>
        <w:fldChar w:fldCharType="end"/>
      </w:r>
      <w:bookmarkEnd w:id="105"/>
      <w:bookmarkEnd w:id="106"/>
      <w:r w:rsidRPr="008B78EF">
        <w:rPr>
          <w:rFonts w:ascii="Arial Narrow" w:hAnsi="Arial Narrow"/>
          <w:b/>
          <w:bCs/>
          <w:sz w:val="20"/>
          <w:szCs w:val="20"/>
        </w:rPr>
        <w:t>:</w:t>
      </w:r>
      <w:r w:rsidRPr="008B78EF">
        <w:rPr>
          <w:rStyle w:val="CommentReference"/>
          <w:szCs w:val="20"/>
        </w:rPr>
        <w:t xml:space="preserve"> Estimated use and financial implications</w:t>
      </w:r>
    </w:p>
    <w:tbl>
      <w:tblPr>
        <w:tblStyle w:val="Submissionstandard"/>
        <w:tblW w:w="5000" w:type="pct"/>
        <w:tblLook w:val="04A0" w:firstRow="1" w:lastRow="0" w:firstColumn="1" w:lastColumn="0" w:noHBand="0" w:noVBand="1"/>
        <w:tblCaption w:val="Table 20: Estimated use and financial implications"/>
      </w:tblPr>
      <w:tblGrid>
        <w:gridCol w:w="1691"/>
        <w:gridCol w:w="1220"/>
        <w:gridCol w:w="1211"/>
        <w:gridCol w:w="1210"/>
        <w:gridCol w:w="1211"/>
        <w:gridCol w:w="1252"/>
        <w:gridCol w:w="1222"/>
      </w:tblGrid>
      <w:tr w:rsidR="00A91AF9" w:rsidRPr="003319BF" w14:paraId="6C02CFEC" w14:textId="77777777" w:rsidTr="00052E9D">
        <w:trPr>
          <w:cnfStyle w:val="100000000000" w:firstRow="1" w:lastRow="0" w:firstColumn="0" w:lastColumn="0" w:oddVBand="0" w:evenVBand="0" w:oddHBand="0" w:evenHBand="0" w:firstRowFirstColumn="0" w:firstRowLastColumn="0" w:lastRowFirstColumn="0" w:lastRowLastColumn="0"/>
          <w:trHeight w:val="207"/>
          <w:tblHeader/>
        </w:trPr>
        <w:tc>
          <w:tcPr>
            <w:tcW w:w="1691" w:type="dxa"/>
            <w:noWrap/>
          </w:tcPr>
          <w:p w14:paraId="356C0F45" w14:textId="094EA92E" w:rsidR="00A10C1C" w:rsidRDefault="00A10C1C" w:rsidP="00A67446">
            <w:pPr>
              <w:pStyle w:val="Tabletext"/>
              <w:keepNext/>
              <w:keepLines/>
            </w:pPr>
          </w:p>
        </w:tc>
        <w:tc>
          <w:tcPr>
            <w:tcW w:w="1220" w:type="dxa"/>
            <w:noWrap/>
          </w:tcPr>
          <w:p w14:paraId="0D92A6D5" w14:textId="4305350D" w:rsidR="00A10C1C" w:rsidRPr="00D33C2C" w:rsidRDefault="00A10C1C" w:rsidP="00A67446">
            <w:pPr>
              <w:pStyle w:val="Tabletext"/>
              <w:keepNext/>
              <w:keepLines/>
              <w:jc w:val="center"/>
            </w:pPr>
            <w:r w:rsidRPr="00DC76C5">
              <w:rPr>
                <w:bCs/>
              </w:rPr>
              <w:t xml:space="preserve">Year 1 </w:t>
            </w:r>
          </w:p>
        </w:tc>
        <w:tc>
          <w:tcPr>
            <w:tcW w:w="1211" w:type="dxa"/>
            <w:noWrap/>
          </w:tcPr>
          <w:p w14:paraId="4E16E7E9" w14:textId="39D0FF40" w:rsidR="00A10C1C" w:rsidRPr="00D33C2C" w:rsidRDefault="00A10C1C" w:rsidP="00A67446">
            <w:pPr>
              <w:pStyle w:val="Tabletext"/>
              <w:keepNext/>
              <w:keepLines/>
              <w:jc w:val="center"/>
            </w:pPr>
            <w:r w:rsidRPr="00DC76C5">
              <w:rPr>
                <w:bCs/>
              </w:rPr>
              <w:t xml:space="preserve">Year 2 </w:t>
            </w:r>
          </w:p>
        </w:tc>
        <w:tc>
          <w:tcPr>
            <w:tcW w:w="1210" w:type="dxa"/>
            <w:noWrap/>
          </w:tcPr>
          <w:p w14:paraId="5FCBA7C4" w14:textId="21DD17B0" w:rsidR="00A10C1C" w:rsidRPr="00D33C2C" w:rsidRDefault="00A10C1C" w:rsidP="00A67446">
            <w:pPr>
              <w:pStyle w:val="Tabletext"/>
              <w:keepNext/>
              <w:keepLines/>
              <w:jc w:val="center"/>
            </w:pPr>
            <w:r w:rsidRPr="00DC76C5">
              <w:rPr>
                <w:bCs/>
              </w:rPr>
              <w:t xml:space="preserve">Year 3 </w:t>
            </w:r>
          </w:p>
        </w:tc>
        <w:tc>
          <w:tcPr>
            <w:tcW w:w="1211" w:type="dxa"/>
            <w:noWrap/>
          </w:tcPr>
          <w:p w14:paraId="22EFE70B" w14:textId="39E281D2" w:rsidR="00A10C1C" w:rsidRPr="00D33C2C" w:rsidRDefault="00A10C1C" w:rsidP="00A67446">
            <w:pPr>
              <w:pStyle w:val="Tabletext"/>
              <w:keepNext/>
              <w:keepLines/>
              <w:jc w:val="center"/>
            </w:pPr>
            <w:r w:rsidRPr="00DC76C5">
              <w:rPr>
                <w:bCs/>
              </w:rPr>
              <w:t xml:space="preserve">Year 4 </w:t>
            </w:r>
          </w:p>
        </w:tc>
        <w:tc>
          <w:tcPr>
            <w:tcW w:w="1252" w:type="dxa"/>
            <w:noWrap/>
          </w:tcPr>
          <w:p w14:paraId="687F467E" w14:textId="419B28AF" w:rsidR="00A10C1C" w:rsidRPr="00D33C2C" w:rsidRDefault="00A10C1C" w:rsidP="00A67446">
            <w:pPr>
              <w:pStyle w:val="Tabletext"/>
              <w:keepNext/>
              <w:keepLines/>
              <w:jc w:val="center"/>
            </w:pPr>
            <w:r w:rsidRPr="00DC76C5">
              <w:rPr>
                <w:bCs/>
              </w:rPr>
              <w:t xml:space="preserve">Year 5 </w:t>
            </w:r>
          </w:p>
        </w:tc>
        <w:tc>
          <w:tcPr>
            <w:tcW w:w="1222" w:type="dxa"/>
            <w:noWrap/>
          </w:tcPr>
          <w:p w14:paraId="75C04422" w14:textId="7874A1C7" w:rsidR="00A10C1C" w:rsidRPr="00D33C2C" w:rsidRDefault="00A10C1C" w:rsidP="00A67446">
            <w:pPr>
              <w:pStyle w:val="Tabletext"/>
              <w:keepNext/>
              <w:keepLines/>
              <w:jc w:val="center"/>
            </w:pPr>
            <w:r w:rsidRPr="00DC76C5">
              <w:rPr>
                <w:bCs/>
              </w:rPr>
              <w:t xml:space="preserve">Year 6 </w:t>
            </w:r>
          </w:p>
        </w:tc>
      </w:tr>
      <w:tr w:rsidR="00A10C1C" w:rsidRPr="003319BF" w14:paraId="0CC2F734" w14:textId="77777777" w:rsidTr="00082D54">
        <w:trPr>
          <w:trHeight w:val="207"/>
        </w:trPr>
        <w:tc>
          <w:tcPr>
            <w:tcW w:w="9017" w:type="dxa"/>
            <w:gridSpan w:val="7"/>
            <w:noWrap/>
          </w:tcPr>
          <w:p w14:paraId="742D6685" w14:textId="5DC1C67F" w:rsidR="00A10C1C" w:rsidRPr="00D33C2C" w:rsidRDefault="00A10C1C" w:rsidP="00A67446">
            <w:pPr>
              <w:pStyle w:val="Tabletext"/>
              <w:keepNext/>
              <w:keepLines/>
            </w:pPr>
            <w:r>
              <w:rPr>
                <w:b/>
                <w:bCs/>
              </w:rPr>
              <w:t>Prevalent and incident patients</w:t>
            </w:r>
          </w:p>
        </w:tc>
      </w:tr>
      <w:tr w:rsidR="00A10C1C" w:rsidRPr="003319BF" w14:paraId="1E68F26F" w14:textId="77777777" w:rsidTr="00082D54">
        <w:trPr>
          <w:trHeight w:val="207"/>
        </w:trPr>
        <w:tc>
          <w:tcPr>
            <w:tcW w:w="1691" w:type="dxa"/>
            <w:noWrap/>
          </w:tcPr>
          <w:p w14:paraId="0EDA733F" w14:textId="77777777" w:rsidR="002705A2" w:rsidRPr="003319BF" w:rsidRDefault="002705A2" w:rsidP="00A67446">
            <w:pPr>
              <w:pStyle w:val="Tabletext"/>
              <w:keepNext/>
              <w:keepLines/>
            </w:pPr>
            <w:r>
              <w:t>Prevalent patients</w:t>
            </w:r>
          </w:p>
        </w:tc>
        <w:tc>
          <w:tcPr>
            <w:tcW w:w="1220" w:type="dxa"/>
            <w:noWrap/>
          </w:tcPr>
          <w:p w14:paraId="6D83F729" w14:textId="5DE6BD7B"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55"/>
                <w14:textFill>
                  <w14:solidFill>
                    <w14:srgbClr w14:val="000000">
                      <w14:alpha w14:val="100000"/>
                    </w14:srgbClr>
                  </w14:solidFill>
                </w14:textFill>
              </w:rPr>
              <w:t xml:space="preserve">　</w:t>
            </w:r>
            <w:r w:rsidRPr="001549E4">
              <w:rPr>
                <w:color w:val="000000"/>
                <w:w w:val="15"/>
                <w:shd w:val="solid" w:color="000000" w:fill="000000"/>
                <w:fitText w:val="69" w:id="-693991155"/>
                <w14:textFill>
                  <w14:solidFill>
                    <w14:srgbClr w14:val="000000">
                      <w14:alpha w14:val="100000"/>
                    </w14:srgbClr>
                  </w14:solidFill>
                </w14:textFill>
              </w:rPr>
              <w:t>|</w:t>
            </w:r>
            <w:r w:rsidRPr="001549E4">
              <w:rPr>
                <w:rFonts w:hint="eastAsia"/>
                <w:color w:val="000000"/>
                <w:spacing w:val="3"/>
                <w:w w:val="15"/>
                <w:shd w:val="solid" w:color="000000" w:fill="000000"/>
                <w:fitText w:val="69" w:id="-693991155"/>
                <w14:textFill>
                  <w14:solidFill>
                    <w14:srgbClr w14:val="000000">
                      <w14:alpha w14:val="100000"/>
                    </w14:srgbClr>
                  </w14:solidFill>
                </w14:textFill>
              </w:rPr>
              <w:t xml:space="preserve">　</w:t>
            </w:r>
            <w:r w:rsidR="005E20C1" w:rsidRPr="00C8181A">
              <w:rPr>
                <w:vertAlign w:val="superscript"/>
              </w:rPr>
              <w:t>1</w:t>
            </w:r>
          </w:p>
        </w:tc>
        <w:tc>
          <w:tcPr>
            <w:tcW w:w="1211" w:type="dxa"/>
            <w:noWrap/>
          </w:tcPr>
          <w:p w14:paraId="7AADDC16" w14:textId="4185BFEF"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4"/>
                <w14:textFill>
                  <w14:solidFill>
                    <w14:srgbClr w14:val="000000">
                      <w14:alpha w14:val="100000"/>
                    </w14:srgbClr>
                  </w14:solidFill>
                </w14:textFill>
              </w:rPr>
              <w:t xml:space="preserve">　</w:t>
            </w:r>
            <w:r w:rsidRPr="001549E4">
              <w:rPr>
                <w:color w:val="000000"/>
                <w:w w:val="18"/>
                <w:shd w:val="solid" w:color="000000" w:fill="000000"/>
                <w:fitText w:val="81" w:id="-693991154"/>
                <w14:textFill>
                  <w14:solidFill>
                    <w14:srgbClr w14:val="000000">
                      <w14:alpha w14:val="100000"/>
                    </w14:srgbClr>
                  </w14:solidFill>
                </w14:textFill>
              </w:rPr>
              <w:t>|</w:t>
            </w:r>
            <w:r w:rsidRPr="001549E4">
              <w:rPr>
                <w:rFonts w:hint="eastAsia"/>
                <w:color w:val="000000"/>
                <w:spacing w:val="1"/>
                <w:w w:val="18"/>
                <w:shd w:val="solid" w:color="000000" w:fill="000000"/>
                <w:fitText w:val="81" w:id="-693991154"/>
                <w14:textFill>
                  <w14:solidFill>
                    <w14:srgbClr w14:val="000000">
                      <w14:alpha w14:val="100000"/>
                    </w14:srgbClr>
                  </w14:solidFill>
                </w14:textFill>
              </w:rPr>
              <w:t xml:space="preserve">　</w:t>
            </w:r>
            <w:r w:rsidR="00C8181A" w:rsidRPr="00C8181A">
              <w:rPr>
                <w:vertAlign w:val="superscript"/>
              </w:rPr>
              <w:t>1</w:t>
            </w:r>
          </w:p>
        </w:tc>
        <w:tc>
          <w:tcPr>
            <w:tcW w:w="1210" w:type="dxa"/>
            <w:noWrap/>
          </w:tcPr>
          <w:p w14:paraId="7AE127B5" w14:textId="66851881"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3"/>
                <w14:textFill>
                  <w14:solidFill>
                    <w14:srgbClr w14:val="000000">
                      <w14:alpha w14:val="100000"/>
                    </w14:srgbClr>
                  </w14:solidFill>
                </w14:textFill>
              </w:rPr>
              <w:t xml:space="preserve">　</w:t>
            </w:r>
            <w:r w:rsidRPr="001549E4">
              <w:rPr>
                <w:color w:val="000000"/>
                <w:w w:val="18"/>
                <w:shd w:val="solid" w:color="000000" w:fill="000000"/>
                <w:fitText w:val="81" w:id="-693991153"/>
                <w14:textFill>
                  <w14:solidFill>
                    <w14:srgbClr w14:val="000000">
                      <w14:alpha w14:val="100000"/>
                    </w14:srgbClr>
                  </w14:solidFill>
                </w14:textFill>
              </w:rPr>
              <w:t>|</w:t>
            </w:r>
            <w:r w:rsidRPr="001549E4">
              <w:rPr>
                <w:rFonts w:hint="eastAsia"/>
                <w:color w:val="000000"/>
                <w:spacing w:val="1"/>
                <w:w w:val="18"/>
                <w:shd w:val="solid" w:color="000000" w:fill="000000"/>
                <w:fitText w:val="81" w:id="-693991153"/>
                <w14:textFill>
                  <w14:solidFill>
                    <w14:srgbClr w14:val="000000">
                      <w14:alpha w14:val="100000"/>
                    </w14:srgbClr>
                  </w14:solidFill>
                </w14:textFill>
              </w:rPr>
              <w:t xml:space="preserve">　</w:t>
            </w:r>
            <w:r w:rsidR="00C8181A" w:rsidRPr="00C8181A">
              <w:rPr>
                <w:vertAlign w:val="superscript"/>
              </w:rPr>
              <w:t>1</w:t>
            </w:r>
          </w:p>
        </w:tc>
        <w:tc>
          <w:tcPr>
            <w:tcW w:w="1211" w:type="dxa"/>
            <w:noWrap/>
          </w:tcPr>
          <w:p w14:paraId="2ABD445D" w14:textId="42AE8B2E"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2"/>
                <w14:textFill>
                  <w14:solidFill>
                    <w14:srgbClr w14:val="000000">
                      <w14:alpha w14:val="100000"/>
                    </w14:srgbClr>
                  </w14:solidFill>
                </w14:textFill>
              </w:rPr>
              <w:t xml:space="preserve">　</w:t>
            </w:r>
            <w:r w:rsidRPr="001549E4">
              <w:rPr>
                <w:color w:val="000000"/>
                <w:w w:val="18"/>
                <w:shd w:val="solid" w:color="000000" w:fill="000000"/>
                <w:fitText w:val="81" w:id="-693991152"/>
                <w14:textFill>
                  <w14:solidFill>
                    <w14:srgbClr w14:val="000000">
                      <w14:alpha w14:val="100000"/>
                    </w14:srgbClr>
                  </w14:solidFill>
                </w14:textFill>
              </w:rPr>
              <w:t>|</w:t>
            </w:r>
            <w:r w:rsidRPr="001549E4">
              <w:rPr>
                <w:rFonts w:hint="eastAsia"/>
                <w:color w:val="000000"/>
                <w:spacing w:val="1"/>
                <w:w w:val="18"/>
                <w:shd w:val="solid" w:color="000000" w:fill="000000"/>
                <w:fitText w:val="81" w:id="-693991152"/>
                <w14:textFill>
                  <w14:solidFill>
                    <w14:srgbClr w14:val="000000">
                      <w14:alpha w14:val="100000"/>
                    </w14:srgbClr>
                  </w14:solidFill>
                </w14:textFill>
              </w:rPr>
              <w:t xml:space="preserve">　</w:t>
            </w:r>
            <w:r w:rsidR="00C8181A" w:rsidRPr="00C8181A">
              <w:rPr>
                <w:vertAlign w:val="superscript"/>
              </w:rPr>
              <w:t>1</w:t>
            </w:r>
          </w:p>
        </w:tc>
        <w:tc>
          <w:tcPr>
            <w:tcW w:w="1252" w:type="dxa"/>
            <w:noWrap/>
          </w:tcPr>
          <w:p w14:paraId="39F47622" w14:textId="44673D97"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57" w:id="-693991168"/>
                <w14:textFill>
                  <w14:solidFill>
                    <w14:srgbClr w14:val="000000">
                      <w14:alpha w14:val="100000"/>
                    </w14:srgbClr>
                  </w14:solidFill>
                </w14:textFill>
              </w:rPr>
              <w:t xml:space="preserve">　</w:t>
            </w:r>
            <w:r w:rsidRPr="001549E4">
              <w:rPr>
                <w:color w:val="000000"/>
                <w:w w:val="15"/>
                <w:shd w:val="solid" w:color="000000" w:fill="000000"/>
                <w:fitText w:val="57" w:id="-693991168"/>
                <w14:textFill>
                  <w14:solidFill>
                    <w14:srgbClr w14:val="000000">
                      <w14:alpha w14:val="100000"/>
                    </w14:srgbClr>
                  </w14:solidFill>
                </w14:textFill>
              </w:rPr>
              <w:t>|</w:t>
            </w:r>
            <w:r w:rsidRPr="001549E4">
              <w:rPr>
                <w:rFonts w:hint="eastAsia"/>
                <w:color w:val="000000"/>
                <w:spacing w:val="-8"/>
                <w:w w:val="15"/>
                <w:shd w:val="solid" w:color="000000" w:fill="000000"/>
                <w:fitText w:val="57" w:id="-693991168"/>
                <w14:textFill>
                  <w14:solidFill>
                    <w14:srgbClr w14:val="000000">
                      <w14:alpha w14:val="100000"/>
                    </w14:srgbClr>
                  </w14:solidFill>
                </w14:textFill>
              </w:rPr>
              <w:t xml:space="preserve">　</w:t>
            </w:r>
            <w:r w:rsidR="00C8181A" w:rsidRPr="00C8181A">
              <w:rPr>
                <w:vertAlign w:val="superscript"/>
              </w:rPr>
              <w:t>1</w:t>
            </w:r>
          </w:p>
        </w:tc>
        <w:tc>
          <w:tcPr>
            <w:tcW w:w="1222" w:type="dxa"/>
            <w:noWrap/>
          </w:tcPr>
          <w:p w14:paraId="7264C1BA" w14:textId="275A0A3D"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67"/>
                <w14:textFill>
                  <w14:solidFill>
                    <w14:srgbClr w14:val="000000">
                      <w14:alpha w14:val="100000"/>
                    </w14:srgbClr>
                  </w14:solidFill>
                </w14:textFill>
              </w:rPr>
              <w:t xml:space="preserve">　</w:t>
            </w:r>
            <w:r w:rsidRPr="001549E4">
              <w:rPr>
                <w:color w:val="000000"/>
                <w:w w:val="15"/>
                <w:shd w:val="solid" w:color="000000" w:fill="000000"/>
                <w:fitText w:val="69" w:id="-693991167"/>
                <w14:textFill>
                  <w14:solidFill>
                    <w14:srgbClr w14:val="000000">
                      <w14:alpha w14:val="100000"/>
                    </w14:srgbClr>
                  </w14:solidFill>
                </w14:textFill>
              </w:rPr>
              <w:t>|</w:t>
            </w:r>
            <w:r w:rsidRPr="001549E4">
              <w:rPr>
                <w:rFonts w:hint="eastAsia"/>
                <w:color w:val="000000"/>
                <w:spacing w:val="3"/>
                <w:w w:val="15"/>
                <w:shd w:val="solid" w:color="000000" w:fill="000000"/>
                <w:fitText w:val="69" w:id="-693991167"/>
                <w14:textFill>
                  <w14:solidFill>
                    <w14:srgbClr w14:val="000000">
                      <w14:alpha w14:val="100000"/>
                    </w14:srgbClr>
                  </w14:solidFill>
                </w14:textFill>
              </w:rPr>
              <w:t xml:space="preserve">　</w:t>
            </w:r>
            <w:r w:rsidR="00C8181A" w:rsidRPr="00C8181A">
              <w:rPr>
                <w:vertAlign w:val="superscript"/>
              </w:rPr>
              <w:t>1</w:t>
            </w:r>
          </w:p>
        </w:tc>
      </w:tr>
      <w:tr w:rsidR="00A10C1C" w:rsidRPr="003319BF" w14:paraId="272A99D9" w14:textId="77777777" w:rsidTr="00082D54">
        <w:trPr>
          <w:trHeight w:val="207"/>
        </w:trPr>
        <w:tc>
          <w:tcPr>
            <w:tcW w:w="1691" w:type="dxa"/>
            <w:noWrap/>
          </w:tcPr>
          <w:p w14:paraId="3B295B86" w14:textId="77777777" w:rsidR="002705A2" w:rsidRDefault="002705A2" w:rsidP="00A67446">
            <w:pPr>
              <w:pStyle w:val="Tabletext"/>
              <w:keepNext/>
              <w:keepLines/>
            </w:pPr>
            <w:r>
              <w:t>Incident patients</w:t>
            </w:r>
          </w:p>
        </w:tc>
        <w:tc>
          <w:tcPr>
            <w:tcW w:w="1220" w:type="dxa"/>
            <w:noWrap/>
          </w:tcPr>
          <w:p w14:paraId="3CA8FD4B" w14:textId="6121B91F"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66"/>
                <w14:textFill>
                  <w14:solidFill>
                    <w14:srgbClr w14:val="000000">
                      <w14:alpha w14:val="100000"/>
                    </w14:srgbClr>
                  </w14:solidFill>
                </w14:textFill>
              </w:rPr>
              <w:t xml:space="preserve">　</w:t>
            </w:r>
            <w:r w:rsidRPr="001549E4">
              <w:rPr>
                <w:color w:val="000000"/>
                <w:w w:val="15"/>
                <w:shd w:val="solid" w:color="000000" w:fill="000000"/>
                <w:fitText w:val="69" w:id="-693991166"/>
                <w14:textFill>
                  <w14:solidFill>
                    <w14:srgbClr w14:val="000000">
                      <w14:alpha w14:val="100000"/>
                    </w14:srgbClr>
                  </w14:solidFill>
                </w14:textFill>
              </w:rPr>
              <w:t>|</w:t>
            </w:r>
            <w:r w:rsidRPr="001549E4">
              <w:rPr>
                <w:rFonts w:hint="eastAsia"/>
                <w:color w:val="000000"/>
                <w:spacing w:val="3"/>
                <w:w w:val="15"/>
                <w:shd w:val="solid" w:color="000000" w:fill="000000"/>
                <w:fitText w:val="69" w:id="-693991166"/>
                <w14:textFill>
                  <w14:solidFill>
                    <w14:srgbClr w14:val="000000">
                      <w14:alpha w14:val="100000"/>
                    </w14:srgbClr>
                  </w14:solidFill>
                </w14:textFill>
              </w:rPr>
              <w:t xml:space="preserve">　</w:t>
            </w:r>
            <w:r w:rsidR="00C8181A" w:rsidRPr="00C8181A">
              <w:rPr>
                <w:vertAlign w:val="superscript"/>
              </w:rPr>
              <w:t>1</w:t>
            </w:r>
          </w:p>
        </w:tc>
        <w:tc>
          <w:tcPr>
            <w:tcW w:w="1211" w:type="dxa"/>
            <w:noWrap/>
          </w:tcPr>
          <w:p w14:paraId="3A0A0960" w14:textId="06F94572"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65"/>
                <w14:textFill>
                  <w14:solidFill>
                    <w14:srgbClr w14:val="000000">
                      <w14:alpha w14:val="100000"/>
                    </w14:srgbClr>
                  </w14:solidFill>
                </w14:textFill>
              </w:rPr>
              <w:t xml:space="preserve">　</w:t>
            </w:r>
            <w:r w:rsidRPr="001549E4">
              <w:rPr>
                <w:color w:val="000000"/>
                <w:w w:val="18"/>
                <w:shd w:val="solid" w:color="000000" w:fill="000000"/>
                <w:fitText w:val="81" w:id="-693991165"/>
                <w14:textFill>
                  <w14:solidFill>
                    <w14:srgbClr w14:val="000000">
                      <w14:alpha w14:val="100000"/>
                    </w14:srgbClr>
                  </w14:solidFill>
                </w14:textFill>
              </w:rPr>
              <w:t>|</w:t>
            </w:r>
            <w:r w:rsidRPr="001549E4">
              <w:rPr>
                <w:rFonts w:hint="eastAsia"/>
                <w:color w:val="000000"/>
                <w:spacing w:val="1"/>
                <w:w w:val="18"/>
                <w:shd w:val="solid" w:color="000000" w:fill="000000"/>
                <w:fitText w:val="81" w:id="-693991165"/>
                <w14:textFill>
                  <w14:solidFill>
                    <w14:srgbClr w14:val="000000">
                      <w14:alpha w14:val="100000"/>
                    </w14:srgbClr>
                  </w14:solidFill>
                </w14:textFill>
              </w:rPr>
              <w:t xml:space="preserve">　</w:t>
            </w:r>
            <w:r w:rsidR="00C8181A" w:rsidRPr="00C8181A">
              <w:rPr>
                <w:vertAlign w:val="superscript"/>
              </w:rPr>
              <w:t>1</w:t>
            </w:r>
          </w:p>
        </w:tc>
        <w:tc>
          <w:tcPr>
            <w:tcW w:w="1210" w:type="dxa"/>
            <w:noWrap/>
          </w:tcPr>
          <w:p w14:paraId="2E168DA1" w14:textId="7C470CCB"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64"/>
                <w14:textFill>
                  <w14:solidFill>
                    <w14:srgbClr w14:val="000000">
                      <w14:alpha w14:val="100000"/>
                    </w14:srgbClr>
                  </w14:solidFill>
                </w14:textFill>
              </w:rPr>
              <w:t xml:space="preserve">　</w:t>
            </w:r>
            <w:r w:rsidRPr="001549E4">
              <w:rPr>
                <w:color w:val="000000"/>
                <w:w w:val="18"/>
                <w:shd w:val="solid" w:color="000000" w:fill="000000"/>
                <w:fitText w:val="81" w:id="-693991164"/>
                <w14:textFill>
                  <w14:solidFill>
                    <w14:srgbClr w14:val="000000">
                      <w14:alpha w14:val="100000"/>
                    </w14:srgbClr>
                  </w14:solidFill>
                </w14:textFill>
              </w:rPr>
              <w:t>|</w:t>
            </w:r>
            <w:r w:rsidRPr="001549E4">
              <w:rPr>
                <w:rFonts w:hint="eastAsia"/>
                <w:color w:val="000000"/>
                <w:spacing w:val="1"/>
                <w:w w:val="18"/>
                <w:shd w:val="solid" w:color="000000" w:fill="000000"/>
                <w:fitText w:val="81" w:id="-693991164"/>
                <w14:textFill>
                  <w14:solidFill>
                    <w14:srgbClr w14:val="000000">
                      <w14:alpha w14:val="100000"/>
                    </w14:srgbClr>
                  </w14:solidFill>
                </w14:textFill>
              </w:rPr>
              <w:t xml:space="preserve">　</w:t>
            </w:r>
            <w:r w:rsidR="00C8181A" w:rsidRPr="00C8181A">
              <w:rPr>
                <w:vertAlign w:val="superscript"/>
              </w:rPr>
              <w:t>1</w:t>
            </w:r>
          </w:p>
        </w:tc>
        <w:tc>
          <w:tcPr>
            <w:tcW w:w="1211" w:type="dxa"/>
            <w:noWrap/>
          </w:tcPr>
          <w:p w14:paraId="32442697" w14:textId="1FBAB66A"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63"/>
                <w14:textFill>
                  <w14:solidFill>
                    <w14:srgbClr w14:val="000000">
                      <w14:alpha w14:val="100000"/>
                    </w14:srgbClr>
                  </w14:solidFill>
                </w14:textFill>
              </w:rPr>
              <w:t xml:space="preserve">　</w:t>
            </w:r>
            <w:r w:rsidRPr="001549E4">
              <w:rPr>
                <w:color w:val="000000"/>
                <w:w w:val="18"/>
                <w:shd w:val="solid" w:color="000000" w:fill="000000"/>
                <w:fitText w:val="81" w:id="-693991163"/>
                <w14:textFill>
                  <w14:solidFill>
                    <w14:srgbClr w14:val="000000">
                      <w14:alpha w14:val="100000"/>
                    </w14:srgbClr>
                  </w14:solidFill>
                </w14:textFill>
              </w:rPr>
              <w:t>|</w:t>
            </w:r>
            <w:r w:rsidRPr="001549E4">
              <w:rPr>
                <w:rFonts w:hint="eastAsia"/>
                <w:color w:val="000000"/>
                <w:spacing w:val="1"/>
                <w:w w:val="18"/>
                <w:shd w:val="solid" w:color="000000" w:fill="000000"/>
                <w:fitText w:val="81" w:id="-693991163"/>
                <w14:textFill>
                  <w14:solidFill>
                    <w14:srgbClr w14:val="000000">
                      <w14:alpha w14:val="100000"/>
                    </w14:srgbClr>
                  </w14:solidFill>
                </w14:textFill>
              </w:rPr>
              <w:t xml:space="preserve">　</w:t>
            </w:r>
            <w:r w:rsidR="00C8181A" w:rsidRPr="00C8181A">
              <w:rPr>
                <w:vertAlign w:val="superscript"/>
              </w:rPr>
              <w:t>1</w:t>
            </w:r>
          </w:p>
        </w:tc>
        <w:tc>
          <w:tcPr>
            <w:tcW w:w="1252" w:type="dxa"/>
            <w:noWrap/>
          </w:tcPr>
          <w:p w14:paraId="7B89452B" w14:textId="21838516"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57" w:id="-693991162"/>
                <w14:textFill>
                  <w14:solidFill>
                    <w14:srgbClr w14:val="000000">
                      <w14:alpha w14:val="100000"/>
                    </w14:srgbClr>
                  </w14:solidFill>
                </w14:textFill>
              </w:rPr>
              <w:t xml:space="preserve">　</w:t>
            </w:r>
            <w:r w:rsidRPr="001549E4">
              <w:rPr>
                <w:color w:val="000000"/>
                <w:w w:val="15"/>
                <w:shd w:val="solid" w:color="000000" w:fill="000000"/>
                <w:fitText w:val="57" w:id="-693991162"/>
                <w14:textFill>
                  <w14:solidFill>
                    <w14:srgbClr w14:val="000000">
                      <w14:alpha w14:val="100000"/>
                    </w14:srgbClr>
                  </w14:solidFill>
                </w14:textFill>
              </w:rPr>
              <w:t>|</w:t>
            </w:r>
            <w:r w:rsidRPr="001549E4">
              <w:rPr>
                <w:rFonts w:hint="eastAsia"/>
                <w:color w:val="000000"/>
                <w:spacing w:val="-8"/>
                <w:w w:val="15"/>
                <w:shd w:val="solid" w:color="000000" w:fill="000000"/>
                <w:fitText w:val="57" w:id="-693991162"/>
                <w14:textFill>
                  <w14:solidFill>
                    <w14:srgbClr w14:val="000000">
                      <w14:alpha w14:val="100000"/>
                    </w14:srgbClr>
                  </w14:solidFill>
                </w14:textFill>
              </w:rPr>
              <w:t xml:space="preserve">　</w:t>
            </w:r>
            <w:r w:rsidR="00C8181A" w:rsidRPr="00C8181A">
              <w:rPr>
                <w:vertAlign w:val="superscript"/>
              </w:rPr>
              <w:t>1</w:t>
            </w:r>
          </w:p>
        </w:tc>
        <w:tc>
          <w:tcPr>
            <w:tcW w:w="1222" w:type="dxa"/>
            <w:noWrap/>
          </w:tcPr>
          <w:p w14:paraId="5C2F8C6A" w14:textId="7F43AACA"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61"/>
                <w14:textFill>
                  <w14:solidFill>
                    <w14:srgbClr w14:val="000000">
                      <w14:alpha w14:val="100000"/>
                    </w14:srgbClr>
                  </w14:solidFill>
                </w14:textFill>
              </w:rPr>
              <w:t xml:space="preserve">　</w:t>
            </w:r>
            <w:r w:rsidRPr="001549E4">
              <w:rPr>
                <w:color w:val="000000"/>
                <w:w w:val="15"/>
                <w:shd w:val="solid" w:color="000000" w:fill="000000"/>
                <w:fitText w:val="69" w:id="-693991161"/>
                <w14:textFill>
                  <w14:solidFill>
                    <w14:srgbClr w14:val="000000">
                      <w14:alpha w14:val="100000"/>
                    </w14:srgbClr>
                  </w14:solidFill>
                </w14:textFill>
              </w:rPr>
              <w:t>|</w:t>
            </w:r>
            <w:r w:rsidRPr="001549E4">
              <w:rPr>
                <w:rFonts w:hint="eastAsia"/>
                <w:color w:val="000000"/>
                <w:spacing w:val="3"/>
                <w:w w:val="15"/>
                <w:shd w:val="solid" w:color="000000" w:fill="000000"/>
                <w:fitText w:val="69" w:id="-693991161"/>
                <w14:textFill>
                  <w14:solidFill>
                    <w14:srgbClr w14:val="000000">
                      <w14:alpha w14:val="100000"/>
                    </w14:srgbClr>
                  </w14:solidFill>
                </w14:textFill>
              </w:rPr>
              <w:t xml:space="preserve">　</w:t>
            </w:r>
            <w:r w:rsidR="00C8181A" w:rsidRPr="00C8181A">
              <w:rPr>
                <w:vertAlign w:val="superscript"/>
              </w:rPr>
              <w:t>1</w:t>
            </w:r>
          </w:p>
        </w:tc>
      </w:tr>
      <w:tr w:rsidR="00B44AD7" w:rsidRPr="003319BF" w14:paraId="35279587" w14:textId="77777777" w:rsidTr="00137251">
        <w:trPr>
          <w:trHeight w:val="207"/>
        </w:trPr>
        <w:tc>
          <w:tcPr>
            <w:tcW w:w="5332" w:type="dxa"/>
            <w:gridSpan w:val="4"/>
            <w:tcBorders>
              <w:right w:val="single" w:sz="4" w:space="0" w:color="FFFFFF" w:themeColor="background1"/>
            </w:tcBorders>
            <w:noWrap/>
          </w:tcPr>
          <w:p w14:paraId="285CDD6B" w14:textId="77777777" w:rsidR="002705A2" w:rsidRPr="00D33C2C" w:rsidRDefault="002705A2" w:rsidP="00A67446">
            <w:pPr>
              <w:pStyle w:val="Tabletext"/>
              <w:keepNext/>
              <w:keepLines/>
            </w:pPr>
            <w:r w:rsidRPr="005228C3">
              <w:rPr>
                <w:b/>
                <w:bCs/>
              </w:rPr>
              <w:t>Number of patients eligible</w:t>
            </w:r>
            <w:r>
              <w:rPr>
                <w:b/>
                <w:bCs/>
              </w:rPr>
              <w:t xml:space="preserve"> </w:t>
            </w:r>
          </w:p>
        </w:tc>
        <w:tc>
          <w:tcPr>
            <w:tcW w:w="1211" w:type="dxa"/>
            <w:tcBorders>
              <w:left w:val="single" w:sz="4" w:space="0" w:color="FFFFFF" w:themeColor="background1"/>
              <w:right w:val="single" w:sz="4" w:space="0" w:color="FFFFFF" w:themeColor="background1"/>
            </w:tcBorders>
            <w:noWrap/>
          </w:tcPr>
          <w:p w14:paraId="0DA72592" w14:textId="77777777" w:rsidR="002705A2" w:rsidRPr="00D33C2C" w:rsidRDefault="002705A2" w:rsidP="00A67446">
            <w:pPr>
              <w:pStyle w:val="Tabletext"/>
              <w:keepNext/>
              <w:keepLines/>
              <w:jc w:val="center"/>
            </w:pPr>
          </w:p>
        </w:tc>
        <w:tc>
          <w:tcPr>
            <w:tcW w:w="1252" w:type="dxa"/>
            <w:tcBorders>
              <w:left w:val="single" w:sz="4" w:space="0" w:color="FFFFFF" w:themeColor="background1"/>
              <w:right w:val="single" w:sz="4" w:space="0" w:color="FFFFFF" w:themeColor="background1"/>
            </w:tcBorders>
            <w:noWrap/>
          </w:tcPr>
          <w:p w14:paraId="60590164" w14:textId="77777777" w:rsidR="002705A2" w:rsidRPr="00D33C2C" w:rsidRDefault="002705A2" w:rsidP="00A67446">
            <w:pPr>
              <w:pStyle w:val="Tabletext"/>
              <w:keepNext/>
              <w:keepLines/>
              <w:jc w:val="center"/>
            </w:pPr>
          </w:p>
        </w:tc>
        <w:tc>
          <w:tcPr>
            <w:tcW w:w="1222" w:type="dxa"/>
            <w:tcBorders>
              <w:left w:val="single" w:sz="4" w:space="0" w:color="FFFFFF" w:themeColor="background1"/>
            </w:tcBorders>
            <w:noWrap/>
          </w:tcPr>
          <w:p w14:paraId="519751BD" w14:textId="77777777" w:rsidR="002705A2" w:rsidRPr="00D33C2C" w:rsidRDefault="002705A2" w:rsidP="00A67446">
            <w:pPr>
              <w:pStyle w:val="Tabletext"/>
              <w:keepNext/>
              <w:keepLines/>
              <w:jc w:val="center"/>
            </w:pPr>
          </w:p>
        </w:tc>
      </w:tr>
      <w:tr w:rsidR="00A10C1C" w:rsidRPr="003319BF" w14:paraId="10F6E193" w14:textId="77777777" w:rsidTr="00082D54">
        <w:trPr>
          <w:trHeight w:val="207"/>
        </w:trPr>
        <w:tc>
          <w:tcPr>
            <w:tcW w:w="1691" w:type="dxa"/>
            <w:noWrap/>
          </w:tcPr>
          <w:p w14:paraId="4AA03C07" w14:textId="77777777" w:rsidR="002705A2" w:rsidRPr="003319BF" w:rsidRDefault="002705A2" w:rsidP="00A67446">
            <w:pPr>
              <w:pStyle w:val="Tabletext"/>
              <w:keepNext/>
              <w:keepLines/>
            </w:pPr>
            <w:r>
              <w:t>Prevalent patients</w:t>
            </w:r>
          </w:p>
        </w:tc>
        <w:tc>
          <w:tcPr>
            <w:tcW w:w="1220" w:type="dxa"/>
            <w:noWrap/>
          </w:tcPr>
          <w:p w14:paraId="002BA62C" w14:textId="3F5C317B" w:rsidR="002705A2" w:rsidRPr="00DC76C5" w:rsidRDefault="001549E4" w:rsidP="00A67446">
            <w:pPr>
              <w:pStyle w:val="Tabletext"/>
              <w:keepNext/>
              <w:keepLines/>
              <w:jc w:val="center"/>
              <w:rPr>
                <w:b/>
                <w:bCs/>
              </w:rPr>
            </w:pPr>
            <w:r w:rsidRPr="001549E4">
              <w:rPr>
                <w:rFonts w:hint="eastAsia"/>
                <w:color w:val="000000"/>
                <w:w w:val="23"/>
                <w:shd w:val="solid" w:color="000000" w:fill="000000"/>
                <w:fitText w:val="103" w:id="-693991160"/>
                <w14:textFill>
                  <w14:solidFill>
                    <w14:srgbClr w14:val="000000">
                      <w14:alpha w14:val="100000"/>
                    </w14:srgbClr>
                  </w14:solidFill>
                </w14:textFill>
              </w:rPr>
              <w:t xml:space="preserve">　</w:t>
            </w:r>
            <w:r w:rsidRPr="001549E4">
              <w:rPr>
                <w:color w:val="000000"/>
                <w:w w:val="23"/>
                <w:shd w:val="solid" w:color="000000" w:fill="000000"/>
                <w:fitText w:val="103" w:id="-693991160"/>
                <w14:textFill>
                  <w14:solidFill>
                    <w14:srgbClr w14:val="000000">
                      <w14:alpha w14:val="100000"/>
                    </w14:srgbClr>
                  </w14:solidFill>
                </w14:textFill>
              </w:rPr>
              <w:t>|</w:t>
            </w:r>
            <w:r w:rsidRPr="001549E4">
              <w:rPr>
                <w:rFonts w:hint="eastAsia"/>
                <w:color w:val="000000"/>
                <w:spacing w:val="2"/>
                <w:w w:val="23"/>
                <w:shd w:val="solid" w:color="000000" w:fill="000000"/>
                <w:fitText w:val="103" w:id="-693991160"/>
                <w14:textFill>
                  <w14:solidFill>
                    <w14:srgbClr w14:val="000000">
                      <w14:alpha w14:val="100000"/>
                    </w14:srgbClr>
                  </w14:solidFill>
                </w14:textFill>
              </w:rPr>
              <w:t xml:space="preserve">　</w:t>
            </w:r>
            <w:r w:rsidR="00C8181A" w:rsidRPr="00C8181A">
              <w:rPr>
                <w:vertAlign w:val="superscript"/>
              </w:rPr>
              <w:t>1</w:t>
            </w:r>
            <w:r w:rsidR="0098785E" w:rsidRPr="0098785E">
              <w:rPr>
                <w:vertAlign w:val="superscript"/>
              </w:rPr>
              <w:t>c</w:t>
            </w:r>
          </w:p>
        </w:tc>
        <w:tc>
          <w:tcPr>
            <w:tcW w:w="1211" w:type="dxa"/>
            <w:noWrap/>
          </w:tcPr>
          <w:p w14:paraId="2592A05B" w14:textId="7DE48221"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9"/>
                <w14:textFill>
                  <w14:solidFill>
                    <w14:srgbClr w14:val="000000">
                      <w14:alpha w14:val="100000"/>
                    </w14:srgbClr>
                  </w14:solidFill>
                </w14:textFill>
              </w:rPr>
              <w:t xml:space="preserve">　</w:t>
            </w:r>
            <w:r w:rsidRPr="001549E4">
              <w:rPr>
                <w:color w:val="000000"/>
                <w:w w:val="18"/>
                <w:shd w:val="solid" w:color="000000" w:fill="000000"/>
                <w:fitText w:val="81" w:id="-693991159"/>
                <w14:textFill>
                  <w14:solidFill>
                    <w14:srgbClr w14:val="000000">
                      <w14:alpha w14:val="100000"/>
                    </w14:srgbClr>
                  </w14:solidFill>
                </w14:textFill>
              </w:rPr>
              <w:t>|</w:t>
            </w:r>
            <w:r w:rsidRPr="001549E4">
              <w:rPr>
                <w:rFonts w:hint="eastAsia"/>
                <w:color w:val="000000"/>
                <w:spacing w:val="1"/>
                <w:w w:val="18"/>
                <w:shd w:val="solid" w:color="000000" w:fill="000000"/>
                <w:fitText w:val="81" w:id="-693991159"/>
                <w14:textFill>
                  <w14:solidFill>
                    <w14:srgbClr w14:val="000000">
                      <w14:alpha w14:val="100000"/>
                    </w14:srgbClr>
                  </w14:solidFill>
                </w14:textFill>
              </w:rPr>
              <w:t xml:space="preserve">　</w:t>
            </w:r>
            <w:r w:rsidR="00C8181A" w:rsidRPr="00C8181A">
              <w:rPr>
                <w:vertAlign w:val="superscript"/>
              </w:rPr>
              <w:t>1</w:t>
            </w:r>
          </w:p>
        </w:tc>
        <w:tc>
          <w:tcPr>
            <w:tcW w:w="1210" w:type="dxa"/>
            <w:noWrap/>
          </w:tcPr>
          <w:p w14:paraId="051E89A5" w14:textId="5516B9E8"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8"/>
                <w14:textFill>
                  <w14:solidFill>
                    <w14:srgbClr w14:val="000000">
                      <w14:alpha w14:val="100000"/>
                    </w14:srgbClr>
                  </w14:solidFill>
                </w14:textFill>
              </w:rPr>
              <w:t xml:space="preserve">　</w:t>
            </w:r>
            <w:r w:rsidRPr="001549E4">
              <w:rPr>
                <w:color w:val="000000"/>
                <w:w w:val="18"/>
                <w:shd w:val="solid" w:color="000000" w:fill="000000"/>
                <w:fitText w:val="81" w:id="-693991158"/>
                <w14:textFill>
                  <w14:solidFill>
                    <w14:srgbClr w14:val="000000">
                      <w14:alpha w14:val="100000"/>
                    </w14:srgbClr>
                  </w14:solidFill>
                </w14:textFill>
              </w:rPr>
              <w:t>|</w:t>
            </w:r>
            <w:r w:rsidRPr="001549E4">
              <w:rPr>
                <w:rFonts w:hint="eastAsia"/>
                <w:color w:val="000000"/>
                <w:spacing w:val="1"/>
                <w:w w:val="18"/>
                <w:shd w:val="solid" w:color="000000" w:fill="000000"/>
                <w:fitText w:val="81" w:id="-693991158"/>
                <w14:textFill>
                  <w14:solidFill>
                    <w14:srgbClr w14:val="000000">
                      <w14:alpha w14:val="100000"/>
                    </w14:srgbClr>
                  </w14:solidFill>
                </w14:textFill>
              </w:rPr>
              <w:t xml:space="preserve">　</w:t>
            </w:r>
            <w:r w:rsidR="00C8181A" w:rsidRPr="00C8181A">
              <w:rPr>
                <w:vertAlign w:val="superscript"/>
              </w:rPr>
              <w:t>1</w:t>
            </w:r>
          </w:p>
        </w:tc>
        <w:tc>
          <w:tcPr>
            <w:tcW w:w="1211" w:type="dxa"/>
            <w:noWrap/>
          </w:tcPr>
          <w:p w14:paraId="7F9344D9" w14:textId="17D47BBD"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7"/>
                <w14:textFill>
                  <w14:solidFill>
                    <w14:srgbClr w14:val="000000">
                      <w14:alpha w14:val="100000"/>
                    </w14:srgbClr>
                  </w14:solidFill>
                </w14:textFill>
              </w:rPr>
              <w:t xml:space="preserve">　</w:t>
            </w:r>
            <w:r w:rsidRPr="001549E4">
              <w:rPr>
                <w:color w:val="000000"/>
                <w:w w:val="18"/>
                <w:shd w:val="solid" w:color="000000" w:fill="000000"/>
                <w:fitText w:val="81" w:id="-693991157"/>
                <w14:textFill>
                  <w14:solidFill>
                    <w14:srgbClr w14:val="000000">
                      <w14:alpha w14:val="100000"/>
                    </w14:srgbClr>
                  </w14:solidFill>
                </w14:textFill>
              </w:rPr>
              <w:t>|</w:t>
            </w:r>
            <w:r w:rsidRPr="001549E4">
              <w:rPr>
                <w:rFonts w:hint="eastAsia"/>
                <w:color w:val="000000"/>
                <w:spacing w:val="1"/>
                <w:w w:val="18"/>
                <w:shd w:val="solid" w:color="000000" w:fill="000000"/>
                <w:fitText w:val="81" w:id="-693991157"/>
                <w14:textFill>
                  <w14:solidFill>
                    <w14:srgbClr w14:val="000000">
                      <w14:alpha w14:val="100000"/>
                    </w14:srgbClr>
                  </w14:solidFill>
                </w14:textFill>
              </w:rPr>
              <w:t xml:space="preserve">　</w:t>
            </w:r>
            <w:r w:rsidR="00C8181A" w:rsidRPr="00C8181A">
              <w:rPr>
                <w:vertAlign w:val="superscript"/>
              </w:rPr>
              <w:t>1</w:t>
            </w:r>
          </w:p>
        </w:tc>
        <w:tc>
          <w:tcPr>
            <w:tcW w:w="1252" w:type="dxa"/>
            <w:noWrap/>
          </w:tcPr>
          <w:p w14:paraId="4FC524BA" w14:textId="784327FD"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57" w:id="-693991156"/>
                <w14:textFill>
                  <w14:solidFill>
                    <w14:srgbClr w14:val="000000">
                      <w14:alpha w14:val="100000"/>
                    </w14:srgbClr>
                  </w14:solidFill>
                </w14:textFill>
              </w:rPr>
              <w:t xml:space="preserve">　</w:t>
            </w:r>
            <w:r w:rsidRPr="001549E4">
              <w:rPr>
                <w:color w:val="000000"/>
                <w:w w:val="15"/>
                <w:shd w:val="solid" w:color="000000" w:fill="000000"/>
                <w:fitText w:val="57" w:id="-693991156"/>
                <w14:textFill>
                  <w14:solidFill>
                    <w14:srgbClr w14:val="000000">
                      <w14:alpha w14:val="100000"/>
                    </w14:srgbClr>
                  </w14:solidFill>
                </w14:textFill>
              </w:rPr>
              <w:t>|</w:t>
            </w:r>
            <w:r w:rsidRPr="001549E4">
              <w:rPr>
                <w:rFonts w:hint="eastAsia"/>
                <w:color w:val="000000"/>
                <w:spacing w:val="-8"/>
                <w:w w:val="15"/>
                <w:shd w:val="solid" w:color="000000" w:fill="000000"/>
                <w:fitText w:val="57" w:id="-693991156"/>
                <w14:textFill>
                  <w14:solidFill>
                    <w14:srgbClr w14:val="000000">
                      <w14:alpha w14:val="100000"/>
                    </w14:srgbClr>
                  </w14:solidFill>
                </w14:textFill>
              </w:rPr>
              <w:t xml:space="preserve">　</w:t>
            </w:r>
            <w:r w:rsidR="00C8181A" w:rsidRPr="00C8181A">
              <w:rPr>
                <w:vertAlign w:val="superscript"/>
              </w:rPr>
              <w:t>1</w:t>
            </w:r>
          </w:p>
        </w:tc>
        <w:tc>
          <w:tcPr>
            <w:tcW w:w="1222" w:type="dxa"/>
            <w:noWrap/>
          </w:tcPr>
          <w:p w14:paraId="591EE2FD" w14:textId="4F5880DD"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55"/>
                <w14:textFill>
                  <w14:solidFill>
                    <w14:srgbClr w14:val="000000">
                      <w14:alpha w14:val="100000"/>
                    </w14:srgbClr>
                  </w14:solidFill>
                </w14:textFill>
              </w:rPr>
              <w:t xml:space="preserve">　</w:t>
            </w:r>
            <w:r w:rsidRPr="001549E4">
              <w:rPr>
                <w:color w:val="000000"/>
                <w:w w:val="15"/>
                <w:shd w:val="solid" w:color="000000" w:fill="000000"/>
                <w:fitText w:val="69" w:id="-693991155"/>
                <w14:textFill>
                  <w14:solidFill>
                    <w14:srgbClr w14:val="000000">
                      <w14:alpha w14:val="100000"/>
                    </w14:srgbClr>
                  </w14:solidFill>
                </w14:textFill>
              </w:rPr>
              <w:t>|</w:t>
            </w:r>
            <w:r w:rsidRPr="001549E4">
              <w:rPr>
                <w:rFonts w:hint="eastAsia"/>
                <w:color w:val="000000"/>
                <w:spacing w:val="3"/>
                <w:w w:val="15"/>
                <w:shd w:val="solid" w:color="000000" w:fill="000000"/>
                <w:fitText w:val="69" w:id="-693991155"/>
                <w14:textFill>
                  <w14:solidFill>
                    <w14:srgbClr w14:val="000000">
                      <w14:alpha w14:val="100000"/>
                    </w14:srgbClr>
                  </w14:solidFill>
                </w14:textFill>
              </w:rPr>
              <w:t xml:space="preserve">　</w:t>
            </w:r>
            <w:r w:rsidR="00C8181A" w:rsidRPr="00C8181A">
              <w:rPr>
                <w:vertAlign w:val="superscript"/>
              </w:rPr>
              <w:t>1</w:t>
            </w:r>
          </w:p>
        </w:tc>
      </w:tr>
      <w:tr w:rsidR="00A10C1C" w:rsidRPr="003319BF" w14:paraId="1D40A246" w14:textId="77777777" w:rsidTr="00082D54">
        <w:trPr>
          <w:trHeight w:val="207"/>
        </w:trPr>
        <w:tc>
          <w:tcPr>
            <w:tcW w:w="1691" w:type="dxa"/>
            <w:noWrap/>
          </w:tcPr>
          <w:p w14:paraId="6A3879D3" w14:textId="77777777" w:rsidR="002705A2" w:rsidRPr="003319BF" w:rsidRDefault="002705A2" w:rsidP="00A67446">
            <w:pPr>
              <w:pStyle w:val="Tabletext"/>
              <w:keepNext/>
              <w:keepLines/>
            </w:pPr>
            <w:r>
              <w:t>Incident patients</w:t>
            </w:r>
          </w:p>
        </w:tc>
        <w:tc>
          <w:tcPr>
            <w:tcW w:w="1220" w:type="dxa"/>
            <w:noWrap/>
          </w:tcPr>
          <w:p w14:paraId="13A6810D" w14:textId="21073502"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54"/>
                <w14:textFill>
                  <w14:solidFill>
                    <w14:srgbClr w14:val="000000">
                      <w14:alpha w14:val="100000"/>
                    </w14:srgbClr>
                  </w14:solidFill>
                </w14:textFill>
              </w:rPr>
              <w:t xml:space="preserve">　</w:t>
            </w:r>
            <w:r w:rsidRPr="001549E4">
              <w:rPr>
                <w:color w:val="000000"/>
                <w:w w:val="15"/>
                <w:shd w:val="solid" w:color="000000" w:fill="000000"/>
                <w:fitText w:val="69" w:id="-693991154"/>
                <w14:textFill>
                  <w14:solidFill>
                    <w14:srgbClr w14:val="000000">
                      <w14:alpha w14:val="100000"/>
                    </w14:srgbClr>
                  </w14:solidFill>
                </w14:textFill>
              </w:rPr>
              <w:t>|</w:t>
            </w:r>
            <w:r w:rsidRPr="001549E4">
              <w:rPr>
                <w:rFonts w:hint="eastAsia"/>
                <w:color w:val="000000"/>
                <w:spacing w:val="3"/>
                <w:w w:val="15"/>
                <w:shd w:val="solid" w:color="000000" w:fill="000000"/>
                <w:fitText w:val="69" w:id="-693991154"/>
                <w14:textFill>
                  <w14:solidFill>
                    <w14:srgbClr w14:val="000000">
                      <w14:alpha w14:val="100000"/>
                    </w14:srgbClr>
                  </w14:solidFill>
                </w14:textFill>
              </w:rPr>
              <w:t xml:space="preserve">　</w:t>
            </w:r>
            <w:r w:rsidR="00C8181A" w:rsidRPr="00C8181A">
              <w:rPr>
                <w:vertAlign w:val="superscript"/>
              </w:rPr>
              <w:t>1</w:t>
            </w:r>
          </w:p>
        </w:tc>
        <w:tc>
          <w:tcPr>
            <w:tcW w:w="1211" w:type="dxa"/>
            <w:noWrap/>
          </w:tcPr>
          <w:p w14:paraId="75B18AB0" w14:textId="629B8BE9"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3"/>
                <w14:textFill>
                  <w14:solidFill>
                    <w14:srgbClr w14:val="000000">
                      <w14:alpha w14:val="100000"/>
                    </w14:srgbClr>
                  </w14:solidFill>
                </w14:textFill>
              </w:rPr>
              <w:t xml:space="preserve">　</w:t>
            </w:r>
            <w:r w:rsidRPr="001549E4">
              <w:rPr>
                <w:color w:val="000000"/>
                <w:w w:val="18"/>
                <w:shd w:val="solid" w:color="000000" w:fill="000000"/>
                <w:fitText w:val="81" w:id="-693991153"/>
                <w14:textFill>
                  <w14:solidFill>
                    <w14:srgbClr w14:val="000000">
                      <w14:alpha w14:val="100000"/>
                    </w14:srgbClr>
                  </w14:solidFill>
                </w14:textFill>
              </w:rPr>
              <w:t>|</w:t>
            </w:r>
            <w:r w:rsidRPr="001549E4">
              <w:rPr>
                <w:rFonts w:hint="eastAsia"/>
                <w:color w:val="000000"/>
                <w:spacing w:val="1"/>
                <w:w w:val="18"/>
                <w:shd w:val="solid" w:color="000000" w:fill="000000"/>
                <w:fitText w:val="81" w:id="-693991153"/>
                <w14:textFill>
                  <w14:solidFill>
                    <w14:srgbClr w14:val="000000">
                      <w14:alpha w14:val="100000"/>
                    </w14:srgbClr>
                  </w14:solidFill>
                </w14:textFill>
              </w:rPr>
              <w:t xml:space="preserve">　</w:t>
            </w:r>
            <w:r w:rsidR="00C8181A" w:rsidRPr="00C8181A">
              <w:rPr>
                <w:vertAlign w:val="superscript"/>
              </w:rPr>
              <w:t>1</w:t>
            </w:r>
          </w:p>
        </w:tc>
        <w:tc>
          <w:tcPr>
            <w:tcW w:w="1210" w:type="dxa"/>
            <w:noWrap/>
          </w:tcPr>
          <w:p w14:paraId="37228044" w14:textId="0F69BDAB"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52"/>
                <w14:textFill>
                  <w14:solidFill>
                    <w14:srgbClr w14:val="000000">
                      <w14:alpha w14:val="100000"/>
                    </w14:srgbClr>
                  </w14:solidFill>
                </w14:textFill>
              </w:rPr>
              <w:t xml:space="preserve">　</w:t>
            </w:r>
            <w:r w:rsidRPr="001549E4">
              <w:rPr>
                <w:color w:val="000000"/>
                <w:w w:val="18"/>
                <w:shd w:val="solid" w:color="000000" w:fill="000000"/>
                <w:fitText w:val="81" w:id="-693991152"/>
                <w14:textFill>
                  <w14:solidFill>
                    <w14:srgbClr w14:val="000000">
                      <w14:alpha w14:val="100000"/>
                    </w14:srgbClr>
                  </w14:solidFill>
                </w14:textFill>
              </w:rPr>
              <w:t>|</w:t>
            </w:r>
            <w:r w:rsidRPr="001549E4">
              <w:rPr>
                <w:rFonts w:hint="eastAsia"/>
                <w:color w:val="000000"/>
                <w:spacing w:val="1"/>
                <w:w w:val="18"/>
                <w:shd w:val="solid" w:color="000000" w:fill="000000"/>
                <w:fitText w:val="81" w:id="-693991152"/>
                <w14:textFill>
                  <w14:solidFill>
                    <w14:srgbClr w14:val="000000">
                      <w14:alpha w14:val="100000"/>
                    </w14:srgbClr>
                  </w14:solidFill>
                </w14:textFill>
              </w:rPr>
              <w:t xml:space="preserve">　</w:t>
            </w:r>
            <w:r w:rsidR="00C8181A" w:rsidRPr="00C8181A">
              <w:rPr>
                <w:vertAlign w:val="superscript"/>
              </w:rPr>
              <w:t>1</w:t>
            </w:r>
          </w:p>
        </w:tc>
        <w:tc>
          <w:tcPr>
            <w:tcW w:w="1211" w:type="dxa"/>
            <w:noWrap/>
          </w:tcPr>
          <w:p w14:paraId="419F9422" w14:textId="4C5224C8" w:rsidR="002705A2"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1168"/>
                <w14:textFill>
                  <w14:solidFill>
                    <w14:srgbClr w14:val="000000">
                      <w14:alpha w14:val="100000"/>
                    </w14:srgbClr>
                  </w14:solidFill>
                </w14:textFill>
              </w:rPr>
              <w:t xml:space="preserve">　</w:t>
            </w:r>
            <w:r w:rsidRPr="001549E4">
              <w:rPr>
                <w:color w:val="000000"/>
                <w:w w:val="18"/>
                <w:shd w:val="solid" w:color="000000" w:fill="000000"/>
                <w:fitText w:val="81" w:id="-693991168"/>
                <w14:textFill>
                  <w14:solidFill>
                    <w14:srgbClr w14:val="000000">
                      <w14:alpha w14:val="100000"/>
                    </w14:srgbClr>
                  </w14:solidFill>
                </w14:textFill>
              </w:rPr>
              <w:t>|</w:t>
            </w:r>
            <w:r w:rsidRPr="001549E4">
              <w:rPr>
                <w:rFonts w:hint="eastAsia"/>
                <w:color w:val="000000"/>
                <w:spacing w:val="1"/>
                <w:w w:val="18"/>
                <w:shd w:val="solid" w:color="000000" w:fill="000000"/>
                <w:fitText w:val="81" w:id="-693991168"/>
                <w14:textFill>
                  <w14:solidFill>
                    <w14:srgbClr w14:val="000000">
                      <w14:alpha w14:val="100000"/>
                    </w14:srgbClr>
                  </w14:solidFill>
                </w14:textFill>
              </w:rPr>
              <w:t xml:space="preserve">　</w:t>
            </w:r>
            <w:r w:rsidR="00C8181A" w:rsidRPr="00C8181A">
              <w:rPr>
                <w:vertAlign w:val="superscript"/>
              </w:rPr>
              <w:t>1</w:t>
            </w:r>
          </w:p>
        </w:tc>
        <w:tc>
          <w:tcPr>
            <w:tcW w:w="1252" w:type="dxa"/>
            <w:noWrap/>
          </w:tcPr>
          <w:p w14:paraId="2202B79E" w14:textId="5DDC3634"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57" w:id="-693991167"/>
                <w14:textFill>
                  <w14:solidFill>
                    <w14:srgbClr w14:val="000000">
                      <w14:alpha w14:val="100000"/>
                    </w14:srgbClr>
                  </w14:solidFill>
                </w14:textFill>
              </w:rPr>
              <w:t xml:space="preserve">　</w:t>
            </w:r>
            <w:r w:rsidRPr="001549E4">
              <w:rPr>
                <w:color w:val="000000"/>
                <w:w w:val="15"/>
                <w:shd w:val="solid" w:color="000000" w:fill="000000"/>
                <w:fitText w:val="57" w:id="-693991167"/>
                <w14:textFill>
                  <w14:solidFill>
                    <w14:srgbClr w14:val="000000">
                      <w14:alpha w14:val="100000"/>
                    </w14:srgbClr>
                  </w14:solidFill>
                </w14:textFill>
              </w:rPr>
              <w:t>|</w:t>
            </w:r>
            <w:r w:rsidRPr="001549E4">
              <w:rPr>
                <w:rFonts w:hint="eastAsia"/>
                <w:color w:val="000000"/>
                <w:spacing w:val="-8"/>
                <w:w w:val="15"/>
                <w:shd w:val="solid" w:color="000000" w:fill="000000"/>
                <w:fitText w:val="57" w:id="-693991167"/>
                <w14:textFill>
                  <w14:solidFill>
                    <w14:srgbClr w14:val="000000">
                      <w14:alpha w14:val="100000"/>
                    </w14:srgbClr>
                  </w14:solidFill>
                </w14:textFill>
              </w:rPr>
              <w:t xml:space="preserve">　</w:t>
            </w:r>
            <w:r w:rsidR="00C8181A" w:rsidRPr="00C8181A">
              <w:rPr>
                <w:vertAlign w:val="superscript"/>
              </w:rPr>
              <w:t>1</w:t>
            </w:r>
          </w:p>
        </w:tc>
        <w:tc>
          <w:tcPr>
            <w:tcW w:w="1222" w:type="dxa"/>
            <w:noWrap/>
          </w:tcPr>
          <w:p w14:paraId="5D4AE504" w14:textId="1CD1ED9B" w:rsidR="002705A2"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1166"/>
                <w14:textFill>
                  <w14:solidFill>
                    <w14:srgbClr w14:val="000000">
                      <w14:alpha w14:val="100000"/>
                    </w14:srgbClr>
                  </w14:solidFill>
                </w14:textFill>
              </w:rPr>
              <w:t xml:space="preserve">　</w:t>
            </w:r>
            <w:r w:rsidRPr="001549E4">
              <w:rPr>
                <w:color w:val="000000"/>
                <w:w w:val="15"/>
                <w:shd w:val="solid" w:color="000000" w:fill="000000"/>
                <w:fitText w:val="69" w:id="-693991166"/>
                <w14:textFill>
                  <w14:solidFill>
                    <w14:srgbClr w14:val="000000">
                      <w14:alpha w14:val="100000"/>
                    </w14:srgbClr>
                  </w14:solidFill>
                </w14:textFill>
              </w:rPr>
              <w:t>|</w:t>
            </w:r>
            <w:r w:rsidRPr="001549E4">
              <w:rPr>
                <w:rFonts w:hint="eastAsia"/>
                <w:color w:val="000000"/>
                <w:spacing w:val="3"/>
                <w:w w:val="15"/>
                <w:shd w:val="solid" w:color="000000" w:fill="000000"/>
                <w:fitText w:val="69" w:id="-693991166"/>
                <w14:textFill>
                  <w14:solidFill>
                    <w14:srgbClr w14:val="000000">
                      <w14:alpha w14:val="100000"/>
                    </w14:srgbClr>
                  </w14:solidFill>
                </w14:textFill>
              </w:rPr>
              <w:t xml:space="preserve">　</w:t>
            </w:r>
            <w:r w:rsidR="00C8181A" w:rsidRPr="00C8181A">
              <w:rPr>
                <w:vertAlign w:val="superscript"/>
              </w:rPr>
              <w:t>1</w:t>
            </w:r>
          </w:p>
        </w:tc>
      </w:tr>
      <w:tr w:rsidR="00A10C1C" w:rsidRPr="003319BF" w14:paraId="1EB0092A" w14:textId="77777777" w:rsidTr="00082D54">
        <w:trPr>
          <w:trHeight w:val="207"/>
        </w:trPr>
        <w:tc>
          <w:tcPr>
            <w:tcW w:w="4122" w:type="dxa"/>
            <w:gridSpan w:val="3"/>
            <w:noWrap/>
          </w:tcPr>
          <w:p w14:paraId="539E0669" w14:textId="77777777" w:rsidR="002705A2" w:rsidRDefault="002705A2" w:rsidP="00A67446">
            <w:pPr>
              <w:pStyle w:val="Tabletext"/>
              <w:keepNext/>
              <w:keepLines/>
            </w:pPr>
            <w:r>
              <w:rPr>
                <w:b/>
                <w:bCs/>
              </w:rPr>
              <w:t>S</w:t>
            </w:r>
            <w:r w:rsidRPr="00A11D3A">
              <w:rPr>
                <w:b/>
                <w:bCs/>
              </w:rPr>
              <w:t>cripts</w:t>
            </w:r>
            <w:r>
              <w:rPr>
                <w:b/>
                <w:bCs/>
              </w:rPr>
              <w:t xml:space="preserve"> (100% compliance and uptake) </w:t>
            </w:r>
          </w:p>
        </w:tc>
        <w:tc>
          <w:tcPr>
            <w:tcW w:w="1210" w:type="dxa"/>
            <w:noWrap/>
          </w:tcPr>
          <w:p w14:paraId="7068BFB6" w14:textId="77777777" w:rsidR="002705A2" w:rsidRDefault="002705A2" w:rsidP="00A67446">
            <w:pPr>
              <w:pStyle w:val="Tabletext"/>
              <w:keepNext/>
              <w:keepLines/>
              <w:jc w:val="center"/>
            </w:pPr>
          </w:p>
        </w:tc>
        <w:tc>
          <w:tcPr>
            <w:tcW w:w="1211" w:type="dxa"/>
            <w:noWrap/>
          </w:tcPr>
          <w:p w14:paraId="7D8F9396" w14:textId="77777777" w:rsidR="002705A2" w:rsidRDefault="002705A2" w:rsidP="00A67446">
            <w:pPr>
              <w:pStyle w:val="Tabletext"/>
              <w:keepNext/>
              <w:keepLines/>
              <w:jc w:val="center"/>
            </w:pPr>
          </w:p>
        </w:tc>
        <w:tc>
          <w:tcPr>
            <w:tcW w:w="1252" w:type="dxa"/>
            <w:noWrap/>
          </w:tcPr>
          <w:p w14:paraId="081DE60B" w14:textId="77777777" w:rsidR="002705A2" w:rsidRDefault="002705A2" w:rsidP="00A67446">
            <w:pPr>
              <w:pStyle w:val="Tabletext"/>
              <w:keepNext/>
              <w:keepLines/>
              <w:jc w:val="center"/>
            </w:pPr>
          </w:p>
        </w:tc>
        <w:tc>
          <w:tcPr>
            <w:tcW w:w="1222" w:type="dxa"/>
            <w:noWrap/>
          </w:tcPr>
          <w:p w14:paraId="7E0EF3E8" w14:textId="77777777" w:rsidR="002705A2" w:rsidRDefault="002705A2" w:rsidP="00A67446">
            <w:pPr>
              <w:pStyle w:val="Tabletext"/>
              <w:keepNext/>
              <w:keepLines/>
              <w:jc w:val="center"/>
            </w:pPr>
          </w:p>
        </w:tc>
      </w:tr>
      <w:tr w:rsidR="00A10C1C" w:rsidRPr="003319BF" w14:paraId="56C141F9" w14:textId="77777777" w:rsidTr="00082D54">
        <w:trPr>
          <w:trHeight w:val="207"/>
        </w:trPr>
        <w:tc>
          <w:tcPr>
            <w:tcW w:w="1691" w:type="dxa"/>
            <w:noWrap/>
          </w:tcPr>
          <w:p w14:paraId="625C49BA" w14:textId="77777777" w:rsidR="002705A2" w:rsidRPr="00AC7F3D" w:rsidRDefault="002705A2" w:rsidP="00A67446">
            <w:pPr>
              <w:pStyle w:val="Tabletext"/>
              <w:keepNext/>
              <w:keepLines/>
              <w:rPr>
                <w:vertAlign w:val="superscript"/>
              </w:rPr>
            </w:pPr>
            <w:r>
              <w:t xml:space="preserve">Total scripts </w:t>
            </w:r>
            <w:r>
              <w:rPr>
                <w:vertAlign w:val="superscript"/>
              </w:rPr>
              <w:t>b</w:t>
            </w:r>
          </w:p>
        </w:tc>
        <w:tc>
          <w:tcPr>
            <w:tcW w:w="1220" w:type="dxa"/>
            <w:noWrap/>
          </w:tcPr>
          <w:p w14:paraId="09854AA0" w14:textId="0B693249" w:rsidR="002705A2"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1165"/>
                <w14:textFill>
                  <w14:solidFill>
                    <w14:srgbClr w14:val="000000">
                      <w14:alpha w14:val="100000"/>
                    </w14:srgbClr>
                  </w14:solidFill>
                </w14:textFill>
              </w:rPr>
              <w:t xml:space="preserve">　</w:t>
            </w:r>
            <w:r w:rsidRPr="001549E4">
              <w:rPr>
                <w:color w:val="000000"/>
                <w:w w:val="15"/>
                <w:shd w:val="solid" w:color="000000" w:fill="000000"/>
                <w:fitText w:val="69" w:id="-693991165"/>
                <w14:textFill>
                  <w14:solidFill>
                    <w14:srgbClr w14:val="000000">
                      <w14:alpha w14:val="100000"/>
                    </w14:srgbClr>
                  </w14:solidFill>
                </w14:textFill>
              </w:rPr>
              <w:t>|</w:t>
            </w:r>
            <w:r w:rsidRPr="001549E4">
              <w:rPr>
                <w:rFonts w:hint="eastAsia"/>
                <w:color w:val="000000"/>
                <w:spacing w:val="3"/>
                <w:w w:val="15"/>
                <w:shd w:val="solid" w:color="000000" w:fill="000000"/>
                <w:fitText w:val="69" w:id="-693991165"/>
                <w14:textFill>
                  <w14:solidFill>
                    <w14:srgbClr w14:val="000000">
                      <w14:alpha w14:val="100000"/>
                    </w14:srgbClr>
                  </w14:solidFill>
                </w14:textFill>
              </w:rPr>
              <w:t xml:space="preserve">　</w:t>
            </w:r>
            <w:r w:rsidR="00C8181A" w:rsidRPr="00C8181A">
              <w:rPr>
                <w:vertAlign w:val="superscript"/>
              </w:rPr>
              <w:t>2</w:t>
            </w:r>
          </w:p>
        </w:tc>
        <w:tc>
          <w:tcPr>
            <w:tcW w:w="1211" w:type="dxa"/>
            <w:noWrap/>
          </w:tcPr>
          <w:p w14:paraId="598C9EBC" w14:textId="752C4AF5" w:rsidR="002705A2"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64"/>
                <w14:textFill>
                  <w14:solidFill>
                    <w14:srgbClr w14:val="000000">
                      <w14:alpha w14:val="100000"/>
                    </w14:srgbClr>
                  </w14:solidFill>
                </w14:textFill>
              </w:rPr>
              <w:t xml:space="preserve">　</w:t>
            </w:r>
            <w:r w:rsidRPr="001549E4">
              <w:rPr>
                <w:color w:val="000000"/>
                <w:w w:val="18"/>
                <w:shd w:val="solid" w:color="000000" w:fill="000000"/>
                <w:fitText w:val="81" w:id="-693991164"/>
                <w14:textFill>
                  <w14:solidFill>
                    <w14:srgbClr w14:val="000000">
                      <w14:alpha w14:val="100000"/>
                    </w14:srgbClr>
                  </w14:solidFill>
                </w14:textFill>
              </w:rPr>
              <w:t>|</w:t>
            </w:r>
            <w:r w:rsidRPr="001549E4">
              <w:rPr>
                <w:rFonts w:hint="eastAsia"/>
                <w:color w:val="000000"/>
                <w:spacing w:val="1"/>
                <w:w w:val="18"/>
                <w:shd w:val="solid" w:color="000000" w:fill="000000"/>
                <w:fitText w:val="81" w:id="-693991164"/>
                <w14:textFill>
                  <w14:solidFill>
                    <w14:srgbClr w14:val="000000">
                      <w14:alpha w14:val="100000"/>
                    </w14:srgbClr>
                  </w14:solidFill>
                </w14:textFill>
              </w:rPr>
              <w:t xml:space="preserve">　</w:t>
            </w:r>
            <w:r w:rsidR="00C8181A" w:rsidRPr="00C8181A">
              <w:rPr>
                <w:vertAlign w:val="superscript"/>
              </w:rPr>
              <w:t>2</w:t>
            </w:r>
          </w:p>
        </w:tc>
        <w:tc>
          <w:tcPr>
            <w:tcW w:w="1210" w:type="dxa"/>
            <w:noWrap/>
          </w:tcPr>
          <w:p w14:paraId="02B27E7F" w14:textId="3B2E4437" w:rsidR="002705A2"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63"/>
                <w14:textFill>
                  <w14:solidFill>
                    <w14:srgbClr w14:val="000000">
                      <w14:alpha w14:val="100000"/>
                    </w14:srgbClr>
                  </w14:solidFill>
                </w14:textFill>
              </w:rPr>
              <w:t xml:space="preserve">　</w:t>
            </w:r>
            <w:r w:rsidRPr="001549E4">
              <w:rPr>
                <w:color w:val="000000"/>
                <w:w w:val="18"/>
                <w:shd w:val="solid" w:color="000000" w:fill="000000"/>
                <w:fitText w:val="81" w:id="-693991163"/>
                <w14:textFill>
                  <w14:solidFill>
                    <w14:srgbClr w14:val="000000">
                      <w14:alpha w14:val="100000"/>
                    </w14:srgbClr>
                  </w14:solidFill>
                </w14:textFill>
              </w:rPr>
              <w:t>|</w:t>
            </w:r>
            <w:r w:rsidRPr="001549E4">
              <w:rPr>
                <w:rFonts w:hint="eastAsia"/>
                <w:color w:val="000000"/>
                <w:spacing w:val="1"/>
                <w:w w:val="18"/>
                <w:shd w:val="solid" w:color="000000" w:fill="000000"/>
                <w:fitText w:val="81" w:id="-693991163"/>
                <w14:textFill>
                  <w14:solidFill>
                    <w14:srgbClr w14:val="000000">
                      <w14:alpha w14:val="100000"/>
                    </w14:srgbClr>
                  </w14:solidFill>
                </w14:textFill>
              </w:rPr>
              <w:t xml:space="preserve">　</w:t>
            </w:r>
            <w:r w:rsidR="00C8181A" w:rsidRPr="00C8181A">
              <w:rPr>
                <w:vertAlign w:val="superscript"/>
              </w:rPr>
              <w:t>2</w:t>
            </w:r>
          </w:p>
        </w:tc>
        <w:tc>
          <w:tcPr>
            <w:tcW w:w="1211" w:type="dxa"/>
            <w:noWrap/>
          </w:tcPr>
          <w:p w14:paraId="14AB8CB4" w14:textId="38E2C237" w:rsidR="002705A2"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62"/>
                <w14:textFill>
                  <w14:solidFill>
                    <w14:srgbClr w14:val="000000">
                      <w14:alpha w14:val="100000"/>
                    </w14:srgbClr>
                  </w14:solidFill>
                </w14:textFill>
              </w:rPr>
              <w:t xml:space="preserve">　</w:t>
            </w:r>
            <w:r w:rsidRPr="001549E4">
              <w:rPr>
                <w:color w:val="000000"/>
                <w:w w:val="18"/>
                <w:shd w:val="solid" w:color="000000" w:fill="000000"/>
                <w:fitText w:val="81" w:id="-693991162"/>
                <w14:textFill>
                  <w14:solidFill>
                    <w14:srgbClr w14:val="000000">
                      <w14:alpha w14:val="100000"/>
                    </w14:srgbClr>
                  </w14:solidFill>
                </w14:textFill>
              </w:rPr>
              <w:t>|</w:t>
            </w:r>
            <w:r w:rsidRPr="001549E4">
              <w:rPr>
                <w:rFonts w:hint="eastAsia"/>
                <w:color w:val="000000"/>
                <w:spacing w:val="1"/>
                <w:w w:val="18"/>
                <w:shd w:val="solid" w:color="000000" w:fill="000000"/>
                <w:fitText w:val="81" w:id="-693991162"/>
                <w14:textFill>
                  <w14:solidFill>
                    <w14:srgbClr w14:val="000000">
                      <w14:alpha w14:val="100000"/>
                    </w14:srgbClr>
                  </w14:solidFill>
                </w14:textFill>
              </w:rPr>
              <w:t xml:space="preserve">　</w:t>
            </w:r>
            <w:r w:rsidR="00C8181A" w:rsidRPr="00C8181A">
              <w:rPr>
                <w:vertAlign w:val="superscript"/>
              </w:rPr>
              <w:t>2</w:t>
            </w:r>
          </w:p>
        </w:tc>
        <w:tc>
          <w:tcPr>
            <w:tcW w:w="1252" w:type="dxa"/>
            <w:noWrap/>
          </w:tcPr>
          <w:p w14:paraId="1441A292" w14:textId="00416A20" w:rsidR="002705A2"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1161"/>
                <w14:textFill>
                  <w14:solidFill>
                    <w14:srgbClr w14:val="000000">
                      <w14:alpha w14:val="100000"/>
                    </w14:srgbClr>
                  </w14:solidFill>
                </w14:textFill>
              </w:rPr>
              <w:t xml:space="preserve">　</w:t>
            </w:r>
            <w:r w:rsidRPr="001549E4">
              <w:rPr>
                <w:color w:val="000000"/>
                <w:w w:val="15"/>
                <w:shd w:val="solid" w:color="000000" w:fill="000000"/>
                <w:fitText w:val="57" w:id="-693991161"/>
                <w14:textFill>
                  <w14:solidFill>
                    <w14:srgbClr w14:val="000000">
                      <w14:alpha w14:val="100000"/>
                    </w14:srgbClr>
                  </w14:solidFill>
                </w14:textFill>
              </w:rPr>
              <w:t>|</w:t>
            </w:r>
            <w:r w:rsidRPr="001549E4">
              <w:rPr>
                <w:rFonts w:hint="eastAsia"/>
                <w:color w:val="000000"/>
                <w:spacing w:val="-8"/>
                <w:w w:val="15"/>
                <w:shd w:val="solid" w:color="000000" w:fill="000000"/>
                <w:fitText w:val="57" w:id="-693991161"/>
                <w14:textFill>
                  <w14:solidFill>
                    <w14:srgbClr w14:val="000000">
                      <w14:alpha w14:val="100000"/>
                    </w14:srgbClr>
                  </w14:solidFill>
                </w14:textFill>
              </w:rPr>
              <w:t xml:space="preserve">　</w:t>
            </w:r>
            <w:r w:rsidR="00C8181A" w:rsidRPr="00C8181A">
              <w:rPr>
                <w:vertAlign w:val="superscript"/>
              </w:rPr>
              <w:t>2</w:t>
            </w:r>
          </w:p>
        </w:tc>
        <w:tc>
          <w:tcPr>
            <w:tcW w:w="1222" w:type="dxa"/>
            <w:noWrap/>
          </w:tcPr>
          <w:p w14:paraId="350688F7" w14:textId="4C9516BA" w:rsidR="002705A2"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1160"/>
                <w14:textFill>
                  <w14:solidFill>
                    <w14:srgbClr w14:val="000000">
                      <w14:alpha w14:val="100000"/>
                    </w14:srgbClr>
                  </w14:solidFill>
                </w14:textFill>
              </w:rPr>
              <w:t xml:space="preserve">　</w:t>
            </w:r>
            <w:r w:rsidRPr="001549E4">
              <w:rPr>
                <w:color w:val="000000"/>
                <w:w w:val="15"/>
                <w:shd w:val="solid" w:color="000000" w:fill="000000"/>
                <w:fitText w:val="69" w:id="-693991160"/>
                <w14:textFill>
                  <w14:solidFill>
                    <w14:srgbClr w14:val="000000">
                      <w14:alpha w14:val="100000"/>
                    </w14:srgbClr>
                  </w14:solidFill>
                </w14:textFill>
              </w:rPr>
              <w:t>|</w:t>
            </w:r>
            <w:r w:rsidRPr="001549E4">
              <w:rPr>
                <w:rFonts w:hint="eastAsia"/>
                <w:color w:val="000000"/>
                <w:spacing w:val="3"/>
                <w:w w:val="15"/>
                <w:shd w:val="solid" w:color="000000" w:fill="000000"/>
                <w:fitText w:val="69" w:id="-693991160"/>
                <w14:textFill>
                  <w14:solidFill>
                    <w14:srgbClr w14:val="000000">
                      <w14:alpha w14:val="100000"/>
                    </w14:srgbClr>
                  </w14:solidFill>
                </w14:textFill>
              </w:rPr>
              <w:t xml:space="preserve">　</w:t>
            </w:r>
            <w:r w:rsidR="00C8181A" w:rsidRPr="00C8181A">
              <w:rPr>
                <w:vertAlign w:val="superscript"/>
              </w:rPr>
              <w:t>2</w:t>
            </w:r>
          </w:p>
        </w:tc>
      </w:tr>
      <w:tr w:rsidR="002705A2" w:rsidRPr="003319BF" w14:paraId="38AB1BC1" w14:textId="77777777" w:rsidTr="00082D54">
        <w:trPr>
          <w:trHeight w:val="207"/>
        </w:trPr>
        <w:tc>
          <w:tcPr>
            <w:tcW w:w="9017" w:type="dxa"/>
            <w:gridSpan w:val="7"/>
            <w:noWrap/>
            <w:hideMark/>
          </w:tcPr>
          <w:p w14:paraId="4F0CC9EB" w14:textId="6D71F133" w:rsidR="002705A2" w:rsidRPr="005F73DD" w:rsidRDefault="002705A2" w:rsidP="00A67446">
            <w:pPr>
              <w:pStyle w:val="Tabletext"/>
              <w:keepNext/>
              <w:keepLines/>
              <w:rPr>
                <w:b/>
                <w:bCs/>
              </w:rPr>
            </w:pPr>
            <w:r>
              <w:rPr>
                <w:b/>
                <w:bCs/>
              </w:rPr>
              <w:t xml:space="preserve">Net cost to </w:t>
            </w:r>
            <w:r w:rsidRPr="005F73DD">
              <w:rPr>
                <w:b/>
                <w:bCs/>
              </w:rPr>
              <w:t>PBS</w:t>
            </w:r>
            <w:r w:rsidR="009A40CF">
              <w:rPr>
                <w:b/>
                <w:bCs/>
              </w:rPr>
              <w:t>/RPBS</w:t>
            </w:r>
          </w:p>
        </w:tc>
      </w:tr>
      <w:tr w:rsidR="00082D54" w:rsidRPr="003319BF" w14:paraId="3A01B96D" w14:textId="77777777" w:rsidTr="00447749">
        <w:trPr>
          <w:trHeight w:val="207"/>
        </w:trPr>
        <w:tc>
          <w:tcPr>
            <w:tcW w:w="0" w:type="dxa"/>
            <w:noWrap/>
            <w:hideMark/>
          </w:tcPr>
          <w:p w14:paraId="17549DB9" w14:textId="77777777" w:rsidR="00082D54" w:rsidRPr="003319BF" w:rsidRDefault="00082D54" w:rsidP="00A67446">
            <w:pPr>
              <w:pStyle w:val="Tabletext"/>
              <w:keepNext/>
              <w:keepLines/>
            </w:pPr>
            <w:r w:rsidRPr="003319BF">
              <w:t>Odevixibat</w:t>
            </w:r>
          </w:p>
        </w:tc>
        <w:tc>
          <w:tcPr>
            <w:tcW w:w="0" w:type="dxa"/>
            <w:noWrap/>
          </w:tcPr>
          <w:p w14:paraId="2433772F" w14:textId="1B7B4319"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1159"/>
                <w14:textFill>
                  <w14:solidFill>
                    <w14:srgbClr w14:val="000000">
                      <w14:alpha w14:val="100000"/>
                    </w14:srgbClr>
                  </w14:solidFill>
                </w14:textFill>
              </w:rPr>
              <w:t xml:space="preserve">　</w:t>
            </w:r>
            <w:r w:rsidRPr="001549E4">
              <w:rPr>
                <w:color w:val="000000"/>
                <w:w w:val="15"/>
                <w:shd w:val="solid" w:color="000000" w:fill="000000"/>
                <w:fitText w:val="69" w:id="-693991159"/>
                <w14:textFill>
                  <w14:solidFill>
                    <w14:srgbClr w14:val="000000">
                      <w14:alpha w14:val="100000"/>
                    </w14:srgbClr>
                  </w14:solidFill>
                </w14:textFill>
              </w:rPr>
              <w:t>|</w:t>
            </w:r>
            <w:r w:rsidRPr="001549E4">
              <w:rPr>
                <w:rFonts w:hint="eastAsia"/>
                <w:color w:val="000000"/>
                <w:spacing w:val="3"/>
                <w:w w:val="15"/>
                <w:shd w:val="solid" w:color="000000" w:fill="000000"/>
                <w:fitText w:val="69" w:id="-693991159"/>
                <w14:textFill>
                  <w14:solidFill>
                    <w14:srgbClr w14:val="000000">
                      <w14:alpha w14:val="100000"/>
                    </w14:srgbClr>
                  </w14:solidFill>
                </w14:textFill>
              </w:rPr>
              <w:t xml:space="preserve">　</w:t>
            </w:r>
            <w:r w:rsidR="004A5FBE" w:rsidRPr="004A5FBE">
              <w:rPr>
                <w:vertAlign w:val="superscript"/>
              </w:rPr>
              <w:t>3</w:t>
            </w:r>
          </w:p>
        </w:tc>
        <w:tc>
          <w:tcPr>
            <w:tcW w:w="0" w:type="dxa"/>
            <w:noWrap/>
          </w:tcPr>
          <w:p w14:paraId="657009A8" w14:textId="49FD48D3"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58"/>
                <w14:textFill>
                  <w14:solidFill>
                    <w14:srgbClr w14:val="000000">
                      <w14:alpha w14:val="100000"/>
                    </w14:srgbClr>
                  </w14:solidFill>
                </w14:textFill>
              </w:rPr>
              <w:t xml:space="preserve">　</w:t>
            </w:r>
            <w:r w:rsidRPr="001549E4">
              <w:rPr>
                <w:color w:val="000000"/>
                <w:w w:val="18"/>
                <w:shd w:val="solid" w:color="000000" w:fill="000000"/>
                <w:fitText w:val="81" w:id="-693991158"/>
                <w14:textFill>
                  <w14:solidFill>
                    <w14:srgbClr w14:val="000000">
                      <w14:alpha w14:val="100000"/>
                    </w14:srgbClr>
                  </w14:solidFill>
                </w14:textFill>
              </w:rPr>
              <w:t>|</w:t>
            </w:r>
            <w:r w:rsidRPr="001549E4">
              <w:rPr>
                <w:rFonts w:hint="eastAsia"/>
                <w:color w:val="000000"/>
                <w:spacing w:val="1"/>
                <w:w w:val="18"/>
                <w:shd w:val="solid" w:color="000000" w:fill="000000"/>
                <w:fitText w:val="81" w:id="-693991158"/>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162F6C18" w14:textId="7E569EA8"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57"/>
                <w14:textFill>
                  <w14:solidFill>
                    <w14:srgbClr w14:val="000000">
                      <w14:alpha w14:val="100000"/>
                    </w14:srgbClr>
                  </w14:solidFill>
                </w14:textFill>
              </w:rPr>
              <w:t xml:space="preserve">　</w:t>
            </w:r>
            <w:r w:rsidRPr="001549E4">
              <w:rPr>
                <w:color w:val="000000"/>
                <w:w w:val="18"/>
                <w:shd w:val="solid" w:color="000000" w:fill="000000"/>
                <w:fitText w:val="81" w:id="-693991157"/>
                <w14:textFill>
                  <w14:solidFill>
                    <w14:srgbClr w14:val="000000">
                      <w14:alpha w14:val="100000"/>
                    </w14:srgbClr>
                  </w14:solidFill>
                </w14:textFill>
              </w:rPr>
              <w:t>|</w:t>
            </w:r>
            <w:r w:rsidRPr="001549E4">
              <w:rPr>
                <w:rFonts w:hint="eastAsia"/>
                <w:color w:val="000000"/>
                <w:spacing w:val="1"/>
                <w:w w:val="18"/>
                <w:shd w:val="solid" w:color="000000" w:fill="000000"/>
                <w:fitText w:val="81" w:id="-693991157"/>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34528413" w14:textId="23D58D04"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56"/>
                <w14:textFill>
                  <w14:solidFill>
                    <w14:srgbClr w14:val="000000">
                      <w14:alpha w14:val="100000"/>
                    </w14:srgbClr>
                  </w14:solidFill>
                </w14:textFill>
              </w:rPr>
              <w:t xml:space="preserve">　</w:t>
            </w:r>
            <w:r w:rsidRPr="001549E4">
              <w:rPr>
                <w:color w:val="000000"/>
                <w:w w:val="18"/>
                <w:shd w:val="solid" w:color="000000" w:fill="000000"/>
                <w:fitText w:val="81" w:id="-693991156"/>
                <w14:textFill>
                  <w14:solidFill>
                    <w14:srgbClr w14:val="000000">
                      <w14:alpha w14:val="100000"/>
                    </w14:srgbClr>
                  </w14:solidFill>
                </w14:textFill>
              </w:rPr>
              <w:t>|</w:t>
            </w:r>
            <w:r w:rsidRPr="001549E4">
              <w:rPr>
                <w:rFonts w:hint="eastAsia"/>
                <w:color w:val="000000"/>
                <w:spacing w:val="1"/>
                <w:w w:val="18"/>
                <w:shd w:val="solid" w:color="000000" w:fill="000000"/>
                <w:fitText w:val="81" w:id="-693991156"/>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5CA19EF3" w14:textId="681018DB"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1155"/>
                <w14:textFill>
                  <w14:solidFill>
                    <w14:srgbClr w14:val="000000">
                      <w14:alpha w14:val="100000"/>
                    </w14:srgbClr>
                  </w14:solidFill>
                </w14:textFill>
              </w:rPr>
              <w:t xml:space="preserve">　</w:t>
            </w:r>
            <w:r w:rsidRPr="001549E4">
              <w:rPr>
                <w:color w:val="000000"/>
                <w:w w:val="15"/>
                <w:shd w:val="solid" w:color="000000" w:fill="000000"/>
                <w:fitText w:val="57" w:id="-693991155"/>
                <w14:textFill>
                  <w14:solidFill>
                    <w14:srgbClr w14:val="000000">
                      <w14:alpha w14:val="100000"/>
                    </w14:srgbClr>
                  </w14:solidFill>
                </w14:textFill>
              </w:rPr>
              <w:t>|</w:t>
            </w:r>
            <w:r w:rsidRPr="001549E4">
              <w:rPr>
                <w:rFonts w:hint="eastAsia"/>
                <w:color w:val="000000"/>
                <w:spacing w:val="-8"/>
                <w:w w:val="15"/>
                <w:shd w:val="solid" w:color="000000" w:fill="000000"/>
                <w:fitText w:val="57" w:id="-693991155"/>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3F5BA625" w14:textId="571B34BC" w:rsidR="00082D54" w:rsidRPr="00AF6B0A" w:rsidRDefault="001549E4" w:rsidP="00A67446">
            <w:pPr>
              <w:pStyle w:val="Tabletext"/>
              <w:keepNext/>
              <w:keepLines/>
              <w:jc w:val="center"/>
              <w:rPr>
                <w:highlight w:val="darkGray"/>
              </w:rPr>
            </w:pPr>
            <w:r w:rsidRPr="001549E4">
              <w:rPr>
                <w:color w:val="000000"/>
                <w:spacing w:val="202"/>
                <w:shd w:val="solid" w:color="000000" w:fill="000000"/>
                <w:fitText w:val="288" w:id="-693991154"/>
                <w14:textFill>
                  <w14:solidFill>
                    <w14:srgbClr w14:val="000000">
                      <w14:alpha w14:val="100000"/>
                    </w14:srgbClr>
                  </w14:solidFill>
                </w14:textFill>
              </w:rPr>
              <w:t>|</w:t>
            </w:r>
            <w:r w:rsidRPr="001549E4">
              <w:rPr>
                <w:color w:val="000000"/>
                <w:spacing w:val="1"/>
                <w:shd w:val="solid" w:color="000000" w:fill="000000"/>
                <w:fitText w:val="288" w:id="-693991154"/>
                <w14:textFill>
                  <w14:solidFill>
                    <w14:srgbClr w14:val="000000">
                      <w14:alpha w14:val="100000"/>
                    </w14:srgbClr>
                  </w14:solidFill>
                </w14:textFill>
              </w:rPr>
              <w:t>|</w:t>
            </w:r>
            <w:r w:rsidR="00603DD9" w:rsidRPr="00603DD9">
              <w:rPr>
                <w:vertAlign w:val="superscript"/>
              </w:rPr>
              <w:t>4</w:t>
            </w:r>
          </w:p>
        </w:tc>
      </w:tr>
      <w:tr w:rsidR="00082D54" w:rsidRPr="003319BF" w14:paraId="0129C372" w14:textId="77777777" w:rsidTr="00447749">
        <w:trPr>
          <w:trHeight w:val="207"/>
        </w:trPr>
        <w:tc>
          <w:tcPr>
            <w:tcW w:w="0" w:type="dxa"/>
            <w:noWrap/>
            <w:hideMark/>
          </w:tcPr>
          <w:p w14:paraId="6F335839" w14:textId="77777777" w:rsidR="00082D54" w:rsidRPr="003319BF" w:rsidRDefault="00082D54" w:rsidP="00A67446">
            <w:pPr>
              <w:pStyle w:val="Tabletext"/>
              <w:keepNext/>
              <w:keepLines/>
            </w:pPr>
            <w:r w:rsidRPr="003319BF">
              <w:t>Other medicines</w:t>
            </w:r>
          </w:p>
        </w:tc>
        <w:tc>
          <w:tcPr>
            <w:tcW w:w="0" w:type="dxa"/>
            <w:noWrap/>
          </w:tcPr>
          <w:p w14:paraId="1FCC6371" w14:textId="38405D24"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1152"/>
                <w14:textFill>
                  <w14:solidFill>
                    <w14:srgbClr w14:val="000000">
                      <w14:alpha w14:val="100000"/>
                    </w14:srgbClr>
                  </w14:solidFill>
                </w14:textFill>
              </w:rPr>
              <w:t xml:space="preserve">　</w:t>
            </w:r>
            <w:r w:rsidRPr="001549E4">
              <w:rPr>
                <w:color w:val="000000"/>
                <w:w w:val="15"/>
                <w:shd w:val="solid" w:color="000000" w:fill="000000"/>
                <w:fitText w:val="69" w:id="-693991152"/>
                <w14:textFill>
                  <w14:solidFill>
                    <w14:srgbClr w14:val="000000">
                      <w14:alpha w14:val="100000"/>
                    </w14:srgbClr>
                  </w14:solidFill>
                </w14:textFill>
              </w:rPr>
              <w:t>|</w:t>
            </w:r>
            <w:r w:rsidRPr="001549E4">
              <w:rPr>
                <w:rFonts w:hint="eastAsia"/>
                <w:color w:val="000000"/>
                <w:spacing w:val="3"/>
                <w:w w:val="15"/>
                <w:shd w:val="solid" w:color="000000" w:fill="000000"/>
                <w:fitText w:val="69" w:id="-693991152"/>
                <w14:textFill>
                  <w14:solidFill>
                    <w14:srgbClr w14:val="000000">
                      <w14:alpha w14:val="100000"/>
                    </w14:srgbClr>
                  </w14:solidFill>
                </w14:textFill>
              </w:rPr>
              <w:t xml:space="preserve">　</w:t>
            </w:r>
            <w:r w:rsidR="00AC54B3" w:rsidRPr="00AC54B3">
              <w:rPr>
                <w:vertAlign w:val="superscript"/>
              </w:rPr>
              <w:t>5</w:t>
            </w:r>
          </w:p>
        </w:tc>
        <w:tc>
          <w:tcPr>
            <w:tcW w:w="0" w:type="dxa"/>
            <w:noWrap/>
          </w:tcPr>
          <w:p w14:paraId="7F0FACB4" w14:textId="5FCEF271"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68"/>
                <w14:textFill>
                  <w14:solidFill>
                    <w14:srgbClr w14:val="000000">
                      <w14:alpha w14:val="100000"/>
                    </w14:srgbClr>
                  </w14:solidFill>
                </w14:textFill>
              </w:rPr>
              <w:t xml:space="preserve">　</w:t>
            </w:r>
            <w:r w:rsidRPr="001549E4">
              <w:rPr>
                <w:color w:val="000000"/>
                <w:w w:val="18"/>
                <w:shd w:val="solid" w:color="000000" w:fill="000000"/>
                <w:fitText w:val="81" w:id="-693991168"/>
                <w14:textFill>
                  <w14:solidFill>
                    <w14:srgbClr w14:val="000000">
                      <w14:alpha w14:val="100000"/>
                    </w14:srgbClr>
                  </w14:solidFill>
                </w14:textFill>
              </w:rPr>
              <w:t>|</w:t>
            </w:r>
            <w:r w:rsidRPr="001549E4">
              <w:rPr>
                <w:rFonts w:hint="eastAsia"/>
                <w:color w:val="000000"/>
                <w:spacing w:val="1"/>
                <w:w w:val="18"/>
                <w:shd w:val="solid" w:color="000000" w:fill="000000"/>
                <w:fitText w:val="81" w:id="-693991168"/>
                <w14:textFill>
                  <w14:solidFill>
                    <w14:srgbClr w14:val="000000">
                      <w14:alpha w14:val="100000"/>
                    </w14:srgbClr>
                  </w14:solidFill>
                </w14:textFill>
              </w:rPr>
              <w:t xml:space="preserve">　</w:t>
            </w:r>
            <w:r w:rsidR="00AC54B3" w:rsidRPr="00AC54B3">
              <w:rPr>
                <w:vertAlign w:val="superscript"/>
              </w:rPr>
              <w:t>5</w:t>
            </w:r>
          </w:p>
        </w:tc>
        <w:tc>
          <w:tcPr>
            <w:tcW w:w="0" w:type="dxa"/>
            <w:noWrap/>
          </w:tcPr>
          <w:p w14:paraId="1761809C" w14:textId="20AAEB06"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1167"/>
                <w14:textFill>
                  <w14:solidFill>
                    <w14:srgbClr w14:val="000000">
                      <w14:alpha w14:val="100000"/>
                    </w14:srgbClr>
                  </w14:solidFill>
                </w14:textFill>
              </w:rPr>
              <w:t xml:space="preserve">　</w:t>
            </w:r>
            <w:r w:rsidRPr="001549E4">
              <w:rPr>
                <w:color w:val="000000"/>
                <w:w w:val="18"/>
                <w:shd w:val="solid" w:color="000000" w:fill="000000"/>
                <w:fitText w:val="81" w:id="-693991167"/>
                <w14:textFill>
                  <w14:solidFill>
                    <w14:srgbClr w14:val="000000">
                      <w14:alpha w14:val="100000"/>
                    </w14:srgbClr>
                  </w14:solidFill>
                </w14:textFill>
              </w:rPr>
              <w:t>|</w:t>
            </w:r>
            <w:r w:rsidRPr="001549E4">
              <w:rPr>
                <w:rFonts w:hint="eastAsia"/>
                <w:color w:val="000000"/>
                <w:spacing w:val="1"/>
                <w:w w:val="18"/>
                <w:shd w:val="solid" w:color="000000" w:fill="000000"/>
                <w:fitText w:val="81" w:id="-693991167"/>
                <w14:textFill>
                  <w14:solidFill>
                    <w14:srgbClr w14:val="000000">
                      <w14:alpha w14:val="100000"/>
                    </w14:srgbClr>
                  </w14:solidFill>
                </w14:textFill>
              </w:rPr>
              <w:t xml:space="preserve">　</w:t>
            </w:r>
            <w:r w:rsidR="00AC54B3" w:rsidRPr="00AC54B3">
              <w:rPr>
                <w:vertAlign w:val="superscript"/>
              </w:rPr>
              <w:t>5</w:t>
            </w:r>
          </w:p>
        </w:tc>
        <w:tc>
          <w:tcPr>
            <w:tcW w:w="0" w:type="dxa"/>
            <w:noWrap/>
          </w:tcPr>
          <w:p w14:paraId="128FA708" w14:textId="57FA9F7F"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12"/>
                <w14:textFill>
                  <w14:solidFill>
                    <w14:srgbClr w14:val="000000">
                      <w14:alpha w14:val="100000"/>
                    </w14:srgbClr>
                  </w14:solidFill>
                </w14:textFill>
              </w:rPr>
              <w:t xml:space="preserve">　</w:t>
            </w:r>
            <w:r w:rsidRPr="001549E4">
              <w:rPr>
                <w:color w:val="000000"/>
                <w:w w:val="18"/>
                <w:shd w:val="solid" w:color="000000" w:fill="000000"/>
                <w:fitText w:val="81" w:id="-693990912"/>
                <w14:textFill>
                  <w14:solidFill>
                    <w14:srgbClr w14:val="000000">
                      <w14:alpha w14:val="100000"/>
                    </w14:srgbClr>
                  </w14:solidFill>
                </w14:textFill>
              </w:rPr>
              <w:t>|</w:t>
            </w:r>
            <w:r w:rsidRPr="001549E4">
              <w:rPr>
                <w:rFonts w:hint="eastAsia"/>
                <w:color w:val="000000"/>
                <w:spacing w:val="1"/>
                <w:w w:val="18"/>
                <w:shd w:val="solid" w:color="000000" w:fill="000000"/>
                <w:fitText w:val="81" w:id="-693990912"/>
                <w14:textFill>
                  <w14:solidFill>
                    <w14:srgbClr w14:val="000000">
                      <w14:alpha w14:val="100000"/>
                    </w14:srgbClr>
                  </w14:solidFill>
                </w14:textFill>
              </w:rPr>
              <w:t xml:space="preserve">　</w:t>
            </w:r>
            <w:r w:rsidR="00AC54B3" w:rsidRPr="00AC54B3">
              <w:rPr>
                <w:vertAlign w:val="superscript"/>
              </w:rPr>
              <w:t>5</w:t>
            </w:r>
          </w:p>
        </w:tc>
        <w:tc>
          <w:tcPr>
            <w:tcW w:w="0" w:type="dxa"/>
            <w:noWrap/>
          </w:tcPr>
          <w:p w14:paraId="2C07A6E3" w14:textId="699588CE"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911"/>
                <w14:textFill>
                  <w14:solidFill>
                    <w14:srgbClr w14:val="000000">
                      <w14:alpha w14:val="100000"/>
                    </w14:srgbClr>
                  </w14:solidFill>
                </w14:textFill>
              </w:rPr>
              <w:t xml:space="preserve">　</w:t>
            </w:r>
            <w:r w:rsidRPr="001549E4">
              <w:rPr>
                <w:color w:val="000000"/>
                <w:w w:val="15"/>
                <w:shd w:val="solid" w:color="000000" w:fill="000000"/>
                <w:fitText w:val="57" w:id="-693990911"/>
                <w14:textFill>
                  <w14:solidFill>
                    <w14:srgbClr w14:val="000000">
                      <w14:alpha w14:val="100000"/>
                    </w14:srgbClr>
                  </w14:solidFill>
                </w14:textFill>
              </w:rPr>
              <w:t>|</w:t>
            </w:r>
            <w:r w:rsidRPr="001549E4">
              <w:rPr>
                <w:rFonts w:hint="eastAsia"/>
                <w:color w:val="000000"/>
                <w:spacing w:val="-8"/>
                <w:w w:val="15"/>
                <w:shd w:val="solid" w:color="000000" w:fill="000000"/>
                <w:fitText w:val="57" w:id="-693990911"/>
                <w14:textFill>
                  <w14:solidFill>
                    <w14:srgbClr w14:val="000000">
                      <w14:alpha w14:val="100000"/>
                    </w14:srgbClr>
                  </w14:solidFill>
                </w14:textFill>
              </w:rPr>
              <w:t xml:space="preserve">　</w:t>
            </w:r>
            <w:r w:rsidR="00AC54B3" w:rsidRPr="00AC54B3">
              <w:rPr>
                <w:vertAlign w:val="superscript"/>
              </w:rPr>
              <w:t>5</w:t>
            </w:r>
          </w:p>
        </w:tc>
        <w:tc>
          <w:tcPr>
            <w:tcW w:w="0" w:type="dxa"/>
            <w:noWrap/>
          </w:tcPr>
          <w:p w14:paraId="3C9A2928" w14:textId="32F347D6"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10"/>
                <w14:textFill>
                  <w14:solidFill>
                    <w14:srgbClr w14:val="000000">
                      <w14:alpha w14:val="100000"/>
                    </w14:srgbClr>
                  </w14:solidFill>
                </w14:textFill>
              </w:rPr>
              <w:t xml:space="preserve">　</w:t>
            </w:r>
            <w:r w:rsidRPr="001549E4">
              <w:rPr>
                <w:color w:val="000000"/>
                <w:w w:val="15"/>
                <w:shd w:val="solid" w:color="000000" w:fill="000000"/>
                <w:fitText w:val="69" w:id="-693990910"/>
                <w14:textFill>
                  <w14:solidFill>
                    <w14:srgbClr w14:val="000000">
                      <w14:alpha w14:val="100000"/>
                    </w14:srgbClr>
                  </w14:solidFill>
                </w14:textFill>
              </w:rPr>
              <w:t>|</w:t>
            </w:r>
            <w:r w:rsidRPr="001549E4">
              <w:rPr>
                <w:rFonts w:hint="eastAsia"/>
                <w:color w:val="000000"/>
                <w:spacing w:val="3"/>
                <w:w w:val="15"/>
                <w:shd w:val="solid" w:color="000000" w:fill="000000"/>
                <w:fitText w:val="69" w:id="-693990910"/>
                <w14:textFill>
                  <w14:solidFill>
                    <w14:srgbClr w14:val="000000">
                      <w14:alpha w14:val="100000"/>
                    </w14:srgbClr>
                  </w14:solidFill>
                </w14:textFill>
              </w:rPr>
              <w:t xml:space="preserve">　</w:t>
            </w:r>
            <w:r w:rsidR="00AC54B3" w:rsidRPr="00AC54B3">
              <w:rPr>
                <w:vertAlign w:val="superscript"/>
              </w:rPr>
              <w:t>5</w:t>
            </w:r>
          </w:p>
        </w:tc>
      </w:tr>
      <w:tr w:rsidR="00082D54" w:rsidRPr="003319BF" w14:paraId="329CB77B" w14:textId="77777777" w:rsidTr="00447749">
        <w:trPr>
          <w:trHeight w:val="207"/>
        </w:trPr>
        <w:tc>
          <w:tcPr>
            <w:tcW w:w="0" w:type="dxa"/>
            <w:noWrap/>
            <w:hideMark/>
          </w:tcPr>
          <w:p w14:paraId="3A3B8CB5" w14:textId="77777777" w:rsidR="00082D54" w:rsidRPr="003319BF" w:rsidRDefault="00082D54" w:rsidP="00A67446">
            <w:pPr>
              <w:pStyle w:val="Tabletext"/>
              <w:keepNext/>
              <w:keepLines/>
            </w:pPr>
            <w:r w:rsidRPr="003319BF">
              <w:t>Net impact</w:t>
            </w:r>
          </w:p>
        </w:tc>
        <w:tc>
          <w:tcPr>
            <w:tcW w:w="0" w:type="dxa"/>
            <w:noWrap/>
          </w:tcPr>
          <w:p w14:paraId="1991E09C" w14:textId="6CFB3807"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9"/>
                <w14:textFill>
                  <w14:solidFill>
                    <w14:srgbClr w14:val="000000">
                      <w14:alpha w14:val="100000"/>
                    </w14:srgbClr>
                  </w14:solidFill>
                </w14:textFill>
              </w:rPr>
              <w:t xml:space="preserve">　</w:t>
            </w:r>
            <w:r w:rsidRPr="001549E4">
              <w:rPr>
                <w:color w:val="000000"/>
                <w:w w:val="15"/>
                <w:shd w:val="solid" w:color="000000" w:fill="000000"/>
                <w:fitText w:val="69" w:id="-693990909"/>
                <w14:textFill>
                  <w14:solidFill>
                    <w14:srgbClr w14:val="000000">
                      <w14:alpha w14:val="100000"/>
                    </w14:srgbClr>
                  </w14:solidFill>
                </w14:textFill>
              </w:rPr>
              <w:t>|</w:t>
            </w:r>
            <w:r w:rsidRPr="001549E4">
              <w:rPr>
                <w:rFonts w:hint="eastAsia"/>
                <w:color w:val="000000"/>
                <w:spacing w:val="3"/>
                <w:w w:val="15"/>
                <w:shd w:val="solid" w:color="000000" w:fill="000000"/>
                <w:fitText w:val="69" w:id="-693990909"/>
                <w14:textFill>
                  <w14:solidFill>
                    <w14:srgbClr w14:val="000000">
                      <w14:alpha w14:val="100000"/>
                    </w14:srgbClr>
                  </w14:solidFill>
                </w14:textFill>
              </w:rPr>
              <w:t xml:space="preserve">　</w:t>
            </w:r>
            <w:r w:rsidR="004A5FBE" w:rsidRPr="004A5FBE">
              <w:rPr>
                <w:vertAlign w:val="superscript"/>
              </w:rPr>
              <w:t>3</w:t>
            </w:r>
          </w:p>
        </w:tc>
        <w:tc>
          <w:tcPr>
            <w:tcW w:w="0" w:type="dxa"/>
            <w:noWrap/>
          </w:tcPr>
          <w:p w14:paraId="0C629259" w14:textId="1B3F6523"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8"/>
                <w14:textFill>
                  <w14:solidFill>
                    <w14:srgbClr w14:val="000000">
                      <w14:alpha w14:val="100000"/>
                    </w14:srgbClr>
                  </w14:solidFill>
                </w14:textFill>
              </w:rPr>
              <w:t xml:space="preserve">　</w:t>
            </w:r>
            <w:r w:rsidRPr="001549E4">
              <w:rPr>
                <w:color w:val="000000"/>
                <w:w w:val="18"/>
                <w:shd w:val="solid" w:color="000000" w:fill="000000"/>
                <w:fitText w:val="81" w:id="-693990908"/>
                <w14:textFill>
                  <w14:solidFill>
                    <w14:srgbClr w14:val="000000">
                      <w14:alpha w14:val="100000"/>
                    </w14:srgbClr>
                  </w14:solidFill>
                </w14:textFill>
              </w:rPr>
              <w:t>|</w:t>
            </w:r>
            <w:r w:rsidRPr="001549E4">
              <w:rPr>
                <w:rFonts w:hint="eastAsia"/>
                <w:color w:val="000000"/>
                <w:spacing w:val="1"/>
                <w:w w:val="18"/>
                <w:shd w:val="solid" w:color="000000" w:fill="000000"/>
                <w:fitText w:val="81" w:id="-693990908"/>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3C95135C" w14:textId="6BCCDA82"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7"/>
                <w14:textFill>
                  <w14:solidFill>
                    <w14:srgbClr w14:val="000000">
                      <w14:alpha w14:val="100000"/>
                    </w14:srgbClr>
                  </w14:solidFill>
                </w14:textFill>
              </w:rPr>
              <w:t xml:space="preserve">　</w:t>
            </w:r>
            <w:r w:rsidRPr="001549E4">
              <w:rPr>
                <w:color w:val="000000"/>
                <w:w w:val="18"/>
                <w:shd w:val="solid" w:color="000000" w:fill="000000"/>
                <w:fitText w:val="81" w:id="-693990907"/>
                <w14:textFill>
                  <w14:solidFill>
                    <w14:srgbClr w14:val="000000">
                      <w14:alpha w14:val="100000"/>
                    </w14:srgbClr>
                  </w14:solidFill>
                </w14:textFill>
              </w:rPr>
              <w:t>|</w:t>
            </w:r>
            <w:r w:rsidRPr="001549E4">
              <w:rPr>
                <w:rFonts w:hint="eastAsia"/>
                <w:color w:val="000000"/>
                <w:spacing w:val="1"/>
                <w:w w:val="18"/>
                <w:shd w:val="solid" w:color="000000" w:fill="000000"/>
                <w:fitText w:val="81" w:id="-693990907"/>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3E147EA6" w14:textId="29E85D44"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6"/>
                <w14:textFill>
                  <w14:solidFill>
                    <w14:srgbClr w14:val="000000">
                      <w14:alpha w14:val="100000"/>
                    </w14:srgbClr>
                  </w14:solidFill>
                </w14:textFill>
              </w:rPr>
              <w:t xml:space="preserve">　</w:t>
            </w:r>
            <w:r w:rsidRPr="001549E4">
              <w:rPr>
                <w:color w:val="000000"/>
                <w:w w:val="18"/>
                <w:shd w:val="solid" w:color="000000" w:fill="000000"/>
                <w:fitText w:val="81" w:id="-693990906"/>
                <w14:textFill>
                  <w14:solidFill>
                    <w14:srgbClr w14:val="000000">
                      <w14:alpha w14:val="100000"/>
                    </w14:srgbClr>
                  </w14:solidFill>
                </w14:textFill>
              </w:rPr>
              <w:t>|</w:t>
            </w:r>
            <w:r w:rsidRPr="001549E4">
              <w:rPr>
                <w:rFonts w:hint="eastAsia"/>
                <w:color w:val="000000"/>
                <w:spacing w:val="1"/>
                <w:w w:val="18"/>
                <w:shd w:val="solid" w:color="000000" w:fill="000000"/>
                <w:fitText w:val="81" w:id="-693990906"/>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334B720F" w14:textId="60D9899A"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905"/>
                <w14:textFill>
                  <w14:solidFill>
                    <w14:srgbClr w14:val="000000">
                      <w14:alpha w14:val="100000"/>
                    </w14:srgbClr>
                  </w14:solidFill>
                </w14:textFill>
              </w:rPr>
              <w:t xml:space="preserve">　</w:t>
            </w:r>
            <w:r w:rsidRPr="001549E4">
              <w:rPr>
                <w:color w:val="000000"/>
                <w:w w:val="15"/>
                <w:shd w:val="solid" w:color="000000" w:fill="000000"/>
                <w:fitText w:val="57" w:id="-693990905"/>
                <w14:textFill>
                  <w14:solidFill>
                    <w14:srgbClr w14:val="000000">
                      <w14:alpha w14:val="100000"/>
                    </w14:srgbClr>
                  </w14:solidFill>
                </w14:textFill>
              </w:rPr>
              <w:t>|</w:t>
            </w:r>
            <w:r w:rsidRPr="001549E4">
              <w:rPr>
                <w:rFonts w:hint="eastAsia"/>
                <w:color w:val="000000"/>
                <w:spacing w:val="-8"/>
                <w:w w:val="15"/>
                <w:shd w:val="solid" w:color="000000" w:fill="000000"/>
                <w:fitText w:val="57" w:id="-693990905"/>
                <w14:textFill>
                  <w14:solidFill>
                    <w14:srgbClr w14:val="000000">
                      <w14:alpha w14:val="100000"/>
                    </w14:srgbClr>
                  </w14:solidFill>
                </w14:textFill>
              </w:rPr>
              <w:t xml:space="preserve">　</w:t>
            </w:r>
            <w:r w:rsidR="00603DD9" w:rsidRPr="00603DD9">
              <w:rPr>
                <w:vertAlign w:val="superscript"/>
              </w:rPr>
              <w:t>4</w:t>
            </w:r>
          </w:p>
        </w:tc>
        <w:tc>
          <w:tcPr>
            <w:tcW w:w="0" w:type="dxa"/>
            <w:noWrap/>
          </w:tcPr>
          <w:p w14:paraId="7063756D" w14:textId="61BD7021"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4"/>
                <w14:textFill>
                  <w14:solidFill>
                    <w14:srgbClr w14:val="000000">
                      <w14:alpha w14:val="100000"/>
                    </w14:srgbClr>
                  </w14:solidFill>
                </w14:textFill>
              </w:rPr>
              <w:t xml:space="preserve">　</w:t>
            </w:r>
            <w:r w:rsidRPr="001549E4">
              <w:rPr>
                <w:color w:val="000000"/>
                <w:w w:val="15"/>
                <w:shd w:val="solid" w:color="000000" w:fill="000000"/>
                <w:fitText w:val="69" w:id="-693990904"/>
                <w14:textFill>
                  <w14:solidFill>
                    <w14:srgbClr w14:val="000000">
                      <w14:alpha w14:val="100000"/>
                    </w14:srgbClr>
                  </w14:solidFill>
                </w14:textFill>
              </w:rPr>
              <w:t>|</w:t>
            </w:r>
            <w:r w:rsidRPr="001549E4">
              <w:rPr>
                <w:rFonts w:hint="eastAsia"/>
                <w:color w:val="000000"/>
                <w:spacing w:val="3"/>
                <w:w w:val="15"/>
                <w:shd w:val="solid" w:color="000000" w:fill="000000"/>
                <w:fitText w:val="69" w:id="-693990904"/>
                <w14:textFill>
                  <w14:solidFill>
                    <w14:srgbClr w14:val="000000">
                      <w14:alpha w14:val="100000"/>
                    </w14:srgbClr>
                  </w14:solidFill>
                </w14:textFill>
              </w:rPr>
              <w:t xml:space="preserve">　</w:t>
            </w:r>
            <w:r w:rsidR="00603DD9" w:rsidRPr="00603DD9">
              <w:rPr>
                <w:vertAlign w:val="superscript"/>
              </w:rPr>
              <w:t>4</w:t>
            </w:r>
          </w:p>
        </w:tc>
      </w:tr>
      <w:tr w:rsidR="00082D54" w:rsidRPr="003319BF" w14:paraId="2DDEE4E3" w14:textId="77777777" w:rsidTr="00082D54">
        <w:trPr>
          <w:trHeight w:val="207"/>
        </w:trPr>
        <w:tc>
          <w:tcPr>
            <w:tcW w:w="1691" w:type="dxa"/>
            <w:noWrap/>
          </w:tcPr>
          <w:p w14:paraId="5AB05964" w14:textId="77777777" w:rsidR="00082D54" w:rsidRPr="003319BF" w:rsidRDefault="00082D54" w:rsidP="00A67446">
            <w:pPr>
              <w:pStyle w:val="Tabletext"/>
              <w:keepNext/>
              <w:keepLines/>
            </w:pPr>
            <w:r w:rsidRPr="00305D84">
              <w:t xml:space="preserve">Net impact (model corrected) </w:t>
            </w:r>
            <w:r w:rsidRPr="00305D84">
              <w:rPr>
                <w:vertAlign w:val="superscript"/>
              </w:rPr>
              <w:t>a</w:t>
            </w:r>
          </w:p>
        </w:tc>
        <w:tc>
          <w:tcPr>
            <w:tcW w:w="1220" w:type="dxa"/>
            <w:noWrap/>
          </w:tcPr>
          <w:p w14:paraId="3A624518" w14:textId="45B458C5"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3"/>
                <w14:textFill>
                  <w14:solidFill>
                    <w14:srgbClr w14:val="000000">
                      <w14:alpha w14:val="100000"/>
                    </w14:srgbClr>
                  </w14:solidFill>
                </w14:textFill>
              </w:rPr>
              <w:t xml:space="preserve">　</w:t>
            </w:r>
            <w:r w:rsidRPr="001549E4">
              <w:rPr>
                <w:color w:val="000000"/>
                <w:w w:val="15"/>
                <w:shd w:val="solid" w:color="000000" w:fill="000000"/>
                <w:fitText w:val="69" w:id="-693990903"/>
                <w14:textFill>
                  <w14:solidFill>
                    <w14:srgbClr w14:val="000000">
                      <w14:alpha w14:val="100000"/>
                    </w14:srgbClr>
                  </w14:solidFill>
                </w14:textFill>
              </w:rPr>
              <w:t>|</w:t>
            </w:r>
            <w:r w:rsidRPr="001549E4">
              <w:rPr>
                <w:rFonts w:hint="eastAsia"/>
                <w:color w:val="000000"/>
                <w:spacing w:val="3"/>
                <w:w w:val="15"/>
                <w:shd w:val="solid" w:color="000000" w:fill="000000"/>
                <w:fitText w:val="69" w:id="-693990903"/>
                <w14:textFill>
                  <w14:solidFill>
                    <w14:srgbClr w14:val="000000">
                      <w14:alpha w14:val="100000"/>
                    </w14:srgbClr>
                  </w14:solidFill>
                </w14:textFill>
              </w:rPr>
              <w:t xml:space="preserve">　</w:t>
            </w:r>
            <w:r w:rsidR="004A5FBE" w:rsidRPr="004A5FBE">
              <w:rPr>
                <w:vertAlign w:val="superscript"/>
              </w:rPr>
              <w:t>3</w:t>
            </w:r>
          </w:p>
        </w:tc>
        <w:tc>
          <w:tcPr>
            <w:tcW w:w="1211" w:type="dxa"/>
            <w:noWrap/>
          </w:tcPr>
          <w:p w14:paraId="6701758B" w14:textId="336C618E"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2"/>
                <w14:textFill>
                  <w14:solidFill>
                    <w14:srgbClr w14:val="000000">
                      <w14:alpha w14:val="100000"/>
                    </w14:srgbClr>
                  </w14:solidFill>
                </w14:textFill>
              </w:rPr>
              <w:t xml:space="preserve">　</w:t>
            </w:r>
            <w:r w:rsidRPr="001549E4">
              <w:rPr>
                <w:color w:val="000000"/>
                <w:w w:val="18"/>
                <w:shd w:val="solid" w:color="000000" w:fill="000000"/>
                <w:fitText w:val="81" w:id="-693990902"/>
                <w14:textFill>
                  <w14:solidFill>
                    <w14:srgbClr w14:val="000000">
                      <w14:alpha w14:val="100000"/>
                    </w14:srgbClr>
                  </w14:solidFill>
                </w14:textFill>
              </w:rPr>
              <w:t>|</w:t>
            </w:r>
            <w:r w:rsidRPr="001549E4">
              <w:rPr>
                <w:rFonts w:hint="eastAsia"/>
                <w:color w:val="000000"/>
                <w:spacing w:val="1"/>
                <w:w w:val="18"/>
                <w:shd w:val="solid" w:color="000000" w:fill="000000"/>
                <w:fitText w:val="81" w:id="-693990902"/>
                <w14:textFill>
                  <w14:solidFill>
                    <w14:srgbClr w14:val="000000">
                      <w14:alpha w14:val="100000"/>
                    </w14:srgbClr>
                  </w14:solidFill>
                </w14:textFill>
              </w:rPr>
              <w:t xml:space="preserve">　</w:t>
            </w:r>
            <w:r w:rsidR="00603DD9" w:rsidRPr="00603DD9">
              <w:rPr>
                <w:vertAlign w:val="superscript"/>
              </w:rPr>
              <w:t>4</w:t>
            </w:r>
          </w:p>
        </w:tc>
        <w:tc>
          <w:tcPr>
            <w:tcW w:w="1210" w:type="dxa"/>
            <w:noWrap/>
          </w:tcPr>
          <w:p w14:paraId="3E074ECE" w14:textId="5650053D"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1"/>
                <w14:textFill>
                  <w14:solidFill>
                    <w14:srgbClr w14:val="000000">
                      <w14:alpha w14:val="100000"/>
                    </w14:srgbClr>
                  </w14:solidFill>
                </w14:textFill>
              </w:rPr>
              <w:t xml:space="preserve">　</w:t>
            </w:r>
            <w:r w:rsidRPr="001549E4">
              <w:rPr>
                <w:color w:val="000000"/>
                <w:w w:val="18"/>
                <w:shd w:val="solid" w:color="000000" w:fill="000000"/>
                <w:fitText w:val="81" w:id="-693990901"/>
                <w14:textFill>
                  <w14:solidFill>
                    <w14:srgbClr w14:val="000000">
                      <w14:alpha w14:val="100000"/>
                    </w14:srgbClr>
                  </w14:solidFill>
                </w14:textFill>
              </w:rPr>
              <w:t>|</w:t>
            </w:r>
            <w:r w:rsidRPr="001549E4">
              <w:rPr>
                <w:rFonts w:hint="eastAsia"/>
                <w:color w:val="000000"/>
                <w:spacing w:val="1"/>
                <w:w w:val="18"/>
                <w:shd w:val="solid" w:color="000000" w:fill="000000"/>
                <w:fitText w:val="81" w:id="-693990901"/>
                <w14:textFill>
                  <w14:solidFill>
                    <w14:srgbClr w14:val="000000">
                      <w14:alpha w14:val="100000"/>
                    </w14:srgbClr>
                  </w14:solidFill>
                </w14:textFill>
              </w:rPr>
              <w:t xml:space="preserve">　</w:t>
            </w:r>
            <w:r w:rsidR="00603DD9" w:rsidRPr="00603DD9">
              <w:rPr>
                <w:vertAlign w:val="superscript"/>
              </w:rPr>
              <w:t>4</w:t>
            </w:r>
          </w:p>
        </w:tc>
        <w:tc>
          <w:tcPr>
            <w:tcW w:w="1211" w:type="dxa"/>
            <w:noWrap/>
          </w:tcPr>
          <w:p w14:paraId="39671199" w14:textId="5A4F6D5F"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0"/>
                <w14:textFill>
                  <w14:solidFill>
                    <w14:srgbClr w14:val="000000">
                      <w14:alpha w14:val="100000"/>
                    </w14:srgbClr>
                  </w14:solidFill>
                </w14:textFill>
              </w:rPr>
              <w:t xml:space="preserve">　</w:t>
            </w:r>
            <w:r w:rsidRPr="001549E4">
              <w:rPr>
                <w:color w:val="000000"/>
                <w:w w:val="18"/>
                <w:shd w:val="solid" w:color="000000" w:fill="000000"/>
                <w:fitText w:val="81" w:id="-693990900"/>
                <w14:textFill>
                  <w14:solidFill>
                    <w14:srgbClr w14:val="000000">
                      <w14:alpha w14:val="100000"/>
                    </w14:srgbClr>
                  </w14:solidFill>
                </w14:textFill>
              </w:rPr>
              <w:t>|</w:t>
            </w:r>
            <w:r w:rsidRPr="001549E4">
              <w:rPr>
                <w:rFonts w:hint="eastAsia"/>
                <w:color w:val="000000"/>
                <w:spacing w:val="1"/>
                <w:w w:val="18"/>
                <w:shd w:val="solid" w:color="000000" w:fill="000000"/>
                <w:fitText w:val="81" w:id="-693990900"/>
                <w14:textFill>
                  <w14:solidFill>
                    <w14:srgbClr w14:val="000000">
                      <w14:alpha w14:val="100000"/>
                    </w14:srgbClr>
                  </w14:solidFill>
                </w14:textFill>
              </w:rPr>
              <w:t xml:space="preserve">　</w:t>
            </w:r>
            <w:r w:rsidR="00603DD9" w:rsidRPr="00603DD9">
              <w:rPr>
                <w:vertAlign w:val="superscript"/>
              </w:rPr>
              <w:t>4</w:t>
            </w:r>
          </w:p>
        </w:tc>
        <w:tc>
          <w:tcPr>
            <w:tcW w:w="1252" w:type="dxa"/>
            <w:noWrap/>
          </w:tcPr>
          <w:p w14:paraId="421AEF7A" w14:textId="550F33F1"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899"/>
                <w14:textFill>
                  <w14:solidFill>
                    <w14:srgbClr w14:val="000000">
                      <w14:alpha w14:val="100000"/>
                    </w14:srgbClr>
                  </w14:solidFill>
                </w14:textFill>
              </w:rPr>
              <w:t xml:space="preserve">　</w:t>
            </w:r>
            <w:r w:rsidRPr="001549E4">
              <w:rPr>
                <w:color w:val="000000"/>
                <w:w w:val="15"/>
                <w:shd w:val="solid" w:color="000000" w:fill="000000"/>
                <w:fitText w:val="57" w:id="-693990899"/>
                <w14:textFill>
                  <w14:solidFill>
                    <w14:srgbClr w14:val="000000">
                      <w14:alpha w14:val="100000"/>
                    </w14:srgbClr>
                  </w14:solidFill>
                </w14:textFill>
              </w:rPr>
              <w:t>|</w:t>
            </w:r>
            <w:r w:rsidRPr="001549E4">
              <w:rPr>
                <w:rFonts w:hint="eastAsia"/>
                <w:color w:val="000000"/>
                <w:spacing w:val="-8"/>
                <w:w w:val="15"/>
                <w:shd w:val="solid" w:color="000000" w:fill="000000"/>
                <w:fitText w:val="57" w:id="-693990899"/>
                <w14:textFill>
                  <w14:solidFill>
                    <w14:srgbClr w14:val="000000">
                      <w14:alpha w14:val="100000"/>
                    </w14:srgbClr>
                  </w14:solidFill>
                </w14:textFill>
              </w:rPr>
              <w:t xml:space="preserve">　</w:t>
            </w:r>
            <w:r w:rsidR="00603DD9" w:rsidRPr="00603DD9">
              <w:rPr>
                <w:vertAlign w:val="superscript"/>
              </w:rPr>
              <w:t>4</w:t>
            </w:r>
          </w:p>
        </w:tc>
        <w:tc>
          <w:tcPr>
            <w:tcW w:w="1222" w:type="dxa"/>
            <w:noWrap/>
          </w:tcPr>
          <w:p w14:paraId="1E61ED72" w14:textId="0C5685C5"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898"/>
                <w14:textFill>
                  <w14:solidFill>
                    <w14:srgbClr w14:val="000000">
                      <w14:alpha w14:val="100000"/>
                    </w14:srgbClr>
                  </w14:solidFill>
                </w14:textFill>
              </w:rPr>
              <w:t xml:space="preserve">　</w:t>
            </w:r>
            <w:r w:rsidRPr="001549E4">
              <w:rPr>
                <w:color w:val="000000"/>
                <w:w w:val="15"/>
                <w:shd w:val="solid" w:color="000000" w:fill="000000"/>
                <w:fitText w:val="69" w:id="-693990898"/>
                <w14:textFill>
                  <w14:solidFill>
                    <w14:srgbClr w14:val="000000">
                      <w14:alpha w14:val="100000"/>
                    </w14:srgbClr>
                  </w14:solidFill>
                </w14:textFill>
              </w:rPr>
              <w:t>|</w:t>
            </w:r>
            <w:r w:rsidRPr="001549E4">
              <w:rPr>
                <w:rFonts w:hint="eastAsia"/>
                <w:color w:val="000000"/>
                <w:spacing w:val="3"/>
                <w:w w:val="15"/>
                <w:shd w:val="solid" w:color="000000" w:fill="000000"/>
                <w:fitText w:val="69" w:id="-693990898"/>
                <w14:textFill>
                  <w14:solidFill>
                    <w14:srgbClr w14:val="000000">
                      <w14:alpha w14:val="100000"/>
                    </w14:srgbClr>
                  </w14:solidFill>
                </w14:textFill>
              </w:rPr>
              <w:t xml:space="preserve">　</w:t>
            </w:r>
            <w:r w:rsidR="00603DD9" w:rsidRPr="00603DD9">
              <w:rPr>
                <w:vertAlign w:val="superscript"/>
              </w:rPr>
              <w:t>4</w:t>
            </w:r>
          </w:p>
        </w:tc>
      </w:tr>
      <w:tr w:rsidR="00082D54" w:rsidRPr="003319BF" w14:paraId="48971CBA" w14:textId="77777777" w:rsidTr="00082D54">
        <w:trPr>
          <w:trHeight w:val="207"/>
        </w:trPr>
        <w:tc>
          <w:tcPr>
            <w:tcW w:w="1691" w:type="dxa"/>
            <w:noWrap/>
          </w:tcPr>
          <w:p w14:paraId="5AFFB453" w14:textId="4AB34FE5" w:rsidR="00082D54" w:rsidRPr="003319BF" w:rsidRDefault="00082D54" w:rsidP="00A67446">
            <w:pPr>
              <w:pStyle w:val="Tabletext"/>
              <w:keepNext/>
              <w:keepLines/>
            </w:pPr>
            <w:r>
              <w:t>Proposed annual expenditure caps</w:t>
            </w:r>
            <w:r w:rsidRPr="003319BF">
              <w:t xml:space="preserve"> </w:t>
            </w:r>
          </w:p>
        </w:tc>
        <w:tc>
          <w:tcPr>
            <w:tcW w:w="1220" w:type="dxa"/>
            <w:noWrap/>
          </w:tcPr>
          <w:p w14:paraId="1EB5C885" w14:textId="3A463A77"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897"/>
                <w14:textFill>
                  <w14:solidFill>
                    <w14:srgbClr w14:val="000000">
                      <w14:alpha w14:val="100000"/>
                    </w14:srgbClr>
                  </w14:solidFill>
                </w14:textFill>
              </w:rPr>
              <w:t xml:space="preserve">　</w:t>
            </w:r>
            <w:r w:rsidRPr="001549E4">
              <w:rPr>
                <w:color w:val="000000"/>
                <w:w w:val="15"/>
                <w:shd w:val="solid" w:color="000000" w:fill="000000"/>
                <w:fitText w:val="69" w:id="-693990897"/>
                <w14:textFill>
                  <w14:solidFill>
                    <w14:srgbClr w14:val="000000">
                      <w14:alpha w14:val="100000"/>
                    </w14:srgbClr>
                  </w14:solidFill>
                </w14:textFill>
              </w:rPr>
              <w:t>|</w:t>
            </w:r>
            <w:r w:rsidRPr="001549E4">
              <w:rPr>
                <w:rFonts w:hint="eastAsia"/>
                <w:color w:val="000000"/>
                <w:spacing w:val="3"/>
                <w:w w:val="15"/>
                <w:shd w:val="solid" w:color="000000" w:fill="000000"/>
                <w:fitText w:val="69" w:id="-693990897"/>
                <w14:textFill>
                  <w14:solidFill>
                    <w14:srgbClr w14:val="000000">
                      <w14:alpha w14:val="100000"/>
                    </w14:srgbClr>
                  </w14:solidFill>
                </w14:textFill>
              </w:rPr>
              <w:t xml:space="preserve">　</w:t>
            </w:r>
            <w:r w:rsidR="004A5FBE" w:rsidRPr="004A5FBE">
              <w:rPr>
                <w:vertAlign w:val="superscript"/>
              </w:rPr>
              <w:t>3</w:t>
            </w:r>
          </w:p>
        </w:tc>
        <w:tc>
          <w:tcPr>
            <w:tcW w:w="1211" w:type="dxa"/>
            <w:noWrap/>
          </w:tcPr>
          <w:p w14:paraId="3EDA4D2A" w14:textId="51E467C7"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896"/>
                <w14:textFill>
                  <w14:solidFill>
                    <w14:srgbClr w14:val="000000">
                      <w14:alpha w14:val="100000"/>
                    </w14:srgbClr>
                  </w14:solidFill>
                </w14:textFill>
              </w:rPr>
              <w:t xml:space="preserve">　</w:t>
            </w:r>
            <w:r w:rsidRPr="001549E4">
              <w:rPr>
                <w:color w:val="000000"/>
                <w:w w:val="18"/>
                <w:shd w:val="solid" w:color="000000" w:fill="000000"/>
                <w:fitText w:val="81" w:id="-693990896"/>
                <w14:textFill>
                  <w14:solidFill>
                    <w14:srgbClr w14:val="000000">
                      <w14:alpha w14:val="100000"/>
                    </w14:srgbClr>
                  </w14:solidFill>
                </w14:textFill>
              </w:rPr>
              <w:t>|</w:t>
            </w:r>
            <w:r w:rsidRPr="001549E4">
              <w:rPr>
                <w:rFonts w:hint="eastAsia"/>
                <w:color w:val="000000"/>
                <w:spacing w:val="1"/>
                <w:w w:val="18"/>
                <w:shd w:val="solid" w:color="000000" w:fill="000000"/>
                <w:fitText w:val="81" w:id="-693990896"/>
                <w14:textFill>
                  <w14:solidFill>
                    <w14:srgbClr w14:val="000000">
                      <w14:alpha w14:val="100000"/>
                    </w14:srgbClr>
                  </w14:solidFill>
                </w14:textFill>
              </w:rPr>
              <w:t xml:space="preserve">　</w:t>
            </w:r>
            <w:r w:rsidR="00603DD9" w:rsidRPr="00603DD9">
              <w:rPr>
                <w:vertAlign w:val="superscript"/>
              </w:rPr>
              <w:t>4</w:t>
            </w:r>
          </w:p>
        </w:tc>
        <w:tc>
          <w:tcPr>
            <w:tcW w:w="1210" w:type="dxa"/>
            <w:noWrap/>
          </w:tcPr>
          <w:p w14:paraId="57CF1C99" w14:textId="5D576629"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12"/>
                <w14:textFill>
                  <w14:solidFill>
                    <w14:srgbClr w14:val="000000">
                      <w14:alpha w14:val="100000"/>
                    </w14:srgbClr>
                  </w14:solidFill>
                </w14:textFill>
              </w:rPr>
              <w:t xml:space="preserve">　</w:t>
            </w:r>
            <w:r w:rsidRPr="001549E4">
              <w:rPr>
                <w:color w:val="000000"/>
                <w:w w:val="18"/>
                <w:shd w:val="solid" w:color="000000" w:fill="000000"/>
                <w:fitText w:val="81" w:id="-693990912"/>
                <w14:textFill>
                  <w14:solidFill>
                    <w14:srgbClr w14:val="000000">
                      <w14:alpha w14:val="100000"/>
                    </w14:srgbClr>
                  </w14:solidFill>
                </w14:textFill>
              </w:rPr>
              <w:t>|</w:t>
            </w:r>
            <w:r w:rsidRPr="001549E4">
              <w:rPr>
                <w:rFonts w:hint="eastAsia"/>
                <w:color w:val="000000"/>
                <w:spacing w:val="1"/>
                <w:w w:val="18"/>
                <w:shd w:val="solid" w:color="000000" w:fill="000000"/>
                <w:fitText w:val="81" w:id="-693990912"/>
                <w14:textFill>
                  <w14:solidFill>
                    <w14:srgbClr w14:val="000000">
                      <w14:alpha w14:val="100000"/>
                    </w14:srgbClr>
                  </w14:solidFill>
                </w14:textFill>
              </w:rPr>
              <w:t xml:space="preserve">　</w:t>
            </w:r>
            <w:r w:rsidR="00603DD9" w:rsidRPr="00603DD9">
              <w:rPr>
                <w:vertAlign w:val="superscript"/>
              </w:rPr>
              <w:t>4</w:t>
            </w:r>
          </w:p>
        </w:tc>
        <w:tc>
          <w:tcPr>
            <w:tcW w:w="1211" w:type="dxa"/>
            <w:noWrap/>
          </w:tcPr>
          <w:p w14:paraId="3F88F957" w14:textId="2A9618CC"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11"/>
                <w14:textFill>
                  <w14:solidFill>
                    <w14:srgbClr w14:val="000000">
                      <w14:alpha w14:val="100000"/>
                    </w14:srgbClr>
                  </w14:solidFill>
                </w14:textFill>
              </w:rPr>
              <w:t xml:space="preserve">　</w:t>
            </w:r>
            <w:r w:rsidRPr="001549E4">
              <w:rPr>
                <w:color w:val="000000"/>
                <w:w w:val="18"/>
                <w:shd w:val="solid" w:color="000000" w:fill="000000"/>
                <w:fitText w:val="81" w:id="-693990911"/>
                <w14:textFill>
                  <w14:solidFill>
                    <w14:srgbClr w14:val="000000">
                      <w14:alpha w14:val="100000"/>
                    </w14:srgbClr>
                  </w14:solidFill>
                </w14:textFill>
              </w:rPr>
              <w:t>|</w:t>
            </w:r>
            <w:r w:rsidRPr="001549E4">
              <w:rPr>
                <w:rFonts w:hint="eastAsia"/>
                <w:color w:val="000000"/>
                <w:spacing w:val="1"/>
                <w:w w:val="18"/>
                <w:shd w:val="solid" w:color="000000" w:fill="000000"/>
                <w:fitText w:val="81" w:id="-693990911"/>
                <w14:textFill>
                  <w14:solidFill>
                    <w14:srgbClr w14:val="000000">
                      <w14:alpha w14:val="100000"/>
                    </w14:srgbClr>
                  </w14:solidFill>
                </w14:textFill>
              </w:rPr>
              <w:t xml:space="preserve">　</w:t>
            </w:r>
            <w:r w:rsidR="00603DD9" w:rsidRPr="00603DD9">
              <w:rPr>
                <w:vertAlign w:val="superscript"/>
              </w:rPr>
              <w:t>4</w:t>
            </w:r>
          </w:p>
        </w:tc>
        <w:tc>
          <w:tcPr>
            <w:tcW w:w="1252" w:type="dxa"/>
            <w:noWrap/>
          </w:tcPr>
          <w:p w14:paraId="04D25DB2" w14:textId="2267EFCD"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910"/>
                <w14:textFill>
                  <w14:solidFill>
                    <w14:srgbClr w14:val="000000">
                      <w14:alpha w14:val="100000"/>
                    </w14:srgbClr>
                  </w14:solidFill>
                </w14:textFill>
              </w:rPr>
              <w:t xml:space="preserve">　</w:t>
            </w:r>
            <w:r w:rsidRPr="001549E4">
              <w:rPr>
                <w:color w:val="000000"/>
                <w:w w:val="15"/>
                <w:shd w:val="solid" w:color="000000" w:fill="000000"/>
                <w:fitText w:val="57" w:id="-693990910"/>
                <w14:textFill>
                  <w14:solidFill>
                    <w14:srgbClr w14:val="000000">
                      <w14:alpha w14:val="100000"/>
                    </w14:srgbClr>
                  </w14:solidFill>
                </w14:textFill>
              </w:rPr>
              <w:t>|</w:t>
            </w:r>
            <w:r w:rsidRPr="001549E4">
              <w:rPr>
                <w:rFonts w:hint="eastAsia"/>
                <w:color w:val="000000"/>
                <w:spacing w:val="-8"/>
                <w:w w:val="15"/>
                <w:shd w:val="solid" w:color="000000" w:fill="000000"/>
                <w:fitText w:val="57" w:id="-693990910"/>
                <w14:textFill>
                  <w14:solidFill>
                    <w14:srgbClr w14:val="000000">
                      <w14:alpha w14:val="100000"/>
                    </w14:srgbClr>
                  </w14:solidFill>
                </w14:textFill>
              </w:rPr>
              <w:t xml:space="preserve">　</w:t>
            </w:r>
            <w:r w:rsidR="00603DD9" w:rsidRPr="00603DD9">
              <w:rPr>
                <w:vertAlign w:val="superscript"/>
              </w:rPr>
              <w:t>4</w:t>
            </w:r>
          </w:p>
        </w:tc>
        <w:tc>
          <w:tcPr>
            <w:tcW w:w="1222" w:type="dxa"/>
            <w:noWrap/>
          </w:tcPr>
          <w:p w14:paraId="15611609" w14:textId="4069C806"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9"/>
                <w14:textFill>
                  <w14:solidFill>
                    <w14:srgbClr w14:val="000000">
                      <w14:alpha w14:val="100000"/>
                    </w14:srgbClr>
                  </w14:solidFill>
                </w14:textFill>
              </w:rPr>
              <w:t xml:space="preserve">　</w:t>
            </w:r>
            <w:r w:rsidRPr="001549E4">
              <w:rPr>
                <w:color w:val="000000"/>
                <w:w w:val="15"/>
                <w:shd w:val="solid" w:color="000000" w:fill="000000"/>
                <w:fitText w:val="69" w:id="-693990909"/>
                <w14:textFill>
                  <w14:solidFill>
                    <w14:srgbClr w14:val="000000">
                      <w14:alpha w14:val="100000"/>
                    </w14:srgbClr>
                  </w14:solidFill>
                </w14:textFill>
              </w:rPr>
              <w:t>|</w:t>
            </w:r>
            <w:r w:rsidRPr="001549E4">
              <w:rPr>
                <w:rFonts w:hint="eastAsia"/>
                <w:color w:val="000000"/>
                <w:spacing w:val="3"/>
                <w:w w:val="15"/>
                <w:shd w:val="solid" w:color="000000" w:fill="000000"/>
                <w:fitText w:val="69" w:id="-693990909"/>
                <w14:textFill>
                  <w14:solidFill>
                    <w14:srgbClr w14:val="000000">
                      <w14:alpha w14:val="100000"/>
                    </w14:srgbClr>
                  </w14:solidFill>
                </w14:textFill>
              </w:rPr>
              <w:t xml:space="preserve">　</w:t>
            </w:r>
            <w:r w:rsidR="00603DD9" w:rsidRPr="00603DD9">
              <w:rPr>
                <w:vertAlign w:val="superscript"/>
              </w:rPr>
              <w:t>4</w:t>
            </w:r>
          </w:p>
        </w:tc>
      </w:tr>
      <w:tr w:rsidR="00082D54" w:rsidRPr="003319BF" w14:paraId="3FDCDD5C" w14:textId="77777777" w:rsidTr="004F1C05">
        <w:trPr>
          <w:trHeight w:val="207"/>
        </w:trPr>
        <w:tc>
          <w:tcPr>
            <w:tcW w:w="2911" w:type="dxa"/>
            <w:gridSpan w:val="2"/>
            <w:shd w:val="clear" w:color="auto" w:fill="DBE5F1" w:themeFill="accent1" w:themeFillTint="33"/>
            <w:noWrap/>
          </w:tcPr>
          <w:p w14:paraId="6835F405" w14:textId="77777777" w:rsidR="00082D54" w:rsidRPr="003319BF" w:rsidRDefault="00082D54" w:rsidP="00A67446">
            <w:pPr>
              <w:pStyle w:val="Tabletext"/>
              <w:keepNext/>
              <w:keepLines/>
              <w:rPr>
                <w:b/>
                <w:bCs/>
              </w:rPr>
            </w:pPr>
            <w:r w:rsidRPr="005F73DD">
              <w:rPr>
                <w:b/>
                <w:bCs/>
              </w:rPr>
              <w:t>July 2024 submission</w:t>
            </w:r>
          </w:p>
        </w:tc>
        <w:tc>
          <w:tcPr>
            <w:tcW w:w="1211" w:type="dxa"/>
            <w:shd w:val="clear" w:color="auto" w:fill="DBE5F1" w:themeFill="accent1" w:themeFillTint="33"/>
            <w:noWrap/>
          </w:tcPr>
          <w:p w14:paraId="78DF4598" w14:textId="77777777" w:rsidR="00082D54" w:rsidRPr="003319BF" w:rsidRDefault="00082D54" w:rsidP="00A67446">
            <w:pPr>
              <w:pStyle w:val="Tabletext"/>
              <w:keepNext/>
              <w:keepLines/>
              <w:jc w:val="center"/>
              <w:rPr>
                <w:b/>
                <w:bCs/>
              </w:rPr>
            </w:pPr>
          </w:p>
        </w:tc>
        <w:tc>
          <w:tcPr>
            <w:tcW w:w="1210" w:type="dxa"/>
            <w:shd w:val="clear" w:color="auto" w:fill="DBE5F1" w:themeFill="accent1" w:themeFillTint="33"/>
            <w:noWrap/>
          </w:tcPr>
          <w:p w14:paraId="287DD9FF" w14:textId="77777777" w:rsidR="00082D54" w:rsidRPr="003319BF" w:rsidRDefault="00082D54" w:rsidP="00A67446">
            <w:pPr>
              <w:pStyle w:val="Tabletext"/>
              <w:keepNext/>
              <w:keepLines/>
              <w:jc w:val="center"/>
              <w:rPr>
                <w:b/>
                <w:bCs/>
              </w:rPr>
            </w:pPr>
          </w:p>
        </w:tc>
        <w:tc>
          <w:tcPr>
            <w:tcW w:w="1211" w:type="dxa"/>
            <w:shd w:val="clear" w:color="auto" w:fill="DBE5F1" w:themeFill="accent1" w:themeFillTint="33"/>
            <w:noWrap/>
          </w:tcPr>
          <w:p w14:paraId="7F20D630" w14:textId="77777777" w:rsidR="00082D54" w:rsidRPr="003319BF" w:rsidRDefault="00082D54" w:rsidP="00A67446">
            <w:pPr>
              <w:pStyle w:val="Tabletext"/>
              <w:keepNext/>
              <w:keepLines/>
              <w:jc w:val="center"/>
              <w:rPr>
                <w:b/>
                <w:bCs/>
              </w:rPr>
            </w:pPr>
          </w:p>
        </w:tc>
        <w:tc>
          <w:tcPr>
            <w:tcW w:w="1252" w:type="dxa"/>
            <w:shd w:val="clear" w:color="auto" w:fill="DBE5F1" w:themeFill="accent1" w:themeFillTint="33"/>
            <w:noWrap/>
          </w:tcPr>
          <w:p w14:paraId="29C5E560" w14:textId="77777777" w:rsidR="00082D54" w:rsidRPr="003319BF" w:rsidRDefault="00082D54" w:rsidP="00A67446">
            <w:pPr>
              <w:pStyle w:val="Tabletext"/>
              <w:keepNext/>
              <w:keepLines/>
              <w:jc w:val="center"/>
              <w:rPr>
                <w:b/>
                <w:bCs/>
              </w:rPr>
            </w:pPr>
          </w:p>
        </w:tc>
        <w:tc>
          <w:tcPr>
            <w:tcW w:w="1222" w:type="dxa"/>
            <w:shd w:val="clear" w:color="auto" w:fill="DBE5F1" w:themeFill="accent1" w:themeFillTint="33"/>
            <w:noWrap/>
          </w:tcPr>
          <w:p w14:paraId="27FD6A1F" w14:textId="77777777" w:rsidR="00082D54" w:rsidRPr="003319BF" w:rsidRDefault="00082D54" w:rsidP="00A67446">
            <w:pPr>
              <w:pStyle w:val="Tabletext"/>
              <w:keepNext/>
              <w:keepLines/>
              <w:jc w:val="center"/>
              <w:rPr>
                <w:b/>
                <w:bCs/>
              </w:rPr>
            </w:pPr>
          </w:p>
        </w:tc>
      </w:tr>
      <w:tr w:rsidR="00082D54" w:rsidRPr="003319BF" w14:paraId="2885262A" w14:textId="77777777" w:rsidTr="004F1C05">
        <w:trPr>
          <w:trHeight w:val="207"/>
        </w:trPr>
        <w:tc>
          <w:tcPr>
            <w:tcW w:w="2911" w:type="dxa"/>
            <w:gridSpan w:val="2"/>
            <w:shd w:val="clear" w:color="auto" w:fill="DBE5F1" w:themeFill="accent1" w:themeFillTint="33"/>
            <w:noWrap/>
          </w:tcPr>
          <w:p w14:paraId="1724F1CF" w14:textId="77777777" w:rsidR="00082D54" w:rsidRPr="00D33C2C" w:rsidRDefault="00082D54" w:rsidP="00A67446">
            <w:pPr>
              <w:pStyle w:val="Tabletext"/>
              <w:keepNext/>
              <w:keepLines/>
            </w:pPr>
            <w:r>
              <w:rPr>
                <w:b/>
                <w:bCs/>
              </w:rPr>
              <w:t>Prevalent and incident patients</w:t>
            </w:r>
          </w:p>
        </w:tc>
        <w:tc>
          <w:tcPr>
            <w:tcW w:w="1211" w:type="dxa"/>
            <w:shd w:val="clear" w:color="auto" w:fill="DBE5F1" w:themeFill="accent1" w:themeFillTint="33"/>
            <w:noWrap/>
          </w:tcPr>
          <w:p w14:paraId="7F5D4E70" w14:textId="77777777" w:rsidR="00082D54" w:rsidRPr="00D33C2C" w:rsidRDefault="00082D54" w:rsidP="00A67446">
            <w:pPr>
              <w:pStyle w:val="Tabletext"/>
              <w:keepNext/>
              <w:keepLines/>
              <w:jc w:val="center"/>
            </w:pPr>
          </w:p>
        </w:tc>
        <w:tc>
          <w:tcPr>
            <w:tcW w:w="1210" w:type="dxa"/>
            <w:shd w:val="clear" w:color="auto" w:fill="DBE5F1" w:themeFill="accent1" w:themeFillTint="33"/>
            <w:noWrap/>
          </w:tcPr>
          <w:p w14:paraId="39972064" w14:textId="77777777" w:rsidR="00082D54" w:rsidRPr="00D33C2C" w:rsidRDefault="00082D54" w:rsidP="00A67446">
            <w:pPr>
              <w:pStyle w:val="Tabletext"/>
              <w:keepNext/>
              <w:keepLines/>
              <w:jc w:val="center"/>
            </w:pPr>
          </w:p>
        </w:tc>
        <w:tc>
          <w:tcPr>
            <w:tcW w:w="1211" w:type="dxa"/>
            <w:shd w:val="clear" w:color="auto" w:fill="DBE5F1" w:themeFill="accent1" w:themeFillTint="33"/>
            <w:noWrap/>
          </w:tcPr>
          <w:p w14:paraId="75C25FFC" w14:textId="77777777" w:rsidR="00082D54" w:rsidRPr="00D33C2C" w:rsidRDefault="00082D54" w:rsidP="00A67446">
            <w:pPr>
              <w:pStyle w:val="Tabletext"/>
              <w:keepNext/>
              <w:keepLines/>
              <w:jc w:val="center"/>
            </w:pPr>
          </w:p>
        </w:tc>
        <w:tc>
          <w:tcPr>
            <w:tcW w:w="1252" w:type="dxa"/>
            <w:shd w:val="clear" w:color="auto" w:fill="DBE5F1" w:themeFill="accent1" w:themeFillTint="33"/>
            <w:noWrap/>
          </w:tcPr>
          <w:p w14:paraId="3CE94793" w14:textId="77777777" w:rsidR="00082D54" w:rsidRPr="00D33C2C" w:rsidRDefault="00082D54" w:rsidP="00A67446">
            <w:pPr>
              <w:pStyle w:val="Tabletext"/>
              <w:keepNext/>
              <w:keepLines/>
              <w:jc w:val="center"/>
            </w:pPr>
          </w:p>
        </w:tc>
        <w:tc>
          <w:tcPr>
            <w:tcW w:w="1222" w:type="dxa"/>
            <w:shd w:val="clear" w:color="auto" w:fill="DBE5F1" w:themeFill="accent1" w:themeFillTint="33"/>
            <w:noWrap/>
          </w:tcPr>
          <w:p w14:paraId="5C6BA426" w14:textId="77777777" w:rsidR="00082D54" w:rsidRPr="00D33C2C" w:rsidRDefault="00082D54" w:rsidP="00A67446">
            <w:pPr>
              <w:pStyle w:val="Tabletext"/>
              <w:keepNext/>
              <w:keepLines/>
              <w:jc w:val="center"/>
            </w:pPr>
          </w:p>
        </w:tc>
      </w:tr>
      <w:tr w:rsidR="00082D54" w:rsidRPr="003319BF" w14:paraId="7F65FB9A" w14:textId="77777777" w:rsidTr="004F1C05">
        <w:trPr>
          <w:trHeight w:val="207"/>
        </w:trPr>
        <w:tc>
          <w:tcPr>
            <w:tcW w:w="1691" w:type="dxa"/>
            <w:shd w:val="clear" w:color="auto" w:fill="DBE5F1" w:themeFill="accent1" w:themeFillTint="33"/>
            <w:noWrap/>
          </w:tcPr>
          <w:p w14:paraId="1715E35D" w14:textId="77777777" w:rsidR="00082D54" w:rsidRPr="003319BF" w:rsidRDefault="00082D54" w:rsidP="00A67446">
            <w:pPr>
              <w:pStyle w:val="Tabletext"/>
              <w:keepNext/>
              <w:keepLines/>
            </w:pPr>
            <w:r>
              <w:t>Prevalent patients</w:t>
            </w:r>
          </w:p>
        </w:tc>
        <w:tc>
          <w:tcPr>
            <w:tcW w:w="1220" w:type="dxa"/>
            <w:shd w:val="clear" w:color="auto" w:fill="DBE5F1" w:themeFill="accent1" w:themeFillTint="33"/>
            <w:noWrap/>
          </w:tcPr>
          <w:p w14:paraId="3DC032EA" w14:textId="1809F8D3"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8"/>
                <w14:textFill>
                  <w14:solidFill>
                    <w14:srgbClr w14:val="000000">
                      <w14:alpha w14:val="100000"/>
                    </w14:srgbClr>
                  </w14:solidFill>
                </w14:textFill>
              </w:rPr>
              <w:t xml:space="preserve">　</w:t>
            </w:r>
            <w:r w:rsidRPr="001549E4">
              <w:rPr>
                <w:color w:val="000000"/>
                <w:w w:val="15"/>
                <w:shd w:val="solid" w:color="000000" w:fill="000000"/>
                <w:fitText w:val="69" w:id="-693990908"/>
                <w14:textFill>
                  <w14:solidFill>
                    <w14:srgbClr w14:val="000000">
                      <w14:alpha w14:val="100000"/>
                    </w14:srgbClr>
                  </w14:solidFill>
                </w14:textFill>
              </w:rPr>
              <w:t>|</w:t>
            </w:r>
            <w:r w:rsidRPr="001549E4">
              <w:rPr>
                <w:rFonts w:hint="eastAsia"/>
                <w:color w:val="000000"/>
                <w:spacing w:val="3"/>
                <w:w w:val="15"/>
                <w:shd w:val="solid" w:color="000000" w:fill="000000"/>
                <w:fitText w:val="69" w:id="-693990908"/>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116E0377" w14:textId="3A8037C2"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7"/>
                <w14:textFill>
                  <w14:solidFill>
                    <w14:srgbClr w14:val="000000">
                      <w14:alpha w14:val="100000"/>
                    </w14:srgbClr>
                  </w14:solidFill>
                </w14:textFill>
              </w:rPr>
              <w:t xml:space="preserve">　</w:t>
            </w:r>
            <w:r w:rsidRPr="001549E4">
              <w:rPr>
                <w:color w:val="000000"/>
                <w:w w:val="18"/>
                <w:shd w:val="solid" w:color="000000" w:fill="000000"/>
                <w:fitText w:val="81" w:id="-693990907"/>
                <w14:textFill>
                  <w14:solidFill>
                    <w14:srgbClr w14:val="000000">
                      <w14:alpha w14:val="100000"/>
                    </w14:srgbClr>
                  </w14:solidFill>
                </w14:textFill>
              </w:rPr>
              <w:t>|</w:t>
            </w:r>
            <w:r w:rsidRPr="001549E4">
              <w:rPr>
                <w:rFonts w:hint="eastAsia"/>
                <w:color w:val="000000"/>
                <w:spacing w:val="1"/>
                <w:w w:val="18"/>
                <w:shd w:val="solid" w:color="000000" w:fill="000000"/>
                <w:fitText w:val="81" w:id="-693990907"/>
                <w14:textFill>
                  <w14:solidFill>
                    <w14:srgbClr w14:val="000000">
                      <w14:alpha w14:val="100000"/>
                    </w14:srgbClr>
                  </w14:solidFill>
                </w14:textFill>
              </w:rPr>
              <w:t xml:space="preserve">　</w:t>
            </w:r>
            <w:r w:rsidR="0068260E" w:rsidRPr="00C8181A">
              <w:rPr>
                <w:vertAlign w:val="superscript"/>
              </w:rPr>
              <w:t>1</w:t>
            </w:r>
          </w:p>
        </w:tc>
        <w:tc>
          <w:tcPr>
            <w:tcW w:w="1210" w:type="dxa"/>
            <w:shd w:val="clear" w:color="auto" w:fill="DBE5F1" w:themeFill="accent1" w:themeFillTint="33"/>
            <w:noWrap/>
          </w:tcPr>
          <w:p w14:paraId="4487B882" w14:textId="1FF6E882"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6"/>
                <w14:textFill>
                  <w14:solidFill>
                    <w14:srgbClr w14:val="000000">
                      <w14:alpha w14:val="100000"/>
                    </w14:srgbClr>
                  </w14:solidFill>
                </w14:textFill>
              </w:rPr>
              <w:t xml:space="preserve">　</w:t>
            </w:r>
            <w:r w:rsidRPr="001549E4">
              <w:rPr>
                <w:color w:val="000000"/>
                <w:w w:val="18"/>
                <w:shd w:val="solid" w:color="000000" w:fill="000000"/>
                <w:fitText w:val="81" w:id="-693990906"/>
                <w14:textFill>
                  <w14:solidFill>
                    <w14:srgbClr w14:val="000000">
                      <w14:alpha w14:val="100000"/>
                    </w14:srgbClr>
                  </w14:solidFill>
                </w14:textFill>
              </w:rPr>
              <w:t>|</w:t>
            </w:r>
            <w:r w:rsidRPr="001549E4">
              <w:rPr>
                <w:rFonts w:hint="eastAsia"/>
                <w:color w:val="000000"/>
                <w:spacing w:val="1"/>
                <w:w w:val="18"/>
                <w:shd w:val="solid" w:color="000000" w:fill="000000"/>
                <w:fitText w:val="81" w:id="-693990906"/>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25BE299F" w14:textId="5439C767"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5"/>
                <w14:textFill>
                  <w14:solidFill>
                    <w14:srgbClr w14:val="000000">
                      <w14:alpha w14:val="100000"/>
                    </w14:srgbClr>
                  </w14:solidFill>
                </w14:textFill>
              </w:rPr>
              <w:t xml:space="preserve">　</w:t>
            </w:r>
            <w:r w:rsidRPr="001549E4">
              <w:rPr>
                <w:color w:val="000000"/>
                <w:w w:val="18"/>
                <w:shd w:val="solid" w:color="000000" w:fill="000000"/>
                <w:fitText w:val="81" w:id="-693990905"/>
                <w14:textFill>
                  <w14:solidFill>
                    <w14:srgbClr w14:val="000000">
                      <w14:alpha w14:val="100000"/>
                    </w14:srgbClr>
                  </w14:solidFill>
                </w14:textFill>
              </w:rPr>
              <w:t>|</w:t>
            </w:r>
            <w:r w:rsidRPr="001549E4">
              <w:rPr>
                <w:rFonts w:hint="eastAsia"/>
                <w:color w:val="000000"/>
                <w:spacing w:val="1"/>
                <w:w w:val="18"/>
                <w:shd w:val="solid" w:color="000000" w:fill="000000"/>
                <w:fitText w:val="81" w:id="-693990905"/>
                <w14:textFill>
                  <w14:solidFill>
                    <w14:srgbClr w14:val="000000">
                      <w14:alpha w14:val="100000"/>
                    </w14:srgbClr>
                  </w14:solidFill>
                </w14:textFill>
              </w:rPr>
              <w:t xml:space="preserve">　</w:t>
            </w:r>
            <w:r w:rsidR="0068260E" w:rsidRPr="00C8181A">
              <w:rPr>
                <w:vertAlign w:val="superscript"/>
              </w:rPr>
              <w:t>1</w:t>
            </w:r>
          </w:p>
        </w:tc>
        <w:tc>
          <w:tcPr>
            <w:tcW w:w="1252" w:type="dxa"/>
            <w:shd w:val="clear" w:color="auto" w:fill="DBE5F1" w:themeFill="accent1" w:themeFillTint="33"/>
            <w:noWrap/>
          </w:tcPr>
          <w:p w14:paraId="0B4F7CCD" w14:textId="7C58B07C"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904"/>
                <w14:textFill>
                  <w14:solidFill>
                    <w14:srgbClr w14:val="000000">
                      <w14:alpha w14:val="100000"/>
                    </w14:srgbClr>
                  </w14:solidFill>
                </w14:textFill>
              </w:rPr>
              <w:t xml:space="preserve">　</w:t>
            </w:r>
            <w:r w:rsidRPr="001549E4">
              <w:rPr>
                <w:color w:val="000000"/>
                <w:w w:val="15"/>
                <w:shd w:val="solid" w:color="000000" w:fill="000000"/>
                <w:fitText w:val="57" w:id="-693990904"/>
                <w14:textFill>
                  <w14:solidFill>
                    <w14:srgbClr w14:val="000000">
                      <w14:alpha w14:val="100000"/>
                    </w14:srgbClr>
                  </w14:solidFill>
                </w14:textFill>
              </w:rPr>
              <w:t>|</w:t>
            </w:r>
            <w:r w:rsidRPr="001549E4">
              <w:rPr>
                <w:rFonts w:hint="eastAsia"/>
                <w:color w:val="000000"/>
                <w:spacing w:val="-8"/>
                <w:w w:val="15"/>
                <w:shd w:val="solid" w:color="000000" w:fill="000000"/>
                <w:fitText w:val="57" w:id="-693990904"/>
                <w14:textFill>
                  <w14:solidFill>
                    <w14:srgbClr w14:val="000000">
                      <w14:alpha w14:val="100000"/>
                    </w14:srgbClr>
                  </w14:solidFill>
                </w14:textFill>
              </w:rPr>
              <w:t xml:space="preserve">　</w:t>
            </w:r>
            <w:r w:rsidR="0068260E" w:rsidRPr="00C8181A">
              <w:rPr>
                <w:vertAlign w:val="superscript"/>
              </w:rPr>
              <w:t>1</w:t>
            </w:r>
          </w:p>
        </w:tc>
        <w:tc>
          <w:tcPr>
            <w:tcW w:w="1222" w:type="dxa"/>
            <w:shd w:val="clear" w:color="auto" w:fill="DBE5F1" w:themeFill="accent1" w:themeFillTint="33"/>
            <w:noWrap/>
          </w:tcPr>
          <w:p w14:paraId="03737541" w14:textId="72EF1E54"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3"/>
                <w14:textFill>
                  <w14:solidFill>
                    <w14:srgbClr w14:val="000000">
                      <w14:alpha w14:val="100000"/>
                    </w14:srgbClr>
                  </w14:solidFill>
                </w14:textFill>
              </w:rPr>
              <w:t xml:space="preserve">　</w:t>
            </w:r>
            <w:r w:rsidRPr="001549E4">
              <w:rPr>
                <w:color w:val="000000"/>
                <w:w w:val="15"/>
                <w:shd w:val="solid" w:color="000000" w:fill="000000"/>
                <w:fitText w:val="69" w:id="-693990903"/>
                <w14:textFill>
                  <w14:solidFill>
                    <w14:srgbClr w14:val="000000">
                      <w14:alpha w14:val="100000"/>
                    </w14:srgbClr>
                  </w14:solidFill>
                </w14:textFill>
              </w:rPr>
              <w:t>|</w:t>
            </w:r>
            <w:r w:rsidRPr="001549E4">
              <w:rPr>
                <w:rFonts w:hint="eastAsia"/>
                <w:color w:val="000000"/>
                <w:spacing w:val="3"/>
                <w:w w:val="15"/>
                <w:shd w:val="solid" w:color="000000" w:fill="000000"/>
                <w:fitText w:val="69" w:id="-693990903"/>
                <w14:textFill>
                  <w14:solidFill>
                    <w14:srgbClr w14:val="000000">
                      <w14:alpha w14:val="100000"/>
                    </w14:srgbClr>
                  </w14:solidFill>
                </w14:textFill>
              </w:rPr>
              <w:t xml:space="preserve">　</w:t>
            </w:r>
            <w:r w:rsidR="0068260E" w:rsidRPr="00C8181A">
              <w:rPr>
                <w:vertAlign w:val="superscript"/>
              </w:rPr>
              <w:t>1</w:t>
            </w:r>
          </w:p>
        </w:tc>
      </w:tr>
      <w:tr w:rsidR="00082D54" w:rsidRPr="003319BF" w14:paraId="15980D3E" w14:textId="77777777" w:rsidTr="004F1C05">
        <w:trPr>
          <w:trHeight w:val="207"/>
        </w:trPr>
        <w:tc>
          <w:tcPr>
            <w:tcW w:w="1691" w:type="dxa"/>
            <w:shd w:val="clear" w:color="auto" w:fill="DBE5F1" w:themeFill="accent1" w:themeFillTint="33"/>
            <w:noWrap/>
          </w:tcPr>
          <w:p w14:paraId="06723D9B" w14:textId="77777777" w:rsidR="00082D54" w:rsidRPr="003319BF" w:rsidRDefault="00082D54" w:rsidP="00A67446">
            <w:pPr>
              <w:pStyle w:val="Tabletext"/>
              <w:keepNext/>
              <w:keepLines/>
            </w:pPr>
            <w:r>
              <w:t>Incident patients</w:t>
            </w:r>
          </w:p>
        </w:tc>
        <w:tc>
          <w:tcPr>
            <w:tcW w:w="1220" w:type="dxa"/>
            <w:shd w:val="clear" w:color="auto" w:fill="DBE5F1" w:themeFill="accent1" w:themeFillTint="33"/>
            <w:noWrap/>
          </w:tcPr>
          <w:p w14:paraId="67B2241F" w14:textId="08CF7030"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2"/>
                <w14:textFill>
                  <w14:solidFill>
                    <w14:srgbClr w14:val="000000">
                      <w14:alpha w14:val="100000"/>
                    </w14:srgbClr>
                  </w14:solidFill>
                </w14:textFill>
              </w:rPr>
              <w:t xml:space="preserve">　</w:t>
            </w:r>
            <w:r w:rsidRPr="001549E4">
              <w:rPr>
                <w:color w:val="000000"/>
                <w:w w:val="15"/>
                <w:shd w:val="solid" w:color="000000" w:fill="000000"/>
                <w:fitText w:val="69" w:id="-693990902"/>
                <w14:textFill>
                  <w14:solidFill>
                    <w14:srgbClr w14:val="000000">
                      <w14:alpha w14:val="100000"/>
                    </w14:srgbClr>
                  </w14:solidFill>
                </w14:textFill>
              </w:rPr>
              <w:t>|</w:t>
            </w:r>
            <w:r w:rsidRPr="001549E4">
              <w:rPr>
                <w:rFonts w:hint="eastAsia"/>
                <w:color w:val="000000"/>
                <w:spacing w:val="3"/>
                <w:w w:val="15"/>
                <w:shd w:val="solid" w:color="000000" w:fill="000000"/>
                <w:fitText w:val="69" w:id="-693990902"/>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382097AC" w14:textId="0F45A9FD"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1"/>
                <w14:textFill>
                  <w14:solidFill>
                    <w14:srgbClr w14:val="000000">
                      <w14:alpha w14:val="100000"/>
                    </w14:srgbClr>
                  </w14:solidFill>
                </w14:textFill>
              </w:rPr>
              <w:t xml:space="preserve">　</w:t>
            </w:r>
            <w:r w:rsidRPr="001549E4">
              <w:rPr>
                <w:color w:val="000000"/>
                <w:w w:val="18"/>
                <w:shd w:val="solid" w:color="000000" w:fill="000000"/>
                <w:fitText w:val="81" w:id="-693990901"/>
                <w14:textFill>
                  <w14:solidFill>
                    <w14:srgbClr w14:val="000000">
                      <w14:alpha w14:val="100000"/>
                    </w14:srgbClr>
                  </w14:solidFill>
                </w14:textFill>
              </w:rPr>
              <w:t>|</w:t>
            </w:r>
            <w:r w:rsidRPr="001549E4">
              <w:rPr>
                <w:rFonts w:hint="eastAsia"/>
                <w:color w:val="000000"/>
                <w:spacing w:val="1"/>
                <w:w w:val="18"/>
                <w:shd w:val="solid" w:color="000000" w:fill="000000"/>
                <w:fitText w:val="81" w:id="-693990901"/>
                <w14:textFill>
                  <w14:solidFill>
                    <w14:srgbClr w14:val="000000">
                      <w14:alpha w14:val="100000"/>
                    </w14:srgbClr>
                  </w14:solidFill>
                </w14:textFill>
              </w:rPr>
              <w:t xml:space="preserve">　</w:t>
            </w:r>
            <w:r w:rsidR="0068260E" w:rsidRPr="00C8181A">
              <w:rPr>
                <w:vertAlign w:val="superscript"/>
              </w:rPr>
              <w:t>1</w:t>
            </w:r>
          </w:p>
        </w:tc>
        <w:tc>
          <w:tcPr>
            <w:tcW w:w="1210" w:type="dxa"/>
            <w:shd w:val="clear" w:color="auto" w:fill="DBE5F1" w:themeFill="accent1" w:themeFillTint="33"/>
            <w:noWrap/>
          </w:tcPr>
          <w:p w14:paraId="5567763A" w14:textId="06F2AD13"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0"/>
                <w14:textFill>
                  <w14:solidFill>
                    <w14:srgbClr w14:val="000000">
                      <w14:alpha w14:val="100000"/>
                    </w14:srgbClr>
                  </w14:solidFill>
                </w14:textFill>
              </w:rPr>
              <w:t xml:space="preserve">　</w:t>
            </w:r>
            <w:r w:rsidRPr="001549E4">
              <w:rPr>
                <w:color w:val="000000"/>
                <w:w w:val="18"/>
                <w:shd w:val="solid" w:color="000000" w:fill="000000"/>
                <w:fitText w:val="81" w:id="-693990900"/>
                <w14:textFill>
                  <w14:solidFill>
                    <w14:srgbClr w14:val="000000">
                      <w14:alpha w14:val="100000"/>
                    </w14:srgbClr>
                  </w14:solidFill>
                </w14:textFill>
              </w:rPr>
              <w:t>|</w:t>
            </w:r>
            <w:r w:rsidRPr="001549E4">
              <w:rPr>
                <w:rFonts w:hint="eastAsia"/>
                <w:color w:val="000000"/>
                <w:spacing w:val="1"/>
                <w:w w:val="18"/>
                <w:shd w:val="solid" w:color="000000" w:fill="000000"/>
                <w:fitText w:val="81" w:id="-693990900"/>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7D2F799D" w14:textId="50E0D067"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899"/>
                <w14:textFill>
                  <w14:solidFill>
                    <w14:srgbClr w14:val="000000">
                      <w14:alpha w14:val="100000"/>
                    </w14:srgbClr>
                  </w14:solidFill>
                </w14:textFill>
              </w:rPr>
              <w:t xml:space="preserve">　</w:t>
            </w:r>
            <w:r w:rsidRPr="001549E4">
              <w:rPr>
                <w:color w:val="000000"/>
                <w:w w:val="18"/>
                <w:shd w:val="solid" w:color="000000" w:fill="000000"/>
                <w:fitText w:val="81" w:id="-693990899"/>
                <w14:textFill>
                  <w14:solidFill>
                    <w14:srgbClr w14:val="000000">
                      <w14:alpha w14:val="100000"/>
                    </w14:srgbClr>
                  </w14:solidFill>
                </w14:textFill>
              </w:rPr>
              <w:t>|</w:t>
            </w:r>
            <w:r w:rsidRPr="001549E4">
              <w:rPr>
                <w:rFonts w:hint="eastAsia"/>
                <w:color w:val="000000"/>
                <w:spacing w:val="1"/>
                <w:w w:val="18"/>
                <w:shd w:val="solid" w:color="000000" w:fill="000000"/>
                <w:fitText w:val="81" w:id="-693990899"/>
                <w14:textFill>
                  <w14:solidFill>
                    <w14:srgbClr w14:val="000000">
                      <w14:alpha w14:val="100000"/>
                    </w14:srgbClr>
                  </w14:solidFill>
                </w14:textFill>
              </w:rPr>
              <w:t xml:space="preserve">　</w:t>
            </w:r>
            <w:r w:rsidR="0068260E" w:rsidRPr="00C8181A">
              <w:rPr>
                <w:vertAlign w:val="superscript"/>
              </w:rPr>
              <w:t>1</w:t>
            </w:r>
          </w:p>
        </w:tc>
        <w:tc>
          <w:tcPr>
            <w:tcW w:w="1252" w:type="dxa"/>
            <w:shd w:val="clear" w:color="auto" w:fill="DBE5F1" w:themeFill="accent1" w:themeFillTint="33"/>
            <w:noWrap/>
          </w:tcPr>
          <w:p w14:paraId="2159877B" w14:textId="005DB673"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898"/>
                <w14:textFill>
                  <w14:solidFill>
                    <w14:srgbClr w14:val="000000">
                      <w14:alpha w14:val="100000"/>
                    </w14:srgbClr>
                  </w14:solidFill>
                </w14:textFill>
              </w:rPr>
              <w:t xml:space="preserve">　</w:t>
            </w:r>
            <w:r w:rsidRPr="001549E4">
              <w:rPr>
                <w:color w:val="000000"/>
                <w:w w:val="15"/>
                <w:shd w:val="solid" w:color="000000" w:fill="000000"/>
                <w:fitText w:val="57" w:id="-693990898"/>
                <w14:textFill>
                  <w14:solidFill>
                    <w14:srgbClr w14:val="000000">
                      <w14:alpha w14:val="100000"/>
                    </w14:srgbClr>
                  </w14:solidFill>
                </w14:textFill>
              </w:rPr>
              <w:t>|</w:t>
            </w:r>
            <w:r w:rsidRPr="001549E4">
              <w:rPr>
                <w:rFonts w:hint="eastAsia"/>
                <w:color w:val="000000"/>
                <w:spacing w:val="-8"/>
                <w:w w:val="15"/>
                <w:shd w:val="solid" w:color="000000" w:fill="000000"/>
                <w:fitText w:val="57" w:id="-693990898"/>
                <w14:textFill>
                  <w14:solidFill>
                    <w14:srgbClr w14:val="000000">
                      <w14:alpha w14:val="100000"/>
                    </w14:srgbClr>
                  </w14:solidFill>
                </w14:textFill>
              </w:rPr>
              <w:t xml:space="preserve">　</w:t>
            </w:r>
            <w:r w:rsidR="0068260E" w:rsidRPr="00C8181A">
              <w:rPr>
                <w:vertAlign w:val="superscript"/>
              </w:rPr>
              <w:t>1</w:t>
            </w:r>
          </w:p>
        </w:tc>
        <w:tc>
          <w:tcPr>
            <w:tcW w:w="1222" w:type="dxa"/>
            <w:shd w:val="clear" w:color="auto" w:fill="DBE5F1" w:themeFill="accent1" w:themeFillTint="33"/>
            <w:noWrap/>
          </w:tcPr>
          <w:p w14:paraId="02AF2E83" w14:textId="0F322983"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897"/>
                <w14:textFill>
                  <w14:solidFill>
                    <w14:srgbClr w14:val="000000">
                      <w14:alpha w14:val="100000"/>
                    </w14:srgbClr>
                  </w14:solidFill>
                </w14:textFill>
              </w:rPr>
              <w:t xml:space="preserve">　</w:t>
            </w:r>
            <w:r w:rsidRPr="001549E4">
              <w:rPr>
                <w:color w:val="000000"/>
                <w:w w:val="15"/>
                <w:shd w:val="solid" w:color="000000" w:fill="000000"/>
                <w:fitText w:val="69" w:id="-693990897"/>
                <w14:textFill>
                  <w14:solidFill>
                    <w14:srgbClr w14:val="000000">
                      <w14:alpha w14:val="100000"/>
                    </w14:srgbClr>
                  </w14:solidFill>
                </w14:textFill>
              </w:rPr>
              <w:t>|</w:t>
            </w:r>
            <w:r w:rsidRPr="001549E4">
              <w:rPr>
                <w:rFonts w:hint="eastAsia"/>
                <w:color w:val="000000"/>
                <w:spacing w:val="3"/>
                <w:w w:val="15"/>
                <w:shd w:val="solid" w:color="000000" w:fill="000000"/>
                <w:fitText w:val="69" w:id="-693990897"/>
                <w14:textFill>
                  <w14:solidFill>
                    <w14:srgbClr w14:val="000000">
                      <w14:alpha w14:val="100000"/>
                    </w14:srgbClr>
                  </w14:solidFill>
                </w14:textFill>
              </w:rPr>
              <w:t xml:space="preserve">　</w:t>
            </w:r>
            <w:r w:rsidR="0068260E" w:rsidRPr="00C8181A">
              <w:rPr>
                <w:vertAlign w:val="superscript"/>
              </w:rPr>
              <w:t>1</w:t>
            </w:r>
          </w:p>
        </w:tc>
      </w:tr>
      <w:tr w:rsidR="00082D54" w:rsidRPr="003319BF" w14:paraId="01E67248" w14:textId="77777777" w:rsidTr="004F1C05">
        <w:trPr>
          <w:trHeight w:val="207"/>
        </w:trPr>
        <w:tc>
          <w:tcPr>
            <w:tcW w:w="5332" w:type="dxa"/>
            <w:gridSpan w:val="4"/>
            <w:shd w:val="clear" w:color="auto" w:fill="DBE5F1" w:themeFill="accent1" w:themeFillTint="33"/>
            <w:noWrap/>
          </w:tcPr>
          <w:p w14:paraId="0540B91A" w14:textId="77777777" w:rsidR="00082D54" w:rsidRPr="00D33C2C" w:rsidRDefault="00082D54" w:rsidP="00A67446">
            <w:pPr>
              <w:pStyle w:val="Tabletext"/>
              <w:keepNext/>
              <w:keepLines/>
            </w:pPr>
            <w:r w:rsidRPr="005228C3">
              <w:rPr>
                <w:b/>
                <w:bCs/>
              </w:rPr>
              <w:t xml:space="preserve">Number of patients eligible </w:t>
            </w:r>
          </w:p>
        </w:tc>
        <w:tc>
          <w:tcPr>
            <w:tcW w:w="1211" w:type="dxa"/>
            <w:shd w:val="clear" w:color="auto" w:fill="DBE5F1" w:themeFill="accent1" w:themeFillTint="33"/>
            <w:noWrap/>
          </w:tcPr>
          <w:p w14:paraId="1F09E00E" w14:textId="77777777" w:rsidR="00082D54" w:rsidRPr="00D33C2C" w:rsidRDefault="00082D54" w:rsidP="00A67446">
            <w:pPr>
              <w:pStyle w:val="Tabletext"/>
              <w:keepNext/>
              <w:keepLines/>
              <w:jc w:val="center"/>
            </w:pPr>
          </w:p>
        </w:tc>
        <w:tc>
          <w:tcPr>
            <w:tcW w:w="1252" w:type="dxa"/>
            <w:shd w:val="clear" w:color="auto" w:fill="DBE5F1" w:themeFill="accent1" w:themeFillTint="33"/>
            <w:noWrap/>
          </w:tcPr>
          <w:p w14:paraId="58E5491C" w14:textId="77777777" w:rsidR="00082D54" w:rsidRPr="00D33C2C" w:rsidRDefault="00082D54" w:rsidP="00A67446">
            <w:pPr>
              <w:pStyle w:val="Tabletext"/>
              <w:keepNext/>
              <w:keepLines/>
              <w:jc w:val="center"/>
            </w:pPr>
          </w:p>
        </w:tc>
        <w:tc>
          <w:tcPr>
            <w:tcW w:w="1222" w:type="dxa"/>
            <w:shd w:val="clear" w:color="auto" w:fill="DBE5F1" w:themeFill="accent1" w:themeFillTint="33"/>
            <w:noWrap/>
          </w:tcPr>
          <w:p w14:paraId="6F3290B5" w14:textId="77777777" w:rsidR="00082D54" w:rsidRPr="00D33C2C" w:rsidRDefault="00082D54" w:rsidP="00A67446">
            <w:pPr>
              <w:pStyle w:val="Tabletext"/>
              <w:keepNext/>
              <w:keepLines/>
              <w:jc w:val="center"/>
            </w:pPr>
          </w:p>
        </w:tc>
      </w:tr>
      <w:tr w:rsidR="00082D54" w:rsidRPr="003319BF" w14:paraId="640CC7C2" w14:textId="77777777" w:rsidTr="004F1C05">
        <w:trPr>
          <w:trHeight w:val="207"/>
        </w:trPr>
        <w:tc>
          <w:tcPr>
            <w:tcW w:w="1691" w:type="dxa"/>
            <w:shd w:val="clear" w:color="auto" w:fill="DBE5F1" w:themeFill="accent1" w:themeFillTint="33"/>
            <w:noWrap/>
          </w:tcPr>
          <w:p w14:paraId="00BAF7D2" w14:textId="77777777" w:rsidR="00082D54" w:rsidRPr="003319BF" w:rsidRDefault="00082D54" w:rsidP="00A67446">
            <w:pPr>
              <w:pStyle w:val="Tabletext"/>
              <w:keepNext/>
              <w:keepLines/>
            </w:pPr>
            <w:r>
              <w:t>Prevalent patients</w:t>
            </w:r>
          </w:p>
        </w:tc>
        <w:tc>
          <w:tcPr>
            <w:tcW w:w="1220" w:type="dxa"/>
            <w:shd w:val="clear" w:color="auto" w:fill="DBE5F1" w:themeFill="accent1" w:themeFillTint="33"/>
            <w:noWrap/>
          </w:tcPr>
          <w:p w14:paraId="1FC1E798" w14:textId="2E41F909"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896"/>
                <w14:textFill>
                  <w14:solidFill>
                    <w14:srgbClr w14:val="000000">
                      <w14:alpha w14:val="100000"/>
                    </w14:srgbClr>
                  </w14:solidFill>
                </w14:textFill>
              </w:rPr>
              <w:t xml:space="preserve">　</w:t>
            </w:r>
            <w:r w:rsidRPr="001549E4">
              <w:rPr>
                <w:color w:val="000000"/>
                <w:w w:val="15"/>
                <w:shd w:val="solid" w:color="000000" w:fill="000000"/>
                <w:fitText w:val="69" w:id="-693990896"/>
                <w14:textFill>
                  <w14:solidFill>
                    <w14:srgbClr w14:val="000000">
                      <w14:alpha w14:val="100000"/>
                    </w14:srgbClr>
                  </w14:solidFill>
                </w14:textFill>
              </w:rPr>
              <w:t>|</w:t>
            </w:r>
            <w:r w:rsidRPr="001549E4">
              <w:rPr>
                <w:rFonts w:hint="eastAsia"/>
                <w:color w:val="000000"/>
                <w:spacing w:val="3"/>
                <w:w w:val="15"/>
                <w:shd w:val="solid" w:color="000000" w:fill="000000"/>
                <w:fitText w:val="69" w:id="-693990896"/>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6CDE7472" w14:textId="38027D8C"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12"/>
                <w14:textFill>
                  <w14:solidFill>
                    <w14:srgbClr w14:val="000000">
                      <w14:alpha w14:val="100000"/>
                    </w14:srgbClr>
                  </w14:solidFill>
                </w14:textFill>
              </w:rPr>
              <w:t xml:space="preserve">　</w:t>
            </w:r>
            <w:r w:rsidRPr="001549E4">
              <w:rPr>
                <w:color w:val="000000"/>
                <w:w w:val="18"/>
                <w:shd w:val="solid" w:color="000000" w:fill="000000"/>
                <w:fitText w:val="81" w:id="-693990912"/>
                <w14:textFill>
                  <w14:solidFill>
                    <w14:srgbClr w14:val="000000">
                      <w14:alpha w14:val="100000"/>
                    </w14:srgbClr>
                  </w14:solidFill>
                </w14:textFill>
              </w:rPr>
              <w:t>|</w:t>
            </w:r>
            <w:r w:rsidRPr="001549E4">
              <w:rPr>
                <w:rFonts w:hint="eastAsia"/>
                <w:color w:val="000000"/>
                <w:spacing w:val="1"/>
                <w:w w:val="18"/>
                <w:shd w:val="solid" w:color="000000" w:fill="000000"/>
                <w:fitText w:val="81" w:id="-693990912"/>
                <w14:textFill>
                  <w14:solidFill>
                    <w14:srgbClr w14:val="000000">
                      <w14:alpha w14:val="100000"/>
                    </w14:srgbClr>
                  </w14:solidFill>
                </w14:textFill>
              </w:rPr>
              <w:t xml:space="preserve">　</w:t>
            </w:r>
            <w:r w:rsidR="0068260E" w:rsidRPr="00C8181A">
              <w:rPr>
                <w:vertAlign w:val="superscript"/>
              </w:rPr>
              <w:t>1</w:t>
            </w:r>
          </w:p>
        </w:tc>
        <w:tc>
          <w:tcPr>
            <w:tcW w:w="1210" w:type="dxa"/>
            <w:shd w:val="clear" w:color="auto" w:fill="DBE5F1" w:themeFill="accent1" w:themeFillTint="33"/>
            <w:noWrap/>
          </w:tcPr>
          <w:p w14:paraId="2D263C5A" w14:textId="6AA556E6"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11"/>
                <w14:textFill>
                  <w14:solidFill>
                    <w14:srgbClr w14:val="000000">
                      <w14:alpha w14:val="100000"/>
                    </w14:srgbClr>
                  </w14:solidFill>
                </w14:textFill>
              </w:rPr>
              <w:t xml:space="preserve">　</w:t>
            </w:r>
            <w:r w:rsidRPr="001549E4">
              <w:rPr>
                <w:color w:val="000000"/>
                <w:w w:val="18"/>
                <w:shd w:val="solid" w:color="000000" w:fill="000000"/>
                <w:fitText w:val="81" w:id="-693990911"/>
                <w14:textFill>
                  <w14:solidFill>
                    <w14:srgbClr w14:val="000000">
                      <w14:alpha w14:val="100000"/>
                    </w14:srgbClr>
                  </w14:solidFill>
                </w14:textFill>
              </w:rPr>
              <w:t>|</w:t>
            </w:r>
            <w:r w:rsidRPr="001549E4">
              <w:rPr>
                <w:rFonts w:hint="eastAsia"/>
                <w:color w:val="000000"/>
                <w:spacing w:val="1"/>
                <w:w w:val="18"/>
                <w:shd w:val="solid" w:color="000000" w:fill="000000"/>
                <w:fitText w:val="81" w:id="-693990911"/>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2EE61F64" w14:textId="3E6D9CEA"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10"/>
                <w14:textFill>
                  <w14:solidFill>
                    <w14:srgbClr w14:val="000000">
                      <w14:alpha w14:val="100000"/>
                    </w14:srgbClr>
                  </w14:solidFill>
                </w14:textFill>
              </w:rPr>
              <w:t xml:space="preserve">　</w:t>
            </w:r>
            <w:r w:rsidRPr="001549E4">
              <w:rPr>
                <w:color w:val="000000"/>
                <w:w w:val="18"/>
                <w:shd w:val="solid" w:color="000000" w:fill="000000"/>
                <w:fitText w:val="81" w:id="-693990910"/>
                <w14:textFill>
                  <w14:solidFill>
                    <w14:srgbClr w14:val="000000">
                      <w14:alpha w14:val="100000"/>
                    </w14:srgbClr>
                  </w14:solidFill>
                </w14:textFill>
              </w:rPr>
              <w:t>|</w:t>
            </w:r>
            <w:r w:rsidRPr="001549E4">
              <w:rPr>
                <w:rFonts w:hint="eastAsia"/>
                <w:color w:val="000000"/>
                <w:spacing w:val="1"/>
                <w:w w:val="18"/>
                <w:shd w:val="solid" w:color="000000" w:fill="000000"/>
                <w:fitText w:val="81" w:id="-693990910"/>
                <w14:textFill>
                  <w14:solidFill>
                    <w14:srgbClr w14:val="000000">
                      <w14:alpha w14:val="100000"/>
                    </w14:srgbClr>
                  </w14:solidFill>
                </w14:textFill>
              </w:rPr>
              <w:t xml:space="preserve">　</w:t>
            </w:r>
            <w:r w:rsidR="0068260E" w:rsidRPr="00C8181A">
              <w:rPr>
                <w:vertAlign w:val="superscript"/>
              </w:rPr>
              <w:t>1</w:t>
            </w:r>
          </w:p>
        </w:tc>
        <w:tc>
          <w:tcPr>
            <w:tcW w:w="1252" w:type="dxa"/>
            <w:shd w:val="clear" w:color="auto" w:fill="DBE5F1" w:themeFill="accent1" w:themeFillTint="33"/>
            <w:noWrap/>
          </w:tcPr>
          <w:p w14:paraId="4D4EF8DF" w14:textId="42580D9D"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909"/>
                <w14:textFill>
                  <w14:solidFill>
                    <w14:srgbClr w14:val="000000">
                      <w14:alpha w14:val="100000"/>
                    </w14:srgbClr>
                  </w14:solidFill>
                </w14:textFill>
              </w:rPr>
              <w:t xml:space="preserve">　</w:t>
            </w:r>
            <w:r w:rsidRPr="001549E4">
              <w:rPr>
                <w:color w:val="000000"/>
                <w:w w:val="15"/>
                <w:shd w:val="solid" w:color="000000" w:fill="000000"/>
                <w:fitText w:val="57" w:id="-693990909"/>
                <w14:textFill>
                  <w14:solidFill>
                    <w14:srgbClr w14:val="000000">
                      <w14:alpha w14:val="100000"/>
                    </w14:srgbClr>
                  </w14:solidFill>
                </w14:textFill>
              </w:rPr>
              <w:t>|</w:t>
            </w:r>
            <w:r w:rsidRPr="001549E4">
              <w:rPr>
                <w:rFonts w:hint="eastAsia"/>
                <w:color w:val="000000"/>
                <w:spacing w:val="-8"/>
                <w:w w:val="15"/>
                <w:shd w:val="solid" w:color="000000" w:fill="000000"/>
                <w:fitText w:val="57" w:id="-693990909"/>
                <w14:textFill>
                  <w14:solidFill>
                    <w14:srgbClr w14:val="000000">
                      <w14:alpha w14:val="100000"/>
                    </w14:srgbClr>
                  </w14:solidFill>
                </w14:textFill>
              </w:rPr>
              <w:t xml:space="preserve">　</w:t>
            </w:r>
            <w:r w:rsidR="0068260E" w:rsidRPr="00C8181A">
              <w:rPr>
                <w:vertAlign w:val="superscript"/>
              </w:rPr>
              <w:t>1</w:t>
            </w:r>
          </w:p>
        </w:tc>
        <w:tc>
          <w:tcPr>
            <w:tcW w:w="1222" w:type="dxa"/>
            <w:shd w:val="clear" w:color="auto" w:fill="DBE5F1" w:themeFill="accent1" w:themeFillTint="33"/>
            <w:noWrap/>
          </w:tcPr>
          <w:p w14:paraId="69AE7008" w14:textId="5509E08B"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8"/>
                <w14:textFill>
                  <w14:solidFill>
                    <w14:srgbClr w14:val="000000">
                      <w14:alpha w14:val="100000"/>
                    </w14:srgbClr>
                  </w14:solidFill>
                </w14:textFill>
              </w:rPr>
              <w:t xml:space="preserve">　</w:t>
            </w:r>
            <w:r w:rsidRPr="001549E4">
              <w:rPr>
                <w:color w:val="000000"/>
                <w:w w:val="15"/>
                <w:shd w:val="solid" w:color="000000" w:fill="000000"/>
                <w:fitText w:val="69" w:id="-693990908"/>
                <w14:textFill>
                  <w14:solidFill>
                    <w14:srgbClr w14:val="000000">
                      <w14:alpha w14:val="100000"/>
                    </w14:srgbClr>
                  </w14:solidFill>
                </w14:textFill>
              </w:rPr>
              <w:t>|</w:t>
            </w:r>
            <w:r w:rsidRPr="001549E4">
              <w:rPr>
                <w:rFonts w:hint="eastAsia"/>
                <w:color w:val="000000"/>
                <w:spacing w:val="3"/>
                <w:w w:val="15"/>
                <w:shd w:val="solid" w:color="000000" w:fill="000000"/>
                <w:fitText w:val="69" w:id="-693990908"/>
                <w14:textFill>
                  <w14:solidFill>
                    <w14:srgbClr w14:val="000000">
                      <w14:alpha w14:val="100000"/>
                    </w14:srgbClr>
                  </w14:solidFill>
                </w14:textFill>
              </w:rPr>
              <w:t xml:space="preserve">　</w:t>
            </w:r>
            <w:r w:rsidR="0068260E" w:rsidRPr="00C8181A">
              <w:rPr>
                <w:vertAlign w:val="superscript"/>
              </w:rPr>
              <w:t>1</w:t>
            </w:r>
          </w:p>
        </w:tc>
      </w:tr>
      <w:tr w:rsidR="00082D54" w:rsidRPr="003319BF" w14:paraId="560D94D3" w14:textId="77777777" w:rsidTr="004F1C05">
        <w:trPr>
          <w:trHeight w:val="207"/>
        </w:trPr>
        <w:tc>
          <w:tcPr>
            <w:tcW w:w="1691" w:type="dxa"/>
            <w:shd w:val="clear" w:color="auto" w:fill="DBE5F1" w:themeFill="accent1" w:themeFillTint="33"/>
            <w:noWrap/>
          </w:tcPr>
          <w:p w14:paraId="59584A0C" w14:textId="77777777" w:rsidR="00082D54" w:rsidRPr="003319BF" w:rsidRDefault="00082D54" w:rsidP="00A67446">
            <w:pPr>
              <w:pStyle w:val="Tabletext"/>
              <w:keepNext/>
              <w:keepLines/>
            </w:pPr>
            <w:r>
              <w:t>Incident patients</w:t>
            </w:r>
          </w:p>
        </w:tc>
        <w:tc>
          <w:tcPr>
            <w:tcW w:w="1220" w:type="dxa"/>
            <w:shd w:val="clear" w:color="auto" w:fill="DBE5F1" w:themeFill="accent1" w:themeFillTint="33"/>
            <w:noWrap/>
          </w:tcPr>
          <w:p w14:paraId="2B1D8FC5" w14:textId="6F0A6592"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7"/>
                <w14:textFill>
                  <w14:solidFill>
                    <w14:srgbClr w14:val="000000">
                      <w14:alpha w14:val="100000"/>
                    </w14:srgbClr>
                  </w14:solidFill>
                </w14:textFill>
              </w:rPr>
              <w:t xml:space="preserve">　</w:t>
            </w:r>
            <w:r w:rsidRPr="001549E4">
              <w:rPr>
                <w:color w:val="000000"/>
                <w:w w:val="15"/>
                <w:shd w:val="solid" w:color="000000" w:fill="000000"/>
                <w:fitText w:val="69" w:id="-693990907"/>
                <w14:textFill>
                  <w14:solidFill>
                    <w14:srgbClr w14:val="000000">
                      <w14:alpha w14:val="100000"/>
                    </w14:srgbClr>
                  </w14:solidFill>
                </w14:textFill>
              </w:rPr>
              <w:t>|</w:t>
            </w:r>
            <w:r w:rsidRPr="001549E4">
              <w:rPr>
                <w:rFonts w:hint="eastAsia"/>
                <w:color w:val="000000"/>
                <w:spacing w:val="3"/>
                <w:w w:val="15"/>
                <w:shd w:val="solid" w:color="000000" w:fill="000000"/>
                <w:fitText w:val="69" w:id="-693990907"/>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28213124" w14:textId="24229118"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6"/>
                <w14:textFill>
                  <w14:solidFill>
                    <w14:srgbClr w14:val="000000">
                      <w14:alpha w14:val="100000"/>
                    </w14:srgbClr>
                  </w14:solidFill>
                </w14:textFill>
              </w:rPr>
              <w:t xml:space="preserve">　</w:t>
            </w:r>
            <w:r w:rsidRPr="001549E4">
              <w:rPr>
                <w:color w:val="000000"/>
                <w:w w:val="18"/>
                <w:shd w:val="solid" w:color="000000" w:fill="000000"/>
                <w:fitText w:val="81" w:id="-693990906"/>
                <w14:textFill>
                  <w14:solidFill>
                    <w14:srgbClr w14:val="000000">
                      <w14:alpha w14:val="100000"/>
                    </w14:srgbClr>
                  </w14:solidFill>
                </w14:textFill>
              </w:rPr>
              <w:t>|</w:t>
            </w:r>
            <w:r w:rsidRPr="001549E4">
              <w:rPr>
                <w:rFonts w:hint="eastAsia"/>
                <w:color w:val="000000"/>
                <w:spacing w:val="1"/>
                <w:w w:val="18"/>
                <w:shd w:val="solid" w:color="000000" w:fill="000000"/>
                <w:fitText w:val="81" w:id="-693990906"/>
                <w14:textFill>
                  <w14:solidFill>
                    <w14:srgbClr w14:val="000000">
                      <w14:alpha w14:val="100000"/>
                    </w14:srgbClr>
                  </w14:solidFill>
                </w14:textFill>
              </w:rPr>
              <w:t xml:space="preserve">　</w:t>
            </w:r>
            <w:r w:rsidR="0068260E" w:rsidRPr="00C8181A">
              <w:rPr>
                <w:vertAlign w:val="superscript"/>
              </w:rPr>
              <w:t>1</w:t>
            </w:r>
          </w:p>
        </w:tc>
        <w:tc>
          <w:tcPr>
            <w:tcW w:w="1210" w:type="dxa"/>
            <w:shd w:val="clear" w:color="auto" w:fill="DBE5F1" w:themeFill="accent1" w:themeFillTint="33"/>
            <w:noWrap/>
          </w:tcPr>
          <w:p w14:paraId="1C66EAE0" w14:textId="0E1C7DD1"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5"/>
                <w14:textFill>
                  <w14:solidFill>
                    <w14:srgbClr w14:val="000000">
                      <w14:alpha w14:val="100000"/>
                    </w14:srgbClr>
                  </w14:solidFill>
                </w14:textFill>
              </w:rPr>
              <w:t xml:space="preserve">　</w:t>
            </w:r>
            <w:r w:rsidRPr="001549E4">
              <w:rPr>
                <w:color w:val="000000"/>
                <w:w w:val="18"/>
                <w:shd w:val="solid" w:color="000000" w:fill="000000"/>
                <w:fitText w:val="81" w:id="-693990905"/>
                <w14:textFill>
                  <w14:solidFill>
                    <w14:srgbClr w14:val="000000">
                      <w14:alpha w14:val="100000"/>
                    </w14:srgbClr>
                  </w14:solidFill>
                </w14:textFill>
              </w:rPr>
              <w:t>|</w:t>
            </w:r>
            <w:r w:rsidRPr="001549E4">
              <w:rPr>
                <w:rFonts w:hint="eastAsia"/>
                <w:color w:val="000000"/>
                <w:spacing w:val="1"/>
                <w:w w:val="18"/>
                <w:shd w:val="solid" w:color="000000" w:fill="000000"/>
                <w:fitText w:val="81" w:id="-693990905"/>
                <w14:textFill>
                  <w14:solidFill>
                    <w14:srgbClr w14:val="000000">
                      <w14:alpha w14:val="100000"/>
                    </w14:srgbClr>
                  </w14:solidFill>
                </w14:textFill>
              </w:rPr>
              <w:t xml:space="preserve">　</w:t>
            </w:r>
            <w:r w:rsidR="0068260E" w:rsidRPr="00C8181A">
              <w:rPr>
                <w:vertAlign w:val="superscript"/>
              </w:rPr>
              <w:t>1</w:t>
            </w:r>
          </w:p>
        </w:tc>
        <w:tc>
          <w:tcPr>
            <w:tcW w:w="1211" w:type="dxa"/>
            <w:shd w:val="clear" w:color="auto" w:fill="DBE5F1" w:themeFill="accent1" w:themeFillTint="33"/>
            <w:noWrap/>
          </w:tcPr>
          <w:p w14:paraId="334D6114" w14:textId="618060FF" w:rsidR="00082D54" w:rsidRPr="00AF6B0A" w:rsidRDefault="001549E4" w:rsidP="00A67446">
            <w:pPr>
              <w:pStyle w:val="Tabletext"/>
              <w:keepNext/>
              <w:keepLines/>
              <w:jc w:val="center"/>
              <w:rPr>
                <w:highlight w:val="darkGray"/>
              </w:rPr>
            </w:pPr>
            <w:r w:rsidRPr="001549E4">
              <w:rPr>
                <w:rFonts w:hint="eastAsia"/>
                <w:color w:val="000000"/>
                <w:w w:val="18"/>
                <w:shd w:val="solid" w:color="000000" w:fill="000000"/>
                <w:fitText w:val="81" w:id="-693990904"/>
                <w14:textFill>
                  <w14:solidFill>
                    <w14:srgbClr w14:val="000000">
                      <w14:alpha w14:val="100000"/>
                    </w14:srgbClr>
                  </w14:solidFill>
                </w14:textFill>
              </w:rPr>
              <w:t xml:space="preserve">　</w:t>
            </w:r>
            <w:r w:rsidRPr="001549E4">
              <w:rPr>
                <w:color w:val="000000"/>
                <w:w w:val="18"/>
                <w:shd w:val="solid" w:color="000000" w:fill="000000"/>
                <w:fitText w:val="81" w:id="-693990904"/>
                <w14:textFill>
                  <w14:solidFill>
                    <w14:srgbClr w14:val="000000">
                      <w14:alpha w14:val="100000"/>
                    </w14:srgbClr>
                  </w14:solidFill>
                </w14:textFill>
              </w:rPr>
              <w:t>|</w:t>
            </w:r>
            <w:r w:rsidRPr="001549E4">
              <w:rPr>
                <w:rFonts w:hint="eastAsia"/>
                <w:color w:val="000000"/>
                <w:spacing w:val="1"/>
                <w:w w:val="18"/>
                <w:shd w:val="solid" w:color="000000" w:fill="000000"/>
                <w:fitText w:val="81" w:id="-693990904"/>
                <w14:textFill>
                  <w14:solidFill>
                    <w14:srgbClr w14:val="000000">
                      <w14:alpha w14:val="100000"/>
                    </w14:srgbClr>
                  </w14:solidFill>
                </w14:textFill>
              </w:rPr>
              <w:t xml:space="preserve">　</w:t>
            </w:r>
            <w:r w:rsidR="0068260E" w:rsidRPr="00C8181A">
              <w:rPr>
                <w:vertAlign w:val="superscript"/>
              </w:rPr>
              <w:t>1</w:t>
            </w:r>
          </w:p>
        </w:tc>
        <w:tc>
          <w:tcPr>
            <w:tcW w:w="1252" w:type="dxa"/>
            <w:shd w:val="clear" w:color="auto" w:fill="DBE5F1" w:themeFill="accent1" w:themeFillTint="33"/>
            <w:noWrap/>
          </w:tcPr>
          <w:p w14:paraId="3A91FD9B" w14:textId="5F13456F"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57" w:id="-693990903"/>
                <w14:textFill>
                  <w14:solidFill>
                    <w14:srgbClr w14:val="000000">
                      <w14:alpha w14:val="100000"/>
                    </w14:srgbClr>
                  </w14:solidFill>
                </w14:textFill>
              </w:rPr>
              <w:t xml:space="preserve">　</w:t>
            </w:r>
            <w:r w:rsidRPr="001549E4">
              <w:rPr>
                <w:color w:val="000000"/>
                <w:w w:val="15"/>
                <w:shd w:val="solid" w:color="000000" w:fill="000000"/>
                <w:fitText w:val="57" w:id="-693990903"/>
                <w14:textFill>
                  <w14:solidFill>
                    <w14:srgbClr w14:val="000000">
                      <w14:alpha w14:val="100000"/>
                    </w14:srgbClr>
                  </w14:solidFill>
                </w14:textFill>
              </w:rPr>
              <w:t>|</w:t>
            </w:r>
            <w:r w:rsidRPr="001549E4">
              <w:rPr>
                <w:rFonts w:hint="eastAsia"/>
                <w:color w:val="000000"/>
                <w:spacing w:val="-8"/>
                <w:w w:val="15"/>
                <w:shd w:val="solid" w:color="000000" w:fill="000000"/>
                <w:fitText w:val="57" w:id="-693990903"/>
                <w14:textFill>
                  <w14:solidFill>
                    <w14:srgbClr w14:val="000000">
                      <w14:alpha w14:val="100000"/>
                    </w14:srgbClr>
                  </w14:solidFill>
                </w14:textFill>
              </w:rPr>
              <w:t xml:space="preserve">　</w:t>
            </w:r>
            <w:r w:rsidR="0068260E" w:rsidRPr="00C8181A">
              <w:rPr>
                <w:vertAlign w:val="superscript"/>
              </w:rPr>
              <w:t>1</w:t>
            </w:r>
          </w:p>
        </w:tc>
        <w:tc>
          <w:tcPr>
            <w:tcW w:w="1222" w:type="dxa"/>
            <w:shd w:val="clear" w:color="auto" w:fill="DBE5F1" w:themeFill="accent1" w:themeFillTint="33"/>
            <w:noWrap/>
          </w:tcPr>
          <w:p w14:paraId="0DBAE5C6" w14:textId="3B82BECA" w:rsidR="00082D54" w:rsidRPr="00AF6B0A" w:rsidRDefault="001549E4" w:rsidP="00A67446">
            <w:pPr>
              <w:pStyle w:val="Tabletext"/>
              <w:keepNext/>
              <w:keepLines/>
              <w:jc w:val="center"/>
              <w:rPr>
                <w:highlight w:val="darkGray"/>
              </w:rPr>
            </w:pPr>
            <w:r w:rsidRPr="001549E4">
              <w:rPr>
                <w:rFonts w:hint="eastAsia"/>
                <w:color w:val="000000"/>
                <w:w w:val="15"/>
                <w:shd w:val="solid" w:color="000000" w:fill="000000"/>
                <w:fitText w:val="69" w:id="-693990902"/>
                <w14:textFill>
                  <w14:solidFill>
                    <w14:srgbClr w14:val="000000">
                      <w14:alpha w14:val="100000"/>
                    </w14:srgbClr>
                  </w14:solidFill>
                </w14:textFill>
              </w:rPr>
              <w:t xml:space="preserve">　</w:t>
            </w:r>
            <w:r w:rsidRPr="001549E4">
              <w:rPr>
                <w:color w:val="000000"/>
                <w:w w:val="15"/>
                <w:shd w:val="solid" w:color="000000" w:fill="000000"/>
                <w:fitText w:val="69" w:id="-693990902"/>
                <w14:textFill>
                  <w14:solidFill>
                    <w14:srgbClr w14:val="000000">
                      <w14:alpha w14:val="100000"/>
                    </w14:srgbClr>
                  </w14:solidFill>
                </w14:textFill>
              </w:rPr>
              <w:t>|</w:t>
            </w:r>
            <w:r w:rsidRPr="001549E4">
              <w:rPr>
                <w:rFonts w:hint="eastAsia"/>
                <w:color w:val="000000"/>
                <w:spacing w:val="3"/>
                <w:w w:val="15"/>
                <w:shd w:val="solid" w:color="000000" w:fill="000000"/>
                <w:fitText w:val="69" w:id="-693990902"/>
                <w14:textFill>
                  <w14:solidFill>
                    <w14:srgbClr w14:val="000000">
                      <w14:alpha w14:val="100000"/>
                    </w14:srgbClr>
                  </w14:solidFill>
                </w14:textFill>
              </w:rPr>
              <w:t xml:space="preserve">　</w:t>
            </w:r>
            <w:r w:rsidR="0068260E" w:rsidRPr="00C8181A">
              <w:rPr>
                <w:vertAlign w:val="superscript"/>
              </w:rPr>
              <w:t>1</w:t>
            </w:r>
          </w:p>
        </w:tc>
      </w:tr>
      <w:tr w:rsidR="00082D54" w:rsidRPr="003319BF" w14:paraId="5C4AEB83" w14:textId="77777777" w:rsidTr="004F1C05">
        <w:trPr>
          <w:trHeight w:val="207"/>
        </w:trPr>
        <w:tc>
          <w:tcPr>
            <w:tcW w:w="4122" w:type="dxa"/>
            <w:gridSpan w:val="3"/>
            <w:shd w:val="clear" w:color="auto" w:fill="DBE5F1" w:themeFill="accent1" w:themeFillTint="33"/>
            <w:noWrap/>
          </w:tcPr>
          <w:p w14:paraId="62134FD2" w14:textId="77777777" w:rsidR="00082D54" w:rsidRPr="00D33C2C" w:rsidRDefault="00082D54" w:rsidP="00A67446">
            <w:pPr>
              <w:pStyle w:val="Tabletext"/>
              <w:keepNext/>
              <w:keepLines/>
            </w:pPr>
            <w:r>
              <w:rPr>
                <w:b/>
                <w:bCs/>
              </w:rPr>
              <w:t>S</w:t>
            </w:r>
            <w:r w:rsidRPr="00A11D3A">
              <w:rPr>
                <w:b/>
                <w:bCs/>
              </w:rPr>
              <w:t>cripts</w:t>
            </w:r>
            <w:r>
              <w:rPr>
                <w:b/>
                <w:bCs/>
              </w:rPr>
              <w:t xml:space="preserve"> (100% compliance and uptake)</w:t>
            </w:r>
          </w:p>
        </w:tc>
        <w:tc>
          <w:tcPr>
            <w:tcW w:w="1210" w:type="dxa"/>
            <w:shd w:val="clear" w:color="auto" w:fill="DBE5F1" w:themeFill="accent1" w:themeFillTint="33"/>
            <w:noWrap/>
          </w:tcPr>
          <w:p w14:paraId="19EA1E15" w14:textId="77777777" w:rsidR="00082D54" w:rsidRPr="00D33C2C" w:rsidRDefault="00082D54" w:rsidP="00A67446">
            <w:pPr>
              <w:pStyle w:val="Tabletext"/>
              <w:keepNext/>
              <w:keepLines/>
              <w:jc w:val="center"/>
            </w:pPr>
          </w:p>
        </w:tc>
        <w:tc>
          <w:tcPr>
            <w:tcW w:w="1211" w:type="dxa"/>
            <w:shd w:val="clear" w:color="auto" w:fill="DBE5F1" w:themeFill="accent1" w:themeFillTint="33"/>
            <w:noWrap/>
          </w:tcPr>
          <w:p w14:paraId="4590C998" w14:textId="77777777" w:rsidR="00082D54" w:rsidRPr="00D33C2C" w:rsidRDefault="00082D54" w:rsidP="00A67446">
            <w:pPr>
              <w:pStyle w:val="Tabletext"/>
              <w:keepNext/>
              <w:keepLines/>
              <w:jc w:val="center"/>
            </w:pPr>
          </w:p>
        </w:tc>
        <w:tc>
          <w:tcPr>
            <w:tcW w:w="1252" w:type="dxa"/>
            <w:shd w:val="clear" w:color="auto" w:fill="DBE5F1" w:themeFill="accent1" w:themeFillTint="33"/>
            <w:noWrap/>
          </w:tcPr>
          <w:p w14:paraId="5E92AE60" w14:textId="77777777" w:rsidR="00082D54" w:rsidRPr="00D33C2C" w:rsidRDefault="00082D54" w:rsidP="00A67446">
            <w:pPr>
              <w:pStyle w:val="Tabletext"/>
              <w:keepNext/>
              <w:keepLines/>
              <w:jc w:val="center"/>
            </w:pPr>
          </w:p>
        </w:tc>
        <w:tc>
          <w:tcPr>
            <w:tcW w:w="1222" w:type="dxa"/>
            <w:shd w:val="clear" w:color="auto" w:fill="DBE5F1" w:themeFill="accent1" w:themeFillTint="33"/>
            <w:noWrap/>
          </w:tcPr>
          <w:p w14:paraId="3C3870C4" w14:textId="77777777" w:rsidR="00082D54" w:rsidRPr="00D33C2C" w:rsidRDefault="00082D54" w:rsidP="00A67446">
            <w:pPr>
              <w:pStyle w:val="Tabletext"/>
              <w:keepNext/>
              <w:keepLines/>
              <w:jc w:val="center"/>
            </w:pPr>
          </w:p>
        </w:tc>
      </w:tr>
      <w:tr w:rsidR="00082D54" w:rsidRPr="003319BF" w14:paraId="2B953BAC" w14:textId="77777777" w:rsidTr="004F1C05">
        <w:trPr>
          <w:trHeight w:val="207"/>
        </w:trPr>
        <w:tc>
          <w:tcPr>
            <w:tcW w:w="1691" w:type="dxa"/>
            <w:shd w:val="clear" w:color="auto" w:fill="DBE5F1" w:themeFill="accent1" w:themeFillTint="33"/>
            <w:noWrap/>
          </w:tcPr>
          <w:p w14:paraId="4139F867" w14:textId="77777777" w:rsidR="00082D54" w:rsidRDefault="00082D54" w:rsidP="00A67446">
            <w:pPr>
              <w:pStyle w:val="Tabletext"/>
              <w:keepNext/>
              <w:keepLines/>
            </w:pPr>
            <w:r>
              <w:t>Total scripts</w:t>
            </w:r>
          </w:p>
        </w:tc>
        <w:tc>
          <w:tcPr>
            <w:tcW w:w="1220" w:type="dxa"/>
            <w:shd w:val="clear" w:color="auto" w:fill="DBE5F1" w:themeFill="accent1" w:themeFillTint="33"/>
            <w:noWrap/>
          </w:tcPr>
          <w:p w14:paraId="67FB4BE6" w14:textId="017E9550" w:rsidR="00082D54" w:rsidRPr="00AF6B0A" w:rsidRDefault="001549E4" w:rsidP="00A67446">
            <w:pPr>
              <w:pStyle w:val="Tabletext"/>
              <w:keepNext/>
              <w:keepLines/>
              <w:jc w:val="center"/>
              <w:rPr>
                <w:highlight w:val="darkGray"/>
              </w:rPr>
            </w:pPr>
            <w:r w:rsidRPr="001549E4">
              <w:rPr>
                <w:rFonts w:hint="eastAsia"/>
                <w:color w:val="000000"/>
                <w:w w:val="15"/>
                <w:szCs w:val="20"/>
                <w:shd w:val="solid" w:color="000000" w:fill="000000"/>
                <w:fitText w:val="69" w:id="-693990901"/>
                <w14:textFill>
                  <w14:solidFill>
                    <w14:srgbClr w14:val="000000">
                      <w14:alpha w14:val="100000"/>
                    </w14:srgbClr>
                  </w14:solidFill>
                </w14:textFill>
              </w:rPr>
              <w:t xml:space="preserve">　</w:t>
            </w:r>
            <w:r w:rsidRPr="001549E4">
              <w:rPr>
                <w:color w:val="000000"/>
                <w:w w:val="15"/>
                <w:szCs w:val="20"/>
                <w:shd w:val="solid" w:color="000000" w:fill="000000"/>
                <w:fitText w:val="69" w:id="-693990901"/>
                <w14:textFill>
                  <w14:solidFill>
                    <w14:srgbClr w14:val="000000">
                      <w14:alpha w14:val="100000"/>
                    </w14:srgbClr>
                  </w14:solidFill>
                </w14:textFill>
              </w:rPr>
              <w:t>|</w:t>
            </w:r>
            <w:r w:rsidRPr="001549E4">
              <w:rPr>
                <w:rFonts w:hint="eastAsia"/>
                <w:color w:val="000000"/>
                <w:spacing w:val="3"/>
                <w:w w:val="15"/>
                <w:szCs w:val="20"/>
                <w:shd w:val="solid" w:color="000000" w:fill="000000"/>
                <w:fitText w:val="69" w:id="-693990901"/>
                <w14:textFill>
                  <w14:solidFill>
                    <w14:srgbClr w14:val="000000">
                      <w14:alpha w14:val="100000"/>
                    </w14:srgbClr>
                  </w14:solidFill>
                </w14:textFill>
              </w:rPr>
              <w:t xml:space="preserve">　</w:t>
            </w:r>
            <w:r w:rsidR="0068260E" w:rsidRPr="00C8181A">
              <w:rPr>
                <w:vertAlign w:val="superscript"/>
              </w:rPr>
              <w:t>2</w:t>
            </w:r>
          </w:p>
        </w:tc>
        <w:tc>
          <w:tcPr>
            <w:tcW w:w="1211" w:type="dxa"/>
            <w:shd w:val="clear" w:color="auto" w:fill="DBE5F1" w:themeFill="accent1" w:themeFillTint="33"/>
            <w:noWrap/>
          </w:tcPr>
          <w:p w14:paraId="2E9BB782" w14:textId="7746BA87" w:rsidR="00082D54" w:rsidRPr="00AF6B0A" w:rsidRDefault="001549E4" w:rsidP="00A67446">
            <w:pPr>
              <w:pStyle w:val="Tabletext"/>
              <w:keepNext/>
              <w:keepLines/>
              <w:jc w:val="center"/>
              <w:rPr>
                <w:highlight w:val="darkGray"/>
              </w:rPr>
            </w:pPr>
            <w:r w:rsidRPr="001549E4">
              <w:rPr>
                <w:rFonts w:hint="eastAsia"/>
                <w:color w:val="000000"/>
                <w:w w:val="18"/>
                <w:szCs w:val="20"/>
                <w:shd w:val="solid" w:color="000000" w:fill="000000"/>
                <w:fitText w:val="81" w:id="-693990900"/>
                <w14:textFill>
                  <w14:solidFill>
                    <w14:srgbClr w14:val="000000">
                      <w14:alpha w14:val="100000"/>
                    </w14:srgbClr>
                  </w14:solidFill>
                </w14:textFill>
              </w:rPr>
              <w:t xml:space="preserve">　</w:t>
            </w:r>
            <w:r w:rsidRPr="001549E4">
              <w:rPr>
                <w:color w:val="000000"/>
                <w:w w:val="18"/>
                <w:szCs w:val="20"/>
                <w:shd w:val="solid" w:color="000000" w:fill="000000"/>
                <w:fitText w:val="81" w:id="-693990900"/>
                <w14:textFill>
                  <w14:solidFill>
                    <w14:srgbClr w14:val="000000">
                      <w14:alpha w14:val="100000"/>
                    </w14:srgbClr>
                  </w14:solidFill>
                </w14:textFill>
              </w:rPr>
              <w:t>|</w:t>
            </w:r>
            <w:r w:rsidRPr="001549E4">
              <w:rPr>
                <w:rFonts w:hint="eastAsia"/>
                <w:color w:val="000000"/>
                <w:spacing w:val="1"/>
                <w:w w:val="18"/>
                <w:szCs w:val="20"/>
                <w:shd w:val="solid" w:color="000000" w:fill="000000"/>
                <w:fitText w:val="81" w:id="-693990900"/>
                <w14:textFill>
                  <w14:solidFill>
                    <w14:srgbClr w14:val="000000">
                      <w14:alpha w14:val="100000"/>
                    </w14:srgbClr>
                  </w14:solidFill>
                </w14:textFill>
              </w:rPr>
              <w:t xml:space="preserve">　</w:t>
            </w:r>
            <w:r w:rsidR="0068260E" w:rsidRPr="00C8181A">
              <w:rPr>
                <w:vertAlign w:val="superscript"/>
              </w:rPr>
              <w:t>2</w:t>
            </w:r>
          </w:p>
        </w:tc>
        <w:tc>
          <w:tcPr>
            <w:tcW w:w="1210" w:type="dxa"/>
            <w:shd w:val="clear" w:color="auto" w:fill="DBE5F1" w:themeFill="accent1" w:themeFillTint="33"/>
            <w:noWrap/>
          </w:tcPr>
          <w:p w14:paraId="26DBC0DB" w14:textId="1CE0389A" w:rsidR="00082D54" w:rsidRPr="00AF6B0A" w:rsidRDefault="001549E4" w:rsidP="00A67446">
            <w:pPr>
              <w:pStyle w:val="Tabletext"/>
              <w:keepNext/>
              <w:keepLines/>
              <w:jc w:val="center"/>
              <w:rPr>
                <w:highlight w:val="darkGray"/>
              </w:rPr>
            </w:pPr>
            <w:r w:rsidRPr="001549E4">
              <w:rPr>
                <w:rFonts w:hint="eastAsia"/>
                <w:color w:val="000000"/>
                <w:w w:val="18"/>
                <w:szCs w:val="20"/>
                <w:shd w:val="solid" w:color="000000" w:fill="000000"/>
                <w:fitText w:val="81" w:id="-693990899"/>
                <w14:textFill>
                  <w14:solidFill>
                    <w14:srgbClr w14:val="000000">
                      <w14:alpha w14:val="100000"/>
                    </w14:srgbClr>
                  </w14:solidFill>
                </w14:textFill>
              </w:rPr>
              <w:t xml:space="preserve">　</w:t>
            </w:r>
            <w:r w:rsidRPr="001549E4">
              <w:rPr>
                <w:color w:val="000000"/>
                <w:w w:val="18"/>
                <w:szCs w:val="20"/>
                <w:shd w:val="solid" w:color="000000" w:fill="000000"/>
                <w:fitText w:val="81" w:id="-693990899"/>
                <w14:textFill>
                  <w14:solidFill>
                    <w14:srgbClr w14:val="000000">
                      <w14:alpha w14:val="100000"/>
                    </w14:srgbClr>
                  </w14:solidFill>
                </w14:textFill>
              </w:rPr>
              <w:t>|</w:t>
            </w:r>
            <w:r w:rsidRPr="001549E4">
              <w:rPr>
                <w:rFonts w:hint="eastAsia"/>
                <w:color w:val="000000"/>
                <w:spacing w:val="1"/>
                <w:w w:val="18"/>
                <w:szCs w:val="20"/>
                <w:shd w:val="solid" w:color="000000" w:fill="000000"/>
                <w:fitText w:val="81" w:id="-693990899"/>
                <w14:textFill>
                  <w14:solidFill>
                    <w14:srgbClr w14:val="000000">
                      <w14:alpha w14:val="100000"/>
                    </w14:srgbClr>
                  </w14:solidFill>
                </w14:textFill>
              </w:rPr>
              <w:t xml:space="preserve">　</w:t>
            </w:r>
            <w:r w:rsidR="0068260E" w:rsidRPr="00C8181A">
              <w:rPr>
                <w:vertAlign w:val="superscript"/>
              </w:rPr>
              <w:t>2</w:t>
            </w:r>
          </w:p>
        </w:tc>
        <w:tc>
          <w:tcPr>
            <w:tcW w:w="1211" w:type="dxa"/>
            <w:shd w:val="clear" w:color="auto" w:fill="DBE5F1" w:themeFill="accent1" w:themeFillTint="33"/>
            <w:noWrap/>
          </w:tcPr>
          <w:p w14:paraId="5782681A" w14:textId="181B1B6D" w:rsidR="00082D54" w:rsidRPr="00AF6B0A" w:rsidRDefault="001549E4" w:rsidP="00A67446">
            <w:pPr>
              <w:pStyle w:val="Tabletext"/>
              <w:keepNext/>
              <w:keepLines/>
              <w:jc w:val="center"/>
              <w:rPr>
                <w:highlight w:val="darkGray"/>
              </w:rPr>
            </w:pPr>
            <w:r w:rsidRPr="001549E4">
              <w:rPr>
                <w:rFonts w:hint="eastAsia"/>
                <w:color w:val="000000"/>
                <w:w w:val="18"/>
                <w:szCs w:val="20"/>
                <w:shd w:val="solid" w:color="000000" w:fill="000000"/>
                <w:fitText w:val="81" w:id="-693990898"/>
                <w14:textFill>
                  <w14:solidFill>
                    <w14:srgbClr w14:val="000000">
                      <w14:alpha w14:val="100000"/>
                    </w14:srgbClr>
                  </w14:solidFill>
                </w14:textFill>
              </w:rPr>
              <w:t xml:space="preserve">　</w:t>
            </w:r>
            <w:r w:rsidRPr="001549E4">
              <w:rPr>
                <w:color w:val="000000"/>
                <w:w w:val="18"/>
                <w:szCs w:val="20"/>
                <w:shd w:val="solid" w:color="000000" w:fill="000000"/>
                <w:fitText w:val="81" w:id="-693990898"/>
                <w14:textFill>
                  <w14:solidFill>
                    <w14:srgbClr w14:val="000000">
                      <w14:alpha w14:val="100000"/>
                    </w14:srgbClr>
                  </w14:solidFill>
                </w14:textFill>
              </w:rPr>
              <w:t>|</w:t>
            </w:r>
            <w:r w:rsidRPr="001549E4">
              <w:rPr>
                <w:rFonts w:hint="eastAsia"/>
                <w:color w:val="000000"/>
                <w:spacing w:val="1"/>
                <w:w w:val="18"/>
                <w:szCs w:val="20"/>
                <w:shd w:val="solid" w:color="000000" w:fill="000000"/>
                <w:fitText w:val="81" w:id="-693990898"/>
                <w14:textFill>
                  <w14:solidFill>
                    <w14:srgbClr w14:val="000000">
                      <w14:alpha w14:val="100000"/>
                    </w14:srgbClr>
                  </w14:solidFill>
                </w14:textFill>
              </w:rPr>
              <w:t xml:space="preserve">　</w:t>
            </w:r>
            <w:r w:rsidR="0068260E" w:rsidRPr="00C8181A">
              <w:rPr>
                <w:vertAlign w:val="superscript"/>
              </w:rPr>
              <w:t>2</w:t>
            </w:r>
          </w:p>
        </w:tc>
        <w:tc>
          <w:tcPr>
            <w:tcW w:w="1252" w:type="dxa"/>
            <w:shd w:val="clear" w:color="auto" w:fill="DBE5F1" w:themeFill="accent1" w:themeFillTint="33"/>
            <w:noWrap/>
          </w:tcPr>
          <w:p w14:paraId="40E07F6B" w14:textId="76A49B65" w:rsidR="00082D54" w:rsidRPr="00AF6B0A" w:rsidRDefault="001549E4" w:rsidP="00A67446">
            <w:pPr>
              <w:pStyle w:val="Tabletext"/>
              <w:keepNext/>
              <w:keepLines/>
              <w:jc w:val="center"/>
              <w:rPr>
                <w:highlight w:val="darkGray"/>
              </w:rPr>
            </w:pPr>
            <w:r w:rsidRPr="001549E4">
              <w:rPr>
                <w:rFonts w:hint="eastAsia"/>
                <w:color w:val="000000"/>
                <w:w w:val="15"/>
                <w:szCs w:val="20"/>
                <w:shd w:val="solid" w:color="000000" w:fill="000000"/>
                <w:fitText w:val="57" w:id="-693990897"/>
                <w14:textFill>
                  <w14:solidFill>
                    <w14:srgbClr w14:val="000000">
                      <w14:alpha w14:val="100000"/>
                    </w14:srgbClr>
                  </w14:solidFill>
                </w14:textFill>
              </w:rPr>
              <w:t xml:space="preserve">　</w:t>
            </w:r>
            <w:r w:rsidRPr="001549E4">
              <w:rPr>
                <w:color w:val="000000"/>
                <w:w w:val="15"/>
                <w:szCs w:val="20"/>
                <w:shd w:val="solid" w:color="000000" w:fill="000000"/>
                <w:fitText w:val="57" w:id="-693990897"/>
                <w14:textFill>
                  <w14:solidFill>
                    <w14:srgbClr w14:val="000000">
                      <w14:alpha w14:val="100000"/>
                    </w14:srgbClr>
                  </w14:solidFill>
                </w14:textFill>
              </w:rPr>
              <w:t>|</w:t>
            </w:r>
            <w:r w:rsidRPr="001549E4">
              <w:rPr>
                <w:rFonts w:hint="eastAsia"/>
                <w:color w:val="000000"/>
                <w:spacing w:val="-8"/>
                <w:w w:val="15"/>
                <w:szCs w:val="20"/>
                <w:shd w:val="solid" w:color="000000" w:fill="000000"/>
                <w:fitText w:val="57" w:id="-693990897"/>
                <w14:textFill>
                  <w14:solidFill>
                    <w14:srgbClr w14:val="000000">
                      <w14:alpha w14:val="100000"/>
                    </w14:srgbClr>
                  </w14:solidFill>
                </w14:textFill>
              </w:rPr>
              <w:t xml:space="preserve">　</w:t>
            </w:r>
            <w:r w:rsidR="0068260E" w:rsidRPr="00C8181A">
              <w:rPr>
                <w:vertAlign w:val="superscript"/>
              </w:rPr>
              <w:t>2</w:t>
            </w:r>
          </w:p>
        </w:tc>
        <w:tc>
          <w:tcPr>
            <w:tcW w:w="1222" w:type="dxa"/>
            <w:shd w:val="clear" w:color="auto" w:fill="DBE5F1" w:themeFill="accent1" w:themeFillTint="33"/>
            <w:noWrap/>
          </w:tcPr>
          <w:p w14:paraId="7F84FAC4" w14:textId="24034679" w:rsidR="00082D54" w:rsidRPr="00AF6B0A" w:rsidRDefault="001549E4" w:rsidP="00A67446">
            <w:pPr>
              <w:pStyle w:val="Tabletext"/>
              <w:keepNext/>
              <w:keepLines/>
              <w:jc w:val="center"/>
              <w:rPr>
                <w:highlight w:val="darkGray"/>
              </w:rPr>
            </w:pPr>
            <w:r w:rsidRPr="001549E4">
              <w:rPr>
                <w:rFonts w:hint="eastAsia"/>
                <w:color w:val="000000"/>
                <w:w w:val="15"/>
                <w:szCs w:val="20"/>
                <w:shd w:val="solid" w:color="000000" w:fill="000000"/>
                <w:fitText w:val="69" w:id="-693990896"/>
                <w14:textFill>
                  <w14:solidFill>
                    <w14:srgbClr w14:val="000000">
                      <w14:alpha w14:val="100000"/>
                    </w14:srgbClr>
                  </w14:solidFill>
                </w14:textFill>
              </w:rPr>
              <w:t xml:space="preserve">　</w:t>
            </w:r>
            <w:r w:rsidRPr="001549E4">
              <w:rPr>
                <w:color w:val="000000"/>
                <w:w w:val="15"/>
                <w:szCs w:val="20"/>
                <w:shd w:val="solid" w:color="000000" w:fill="000000"/>
                <w:fitText w:val="69" w:id="-693990896"/>
                <w14:textFill>
                  <w14:solidFill>
                    <w14:srgbClr w14:val="000000">
                      <w14:alpha w14:val="100000"/>
                    </w14:srgbClr>
                  </w14:solidFill>
                </w14:textFill>
              </w:rPr>
              <w:t>|</w:t>
            </w:r>
            <w:r w:rsidRPr="001549E4">
              <w:rPr>
                <w:rFonts w:hint="eastAsia"/>
                <w:color w:val="000000"/>
                <w:spacing w:val="3"/>
                <w:w w:val="15"/>
                <w:szCs w:val="20"/>
                <w:shd w:val="solid" w:color="000000" w:fill="000000"/>
                <w:fitText w:val="69" w:id="-693990896"/>
                <w14:textFill>
                  <w14:solidFill>
                    <w14:srgbClr w14:val="000000">
                      <w14:alpha w14:val="100000"/>
                    </w14:srgbClr>
                  </w14:solidFill>
                </w14:textFill>
              </w:rPr>
              <w:t xml:space="preserve">　</w:t>
            </w:r>
            <w:r w:rsidR="0068260E" w:rsidRPr="00C8181A">
              <w:rPr>
                <w:vertAlign w:val="superscript"/>
              </w:rPr>
              <w:t>2</w:t>
            </w:r>
          </w:p>
        </w:tc>
      </w:tr>
      <w:tr w:rsidR="00082D54" w:rsidRPr="003319BF" w14:paraId="076DA824" w14:textId="77777777" w:rsidTr="004F1C05">
        <w:trPr>
          <w:trHeight w:val="207"/>
        </w:trPr>
        <w:tc>
          <w:tcPr>
            <w:tcW w:w="1691" w:type="dxa"/>
            <w:shd w:val="clear" w:color="auto" w:fill="DBE5F1" w:themeFill="accent1" w:themeFillTint="33"/>
            <w:noWrap/>
          </w:tcPr>
          <w:p w14:paraId="171F02BD" w14:textId="77777777" w:rsidR="00082D54" w:rsidRPr="00AC7F3D" w:rsidRDefault="00082D54" w:rsidP="00A67446">
            <w:pPr>
              <w:pStyle w:val="Tabletext"/>
              <w:keepNext/>
              <w:keepLines/>
              <w:rPr>
                <w:b/>
                <w:bCs/>
              </w:rPr>
            </w:pPr>
            <w:r>
              <w:rPr>
                <w:b/>
                <w:bCs/>
              </w:rPr>
              <w:t xml:space="preserve">Net cost to </w:t>
            </w:r>
            <w:r w:rsidRPr="00AC7F3D">
              <w:rPr>
                <w:b/>
                <w:bCs/>
              </w:rPr>
              <w:t>PBS</w:t>
            </w:r>
          </w:p>
        </w:tc>
        <w:tc>
          <w:tcPr>
            <w:tcW w:w="1220" w:type="dxa"/>
            <w:shd w:val="clear" w:color="auto" w:fill="DBE5F1" w:themeFill="accent1" w:themeFillTint="33"/>
            <w:noWrap/>
          </w:tcPr>
          <w:p w14:paraId="1BB8CA8E" w14:textId="77777777" w:rsidR="00082D54" w:rsidRPr="00D33C2C" w:rsidRDefault="00082D54" w:rsidP="00A67446">
            <w:pPr>
              <w:pStyle w:val="Tabletext"/>
              <w:keepNext/>
              <w:keepLines/>
              <w:jc w:val="center"/>
            </w:pPr>
          </w:p>
        </w:tc>
        <w:tc>
          <w:tcPr>
            <w:tcW w:w="1211" w:type="dxa"/>
            <w:shd w:val="clear" w:color="auto" w:fill="DBE5F1" w:themeFill="accent1" w:themeFillTint="33"/>
            <w:noWrap/>
          </w:tcPr>
          <w:p w14:paraId="1B3F5E6A" w14:textId="77777777" w:rsidR="00082D54" w:rsidRPr="00D33C2C" w:rsidRDefault="00082D54" w:rsidP="00A67446">
            <w:pPr>
              <w:pStyle w:val="Tabletext"/>
              <w:keepNext/>
              <w:keepLines/>
              <w:jc w:val="center"/>
            </w:pPr>
          </w:p>
        </w:tc>
        <w:tc>
          <w:tcPr>
            <w:tcW w:w="1210" w:type="dxa"/>
            <w:shd w:val="clear" w:color="auto" w:fill="DBE5F1" w:themeFill="accent1" w:themeFillTint="33"/>
            <w:noWrap/>
          </w:tcPr>
          <w:p w14:paraId="6915BE27" w14:textId="77777777" w:rsidR="00082D54" w:rsidRPr="00D33C2C" w:rsidRDefault="00082D54" w:rsidP="00A67446">
            <w:pPr>
              <w:pStyle w:val="Tabletext"/>
              <w:keepNext/>
              <w:keepLines/>
              <w:jc w:val="center"/>
            </w:pPr>
          </w:p>
        </w:tc>
        <w:tc>
          <w:tcPr>
            <w:tcW w:w="1211" w:type="dxa"/>
            <w:shd w:val="clear" w:color="auto" w:fill="DBE5F1" w:themeFill="accent1" w:themeFillTint="33"/>
            <w:noWrap/>
          </w:tcPr>
          <w:p w14:paraId="022CE079" w14:textId="77777777" w:rsidR="00082D54" w:rsidRPr="00D33C2C" w:rsidRDefault="00082D54" w:rsidP="00A67446">
            <w:pPr>
              <w:pStyle w:val="Tabletext"/>
              <w:keepNext/>
              <w:keepLines/>
              <w:jc w:val="center"/>
            </w:pPr>
          </w:p>
        </w:tc>
        <w:tc>
          <w:tcPr>
            <w:tcW w:w="1252" w:type="dxa"/>
            <w:shd w:val="clear" w:color="auto" w:fill="DBE5F1" w:themeFill="accent1" w:themeFillTint="33"/>
            <w:noWrap/>
          </w:tcPr>
          <w:p w14:paraId="0EAC3091" w14:textId="77777777" w:rsidR="00082D54" w:rsidRPr="00D33C2C" w:rsidRDefault="00082D54" w:rsidP="00A67446">
            <w:pPr>
              <w:pStyle w:val="Tabletext"/>
              <w:keepNext/>
              <w:keepLines/>
              <w:jc w:val="center"/>
            </w:pPr>
          </w:p>
        </w:tc>
        <w:tc>
          <w:tcPr>
            <w:tcW w:w="1222" w:type="dxa"/>
            <w:shd w:val="clear" w:color="auto" w:fill="DBE5F1" w:themeFill="accent1" w:themeFillTint="33"/>
            <w:noWrap/>
          </w:tcPr>
          <w:p w14:paraId="7ECFDD67" w14:textId="77777777" w:rsidR="00082D54" w:rsidRPr="00D33C2C" w:rsidRDefault="00082D54" w:rsidP="00A67446">
            <w:pPr>
              <w:pStyle w:val="Tabletext"/>
              <w:keepNext/>
              <w:keepLines/>
              <w:jc w:val="center"/>
            </w:pPr>
          </w:p>
        </w:tc>
      </w:tr>
      <w:tr w:rsidR="00082D54" w:rsidRPr="003319BF" w14:paraId="679C8395" w14:textId="77777777" w:rsidTr="004F1C05">
        <w:trPr>
          <w:trHeight w:val="207"/>
        </w:trPr>
        <w:tc>
          <w:tcPr>
            <w:tcW w:w="1691" w:type="dxa"/>
            <w:shd w:val="clear" w:color="auto" w:fill="DBE5F1" w:themeFill="accent1" w:themeFillTint="33"/>
            <w:noWrap/>
          </w:tcPr>
          <w:p w14:paraId="14D819F7" w14:textId="77777777" w:rsidR="00082D54" w:rsidRDefault="00082D54" w:rsidP="00A67446">
            <w:pPr>
              <w:pStyle w:val="Tabletext"/>
              <w:keepNext/>
              <w:keepLines/>
            </w:pPr>
            <w:r w:rsidRPr="003319BF">
              <w:t>Odevixibat</w:t>
            </w:r>
          </w:p>
        </w:tc>
        <w:tc>
          <w:tcPr>
            <w:tcW w:w="1220" w:type="dxa"/>
            <w:shd w:val="clear" w:color="auto" w:fill="DBE5F1" w:themeFill="accent1" w:themeFillTint="33"/>
            <w:noWrap/>
          </w:tcPr>
          <w:p w14:paraId="4168C4A4" w14:textId="25B79EFE" w:rsidR="00082D54"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0912"/>
                <w14:textFill>
                  <w14:solidFill>
                    <w14:srgbClr w14:val="000000">
                      <w14:alpha w14:val="100000"/>
                    </w14:srgbClr>
                  </w14:solidFill>
                </w14:textFill>
              </w:rPr>
              <w:t xml:space="preserve">　</w:t>
            </w:r>
            <w:r w:rsidRPr="001549E4">
              <w:rPr>
                <w:color w:val="000000"/>
                <w:w w:val="15"/>
                <w:shd w:val="solid" w:color="000000" w:fill="000000"/>
                <w:fitText w:val="69" w:id="-693990912"/>
                <w14:textFill>
                  <w14:solidFill>
                    <w14:srgbClr w14:val="000000">
                      <w14:alpha w14:val="100000"/>
                    </w14:srgbClr>
                  </w14:solidFill>
                </w14:textFill>
              </w:rPr>
              <w:t>|</w:t>
            </w:r>
            <w:r w:rsidRPr="001549E4">
              <w:rPr>
                <w:rFonts w:hint="eastAsia"/>
                <w:color w:val="000000"/>
                <w:spacing w:val="3"/>
                <w:w w:val="15"/>
                <w:shd w:val="solid" w:color="000000" w:fill="000000"/>
                <w:fitText w:val="69" w:id="-693990912"/>
                <w14:textFill>
                  <w14:solidFill>
                    <w14:srgbClr w14:val="000000">
                      <w14:alpha w14:val="100000"/>
                    </w14:srgbClr>
                  </w14:solidFill>
                </w14:textFill>
              </w:rPr>
              <w:t xml:space="preserve">　</w:t>
            </w:r>
            <w:r w:rsidR="00603DD9" w:rsidRPr="00603DD9">
              <w:rPr>
                <w:vertAlign w:val="superscript"/>
              </w:rPr>
              <w:t>4</w:t>
            </w:r>
          </w:p>
        </w:tc>
        <w:tc>
          <w:tcPr>
            <w:tcW w:w="1211" w:type="dxa"/>
            <w:shd w:val="clear" w:color="auto" w:fill="DBE5F1" w:themeFill="accent1" w:themeFillTint="33"/>
            <w:noWrap/>
          </w:tcPr>
          <w:p w14:paraId="6B4C8BFC" w14:textId="20379781" w:rsidR="00082D54"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0911"/>
                <w14:textFill>
                  <w14:solidFill>
                    <w14:srgbClr w14:val="000000">
                      <w14:alpha w14:val="100000"/>
                    </w14:srgbClr>
                  </w14:solidFill>
                </w14:textFill>
              </w:rPr>
              <w:t xml:space="preserve">　</w:t>
            </w:r>
            <w:r w:rsidRPr="001549E4">
              <w:rPr>
                <w:color w:val="000000"/>
                <w:w w:val="18"/>
                <w:shd w:val="solid" w:color="000000" w:fill="000000"/>
                <w:fitText w:val="81" w:id="-693990911"/>
                <w14:textFill>
                  <w14:solidFill>
                    <w14:srgbClr w14:val="000000">
                      <w14:alpha w14:val="100000"/>
                    </w14:srgbClr>
                  </w14:solidFill>
                </w14:textFill>
              </w:rPr>
              <w:t>|</w:t>
            </w:r>
            <w:r w:rsidRPr="001549E4">
              <w:rPr>
                <w:rFonts w:hint="eastAsia"/>
                <w:color w:val="000000"/>
                <w:spacing w:val="1"/>
                <w:w w:val="18"/>
                <w:shd w:val="solid" w:color="000000" w:fill="000000"/>
                <w:fitText w:val="81" w:id="-693990911"/>
                <w14:textFill>
                  <w14:solidFill>
                    <w14:srgbClr w14:val="000000">
                      <w14:alpha w14:val="100000"/>
                    </w14:srgbClr>
                  </w14:solidFill>
                </w14:textFill>
              </w:rPr>
              <w:t xml:space="preserve">　</w:t>
            </w:r>
            <w:r w:rsidR="00303EAF" w:rsidRPr="00303EAF">
              <w:rPr>
                <w:vertAlign w:val="superscript"/>
              </w:rPr>
              <w:t>6</w:t>
            </w:r>
          </w:p>
        </w:tc>
        <w:tc>
          <w:tcPr>
            <w:tcW w:w="1210" w:type="dxa"/>
            <w:shd w:val="clear" w:color="auto" w:fill="DBE5F1" w:themeFill="accent1" w:themeFillTint="33"/>
            <w:noWrap/>
          </w:tcPr>
          <w:p w14:paraId="72A33C87" w14:textId="7F6582B3" w:rsidR="00082D54"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0910"/>
                <w14:textFill>
                  <w14:solidFill>
                    <w14:srgbClr w14:val="000000">
                      <w14:alpha w14:val="100000"/>
                    </w14:srgbClr>
                  </w14:solidFill>
                </w14:textFill>
              </w:rPr>
              <w:t xml:space="preserve">　</w:t>
            </w:r>
            <w:r w:rsidRPr="001549E4">
              <w:rPr>
                <w:color w:val="000000"/>
                <w:w w:val="18"/>
                <w:shd w:val="solid" w:color="000000" w:fill="000000"/>
                <w:fitText w:val="81" w:id="-693990910"/>
                <w14:textFill>
                  <w14:solidFill>
                    <w14:srgbClr w14:val="000000">
                      <w14:alpha w14:val="100000"/>
                    </w14:srgbClr>
                  </w14:solidFill>
                </w14:textFill>
              </w:rPr>
              <w:t>|</w:t>
            </w:r>
            <w:r w:rsidRPr="001549E4">
              <w:rPr>
                <w:rFonts w:hint="eastAsia"/>
                <w:color w:val="000000"/>
                <w:spacing w:val="1"/>
                <w:w w:val="18"/>
                <w:shd w:val="solid" w:color="000000" w:fill="000000"/>
                <w:fitText w:val="81" w:id="-693990910"/>
                <w14:textFill>
                  <w14:solidFill>
                    <w14:srgbClr w14:val="000000">
                      <w14:alpha w14:val="100000"/>
                    </w14:srgbClr>
                  </w14:solidFill>
                </w14:textFill>
              </w:rPr>
              <w:t xml:space="preserve">　</w:t>
            </w:r>
            <w:r w:rsidR="00303EAF" w:rsidRPr="00303EAF">
              <w:rPr>
                <w:vertAlign w:val="superscript"/>
              </w:rPr>
              <w:t>6</w:t>
            </w:r>
          </w:p>
        </w:tc>
        <w:tc>
          <w:tcPr>
            <w:tcW w:w="1211" w:type="dxa"/>
            <w:shd w:val="clear" w:color="auto" w:fill="DBE5F1" w:themeFill="accent1" w:themeFillTint="33"/>
            <w:noWrap/>
          </w:tcPr>
          <w:p w14:paraId="7B55FC27" w14:textId="7B05079D" w:rsidR="00082D54"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0909"/>
                <w14:textFill>
                  <w14:solidFill>
                    <w14:srgbClr w14:val="000000">
                      <w14:alpha w14:val="100000"/>
                    </w14:srgbClr>
                  </w14:solidFill>
                </w14:textFill>
              </w:rPr>
              <w:t xml:space="preserve">　</w:t>
            </w:r>
            <w:r w:rsidRPr="001549E4">
              <w:rPr>
                <w:color w:val="000000"/>
                <w:w w:val="18"/>
                <w:shd w:val="solid" w:color="000000" w:fill="000000"/>
                <w:fitText w:val="81" w:id="-693990909"/>
                <w14:textFill>
                  <w14:solidFill>
                    <w14:srgbClr w14:val="000000">
                      <w14:alpha w14:val="100000"/>
                    </w14:srgbClr>
                  </w14:solidFill>
                </w14:textFill>
              </w:rPr>
              <w:t>|</w:t>
            </w:r>
            <w:r w:rsidRPr="001549E4">
              <w:rPr>
                <w:rFonts w:hint="eastAsia"/>
                <w:color w:val="000000"/>
                <w:spacing w:val="1"/>
                <w:w w:val="18"/>
                <w:shd w:val="solid" w:color="000000" w:fill="000000"/>
                <w:fitText w:val="81" w:id="-693990909"/>
                <w14:textFill>
                  <w14:solidFill>
                    <w14:srgbClr w14:val="000000">
                      <w14:alpha w14:val="100000"/>
                    </w14:srgbClr>
                  </w14:solidFill>
                </w14:textFill>
              </w:rPr>
              <w:t xml:space="preserve">　</w:t>
            </w:r>
            <w:r w:rsidR="00303EAF" w:rsidRPr="00303EAF">
              <w:rPr>
                <w:vertAlign w:val="superscript"/>
              </w:rPr>
              <w:t>6</w:t>
            </w:r>
          </w:p>
        </w:tc>
        <w:tc>
          <w:tcPr>
            <w:tcW w:w="1252" w:type="dxa"/>
            <w:shd w:val="clear" w:color="auto" w:fill="DBE5F1" w:themeFill="accent1" w:themeFillTint="33"/>
            <w:noWrap/>
          </w:tcPr>
          <w:p w14:paraId="2CB760C6" w14:textId="240320E1" w:rsidR="00082D54"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57" w:id="-693990908"/>
                <w14:textFill>
                  <w14:solidFill>
                    <w14:srgbClr w14:val="000000">
                      <w14:alpha w14:val="100000"/>
                    </w14:srgbClr>
                  </w14:solidFill>
                </w14:textFill>
              </w:rPr>
              <w:t xml:space="preserve">　</w:t>
            </w:r>
            <w:r w:rsidRPr="001549E4">
              <w:rPr>
                <w:color w:val="000000"/>
                <w:w w:val="15"/>
                <w:shd w:val="solid" w:color="000000" w:fill="000000"/>
                <w:fitText w:val="57" w:id="-693990908"/>
                <w14:textFill>
                  <w14:solidFill>
                    <w14:srgbClr w14:val="000000">
                      <w14:alpha w14:val="100000"/>
                    </w14:srgbClr>
                  </w14:solidFill>
                </w14:textFill>
              </w:rPr>
              <w:t>|</w:t>
            </w:r>
            <w:r w:rsidRPr="001549E4">
              <w:rPr>
                <w:rFonts w:hint="eastAsia"/>
                <w:color w:val="000000"/>
                <w:spacing w:val="-8"/>
                <w:w w:val="15"/>
                <w:shd w:val="solid" w:color="000000" w:fill="000000"/>
                <w:fitText w:val="57" w:id="-693990908"/>
                <w14:textFill>
                  <w14:solidFill>
                    <w14:srgbClr w14:val="000000">
                      <w14:alpha w14:val="100000"/>
                    </w14:srgbClr>
                  </w14:solidFill>
                </w14:textFill>
              </w:rPr>
              <w:t xml:space="preserve">　</w:t>
            </w:r>
            <w:r w:rsidR="00303EAF" w:rsidRPr="00303EAF">
              <w:rPr>
                <w:vertAlign w:val="superscript"/>
              </w:rPr>
              <w:t>6</w:t>
            </w:r>
          </w:p>
        </w:tc>
        <w:tc>
          <w:tcPr>
            <w:tcW w:w="1222" w:type="dxa"/>
            <w:shd w:val="clear" w:color="auto" w:fill="DBE5F1" w:themeFill="accent1" w:themeFillTint="33"/>
            <w:noWrap/>
          </w:tcPr>
          <w:p w14:paraId="12086878" w14:textId="0F131DF9" w:rsidR="00082D54"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0907"/>
                <w14:textFill>
                  <w14:solidFill>
                    <w14:srgbClr w14:val="000000">
                      <w14:alpha w14:val="100000"/>
                    </w14:srgbClr>
                  </w14:solidFill>
                </w14:textFill>
              </w:rPr>
              <w:t xml:space="preserve">　</w:t>
            </w:r>
            <w:r w:rsidRPr="001549E4">
              <w:rPr>
                <w:color w:val="000000"/>
                <w:w w:val="15"/>
                <w:shd w:val="solid" w:color="000000" w:fill="000000"/>
                <w:fitText w:val="69" w:id="-693990907"/>
                <w14:textFill>
                  <w14:solidFill>
                    <w14:srgbClr w14:val="000000">
                      <w14:alpha w14:val="100000"/>
                    </w14:srgbClr>
                  </w14:solidFill>
                </w14:textFill>
              </w:rPr>
              <w:t>|</w:t>
            </w:r>
            <w:r w:rsidRPr="001549E4">
              <w:rPr>
                <w:rFonts w:hint="eastAsia"/>
                <w:color w:val="000000"/>
                <w:spacing w:val="3"/>
                <w:w w:val="15"/>
                <w:shd w:val="solid" w:color="000000" w:fill="000000"/>
                <w:fitText w:val="69" w:id="-693990907"/>
                <w14:textFill>
                  <w14:solidFill>
                    <w14:srgbClr w14:val="000000">
                      <w14:alpha w14:val="100000"/>
                    </w14:srgbClr>
                  </w14:solidFill>
                </w14:textFill>
              </w:rPr>
              <w:t xml:space="preserve">　</w:t>
            </w:r>
            <w:r w:rsidR="00603DD9" w:rsidRPr="00603DD9">
              <w:rPr>
                <w:vertAlign w:val="superscript"/>
              </w:rPr>
              <w:t>4</w:t>
            </w:r>
          </w:p>
        </w:tc>
      </w:tr>
      <w:tr w:rsidR="00082D54" w:rsidRPr="003319BF" w14:paraId="13C4BEFC" w14:textId="77777777" w:rsidTr="004F1C05">
        <w:trPr>
          <w:trHeight w:val="207"/>
        </w:trPr>
        <w:tc>
          <w:tcPr>
            <w:tcW w:w="1691" w:type="dxa"/>
            <w:shd w:val="clear" w:color="auto" w:fill="DBE5F1" w:themeFill="accent1" w:themeFillTint="33"/>
            <w:noWrap/>
          </w:tcPr>
          <w:p w14:paraId="7A70C99C" w14:textId="77777777" w:rsidR="00082D54" w:rsidRDefault="00082D54" w:rsidP="00A67446">
            <w:pPr>
              <w:pStyle w:val="Tabletext"/>
              <w:keepNext/>
              <w:keepLines/>
            </w:pPr>
            <w:r w:rsidRPr="003319BF">
              <w:t>Other medicines</w:t>
            </w:r>
          </w:p>
        </w:tc>
        <w:tc>
          <w:tcPr>
            <w:tcW w:w="1220" w:type="dxa"/>
            <w:shd w:val="clear" w:color="auto" w:fill="DBE5F1" w:themeFill="accent1" w:themeFillTint="33"/>
            <w:noWrap/>
          </w:tcPr>
          <w:p w14:paraId="53F367BF" w14:textId="7FBC3B50" w:rsidR="00082D54"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0906"/>
                <w14:textFill>
                  <w14:solidFill>
                    <w14:srgbClr w14:val="000000">
                      <w14:alpha w14:val="100000"/>
                    </w14:srgbClr>
                  </w14:solidFill>
                </w14:textFill>
              </w:rPr>
              <w:t xml:space="preserve">　</w:t>
            </w:r>
            <w:r w:rsidRPr="001549E4">
              <w:rPr>
                <w:color w:val="000000"/>
                <w:w w:val="15"/>
                <w:shd w:val="solid" w:color="000000" w:fill="000000"/>
                <w:fitText w:val="69" w:id="-693990906"/>
                <w14:textFill>
                  <w14:solidFill>
                    <w14:srgbClr w14:val="000000">
                      <w14:alpha w14:val="100000"/>
                    </w14:srgbClr>
                  </w14:solidFill>
                </w14:textFill>
              </w:rPr>
              <w:t>|</w:t>
            </w:r>
            <w:r w:rsidRPr="001549E4">
              <w:rPr>
                <w:rFonts w:hint="eastAsia"/>
                <w:color w:val="000000"/>
                <w:spacing w:val="3"/>
                <w:w w:val="15"/>
                <w:shd w:val="solid" w:color="000000" w:fill="000000"/>
                <w:fitText w:val="69" w:id="-693990906"/>
                <w14:textFill>
                  <w14:solidFill>
                    <w14:srgbClr w14:val="000000">
                      <w14:alpha w14:val="100000"/>
                    </w14:srgbClr>
                  </w14:solidFill>
                </w14:textFill>
              </w:rPr>
              <w:t xml:space="preserve">　</w:t>
            </w:r>
            <w:r w:rsidR="00DA196C" w:rsidRPr="00AC54B3">
              <w:rPr>
                <w:vertAlign w:val="superscript"/>
              </w:rPr>
              <w:t>5</w:t>
            </w:r>
          </w:p>
        </w:tc>
        <w:tc>
          <w:tcPr>
            <w:tcW w:w="1211" w:type="dxa"/>
            <w:shd w:val="clear" w:color="auto" w:fill="DBE5F1" w:themeFill="accent1" w:themeFillTint="33"/>
            <w:noWrap/>
          </w:tcPr>
          <w:p w14:paraId="3BDFF0D0" w14:textId="0F721E4F" w:rsidR="00082D54"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0905"/>
                <w14:textFill>
                  <w14:solidFill>
                    <w14:srgbClr w14:val="000000">
                      <w14:alpha w14:val="100000"/>
                    </w14:srgbClr>
                  </w14:solidFill>
                </w14:textFill>
              </w:rPr>
              <w:t xml:space="preserve">　</w:t>
            </w:r>
            <w:r w:rsidRPr="001549E4">
              <w:rPr>
                <w:color w:val="000000"/>
                <w:w w:val="18"/>
                <w:shd w:val="solid" w:color="000000" w:fill="000000"/>
                <w:fitText w:val="81" w:id="-693990905"/>
                <w14:textFill>
                  <w14:solidFill>
                    <w14:srgbClr w14:val="000000">
                      <w14:alpha w14:val="100000"/>
                    </w14:srgbClr>
                  </w14:solidFill>
                </w14:textFill>
              </w:rPr>
              <w:t>|</w:t>
            </w:r>
            <w:r w:rsidRPr="001549E4">
              <w:rPr>
                <w:rFonts w:hint="eastAsia"/>
                <w:color w:val="000000"/>
                <w:spacing w:val="1"/>
                <w:w w:val="18"/>
                <w:shd w:val="solid" w:color="000000" w:fill="000000"/>
                <w:fitText w:val="81" w:id="-693990905"/>
                <w14:textFill>
                  <w14:solidFill>
                    <w14:srgbClr w14:val="000000">
                      <w14:alpha w14:val="100000"/>
                    </w14:srgbClr>
                  </w14:solidFill>
                </w14:textFill>
              </w:rPr>
              <w:t xml:space="preserve">　</w:t>
            </w:r>
            <w:r w:rsidR="00DA196C" w:rsidRPr="00AC54B3">
              <w:rPr>
                <w:vertAlign w:val="superscript"/>
              </w:rPr>
              <w:t>5</w:t>
            </w:r>
          </w:p>
        </w:tc>
        <w:tc>
          <w:tcPr>
            <w:tcW w:w="1210" w:type="dxa"/>
            <w:shd w:val="clear" w:color="auto" w:fill="DBE5F1" w:themeFill="accent1" w:themeFillTint="33"/>
            <w:noWrap/>
          </w:tcPr>
          <w:p w14:paraId="19264105" w14:textId="67DDE37B" w:rsidR="00082D54"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0904"/>
                <w14:textFill>
                  <w14:solidFill>
                    <w14:srgbClr w14:val="000000">
                      <w14:alpha w14:val="100000"/>
                    </w14:srgbClr>
                  </w14:solidFill>
                </w14:textFill>
              </w:rPr>
              <w:t xml:space="preserve">　</w:t>
            </w:r>
            <w:r w:rsidRPr="001549E4">
              <w:rPr>
                <w:color w:val="000000"/>
                <w:w w:val="18"/>
                <w:shd w:val="solid" w:color="000000" w:fill="000000"/>
                <w:fitText w:val="81" w:id="-693990904"/>
                <w14:textFill>
                  <w14:solidFill>
                    <w14:srgbClr w14:val="000000">
                      <w14:alpha w14:val="100000"/>
                    </w14:srgbClr>
                  </w14:solidFill>
                </w14:textFill>
              </w:rPr>
              <w:t>|</w:t>
            </w:r>
            <w:r w:rsidRPr="001549E4">
              <w:rPr>
                <w:rFonts w:hint="eastAsia"/>
                <w:color w:val="000000"/>
                <w:spacing w:val="1"/>
                <w:w w:val="18"/>
                <w:shd w:val="solid" w:color="000000" w:fill="000000"/>
                <w:fitText w:val="81" w:id="-693990904"/>
                <w14:textFill>
                  <w14:solidFill>
                    <w14:srgbClr w14:val="000000">
                      <w14:alpha w14:val="100000"/>
                    </w14:srgbClr>
                  </w14:solidFill>
                </w14:textFill>
              </w:rPr>
              <w:t xml:space="preserve">　</w:t>
            </w:r>
            <w:r w:rsidR="00DA196C" w:rsidRPr="00AC54B3">
              <w:rPr>
                <w:vertAlign w:val="superscript"/>
              </w:rPr>
              <w:t>5</w:t>
            </w:r>
          </w:p>
        </w:tc>
        <w:tc>
          <w:tcPr>
            <w:tcW w:w="1211" w:type="dxa"/>
            <w:shd w:val="clear" w:color="auto" w:fill="DBE5F1" w:themeFill="accent1" w:themeFillTint="33"/>
            <w:noWrap/>
          </w:tcPr>
          <w:p w14:paraId="6B990E0B" w14:textId="6D476EAD" w:rsidR="00082D54" w:rsidRPr="00AF6B0A" w:rsidRDefault="001549E4" w:rsidP="00A67446">
            <w:pPr>
              <w:pStyle w:val="Tabletext"/>
              <w:keepNext/>
              <w:keepLines/>
              <w:jc w:val="center"/>
              <w:rPr>
                <w:b/>
                <w:bCs/>
                <w:highlight w:val="darkGray"/>
              </w:rPr>
            </w:pPr>
            <w:r w:rsidRPr="001549E4">
              <w:rPr>
                <w:rFonts w:hint="eastAsia"/>
                <w:color w:val="000000"/>
                <w:w w:val="18"/>
                <w:shd w:val="solid" w:color="000000" w:fill="000000"/>
                <w:fitText w:val="81" w:id="-693990903"/>
                <w14:textFill>
                  <w14:solidFill>
                    <w14:srgbClr w14:val="000000">
                      <w14:alpha w14:val="100000"/>
                    </w14:srgbClr>
                  </w14:solidFill>
                </w14:textFill>
              </w:rPr>
              <w:t xml:space="preserve">　</w:t>
            </w:r>
            <w:r w:rsidRPr="001549E4">
              <w:rPr>
                <w:color w:val="000000"/>
                <w:w w:val="18"/>
                <w:shd w:val="solid" w:color="000000" w:fill="000000"/>
                <w:fitText w:val="81" w:id="-693990903"/>
                <w14:textFill>
                  <w14:solidFill>
                    <w14:srgbClr w14:val="000000">
                      <w14:alpha w14:val="100000"/>
                    </w14:srgbClr>
                  </w14:solidFill>
                </w14:textFill>
              </w:rPr>
              <w:t>|</w:t>
            </w:r>
            <w:r w:rsidRPr="001549E4">
              <w:rPr>
                <w:rFonts w:hint="eastAsia"/>
                <w:color w:val="000000"/>
                <w:spacing w:val="1"/>
                <w:w w:val="18"/>
                <w:shd w:val="solid" w:color="000000" w:fill="000000"/>
                <w:fitText w:val="81" w:id="-693990903"/>
                <w14:textFill>
                  <w14:solidFill>
                    <w14:srgbClr w14:val="000000">
                      <w14:alpha w14:val="100000"/>
                    </w14:srgbClr>
                  </w14:solidFill>
                </w14:textFill>
              </w:rPr>
              <w:t xml:space="preserve">　</w:t>
            </w:r>
            <w:r w:rsidR="00DA196C" w:rsidRPr="00AC54B3">
              <w:rPr>
                <w:vertAlign w:val="superscript"/>
              </w:rPr>
              <w:t>5</w:t>
            </w:r>
          </w:p>
        </w:tc>
        <w:tc>
          <w:tcPr>
            <w:tcW w:w="1252" w:type="dxa"/>
            <w:shd w:val="clear" w:color="auto" w:fill="DBE5F1" w:themeFill="accent1" w:themeFillTint="33"/>
            <w:noWrap/>
          </w:tcPr>
          <w:p w14:paraId="69BCA2CC" w14:textId="6AF2EC0C" w:rsidR="00082D54"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57" w:id="-693990902"/>
                <w14:textFill>
                  <w14:solidFill>
                    <w14:srgbClr w14:val="000000">
                      <w14:alpha w14:val="100000"/>
                    </w14:srgbClr>
                  </w14:solidFill>
                </w14:textFill>
              </w:rPr>
              <w:t xml:space="preserve">　</w:t>
            </w:r>
            <w:r w:rsidRPr="001549E4">
              <w:rPr>
                <w:color w:val="000000"/>
                <w:w w:val="15"/>
                <w:shd w:val="solid" w:color="000000" w:fill="000000"/>
                <w:fitText w:val="57" w:id="-693990902"/>
                <w14:textFill>
                  <w14:solidFill>
                    <w14:srgbClr w14:val="000000">
                      <w14:alpha w14:val="100000"/>
                    </w14:srgbClr>
                  </w14:solidFill>
                </w14:textFill>
              </w:rPr>
              <w:t>|</w:t>
            </w:r>
            <w:r w:rsidRPr="001549E4">
              <w:rPr>
                <w:rFonts w:hint="eastAsia"/>
                <w:color w:val="000000"/>
                <w:spacing w:val="-8"/>
                <w:w w:val="15"/>
                <w:shd w:val="solid" w:color="000000" w:fill="000000"/>
                <w:fitText w:val="57" w:id="-693990902"/>
                <w14:textFill>
                  <w14:solidFill>
                    <w14:srgbClr w14:val="000000">
                      <w14:alpha w14:val="100000"/>
                    </w14:srgbClr>
                  </w14:solidFill>
                </w14:textFill>
              </w:rPr>
              <w:t xml:space="preserve">　</w:t>
            </w:r>
            <w:r w:rsidR="00DA196C" w:rsidRPr="00AC54B3">
              <w:rPr>
                <w:vertAlign w:val="superscript"/>
              </w:rPr>
              <w:t>5</w:t>
            </w:r>
          </w:p>
        </w:tc>
        <w:tc>
          <w:tcPr>
            <w:tcW w:w="1222" w:type="dxa"/>
            <w:shd w:val="clear" w:color="auto" w:fill="DBE5F1" w:themeFill="accent1" w:themeFillTint="33"/>
            <w:noWrap/>
          </w:tcPr>
          <w:p w14:paraId="04BE4E0B" w14:textId="3151C023" w:rsidR="00082D54" w:rsidRPr="00AF6B0A" w:rsidRDefault="001549E4" w:rsidP="00A67446">
            <w:pPr>
              <w:pStyle w:val="Tabletext"/>
              <w:keepNext/>
              <w:keepLines/>
              <w:jc w:val="center"/>
              <w:rPr>
                <w:b/>
                <w:bCs/>
                <w:highlight w:val="darkGray"/>
              </w:rPr>
            </w:pPr>
            <w:r w:rsidRPr="001549E4">
              <w:rPr>
                <w:rFonts w:hint="eastAsia"/>
                <w:color w:val="000000"/>
                <w:w w:val="15"/>
                <w:shd w:val="solid" w:color="000000" w:fill="000000"/>
                <w:fitText w:val="69" w:id="-693990901"/>
                <w14:textFill>
                  <w14:solidFill>
                    <w14:srgbClr w14:val="000000">
                      <w14:alpha w14:val="100000"/>
                    </w14:srgbClr>
                  </w14:solidFill>
                </w14:textFill>
              </w:rPr>
              <w:t xml:space="preserve">　</w:t>
            </w:r>
            <w:r w:rsidRPr="001549E4">
              <w:rPr>
                <w:color w:val="000000"/>
                <w:w w:val="15"/>
                <w:shd w:val="solid" w:color="000000" w:fill="000000"/>
                <w:fitText w:val="69" w:id="-693990901"/>
                <w14:textFill>
                  <w14:solidFill>
                    <w14:srgbClr w14:val="000000">
                      <w14:alpha w14:val="100000"/>
                    </w14:srgbClr>
                  </w14:solidFill>
                </w14:textFill>
              </w:rPr>
              <w:t>|</w:t>
            </w:r>
            <w:r w:rsidRPr="001549E4">
              <w:rPr>
                <w:rFonts w:hint="eastAsia"/>
                <w:color w:val="000000"/>
                <w:spacing w:val="3"/>
                <w:w w:val="15"/>
                <w:shd w:val="solid" w:color="000000" w:fill="000000"/>
                <w:fitText w:val="69" w:id="-693990901"/>
                <w14:textFill>
                  <w14:solidFill>
                    <w14:srgbClr w14:val="000000">
                      <w14:alpha w14:val="100000"/>
                    </w14:srgbClr>
                  </w14:solidFill>
                </w14:textFill>
              </w:rPr>
              <w:t xml:space="preserve">　</w:t>
            </w:r>
            <w:r w:rsidR="00DA196C" w:rsidRPr="00AC54B3">
              <w:rPr>
                <w:vertAlign w:val="superscript"/>
              </w:rPr>
              <w:t>5</w:t>
            </w:r>
          </w:p>
        </w:tc>
      </w:tr>
      <w:tr w:rsidR="00082D54" w:rsidRPr="003319BF" w14:paraId="2BFA07AD" w14:textId="77777777" w:rsidTr="004F1C05">
        <w:trPr>
          <w:trHeight w:val="207"/>
        </w:trPr>
        <w:tc>
          <w:tcPr>
            <w:tcW w:w="1691" w:type="dxa"/>
            <w:shd w:val="clear" w:color="auto" w:fill="DBE5F1" w:themeFill="accent1" w:themeFillTint="33"/>
            <w:noWrap/>
          </w:tcPr>
          <w:p w14:paraId="7DDF8BDB" w14:textId="77777777" w:rsidR="00082D54" w:rsidRDefault="00082D54" w:rsidP="00A67446">
            <w:pPr>
              <w:pStyle w:val="Tabletext"/>
              <w:keepNext/>
              <w:keepLines/>
            </w:pPr>
            <w:r>
              <w:t>Net impact to PBS</w:t>
            </w:r>
          </w:p>
        </w:tc>
        <w:tc>
          <w:tcPr>
            <w:tcW w:w="1220" w:type="dxa"/>
            <w:shd w:val="clear" w:color="auto" w:fill="DBE5F1" w:themeFill="accent1" w:themeFillTint="33"/>
            <w:noWrap/>
          </w:tcPr>
          <w:p w14:paraId="04054740" w14:textId="326F5247" w:rsidR="00082D54" w:rsidRPr="00AF6B0A" w:rsidRDefault="001549E4" w:rsidP="00A67446">
            <w:pPr>
              <w:pStyle w:val="Tabletext"/>
              <w:keepNext/>
              <w:keepLines/>
              <w:jc w:val="center"/>
              <w:rPr>
                <w:b/>
                <w:bCs/>
                <w:highlight w:val="darkGray"/>
              </w:rPr>
            </w:pPr>
            <w:r w:rsidRPr="001549E4">
              <w:rPr>
                <w:rFonts w:hint="eastAsia"/>
                <w:b/>
                <w:bCs/>
                <w:color w:val="000000"/>
                <w:w w:val="28"/>
                <w:shd w:val="solid" w:color="000000" w:fill="000000"/>
                <w:fitText w:val="126" w:id="-693990900"/>
                <w14:textFill>
                  <w14:solidFill>
                    <w14:srgbClr w14:val="000000">
                      <w14:alpha w14:val="100000"/>
                    </w14:srgbClr>
                  </w14:solidFill>
                </w14:textFill>
              </w:rPr>
              <w:t xml:space="preserve">　</w:t>
            </w:r>
            <w:r w:rsidRPr="001549E4">
              <w:rPr>
                <w:b/>
                <w:bCs/>
                <w:color w:val="000000"/>
                <w:w w:val="28"/>
                <w:shd w:val="solid" w:color="000000" w:fill="000000"/>
                <w:fitText w:val="126" w:id="-693990900"/>
                <w14:textFill>
                  <w14:solidFill>
                    <w14:srgbClr w14:val="000000">
                      <w14:alpha w14:val="100000"/>
                    </w14:srgbClr>
                  </w14:solidFill>
                </w14:textFill>
              </w:rPr>
              <w:t>|</w:t>
            </w:r>
            <w:r w:rsidRPr="001549E4">
              <w:rPr>
                <w:rFonts w:hint="eastAsia"/>
                <w:b/>
                <w:bCs/>
                <w:color w:val="000000"/>
                <w:spacing w:val="3"/>
                <w:w w:val="28"/>
                <w:shd w:val="solid" w:color="000000" w:fill="000000"/>
                <w:fitText w:val="126" w:id="-693990900"/>
                <w14:textFill>
                  <w14:solidFill>
                    <w14:srgbClr w14:val="000000">
                      <w14:alpha w14:val="100000"/>
                    </w14:srgbClr>
                  </w14:solidFill>
                </w14:textFill>
              </w:rPr>
              <w:t xml:space="preserve">　</w:t>
            </w:r>
            <w:r w:rsidR="00603DD9" w:rsidRPr="00603DD9">
              <w:rPr>
                <w:vertAlign w:val="superscript"/>
              </w:rPr>
              <w:t>4</w:t>
            </w:r>
          </w:p>
        </w:tc>
        <w:tc>
          <w:tcPr>
            <w:tcW w:w="1211" w:type="dxa"/>
            <w:shd w:val="clear" w:color="auto" w:fill="DBE5F1" w:themeFill="accent1" w:themeFillTint="33"/>
            <w:noWrap/>
          </w:tcPr>
          <w:p w14:paraId="598B0AEF" w14:textId="1FA87DDA" w:rsidR="00082D54" w:rsidRPr="00AF6B0A" w:rsidRDefault="001549E4" w:rsidP="00A67446">
            <w:pPr>
              <w:pStyle w:val="Tabletext"/>
              <w:keepNext/>
              <w:keepLines/>
              <w:jc w:val="center"/>
              <w:rPr>
                <w:b/>
                <w:bCs/>
                <w:highlight w:val="darkGray"/>
              </w:rPr>
            </w:pPr>
            <w:r w:rsidRPr="001549E4">
              <w:rPr>
                <w:rFonts w:hint="eastAsia"/>
                <w:b/>
                <w:bCs/>
                <w:color w:val="000000"/>
                <w:w w:val="28"/>
                <w:shd w:val="solid" w:color="000000" w:fill="000000"/>
                <w:fitText w:val="127" w:id="-693990899"/>
                <w14:textFill>
                  <w14:solidFill>
                    <w14:srgbClr w14:val="000000">
                      <w14:alpha w14:val="100000"/>
                    </w14:srgbClr>
                  </w14:solidFill>
                </w14:textFill>
              </w:rPr>
              <w:t xml:space="preserve">　</w:t>
            </w:r>
            <w:r w:rsidRPr="001549E4">
              <w:rPr>
                <w:b/>
                <w:bCs/>
                <w:color w:val="000000"/>
                <w:w w:val="28"/>
                <w:shd w:val="solid" w:color="000000" w:fill="000000"/>
                <w:fitText w:val="127" w:id="-693990899"/>
                <w14:textFill>
                  <w14:solidFill>
                    <w14:srgbClr w14:val="000000">
                      <w14:alpha w14:val="100000"/>
                    </w14:srgbClr>
                  </w14:solidFill>
                </w14:textFill>
              </w:rPr>
              <w:t>|</w:t>
            </w:r>
            <w:r w:rsidRPr="001549E4">
              <w:rPr>
                <w:rFonts w:hint="eastAsia"/>
                <w:b/>
                <w:bCs/>
                <w:color w:val="000000"/>
                <w:spacing w:val="4"/>
                <w:w w:val="28"/>
                <w:shd w:val="solid" w:color="000000" w:fill="000000"/>
                <w:fitText w:val="127" w:id="-693990899"/>
                <w14:textFill>
                  <w14:solidFill>
                    <w14:srgbClr w14:val="000000">
                      <w14:alpha w14:val="100000"/>
                    </w14:srgbClr>
                  </w14:solidFill>
                </w14:textFill>
              </w:rPr>
              <w:t xml:space="preserve">　</w:t>
            </w:r>
            <w:r w:rsidR="00303EAF" w:rsidRPr="00303EAF">
              <w:rPr>
                <w:vertAlign w:val="superscript"/>
              </w:rPr>
              <w:t>6</w:t>
            </w:r>
          </w:p>
        </w:tc>
        <w:tc>
          <w:tcPr>
            <w:tcW w:w="1210" w:type="dxa"/>
            <w:shd w:val="clear" w:color="auto" w:fill="DBE5F1" w:themeFill="accent1" w:themeFillTint="33"/>
            <w:noWrap/>
          </w:tcPr>
          <w:p w14:paraId="462F64DD" w14:textId="093F73C2" w:rsidR="00082D54" w:rsidRPr="00AF6B0A" w:rsidRDefault="001549E4" w:rsidP="00A67446">
            <w:pPr>
              <w:pStyle w:val="Tabletext"/>
              <w:keepNext/>
              <w:keepLines/>
              <w:jc w:val="center"/>
              <w:rPr>
                <w:b/>
                <w:bCs/>
                <w:highlight w:val="darkGray"/>
              </w:rPr>
            </w:pPr>
            <w:r w:rsidRPr="001549E4">
              <w:rPr>
                <w:rFonts w:hint="eastAsia"/>
                <w:b/>
                <w:bCs/>
                <w:color w:val="000000"/>
                <w:w w:val="28"/>
                <w:shd w:val="solid" w:color="000000" w:fill="000000"/>
                <w:fitText w:val="127" w:id="-693990898"/>
                <w14:textFill>
                  <w14:solidFill>
                    <w14:srgbClr w14:val="000000">
                      <w14:alpha w14:val="100000"/>
                    </w14:srgbClr>
                  </w14:solidFill>
                </w14:textFill>
              </w:rPr>
              <w:t xml:space="preserve">　</w:t>
            </w:r>
            <w:r w:rsidRPr="001549E4">
              <w:rPr>
                <w:b/>
                <w:bCs/>
                <w:color w:val="000000"/>
                <w:w w:val="28"/>
                <w:shd w:val="solid" w:color="000000" w:fill="000000"/>
                <w:fitText w:val="127" w:id="-693990898"/>
                <w14:textFill>
                  <w14:solidFill>
                    <w14:srgbClr w14:val="000000">
                      <w14:alpha w14:val="100000"/>
                    </w14:srgbClr>
                  </w14:solidFill>
                </w14:textFill>
              </w:rPr>
              <w:t>|</w:t>
            </w:r>
            <w:r w:rsidRPr="001549E4">
              <w:rPr>
                <w:rFonts w:hint="eastAsia"/>
                <w:b/>
                <w:bCs/>
                <w:color w:val="000000"/>
                <w:spacing w:val="4"/>
                <w:w w:val="28"/>
                <w:shd w:val="solid" w:color="000000" w:fill="000000"/>
                <w:fitText w:val="127" w:id="-693990898"/>
                <w14:textFill>
                  <w14:solidFill>
                    <w14:srgbClr w14:val="000000">
                      <w14:alpha w14:val="100000"/>
                    </w14:srgbClr>
                  </w14:solidFill>
                </w14:textFill>
              </w:rPr>
              <w:t xml:space="preserve">　</w:t>
            </w:r>
            <w:r w:rsidR="00303EAF" w:rsidRPr="00303EAF">
              <w:rPr>
                <w:vertAlign w:val="superscript"/>
              </w:rPr>
              <w:t>6</w:t>
            </w:r>
          </w:p>
        </w:tc>
        <w:tc>
          <w:tcPr>
            <w:tcW w:w="1211" w:type="dxa"/>
            <w:shd w:val="clear" w:color="auto" w:fill="DBE5F1" w:themeFill="accent1" w:themeFillTint="33"/>
            <w:noWrap/>
          </w:tcPr>
          <w:p w14:paraId="233D5DA9" w14:textId="6368644F" w:rsidR="00082D54" w:rsidRPr="00AF6B0A" w:rsidRDefault="001549E4" w:rsidP="00A67446">
            <w:pPr>
              <w:pStyle w:val="Tabletext"/>
              <w:keepNext/>
              <w:keepLines/>
              <w:jc w:val="center"/>
              <w:rPr>
                <w:b/>
                <w:bCs/>
                <w:highlight w:val="darkGray"/>
              </w:rPr>
            </w:pPr>
            <w:r w:rsidRPr="001549E4">
              <w:rPr>
                <w:rFonts w:hint="eastAsia"/>
                <w:b/>
                <w:bCs/>
                <w:color w:val="000000"/>
                <w:w w:val="28"/>
                <w:shd w:val="solid" w:color="000000" w:fill="000000"/>
                <w:fitText w:val="126" w:id="-693990897"/>
                <w14:textFill>
                  <w14:solidFill>
                    <w14:srgbClr w14:val="000000">
                      <w14:alpha w14:val="100000"/>
                    </w14:srgbClr>
                  </w14:solidFill>
                </w14:textFill>
              </w:rPr>
              <w:t xml:space="preserve">　</w:t>
            </w:r>
            <w:r w:rsidRPr="001549E4">
              <w:rPr>
                <w:b/>
                <w:bCs/>
                <w:color w:val="000000"/>
                <w:w w:val="28"/>
                <w:shd w:val="solid" w:color="000000" w:fill="000000"/>
                <w:fitText w:val="126" w:id="-693990897"/>
                <w14:textFill>
                  <w14:solidFill>
                    <w14:srgbClr w14:val="000000">
                      <w14:alpha w14:val="100000"/>
                    </w14:srgbClr>
                  </w14:solidFill>
                </w14:textFill>
              </w:rPr>
              <w:t>|</w:t>
            </w:r>
            <w:r w:rsidRPr="001549E4">
              <w:rPr>
                <w:rFonts w:hint="eastAsia"/>
                <w:b/>
                <w:bCs/>
                <w:color w:val="000000"/>
                <w:spacing w:val="3"/>
                <w:w w:val="28"/>
                <w:shd w:val="solid" w:color="000000" w:fill="000000"/>
                <w:fitText w:val="126" w:id="-693990897"/>
                <w14:textFill>
                  <w14:solidFill>
                    <w14:srgbClr w14:val="000000">
                      <w14:alpha w14:val="100000"/>
                    </w14:srgbClr>
                  </w14:solidFill>
                </w14:textFill>
              </w:rPr>
              <w:t xml:space="preserve">　</w:t>
            </w:r>
            <w:r w:rsidR="00303EAF" w:rsidRPr="00303EAF">
              <w:rPr>
                <w:vertAlign w:val="superscript"/>
              </w:rPr>
              <w:t>6</w:t>
            </w:r>
          </w:p>
        </w:tc>
        <w:tc>
          <w:tcPr>
            <w:tcW w:w="1252" w:type="dxa"/>
            <w:shd w:val="clear" w:color="auto" w:fill="DBE5F1" w:themeFill="accent1" w:themeFillTint="33"/>
            <w:noWrap/>
          </w:tcPr>
          <w:p w14:paraId="043EDB0A" w14:textId="2582D0E3" w:rsidR="00082D54" w:rsidRPr="00AF6B0A" w:rsidRDefault="001549E4" w:rsidP="00A67446">
            <w:pPr>
              <w:pStyle w:val="Tabletext"/>
              <w:keepNext/>
              <w:keepLines/>
              <w:jc w:val="center"/>
              <w:rPr>
                <w:b/>
                <w:bCs/>
                <w:highlight w:val="darkGray"/>
              </w:rPr>
            </w:pPr>
            <w:r w:rsidRPr="001549E4">
              <w:rPr>
                <w:rFonts w:hint="eastAsia"/>
                <w:b/>
                <w:bCs/>
                <w:color w:val="000000"/>
                <w:w w:val="23"/>
                <w:shd w:val="solid" w:color="000000" w:fill="000000"/>
                <w:fitText w:val="104" w:id="-693990896"/>
                <w14:textFill>
                  <w14:solidFill>
                    <w14:srgbClr w14:val="000000">
                      <w14:alpha w14:val="100000"/>
                    </w14:srgbClr>
                  </w14:solidFill>
                </w14:textFill>
              </w:rPr>
              <w:t xml:space="preserve">　</w:t>
            </w:r>
            <w:r w:rsidRPr="001549E4">
              <w:rPr>
                <w:b/>
                <w:bCs/>
                <w:color w:val="000000"/>
                <w:w w:val="23"/>
                <w:shd w:val="solid" w:color="000000" w:fill="000000"/>
                <w:fitText w:val="104" w:id="-693990896"/>
                <w14:textFill>
                  <w14:solidFill>
                    <w14:srgbClr w14:val="000000">
                      <w14:alpha w14:val="100000"/>
                    </w14:srgbClr>
                  </w14:solidFill>
                </w14:textFill>
              </w:rPr>
              <w:t>|</w:t>
            </w:r>
            <w:r w:rsidRPr="001549E4">
              <w:rPr>
                <w:rFonts w:hint="eastAsia"/>
                <w:b/>
                <w:bCs/>
                <w:color w:val="000000"/>
                <w:spacing w:val="2"/>
                <w:w w:val="23"/>
                <w:shd w:val="solid" w:color="000000" w:fill="000000"/>
                <w:fitText w:val="104" w:id="-693990896"/>
                <w14:textFill>
                  <w14:solidFill>
                    <w14:srgbClr w14:val="000000">
                      <w14:alpha w14:val="100000"/>
                    </w14:srgbClr>
                  </w14:solidFill>
                </w14:textFill>
              </w:rPr>
              <w:t xml:space="preserve">　</w:t>
            </w:r>
            <w:r w:rsidR="00303EAF" w:rsidRPr="00303EAF">
              <w:rPr>
                <w:vertAlign w:val="superscript"/>
              </w:rPr>
              <w:t>6</w:t>
            </w:r>
          </w:p>
        </w:tc>
        <w:tc>
          <w:tcPr>
            <w:tcW w:w="1222" w:type="dxa"/>
            <w:shd w:val="clear" w:color="auto" w:fill="DBE5F1" w:themeFill="accent1" w:themeFillTint="33"/>
            <w:noWrap/>
          </w:tcPr>
          <w:p w14:paraId="7A65BC69" w14:textId="4274B019" w:rsidR="00082D54" w:rsidRPr="00AF6B0A" w:rsidRDefault="001549E4" w:rsidP="00A67446">
            <w:pPr>
              <w:pStyle w:val="Tabletext"/>
              <w:keepNext/>
              <w:keepLines/>
              <w:jc w:val="center"/>
              <w:rPr>
                <w:b/>
                <w:bCs/>
                <w:highlight w:val="darkGray"/>
              </w:rPr>
            </w:pPr>
            <w:r w:rsidRPr="006F5FAE">
              <w:rPr>
                <w:rFonts w:hint="eastAsia"/>
                <w:b/>
                <w:bCs/>
                <w:color w:val="000000"/>
                <w:w w:val="25"/>
                <w:shd w:val="solid" w:color="000000" w:fill="000000"/>
                <w:fitText w:val="115" w:id="-693990912"/>
                <w14:textFill>
                  <w14:solidFill>
                    <w14:srgbClr w14:val="000000">
                      <w14:alpha w14:val="100000"/>
                    </w14:srgbClr>
                  </w14:solidFill>
                </w14:textFill>
              </w:rPr>
              <w:t xml:space="preserve">　</w:t>
            </w:r>
            <w:r w:rsidRPr="006F5FAE">
              <w:rPr>
                <w:b/>
                <w:bCs/>
                <w:color w:val="000000"/>
                <w:w w:val="25"/>
                <w:shd w:val="solid" w:color="000000" w:fill="000000"/>
                <w:fitText w:val="115" w:id="-693990912"/>
                <w14:textFill>
                  <w14:solidFill>
                    <w14:srgbClr w14:val="000000">
                      <w14:alpha w14:val="100000"/>
                    </w14:srgbClr>
                  </w14:solidFill>
                </w14:textFill>
              </w:rPr>
              <w:t>|</w:t>
            </w:r>
            <w:r w:rsidRPr="006F5FAE">
              <w:rPr>
                <w:rFonts w:hint="eastAsia"/>
                <w:b/>
                <w:bCs/>
                <w:color w:val="000000"/>
                <w:spacing w:val="3"/>
                <w:w w:val="25"/>
                <w:shd w:val="solid" w:color="000000" w:fill="000000"/>
                <w:fitText w:val="115" w:id="-693990912"/>
                <w14:textFill>
                  <w14:solidFill>
                    <w14:srgbClr w14:val="000000">
                      <w14:alpha w14:val="100000"/>
                    </w14:srgbClr>
                  </w14:solidFill>
                </w14:textFill>
              </w:rPr>
              <w:t xml:space="preserve">　</w:t>
            </w:r>
            <w:r w:rsidR="00603DD9" w:rsidRPr="00603DD9">
              <w:rPr>
                <w:vertAlign w:val="superscript"/>
              </w:rPr>
              <w:t>4</w:t>
            </w:r>
          </w:p>
        </w:tc>
      </w:tr>
    </w:tbl>
    <w:p w14:paraId="6320D580" w14:textId="77BA59F6" w:rsidR="00B94758" w:rsidRPr="007D7938" w:rsidRDefault="00B94758" w:rsidP="00A67446">
      <w:pPr>
        <w:keepNext/>
        <w:keepLines/>
        <w:jc w:val="left"/>
        <w:rPr>
          <w:rFonts w:ascii="Arial Narrow" w:hAnsi="Arial Narrow"/>
          <w:sz w:val="18"/>
          <w:szCs w:val="18"/>
        </w:rPr>
      </w:pPr>
      <w:r w:rsidRPr="007D7938">
        <w:rPr>
          <w:rFonts w:ascii="Arial Narrow" w:hAnsi="Arial Narrow"/>
          <w:sz w:val="18"/>
          <w:szCs w:val="18"/>
        </w:rPr>
        <w:t xml:space="preserve">Source: Table </w:t>
      </w:r>
      <w:r w:rsidR="00B05929">
        <w:rPr>
          <w:rFonts w:ascii="Arial Narrow" w:hAnsi="Arial Narrow"/>
          <w:sz w:val="18"/>
          <w:szCs w:val="18"/>
        </w:rPr>
        <w:t xml:space="preserve">4-2 and </w:t>
      </w:r>
      <w:r w:rsidRPr="007D7938">
        <w:rPr>
          <w:rFonts w:ascii="Arial Narrow" w:hAnsi="Arial Narrow"/>
          <w:sz w:val="18"/>
          <w:szCs w:val="18"/>
        </w:rPr>
        <w:t>4-5, p67 of the resubmission</w:t>
      </w:r>
      <w:r w:rsidR="00B05929">
        <w:rPr>
          <w:rFonts w:ascii="Arial Narrow" w:hAnsi="Arial Narrow"/>
          <w:sz w:val="18"/>
          <w:szCs w:val="18"/>
        </w:rPr>
        <w:t xml:space="preserve">. </w:t>
      </w:r>
      <w:r w:rsidR="00B05929" w:rsidRPr="00B05929">
        <w:rPr>
          <w:rFonts w:ascii="Arial Narrow" w:hAnsi="Arial Narrow"/>
          <w:sz w:val="18"/>
          <w:szCs w:val="18"/>
        </w:rPr>
        <w:t>Table 22, p45 odevixibat PSD, July 2024 PBAC Meeting.</w:t>
      </w:r>
      <w:r w:rsidRPr="007D7938">
        <w:rPr>
          <w:rFonts w:ascii="Arial Narrow" w:hAnsi="Arial Narrow"/>
          <w:sz w:val="18"/>
          <w:szCs w:val="18"/>
        </w:rPr>
        <w:br/>
        <w:t>Abbreviations: PBS = pharmaceutical benefits scheme; RPBS = repatriation pharmaceutical benefits scheme</w:t>
      </w:r>
      <w:r w:rsidRPr="007D7938">
        <w:rPr>
          <w:rFonts w:ascii="Arial Narrow" w:hAnsi="Arial Narrow"/>
          <w:sz w:val="18"/>
          <w:szCs w:val="18"/>
        </w:rPr>
        <w:br/>
        <w:t xml:space="preserve">Note: </w:t>
      </w:r>
      <w:r w:rsidRPr="0066355F">
        <w:rPr>
          <w:rFonts w:ascii="Arial Narrow" w:hAnsi="Arial Narrow"/>
          <w:sz w:val="18"/>
          <w:szCs w:val="18"/>
        </w:rPr>
        <w:t xml:space="preserve">The resubmission appeared to have used the weight distribution of an 18 year old in year 6 of the incident patient dosage estimates. This was corrected during evaluation (Cell K210:K218 returned to July 2024 values). </w:t>
      </w:r>
      <w:r w:rsidRPr="007D7938">
        <w:rPr>
          <w:rFonts w:ascii="Arial Narrow" w:hAnsi="Arial Narrow"/>
          <w:sz w:val="18"/>
          <w:szCs w:val="18"/>
        </w:rPr>
        <w:br/>
      </w:r>
      <w:proofErr w:type="spellStart"/>
      <w:r w:rsidRPr="00B94758">
        <w:rPr>
          <w:rFonts w:ascii="Arial Narrow" w:hAnsi="Arial Narrow"/>
          <w:sz w:val="18"/>
          <w:szCs w:val="18"/>
          <w:vertAlign w:val="superscript"/>
        </w:rPr>
        <w:t>a</w:t>
      </w:r>
      <w:proofErr w:type="spellEnd"/>
      <w:r w:rsidRPr="007D7938">
        <w:rPr>
          <w:rFonts w:ascii="Arial Narrow" w:hAnsi="Arial Narrow"/>
          <w:sz w:val="18"/>
          <w:szCs w:val="18"/>
        </w:rPr>
        <w:t xml:space="preserve"> </w:t>
      </w:r>
      <w:r w:rsidR="006B6357" w:rsidRPr="00ED0AAB">
        <w:rPr>
          <w:rFonts w:ascii="Arial Narrow" w:hAnsi="Arial Narrow"/>
          <w:sz w:val="18"/>
          <w:szCs w:val="18"/>
        </w:rPr>
        <w:t xml:space="preserve">During the evaluation, </w:t>
      </w:r>
      <w:r w:rsidR="006B6357">
        <w:rPr>
          <w:rFonts w:ascii="Arial Narrow" w:hAnsi="Arial Narrow"/>
          <w:sz w:val="18"/>
          <w:szCs w:val="18"/>
        </w:rPr>
        <w:t>it was noted that there was an error in the financial workbook</w:t>
      </w:r>
      <w:r w:rsidR="006B6357" w:rsidRPr="00ED0AAB">
        <w:rPr>
          <w:rFonts w:ascii="Arial Narrow" w:hAnsi="Arial Narrow"/>
          <w:sz w:val="18"/>
          <w:szCs w:val="18"/>
        </w:rPr>
        <w:t xml:space="preserve"> in regard to the duration of treatment groups</w:t>
      </w:r>
      <w:r w:rsidR="006B6357">
        <w:rPr>
          <w:rFonts w:ascii="Arial Narrow" w:hAnsi="Arial Narrow"/>
          <w:sz w:val="18"/>
          <w:szCs w:val="18"/>
        </w:rPr>
        <w:t xml:space="preserve"> for affected medicines which was corrected</w:t>
      </w:r>
      <w:r w:rsidR="00C43C83">
        <w:rPr>
          <w:rFonts w:ascii="Arial Narrow" w:hAnsi="Arial Narrow"/>
          <w:sz w:val="18"/>
          <w:szCs w:val="18"/>
        </w:rPr>
        <w:t xml:space="preserve"> </w:t>
      </w:r>
    </w:p>
    <w:p w14:paraId="562DB400" w14:textId="029FE13A" w:rsidR="00404D38" w:rsidRDefault="00AC7F3D" w:rsidP="00A67446">
      <w:pPr>
        <w:pStyle w:val="FooterTableFigure"/>
        <w:keepNext/>
        <w:keepLines/>
      </w:pPr>
      <w:r>
        <w:rPr>
          <w:vertAlign w:val="superscript"/>
        </w:rPr>
        <w:t>b</w:t>
      </w:r>
      <w:r w:rsidR="00404D38" w:rsidRPr="0098262F">
        <w:t xml:space="preserve"> Assuming </w:t>
      </w:r>
      <w:r w:rsidR="00E65B13">
        <w:t xml:space="preserve">&lt;500 </w:t>
      </w:r>
      <w:r>
        <w:t xml:space="preserve">or </w:t>
      </w:r>
      <w:r w:rsidR="00E65B13">
        <w:t xml:space="preserve">&lt;500 </w:t>
      </w:r>
      <w:r>
        <w:t xml:space="preserve">scripts per year for incident and prevalent patients respectively, treated with the 200mcg and 400mcg capsules; and </w:t>
      </w:r>
      <w:r w:rsidR="00E65B13">
        <w:t xml:space="preserve">&lt;500 </w:t>
      </w:r>
      <w:r>
        <w:t xml:space="preserve">or </w:t>
      </w:r>
      <w:r w:rsidR="00E65B13">
        <w:t xml:space="preserve">&lt;500 </w:t>
      </w:r>
      <w:r>
        <w:t xml:space="preserve">scripts per year for incident and prevalent patients respectively, treated with the 400mcg and 1200mcg capsules. </w:t>
      </w:r>
      <w:r w:rsidRPr="00AC7F3D">
        <w:t xml:space="preserve">Initial and continuing treatment durations of </w:t>
      </w:r>
      <w:r w:rsidR="00F963B8">
        <w:t>3</w:t>
      </w:r>
      <w:r w:rsidRPr="00AC7F3D">
        <w:t xml:space="preserve"> and 72 months, respectively</w:t>
      </w:r>
      <w:r w:rsidR="00F963B8">
        <w:t xml:space="preserve"> were assumed.</w:t>
      </w:r>
    </w:p>
    <w:p w14:paraId="330D2643" w14:textId="05BAE3A7" w:rsidR="005E20C1" w:rsidRDefault="0098785E" w:rsidP="00A67446">
      <w:pPr>
        <w:pStyle w:val="FooterTableFigure"/>
        <w:keepNext/>
        <w:keepLines/>
      </w:pPr>
      <w:r w:rsidRPr="0098785E">
        <w:rPr>
          <w:vertAlign w:val="superscript"/>
        </w:rPr>
        <w:t xml:space="preserve">c </w:t>
      </w:r>
      <w:r w:rsidR="00E65B13">
        <w:t>&lt;500</w:t>
      </w:r>
      <w:r w:rsidR="00E65B13" w:rsidRPr="0098785E">
        <w:t xml:space="preserve"> </w:t>
      </w:r>
      <w:r w:rsidRPr="0098785E">
        <w:t>patients treated with 40</w:t>
      </w:r>
      <w:r w:rsidR="0017081E">
        <w:rPr>
          <w:vertAlign w:val="superscript"/>
        </w:rPr>
        <w:t> </w:t>
      </w:r>
      <w:r w:rsidR="0017081E" w:rsidRPr="00CF4409">
        <w:t>mcg</w:t>
      </w:r>
      <w:r>
        <w:t>/k</w:t>
      </w:r>
      <w:r w:rsidR="002128C8">
        <w:t>g</w:t>
      </w:r>
      <w:r>
        <w:t xml:space="preserve">/day, </w:t>
      </w:r>
      <w:r w:rsidR="00E65B13">
        <w:t xml:space="preserve">&lt;500 </w:t>
      </w:r>
      <w:r>
        <w:t>patients treated with 120</w:t>
      </w:r>
      <w:r w:rsidR="0017081E">
        <w:t> mcg</w:t>
      </w:r>
      <w:r>
        <w:t xml:space="preserve">/kg/day and </w:t>
      </w:r>
      <w:r w:rsidR="00E65B13">
        <w:t xml:space="preserve">&lt;500 </w:t>
      </w:r>
      <w:r>
        <w:t>patients treated with 120</w:t>
      </w:r>
      <w:r w:rsidR="0017081E">
        <w:t> mcg</w:t>
      </w:r>
      <w:r>
        <w:t xml:space="preserve">/kg/day but </w:t>
      </w:r>
      <w:r w:rsidR="003F0759">
        <w:t>d</w:t>
      </w:r>
      <w:r>
        <w:t xml:space="preserve">o not respond. </w:t>
      </w:r>
    </w:p>
    <w:p w14:paraId="61D442C0" w14:textId="5024E90B" w:rsidR="005E20C1" w:rsidRPr="00105C0D" w:rsidRDefault="005E20C1" w:rsidP="00A67446">
      <w:pPr>
        <w:pStyle w:val="FooterTableFigure"/>
        <w:keepNext/>
        <w:keepLines/>
        <w:rPr>
          <w:i/>
          <w:iCs/>
        </w:rPr>
      </w:pPr>
      <w:r w:rsidRPr="00105C0D">
        <w:rPr>
          <w:i/>
          <w:iCs/>
        </w:rPr>
        <w:t xml:space="preserve">The redacted values correspond to the following ranges: </w:t>
      </w:r>
    </w:p>
    <w:p w14:paraId="2711B8C3" w14:textId="77777777" w:rsidR="005E20C1" w:rsidRPr="00105C0D" w:rsidRDefault="005E20C1" w:rsidP="00A67446">
      <w:pPr>
        <w:pStyle w:val="FooterTableFigure"/>
        <w:keepNext/>
        <w:keepLines/>
        <w:rPr>
          <w:i/>
          <w:iCs/>
        </w:rPr>
      </w:pPr>
      <w:r w:rsidRPr="00105C0D">
        <w:rPr>
          <w:i/>
          <w:iCs/>
          <w:vertAlign w:val="superscript"/>
        </w:rPr>
        <w:t>1</w:t>
      </w:r>
      <w:r w:rsidRPr="00105C0D">
        <w:rPr>
          <w:i/>
          <w:iCs/>
        </w:rPr>
        <w:t xml:space="preserve"> &lt; 500</w:t>
      </w:r>
    </w:p>
    <w:p w14:paraId="4409B5FA" w14:textId="77777777" w:rsidR="004A5FBE" w:rsidRPr="00105C0D" w:rsidRDefault="005E20C1" w:rsidP="00A67446">
      <w:pPr>
        <w:pStyle w:val="FooterTableFigure"/>
        <w:keepNext/>
        <w:keepLines/>
        <w:rPr>
          <w:i/>
          <w:iCs/>
        </w:rPr>
      </w:pPr>
      <w:r w:rsidRPr="00105C0D">
        <w:rPr>
          <w:i/>
          <w:iCs/>
          <w:vertAlign w:val="superscript"/>
        </w:rPr>
        <w:t>2</w:t>
      </w:r>
      <w:r w:rsidRPr="00105C0D">
        <w:rPr>
          <w:i/>
          <w:iCs/>
        </w:rPr>
        <w:t xml:space="preserve"> 500 to &lt; 5000</w:t>
      </w:r>
      <w:r w:rsidR="004A5FBE" w:rsidRPr="00105C0D">
        <w:rPr>
          <w:i/>
          <w:iCs/>
        </w:rPr>
        <w:t xml:space="preserve"> </w:t>
      </w:r>
    </w:p>
    <w:p w14:paraId="53691692" w14:textId="77777777" w:rsidR="00AC54B3" w:rsidRPr="00105C0D" w:rsidRDefault="004A5FBE" w:rsidP="005E20C1">
      <w:pPr>
        <w:pStyle w:val="FooterTableFigure"/>
        <w:rPr>
          <w:i/>
          <w:iCs/>
        </w:rPr>
      </w:pPr>
      <w:r w:rsidRPr="00105C0D">
        <w:rPr>
          <w:i/>
          <w:iCs/>
          <w:vertAlign w:val="superscript"/>
        </w:rPr>
        <w:t>3</w:t>
      </w:r>
      <w:r w:rsidRPr="00105C0D">
        <w:rPr>
          <w:i/>
          <w:iCs/>
        </w:rPr>
        <w:t xml:space="preserve"> $20 million to &lt; $30 million</w:t>
      </w:r>
      <w:r w:rsidR="00AC54B3" w:rsidRPr="00105C0D">
        <w:rPr>
          <w:i/>
          <w:iCs/>
        </w:rPr>
        <w:t xml:space="preserve"> </w:t>
      </w:r>
    </w:p>
    <w:p w14:paraId="0A1E3782" w14:textId="77777777" w:rsidR="000969C6" w:rsidRPr="00105C0D" w:rsidRDefault="00AC54B3" w:rsidP="000969C6">
      <w:pPr>
        <w:pStyle w:val="FooterTableFigure"/>
        <w:rPr>
          <w:i/>
          <w:iCs/>
        </w:rPr>
      </w:pPr>
      <w:r w:rsidRPr="00105C0D">
        <w:rPr>
          <w:i/>
          <w:iCs/>
          <w:vertAlign w:val="superscript"/>
        </w:rPr>
        <w:t>4</w:t>
      </w:r>
      <w:r w:rsidRPr="00105C0D">
        <w:rPr>
          <w:i/>
          <w:iCs/>
        </w:rPr>
        <w:t xml:space="preserve"> $10 million to &lt; $20 million</w:t>
      </w:r>
      <w:r w:rsidR="000969C6" w:rsidRPr="00105C0D">
        <w:rPr>
          <w:i/>
          <w:iCs/>
        </w:rPr>
        <w:t xml:space="preserve"> </w:t>
      </w:r>
    </w:p>
    <w:p w14:paraId="77992F38" w14:textId="47FE8417" w:rsidR="000969C6" w:rsidRPr="00105C0D" w:rsidRDefault="000969C6" w:rsidP="000969C6">
      <w:pPr>
        <w:pStyle w:val="FooterTableFigure"/>
        <w:rPr>
          <w:i/>
          <w:iCs/>
        </w:rPr>
      </w:pPr>
      <w:r w:rsidRPr="00105C0D">
        <w:rPr>
          <w:i/>
          <w:iCs/>
          <w:vertAlign w:val="superscript"/>
        </w:rPr>
        <w:t>5</w:t>
      </w:r>
      <w:r w:rsidRPr="00105C0D">
        <w:rPr>
          <w:i/>
          <w:iCs/>
        </w:rPr>
        <w:t xml:space="preserve"> net cost saving</w:t>
      </w:r>
    </w:p>
    <w:p w14:paraId="59FE0205" w14:textId="4CA6A832" w:rsidR="0098785E" w:rsidRPr="00105C0D" w:rsidRDefault="000969C6" w:rsidP="000969C6">
      <w:pPr>
        <w:pStyle w:val="FooterTableFigure"/>
        <w:rPr>
          <w:i/>
          <w:iCs/>
        </w:rPr>
      </w:pPr>
      <w:r w:rsidRPr="00105C0D">
        <w:rPr>
          <w:i/>
          <w:iCs/>
          <w:vertAlign w:val="superscript"/>
        </w:rPr>
        <w:t>6</w:t>
      </w:r>
      <w:r w:rsidRPr="00105C0D">
        <w:rPr>
          <w:i/>
          <w:iCs/>
        </w:rPr>
        <w:t xml:space="preserve"> $0 to &lt; $10 million</w:t>
      </w:r>
    </w:p>
    <w:p w14:paraId="452EE923" w14:textId="6D7A929E" w:rsidR="0027257F" w:rsidRPr="000F51F7" w:rsidRDefault="003F10F0" w:rsidP="0016414B">
      <w:pPr>
        <w:pStyle w:val="3-BodyText"/>
        <w:numPr>
          <w:ilvl w:val="1"/>
          <w:numId w:val="1"/>
        </w:numPr>
        <w:spacing w:before="0"/>
        <w:rPr>
          <w:color w:val="000000" w:themeColor="text1"/>
        </w:rPr>
      </w:pPr>
      <w:r w:rsidRPr="000F51F7">
        <w:t xml:space="preserve">Odevixibat was estimated to cost (without the proposed annual </w:t>
      </w:r>
      <w:r w:rsidR="00D17D21" w:rsidRPr="000F51F7">
        <w:t>expenditure</w:t>
      </w:r>
      <w:r w:rsidRPr="000F51F7">
        <w:t xml:space="preserve"> caps) $</w:t>
      </w:r>
      <w:r w:rsidR="00C03FC7" w:rsidRPr="00C03FC7">
        <w:t>20</w:t>
      </w:r>
      <w:r w:rsidR="00105C0D">
        <w:t> </w:t>
      </w:r>
      <w:r w:rsidR="00C03FC7" w:rsidRPr="00C03FC7">
        <w:t>million to &lt; $30 million</w:t>
      </w:r>
      <w:r w:rsidR="00C03FC7" w:rsidRPr="00C03FC7" w:rsidDel="00C03FC7">
        <w:t xml:space="preserve"> </w:t>
      </w:r>
      <w:r w:rsidRPr="000F51F7">
        <w:t>in Year 1, followed by $</w:t>
      </w:r>
      <w:r w:rsidR="00DE4887" w:rsidRPr="00DE4887">
        <w:t>10 million to &lt; $20 million</w:t>
      </w:r>
      <w:r w:rsidR="00DE4887" w:rsidRPr="00DE4887" w:rsidDel="00DE4887">
        <w:t xml:space="preserve"> </w:t>
      </w:r>
      <w:r w:rsidRPr="000F51F7">
        <w:t>in Year</w:t>
      </w:r>
      <w:r w:rsidR="00105C0D">
        <w:t> </w:t>
      </w:r>
      <w:r w:rsidRPr="000F51F7">
        <w:t>2 and increasing to $</w:t>
      </w:r>
      <w:r w:rsidR="00DE4887" w:rsidRPr="00DE4887">
        <w:t>10 million to &lt; $20 million</w:t>
      </w:r>
      <w:r w:rsidR="00DE4887" w:rsidRPr="00DE4887" w:rsidDel="00DE4887">
        <w:t xml:space="preserve"> </w:t>
      </w:r>
      <w:r w:rsidRPr="000F51F7">
        <w:t>by Year 6</w:t>
      </w:r>
      <w:r w:rsidR="007A07DB" w:rsidRPr="000F51F7">
        <w:t xml:space="preserve"> and totalling $</w:t>
      </w:r>
      <w:r w:rsidR="001548BC" w:rsidRPr="001548BC">
        <w:t>100</w:t>
      </w:r>
      <w:r w:rsidR="00105C0D">
        <w:t> </w:t>
      </w:r>
      <w:r w:rsidR="001548BC" w:rsidRPr="001548BC">
        <w:t>million</w:t>
      </w:r>
      <w:r w:rsidR="00105C0D">
        <w:t> </w:t>
      </w:r>
      <w:r w:rsidR="001548BC" w:rsidRPr="001548BC">
        <w:t>to</w:t>
      </w:r>
      <w:r w:rsidR="00105C0D">
        <w:t> </w:t>
      </w:r>
      <w:r w:rsidR="001548BC" w:rsidRPr="001548BC">
        <w:t>&lt;</w:t>
      </w:r>
      <w:r w:rsidR="00105C0D">
        <w:t> </w:t>
      </w:r>
      <w:r w:rsidR="001548BC" w:rsidRPr="001548BC">
        <w:t>$200 million</w:t>
      </w:r>
      <w:r w:rsidR="001548BC" w:rsidRPr="001548BC" w:rsidDel="001548BC">
        <w:t xml:space="preserve"> </w:t>
      </w:r>
      <w:r w:rsidR="007A07DB" w:rsidRPr="000F51F7">
        <w:t>over the first 6 years ($</w:t>
      </w:r>
      <w:r w:rsidR="00F6491B" w:rsidRPr="00F6491B">
        <w:t>80 million to &lt; $90 million</w:t>
      </w:r>
      <w:r w:rsidR="007A07DB" w:rsidRPr="000F51F7">
        <w:t xml:space="preserve"> under the proposed RSA)</w:t>
      </w:r>
      <w:r w:rsidRPr="000F51F7">
        <w:t xml:space="preserve">. This initial decrease </w:t>
      </w:r>
      <w:r w:rsidR="00C639D7">
        <w:t xml:space="preserve">in Year 2 </w:t>
      </w:r>
      <w:r w:rsidRPr="000F51F7">
        <w:t xml:space="preserve">was attributed to discontinuation of </w:t>
      </w:r>
      <w:r w:rsidRPr="000F51F7">
        <w:lastRenderedPageBreak/>
        <w:t>treatment after Year 1 due to non-response</w:t>
      </w:r>
      <w:r w:rsidR="00343283" w:rsidRPr="000F51F7">
        <w:t xml:space="preserve"> in prevalent patients</w:t>
      </w:r>
      <w:r w:rsidR="00897305" w:rsidRPr="000F51F7">
        <w:t xml:space="preserve">, who </w:t>
      </w:r>
      <w:r w:rsidR="00C639D7">
        <w:t>comprised</w:t>
      </w:r>
      <w:r w:rsidR="00C639D7" w:rsidRPr="000F51F7">
        <w:t xml:space="preserve"> </w:t>
      </w:r>
      <w:r w:rsidR="00897305" w:rsidRPr="000F51F7">
        <w:t xml:space="preserve">the majority of patients </w:t>
      </w:r>
      <w:r w:rsidR="00A23120">
        <w:t xml:space="preserve">treated </w:t>
      </w:r>
      <w:r w:rsidR="00897305" w:rsidRPr="000F51F7">
        <w:t>in year 1</w:t>
      </w:r>
      <w:r w:rsidRPr="000F51F7">
        <w:t xml:space="preserve">. </w:t>
      </w:r>
      <w:bookmarkStart w:id="107" w:name="_Ref187866094"/>
    </w:p>
    <w:p w14:paraId="61FD6843" w14:textId="772C6D3E" w:rsidR="00E61E56" w:rsidRPr="000F51F7" w:rsidRDefault="007A42A7" w:rsidP="0016414B">
      <w:pPr>
        <w:pStyle w:val="3-BodyText"/>
        <w:numPr>
          <w:ilvl w:val="1"/>
          <w:numId w:val="1"/>
        </w:numPr>
        <w:spacing w:before="0"/>
        <w:rPr>
          <w:color w:val="000000" w:themeColor="text1"/>
        </w:rPr>
      </w:pPr>
      <w:bookmarkStart w:id="108" w:name="_Ref193960877"/>
      <w:r w:rsidRPr="000F51F7">
        <w:t>The ESC noted that the age agnostic listing and the extension of the restriction to allow for treatment of patients with more benign episodic disease, without any confirmation via genetic testing</w:t>
      </w:r>
      <w:r w:rsidR="00A23120">
        <w:t>,</w:t>
      </w:r>
      <w:r w:rsidRPr="000F51F7">
        <w:t xml:space="preserve"> greatly increased the uncertainty around the financial estimates. </w:t>
      </w:r>
      <w:r w:rsidR="00E61E56" w:rsidRPr="000F51F7">
        <w:rPr>
          <w:color w:val="000000" w:themeColor="text1"/>
        </w:rPr>
        <w:t xml:space="preserve">Overall, </w:t>
      </w:r>
      <w:r w:rsidR="008B10CC" w:rsidRPr="000F51F7">
        <w:rPr>
          <w:color w:val="000000" w:themeColor="text1"/>
        </w:rPr>
        <w:t xml:space="preserve">the ESC considered that </w:t>
      </w:r>
      <w:r w:rsidR="00E61E56" w:rsidRPr="000F51F7">
        <w:rPr>
          <w:color w:val="000000" w:themeColor="text1"/>
        </w:rPr>
        <w:t xml:space="preserve">the resubmission’s financial estimates remained highly uncertain </w:t>
      </w:r>
      <w:r w:rsidR="00387B1A" w:rsidRPr="000F51F7">
        <w:rPr>
          <w:color w:val="000000" w:themeColor="text1"/>
        </w:rPr>
        <w:t xml:space="preserve">and </w:t>
      </w:r>
      <w:r w:rsidR="00143586" w:rsidRPr="000F51F7">
        <w:rPr>
          <w:color w:val="000000" w:themeColor="text1"/>
        </w:rPr>
        <w:t xml:space="preserve">were </w:t>
      </w:r>
      <w:r w:rsidR="00387B1A" w:rsidRPr="000F51F7">
        <w:rPr>
          <w:color w:val="000000" w:themeColor="text1"/>
        </w:rPr>
        <w:t xml:space="preserve">likely </w:t>
      </w:r>
      <w:r w:rsidR="00143586" w:rsidRPr="000F51F7">
        <w:rPr>
          <w:color w:val="000000" w:themeColor="text1"/>
        </w:rPr>
        <w:t>overestimated as</w:t>
      </w:r>
      <w:r w:rsidR="00E61E56" w:rsidRPr="000F51F7">
        <w:rPr>
          <w:color w:val="000000" w:themeColor="text1"/>
        </w:rPr>
        <w:t>:</w:t>
      </w:r>
      <w:bookmarkEnd w:id="107"/>
      <w:bookmarkEnd w:id="108"/>
    </w:p>
    <w:p w14:paraId="1014BC62" w14:textId="213C1832" w:rsidR="00E50466" w:rsidRPr="000F51F7" w:rsidRDefault="00E50466" w:rsidP="007C21AA">
      <w:pPr>
        <w:pStyle w:val="3-BodyText"/>
        <w:numPr>
          <w:ilvl w:val="0"/>
          <w:numId w:val="18"/>
        </w:numPr>
        <w:ind w:left="1080"/>
        <w:rPr>
          <w:color w:val="000000" w:themeColor="text1"/>
        </w:rPr>
      </w:pPr>
      <w:r w:rsidRPr="000F51F7">
        <w:rPr>
          <w:color w:val="000000" w:themeColor="text1"/>
        </w:rPr>
        <w:t>The number of prevalent and incident patients may be overestimated</w:t>
      </w:r>
      <w:r w:rsidR="00B80FFF" w:rsidRPr="000F51F7">
        <w:rPr>
          <w:color w:val="000000" w:themeColor="text1"/>
        </w:rPr>
        <w:t xml:space="preserve"> based on previous DUSC advice</w:t>
      </w:r>
      <w:r w:rsidRPr="000F51F7">
        <w:rPr>
          <w:color w:val="000000" w:themeColor="text1"/>
        </w:rPr>
        <w:t>;</w:t>
      </w:r>
    </w:p>
    <w:p w14:paraId="6F95D35B" w14:textId="6CC4F196" w:rsidR="00E61E56" w:rsidRPr="000F51F7" w:rsidRDefault="00AC2838" w:rsidP="007C21AA">
      <w:pPr>
        <w:pStyle w:val="3-BodyText"/>
        <w:numPr>
          <w:ilvl w:val="0"/>
          <w:numId w:val="18"/>
        </w:numPr>
        <w:ind w:left="1080"/>
        <w:rPr>
          <w:color w:val="000000" w:themeColor="text1"/>
        </w:rPr>
      </w:pPr>
      <w:r w:rsidRPr="000F51F7">
        <w:rPr>
          <w:color w:val="000000" w:themeColor="text1"/>
        </w:rPr>
        <w:t xml:space="preserve">The </w:t>
      </w:r>
      <w:r w:rsidR="00712B8A" w:rsidRPr="000F51F7">
        <w:rPr>
          <w:color w:val="000000" w:themeColor="text1"/>
        </w:rPr>
        <w:t>combined 40</w:t>
      </w:r>
      <w:r w:rsidR="0017081E">
        <w:rPr>
          <w:color w:val="000000" w:themeColor="text1"/>
        </w:rPr>
        <w:t> mcg</w:t>
      </w:r>
      <w:r w:rsidR="00712B8A" w:rsidRPr="000F51F7">
        <w:rPr>
          <w:color w:val="000000" w:themeColor="text1"/>
        </w:rPr>
        <w:t>/kg and 120</w:t>
      </w:r>
      <w:r w:rsidR="0017081E">
        <w:rPr>
          <w:color w:val="000000" w:themeColor="text1"/>
        </w:rPr>
        <w:t> mcg</w:t>
      </w:r>
      <w:r w:rsidR="00712B8A" w:rsidRPr="000F51F7">
        <w:rPr>
          <w:color w:val="000000" w:themeColor="text1"/>
        </w:rPr>
        <w:t>/kg</w:t>
      </w:r>
      <w:r w:rsidRPr="000F51F7">
        <w:rPr>
          <w:color w:val="000000" w:themeColor="text1"/>
        </w:rPr>
        <w:t xml:space="preserve"> </w:t>
      </w:r>
      <w:r w:rsidR="00E61E56" w:rsidRPr="000F51F7">
        <w:rPr>
          <w:color w:val="000000" w:themeColor="text1"/>
        </w:rPr>
        <w:t>response rate of 58%</w:t>
      </w:r>
      <w:r w:rsidR="000C05FE" w:rsidRPr="000F51F7">
        <w:rPr>
          <w:color w:val="000000" w:themeColor="text1"/>
        </w:rPr>
        <w:t xml:space="preserve"> (43.5% + 14.5%)</w:t>
      </w:r>
      <w:r w:rsidR="00B17D8F" w:rsidRPr="000F51F7">
        <w:rPr>
          <w:color w:val="000000" w:themeColor="text1"/>
        </w:rPr>
        <w:t xml:space="preserve"> </w:t>
      </w:r>
      <w:r w:rsidRPr="000F51F7">
        <w:rPr>
          <w:color w:val="000000" w:themeColor="text1"/>
        </w:rPr>
        <w:t xml:space="preserve">remains uncertain </w:t>
      </w:r>
      <w:r w:rsidR="009A4968" w:rsidRPr="000F51F7">
        <w:rPr>
          <w:color w:val="000000" w:themeColor="text1"/>
        </w:rPr>
        <w:t xml:space="preserve">because, as previously noted by </w:t>
      </w:r>
      <w:r w:rsidR="00A23120">
        <w:rPr>
          <w:color w:val="000000" w:themeColor="text1"/>
        </w:rPr>
        <w:t xml:space="preserve">ESC and </w:t>
      </w:r>
      <w:r w:rsidR="009A4968" w:rsidRPr="000F51F7">
        <w:rPr>
          <w:color w:val="000000" w:themeColor="text1"/>
        </w:rPr>
        <w:t>DUSC,</w:t>
      </w:r>
      <w:r w:rsidRPr="000F51F7">
        <w:rPr>
          <w:color w:val="000000" w:themeColor="text1"/>
        </w:rPr>
        <w:t xml:space="preserve"> the response of patients who up-titrated could not be verifie</w:t>
      </w:r>
      <w:r w:rsidR="004F6DC9" w:rsidRPr="000F51F7">
        <w:rPr>
          <w:color w:val="000000" w:themeColor="text1"/>
        </w:rPr>
        <w:t>d and</w:t>
      </w:r>
      <w:r w:rsidR="009A4968" w:rsidRPr="000F51F7">
        <w:rPr>
          <w:color w:val="000000" w:themeColor="text1"/>
        </w:rPr>
        <w:t xml:space="preserve"> as patients with other non-responder subtypes will be eligible to initiate treatment </w:t>
      </w:r>
      <w:r w:rsidR="004F6DC9" w:rsidRPr="000F51F7">
        <w:rPr>
          <w:color w:val="000000" w:themeColor="text1"/>
        </w:rPr>
        <w:t>(Table 21, odevixibat PSD, July 2024 PBAC meeting)</w:t>
      </w:r>
      <w:r w:rsidRPr="000F51F7">
        <w:rPr>
          <w:color w:val="000000" w:themeColor="text1"/>
        </w:rPr>
        <w:t>;</w:t>
      </w:r>
    </w:p>
    <w:p w14:paraId="158ACC57" w14:textId="3260CDDF" w:rsidR="00E61E56" w:rsidRPr="000F51F7" w:rsidRDefault="00E61E56" w:rsidP="007C21AA">
      <w:pPr>
        <w:pStyle w:val="3-BodyText"/>
        <w:numPr>
          <w:ilvl w:val="0"/>
          <w:numId w:val="18"/>
        </w:numPr>
        <w:ind w:left="1080"/>
        <w:rPr>
          <w:color w:val="000000" w:themeColor="text1"/>
        </w:rPr>
      </w:pPr>
      <w:r w:rsidRPr="000F51F7">
        <w:rPr>
          <w:color w:val="000000" w:themeColor="text1"/>
        </w:rPr>
        <w:t xml:space="preserve">The mean age of prevalent patients </w:t>
      </w:r>
      <w:r w:rsidR="005C05C8" w:rsidRPr="000F51F7">
        <w:rPr>
          <w:color w:val="000000" w:themeColor="text1"/>
        </w:rPr>
        <w:t xml:space="preserve">was uncertain (see paragraph </w:t>
      </w:r>
      <w:r w:rsidR="005C05C8" w:rsidRPr="000F51F7">
        <w:rPr>
          <w:color w:val="000000" w:themeColor="text1"/>
        </w:rPr>
        <w:fldChar w:fldCharType="begin" w:fldLock="1"/>
      </w:r>
      <w:r w:rsidR="005C05C8" w:rsidRPr="000F51F7">
        <w:rPr>
          <w:color w:val="000000" w:themeColor="text1"/>
        </w:rPr>
        <w:instrText xml:space="preserve"> REF _Ref185080740 \r \h </w:instrText>
      </w:r>
      <w:r w:rsidR="006943BC" w:rsidRPr="000F51F7">
        <w:rPr>
          <w:color w:val="000000" w:themeColor="text1"/>
        </w:rPr>
        <w:instrText xml:space="preserve"> \* MERGEFORMAT </w:instrText>
      </w:r>
      <w:r w:rsidR="005C05C8" w:rsidRPr="000F51F7">
        <w:rPr>
          <w:color w:val="000000" w:themeColor="text1"/>
        </w:rPr>
      </w:r>
      <w:r w:rsidR="005C05C8" w:rsidRPr="000F51F7">
        <w:rPr>
          <w:color w:val="000000" w:themeColor="text1"/>
        </w:rPr>
        <w:fldChar w:fldCharType="separate"/>
      </w:r>
      <w:r w:rsidR="00E16571">
        <w:rPr>
          <w:color w:val="000000" w:themeColor="text1"/>
        </w:rPr>
        <w:t>6.60</w:t>
      </w:r>
      <w:r w:rsidR="005C05C8" w:rsidRPr="000F51F7">
        <w:rPr>
          <w:color w:val="000000" w:themeColor="text1"/>
        </w:rPr>
        <w:fldChar w:fldCharType="end"/>
      </w:r>
      <w:r w:rsidR="005C05C8" w:rsidRPr="000F51F7">
        <w:rPr>
          <w:color w:val="000000" w:themeColor="text1"/>
        </w:rPr>
        <w:t>), and could result in higher or lower utilisation, depending on the direction of change;</w:t>
      </w:r>
    </w:p>
    <w:p w14:paraId="7520C4E9" w14:textId="37564831" w:rsidR="00CB017C" w:rsidRPr="000F51F7" w:rsidRDefault="005C05C8" w:rsidP="007C21AA">
      <w:pPr>
        <w:pStyle w:val="3-BodyText"/>
        <w:numPr>
          <w:ilvl w:val="0"/>
          <w:numId w:val="18"/>
        </w:numPr>
        <w:ind w:left="1080"/>
        <w:rPr>
          <w:color w:val="000000" w:themeColor="text1"/>
        </w:rPr>
      </w:pPr>
      <w:r w:rsidRPr="000F51F7">
        <w:rPr>
          <w:color w:val="000000" w:themeColor="text1"/>
        </w:rPr>
        <w:t>The assumed treatment duration of 6.25 years</w:t>
      </w:r>
      <w:r w:rsidR="00E92747" w:rsidRPr="000F51F7">
        <w:rPr>
          <w:color w:val="000000" w:themeColor="text1"/>
        </w:rPr>
        <w:t xml:space="preserve"> </w:t>
      </w:r>
      <w:r w:rsidR="00E729E2" w:rsidRPr="000F51F7">
        <w:rPr>
          <w:color w:val="000000" w:themeColor="text1"/>
        </w:rPr>
        <w:t xml:space="preserve">was uncertain as it </w:t>
      </w:r>
      <w:r w:rsidR="00E92747" w:rsidRPr="000F51F7">
        <w:rPr>
          <w:color w:val="000000" w:themeColor="text1"/>
        </w:rPr>
        <w:t>exceed</w:t>
      </w:r>
      <w:r w:rsidR="00CB017C" w:rsidRPr="000F51F7">
        <w:rPr>
          <w:color w:val="000000" w:themeColor="text1"/>
        </w:rPr>
        <w:t>ed</w:t>
      </w:r>
      <w:r w:rsidR="00E92747" w:rsidRPr="000F51F7">
        <w:rPr>
          <w:color w:val="000000" w:themeColor="text1"/>
        </w:rPr>
        <w:t xml:space="preserve"> that </w:t>
      </w:r>
      <w:r w:rsidR="00CB017C" w:rsidRPr="000F51F7">
        <w:rPr>
          <w:color w:val="000000" w:themeColor="text1"/>
        </w:rPr>
        <w:t>in the economic model</w:t>
      </w:r>
      <w:r w:rsidR="00D148B9" w:rsidRPr="000F51F7">
        <w:rPr>
          <w:color w:val="000000" w:themeColor="text1"/>
        </w:rPr>
        <w:t xml:space="preserve">’s mean treatment duration of </w:t>
      </w:r>
      <w:r w:rsidR="00CB017C" w:rsidRPr="000F51F7">
        <w:rPr>
          <w:color w:val="000000" w:themeColor="text1"/>
        </w:rPr>
        <w:t>3.39 years;</w:t>
      </w:r>
    </w:p>
    <w:p w14:paraId="16641572" w14:textId="27A58437" w:rsidR="00242F26" w:rsidRPr="000F51F7" w:rsidRDefault="005C05C8" w:rsidP="00E729E2">
      <w:pPr>
        <w:pStyle w:val="3-BodyText"/>
        <w:numPr>
          <w:ilvl w:val="0"/>
          <w:numId w:val="18"/>
        </w:numPr>
        <w:ind w:left="1080"/>
        <w:rPr>
          <w:color w:val="000000" w:themeColor="text1"/>
        </w:rPr>
      </w:pPr>
      <w:r w:rsidRPr="000F51F7">
        <w:rPr>
          <w:color w:val="000000" w:themeColor="text1"/>
        </w:rPr>
        <w:t xml:space="preserve">100% compliance was </w:t>
      </w:r>
      <w:r w:rsidR="00F05F1B" w:rsidRPr="000F51F7">
        <w:rPr>
          <w:color w:val="000000" w:themeColor="text1"/>
        </w:rPr>
        <w:t xml:space="preserve">assumed for </w:t>
      </w:r>
      <w:r w:rsidR="00077BEA" w:rsidRPr="000F51F7">
        <w:rPr>
          <w:color w:val="000000" w:themeColor="text1"/>
        </w:rPr>
        <w:t xml:space="preserve">all patients. </w:t>
      </w:r>
      <w:r w:rsidR="00182251" w:rsidRPr="000F51F7">
        <w:rPr>
          <w:color w:val="000000" w:themeColor="text1"/>
        </w:rPr>
        <w:t>The ESC</w:t>
      </w:r>
      <w:r w:rsidR="003A5A3D" w:rsidRPr="000F51F7">
        <w:rPr>
          <w:color w:val="000000" w:themeColor="text1"/>
        </w:rPr>
        <w:t xml:space="preserve">, noting that </w:t>
      </w:r>
      <w:r w:rsidR="009A6577" w:rsidRPr="000F51F7">
        <w:rPr>
          <w:color w:val="000000" w:themeColor="text1"/>
        </w:rPr>
        <w:t>34% of patients in PEDFIC 2 experienced dose interruptions due to adverse events</w:t>
      </w:r>
      <w:r w:rsidR="00E729E2" w:rsidRPr="000F51F7">
        <w:rPr>
          <w:color w:val="000000" w:themeColor="text1"/>
        </w:rPr>
        <w:t xml:space="preserve">, </w:t>
      </w:r>
      <w:r w:rsidR="00182251" w:rsidRPr="000F51F7">
        <w:rPr>
          <w:color w:val="000000" w:themeColor="text1"/>
        </w:rPr>
        <w:t xml:space="preserve">considered that this was </w:t>
      </w:r>
      <w:r w:rsidR="003A5A3D" w:rsidRPr="000F51F7">
        <w:rPr>
          <w:color w:val="000000" w:themeColor="text1"/>
        </w:rPr>
        <w:t>overestimated</w:t>
      </w:r>
      <w:r w:rsidR="00242F26" w:rsidRPr="000F51F7">
        <w:rPr>
          <w:color w:val="000000" w:themeColor="text1"/>
        </w:rPr>
        <w:t xml:space="preserve">; </w:t>
      </w:r>
    </w:p>
    <w:p w14:paraId="234753F2" w14:textId="6A202E4E" w:rsidR="00DE5E87" w:rsidRPr="000F51F7" w:rsidRDefault="00626EAD" w:rsidP="00E729E2">
      <w:pPr>
        <w:pStyle w:val="3-BodyText"/>
        <w:numPr>
          <w:ilvl w:val="0"/>
          <w:numId w:val="18"/>
        </w:numPr>
        <w:ind w:left="1080"/>
        <w:rPr>
          <w:color w:val="000000" w:themeColor="text1"/>
        </w:rPr>
      </w:pPr>
      <w:r w:rsidRPr="000F51F7">
        <w:rPr>
          <w:color w:val="000000" w:themeColor="text1"/>
        </w:rPr>
        <w:t xml:space="preserve">The estimates assumed that no treatment responders would discontinue treatment over the financial estimates. The ESC considered that this was unreasonable, particularly </w:t>
      </w:r>
      <w:r w:rsidR="008A0271" w:rsidRPr="000F51F7">
        <w:rPr>
          <w:color w:val="000000" w:themeColor="text1"/>
        </w:rPr>
        <w:t xml:space="preserve">as </w:t>
      </w:r>
      <w:r w:rsidR="0099001E" w:rsidRPr="000F51F7">
        <w:rPr>
          <w:color w:val="000000" w:themeColor="text1"/>
        </w:rPr>
        <w:t>28% (</w:t>
      </w:r>
      <w:r w:rsidR="00B76BAD">
        <w:rPr>
          <w:color w:val="000000" w:themeColor="text1"/>
        </w:rPr>
        <w:t>&lt;500</w:t>
      </w:r>
      <w:r w:rsidR="001151CB" w:rsidRPr="000F51F7">
        <w:rPr>
          <w:color w:val="000000" w:themeColor="text1"/>
        </w:rPr>
        <w:t>/</w:t>
      </w:r>
      <w:r w:rsidR="00B76BAD">
        <w:rPr>
          <w:color w:val="000000" w:themeColor="text1"/>
        </w:rPr>
        <w:t>&lt;500</w:t>
      </w:r>
      <w:r w:rsidR="0099001E" w:rsidRPr="000F51F7">
        <w:rPr>
          <w:color w:val="000000" w:themeColor="text1"/>
        </w:rPr>
        <w:t>) of</w:t>
      </w:r>
      <w:r w:rsidR="001151CB" w:rsidRPr="000F51F7">
        <w:rPr>
          <w:color w:val="000000" w:themeColor="text1"/>
        </w:rPr>
        <w:t xml:space="preserve"> patients discontinued </w:t>
      </w:r>
      <w:r w:rsidR="0099001E" w:rsidRPr="000F51F7">
        <w:rPr>
          <w:color w:val="000000" w:themeColor="text1"/>
        </w:rPr>
        <w:t>treatment over 2.2 years in PEDFIC2</w:t>
      </w:r>
      <w:r w:rsidR="002A08F1" w:rsidRPr="000F51F7">
        <w:rPr>
          <w:color w:val="000000" w:themeColor="text1"/>
        </w:rPr>
        <w:t xml:space="preserve"> (i.e., an average of 12% per year)</w:t>
      </w:r>
      <w:r w:rsidR="00DE5E87" w:rsidRPr="000F51F7">
        <w:rPr>
          <w:color w:val="000000" w:themeColor="text1"/>
        </w:rPr>
        <w:t>; and</w:t>
      </w:r>
    </w:p>
    <w:p w14:paraId="0819ECBC" w14:textId="4A142D4F" w:rsidR="005C05C8" w:rsidRPr="000F51F7" w:rsidRDefault="00DE5E87" w:rsidP="00E729E2">
      <w:pPr>
        <w:pStyle w:val="3-BodyText"/>
        <w:numPr>
          <w:ilvl w:val="0"/>
          <w:numId w:val="18"/>
        </w:numPr>
        <w:ind w:left="1080"/>
        <w:rPr>
          <w:color w:val="000000" w:themeColor="text1"/>
        </w:rPr>
      </w:pPr>
      <w:r w:rsidRPr="000F51F7">
        <w:rPr>
          <w:color w:val="000000" w:themeColor="text1"/>
        </w:rPr>
        <w:t>The estimates assumed an uptake of 100% in eligible patients</w:t>
      </w:r>
      <w:r w:rsidR="0014171A" w:rsidRPr="000F51F7">
        <w:rPr>
          <w:color w:val="000000" w:themeColor="text1"/>
        </w:rPr>
        <w:t xml:space="preserve"> from Year 1</w:t>
      </w:r>
      <w:r w:rsidRPr="000F51F7">
        <w:rPr>
          <w:color w:val="000000" w:themeColor="text1"/>
        </w:rPr>
        <w:t>.</w:t>
      </w:r>
      <w:r w:rsidR="00E729E2" w:rsidRPr="000F51F7">
        <w:rPr>
          <w:color w:val="000000" w:themeColor="text1"/>
        </w:rPr>
        <w:t xml:space="preserve"> </w:t>
      </w:r>
    </w:p>
    <w:p w14:paraId="1928DFA2" w14:textId="2299374D" w:rsidR="00B1546C" w:rsidRPr="000F51F7" w:rsidRDefault="00B1546C" w:rsidP="00B1546C">
      <w:pPr>
        <w:pStyle w:val="3-BodyText"/>
      </w:pPr>
      <w:r w:rsidRPr="000F51F7">
        <w:t xml:space="preserve">The ESC noted </w:t>
      </w:r>
      <w:r w:rsidR="00D469BC" w:rsidRPr="000F51F7">
        <w:t>the financial model assumed one pack of odevixibat per script</w:t>
      </w:r>
      <w:r w:rsidR="00D23B7B" w:rsidRPr="000F51F7">
        <w:t xml:space="preserve"> (see calculations in rows 296 to </w:t>
      </w:r>
      <w:r w:rsidR="0088386A" w:rsidRPr="000F51F7">
        <w:t>311 in 3c. Impact – proposed (eff) worksheet)</w:t>
      </w:r>
      <w:r w:rsidR="00D469BC" w:rsidRPr="000F51F7">
        <w:t>; however, the requested listing was for 6 or 12 packs per script. This will overestimate the markups</w:t>
      </w:r>
      <w:r w:rsidR="005C0A98" w:rsidRPr="000F51F7">
        <w:t xml:space="preserve"> and AHI fees</w:t>
      </w:r>
      <w:r w:rsidR="00D469BC" w:rsidRPr="000F51F7">
        <w:t xml:space="preserve"> </w:t>
      </w:r>
      <w:r w:rsidR="00CF6E78" w:rsidRPr="000F51F7">
        <w:t xml:space="preserve">per script </w:t>
      </w:r>
      <w:r w:rsidR="005C0A98" w:rsidRPr="000F51F7">
        <w:t>and overestimate the patient copayments.</w:t>
      </w:r>
    </w:p>
    <w:p w14:paraId="10EE913A" w14:textId="77777777" w:rsidR="00404D38" w:rsidRPr="0098262F" w:rsidRDefault="00404D38" w:rsidP="00404D38">
      <w:pPr>
        <w:pStyle w:val="4-SubsectionHeading"/>
      </w:pPr>
      <w:bookmarkStart w:id="109" w:name="_Toc22897648"/>
      <w:bookmarkStart w:id="110" w:name="_Toc184822920"/>
      <w:bookmarkStart w:id="111" w:name="_Toc188451883"/>
      <w:r w:rsidRPr="0098262F">
        <w:t>Quality Use of Medicines</w:t>
      </w:r>
      <w:bookmarkEnd w:id="109"/>
      <w:bookmarkEnd w:id="110"/>
      <w:bookmarkEnd w:id="111"/>
    </w:p>
    <w:p w14:paraId="3C15E2C5" w14:textId="0DEBAAE2" w:rsidR="00404D38" w:rsidRPr="001B2279" w:rsidRDefault="00404D38" w:rsidP="001B2279">
      <w:pPr>
        <w:pStyle w:val="3-BodyText"/>
        <w:numPr>
          <w:ilvl w:val="1"/>
          <w:numId w:val="1"/>
        </w:numPr>
      </w:pPr>
      <w:r w:rsidRPr="009F6349">
        <w:t xml:space="preserve">The </w:t>
      </w:r>
      <w:r>
        <w:t>re</w:t>
      </w:r>
      <w:r w:rsidRPr="009F6349">
        <w:t xml:space="preserve">submission did not present any information regarding the quality use of medicines. </w:t>
      </w:r>
      <w:r w:rsidRPr="006943BC">
        <w:t>Given the cost of odevixibat and the financial risks associated with use outside the proposed restriction, this may not be reasonable.</w:t>
      </w:r>
      <w:r w:rsidRPr="009F6349">
        <w:t xml:space="preserve"> </w:t>
      </w:r>
    </w:p>
    <w:p w14:paraId="2EA97C8E" w14:textId="77777777" w:rsidR="00404D38" w:rsidRPr="0098262F" w:rsidRDefault="00404D38" w:rsidP="00404D38">
      <w:pPr>
        <w:pStyle w:val="4-SubsectionHeading"/>
      </w:pPr>
      <w:bookmarkStart w:id="112" w:name="_Toc22897649"/>
      <w:bookmarkStart w:id="113" w:name="_Toc184822921"/>
      <w:bookmarkStart w:id="114" w:name="_Toc188451884"/>
      <w:r w:rsidRPr="0098262F">
        <w:t>Financial Management – Risk Sharing Arrangements</w:t>
      </w:r>
      <w:bookmarkEnd w:id="112"/>
      <w:bookmarkEnd w:id="113"/>
      <w:bookmarkEnd w:id="114"/>
    </w:p>
    <w:p w14:paraId="371C1706" w14:textId="121CC75B" w:rsidR="00404D38" w:rsidRPr="000F51F7" w:rsidRDefault="008724A4" w:rsidP="00404D38">
      <w:pPr>
        <w:pStyle w:val="3-BodyText"/>
        <w:numPr>
          <w:ilvl w:val="1"/>
          <w:numId w:val="1"/>
        </w:numPr>
        <w:rPr>
          <w:color w:val="000000" w:themeColor="text1"/>
        </w:rPr>
      </w:pPr>
      <w:r w:rsidRPr="000F51F7">
        <w:rPr>
          <w:color w:val="000000" w:themeColor="text1"/>
        </w:rPr>
        <w:t xml:space="preserve">Within their July 2024 review of odevixibat in PFIC, the PBAC considered that an RSA would be required, given the level of uncertainty in the estimates, including </w:t>
      </w:r>
      <w:r w:rsidRPr="000F51F7">
        <w:rPr>
          <w:color w:val="000000" w:themeColor="text1"/>
        </w:rPr>
        <w:lastRenderedPageBreak/>
        <w:t xml:space="preserve">uncertainty in the duration of use and uptake </w:t>
      </w:r>
      <w:r w:rsidR="008E3B58" w:rsidRPr="000F51F7">
        <w:rPr>
          <w:color w:val="000000" w:themeColor="text1"/>
        </w:rPr>
        <w:t>(</w:t>
      </w:r>
      <w:r w:rsidR="00DA461C" w:rsidRPr="000F51F7">
        <w:rPr>
          <w:color w:val="000000" w:themeColor="text1"/>
        </w:rPr>
        <w:t>p</w:t>
      </w:r>
      <w:r w:rsidRPr="000F51F7">
        <w:rPr>
          <w:color w:val="000000" w:themeColor="text1"/>
        </w:rPr>
        <w:t>aragraph 7.23, odevixibat PSD, July</w:t>
      </w:r>
      <w:r w:rsidR="00284A6E">
        <w:rPr>
          <w:color w:val="000000" w:themeColor="text1"/>
        </w:rPr>
        <w:t> </w:t>
      </w:r>
      <w:r w:rsidRPr="000F51F7">
        <w:rPr>
          <w:color w:val="000000" w:themeColor="text1"/>
        </w:rPr>
        <w:t>2024 PBAC Meeting).</w:t>
      </w:r>
    </w:p>
    <w:p w14:paraId="6178847B" w14:textId="66CC6704" w:rsidR="008724A4" w:rsidRPr="000F51F7" w:rsidRDefault="008724A4" w:rsidP="008724A4">
      <w:pPr>
        <w:pStyle w:val="3-BodyText"/>
        <w:numPr>
          <w:ilvl w:val="1"/>
          <w:numId w:val="1"/>
        </w:numPr>
        <w:rPr>
          <w:color w:val="000000" w:themeColor="text1"/>
        </w:rPr>
      </w:pPr>
      <w:bookmarkStart w:id="115" w:name="_Ref185079327"/>
      <w:r w:rsidRPr="000F51F7">
        <w:rPr>
          <w:color w:val="000000" w:themeColor="text1"/>
        </w:rPr>
        <w:t xml:space="preserve">The resubmission proposed an RSA in the form of annual </w:t>
      </w:r>
      <w:r w:rsidR="00EE4571" w:rsidRPr="000F51F7">
        <w:rPr>
          <w:color w:val="000000" w:themeColor="text1"/>
        </w:rPr>
        <w:t xml:space="preserve">expenditure </w:t>
      </w:r>
      <w:r w:rsidRPr="000F51F7">
        <w:rPr>
          <w:color w:val="000000" w:themeColor="text1"/>
        </w:rPr>
        <w:t xml:space="preserve">caps for the first five years of listing. The resubmission proposed that the annual </w:t>
      </w:r>
      <w:r w:rsidR="00EE4571" w:rsidRPr="000F51F7">
        <w:rPr>
          <w:color w:val="000000" w:themeColor="text1"/>
        </w:rPr>
        <w:t xml:space="preserve">expenditure </w:t>
      </w:r>
      <w:r w:rsidRPr="000F51F7">
        <w:rPr>
          <w:color w:val="000000" w:themeColor="text1"/>
        </w:rPr>
        <w:t>cap</w:t>
      </w:r>
      <w:r w:rsidR="008E3B58" w:rsidRPr="000F51F7">
        <w:rPr>
          <w:color w:val="000000" w:themeColor="text1"/>
        </w:rPr>
        <w:t>s</w:t>
      </w:r>
      <w:r w:rsidRPr="000F51F7">
        <w:rPr>
          <w:color w:val="000000" w:themeColor="text1"/>
        </w:rPr>
        <w:t xml:space="preserve"> be adjusted for the treatment cost for patients escalating to the higher 120</w:t>
      </w:r>
      <w:r w:rsidR="0017081E">
        <w:rPr>
          <w:color w:val="000000" w:themeColor="text1"/>
        </w:rPr>
        <w:t> mcg</w:t>
      </w:r>
      <w:r w:rsidRPr="000F51F7">
        <w:rPr>
          <w:color w:val="000000" w:themeColor="text1"/>
        </w:rPr>
        <w:t>/kg dose from 40</w:t>
      </w:r>
      <w:r w:rsidR="0017081E">
        <w:rPr>
          <w:color w:val="000000" w:themeColor="text1"/>
        </w:rPr>
        <w:t> mcg</w:t>
      </w:r>
      <w:r w:rsidRPr="000F51F7">
        <w:rPr>
          <w:color w:val="000000" w:themeColor="text1"/>
        </w:rPr>
        <w:t>/kg. The purpose of this cap would be to maintain the cost for patients escalating to the 120</w:t>
      </w:r>
      <w:r w:rsidR="0017081E">
        <w:rPr>
          <w:color w:val="000000" w:themeColor="text1"/>
        </w:rPr>
        <w:t> mcg</w:t>
      </w:r>
      <w:r w:rsidRPr="000F51F7">
        <w:rPr>
          <w:color w:val="000000" w:themeColor="text1"/>
        </w:rPr>
        <w:t xml:space="preserve">/kg dose at the </w:t>
      </w:r>
      <w:r w:rsidR="001549E4" w:rsidRPr="00DA2049">
        <w:rPr>
          <w:color w:val="000000" w:themeColor="text1"/>
          <w:w w:val="15"/>
          <w:shd w:val="solid" w:color="000000" w:fill="000000"/>
          <w:fitText w:val="-20" w:id="-693990911"/>
          <w14:textFill>
            <w14:solidFill>
              <w14:schemeClr w14:val="tx1">
                <w14:alpha w14:val="100000"/>
              </w14:schemeClr>
            </w14:solidFill>
          </w14:textFill>
        </w:rPr>
        <w:t>|</w:t>
      </w:r>
      <w:r w:rsidR="004A6DE4" w:rsidRPr="00DA2049">
        <w:rPr>
          <w:color w:val="000000" w:themeColor="text1"/>
          <w:w w:val="15"/>
          <w:shd w:val="solid" w:color="000000" w:fill="000000"/>
          <w:fitText w:val="-20" w:id="-693990911"/>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11"/>
          <w14:textFill>
            <w14:solidFill>
              <w14:schemeClr w14:val="tx1">
                <w14:alpha w14:val="100000"/>
              </w14:schemeClr>
            </w14:solidFill>
          </w14:textFill>
        </w:rPr>
        <w:t>|</w:t>
      </w:r>
      <w:r w:rsidRPr="000F51F7">
        <w:rPr>
          <w:color w:val="000000" w:themeColor="text1"/>
        </w:rPr>
        <w:t xml:space="preserve"> cost per patient as the 40</w:t>
      </w:r>
      <w:r w:rsidR="0017081E">
        <w:rPr>
          <w:color w:val="000000" w:themeColor="text1"/>
        </w:rPr>
        <w:t> mcg</w:t>
      </w:r>
      <w:r w:rsidRPr="000F51F7">
        <w:rPr>
          <w:color w:val="000000" w:themeColor="text1"/>
        </w:rPr>
        <w:t>/kg dose</w:t>
      </w:r>
      <w:r w:rsidR="00602649" w:rsidRPr="000F51F7">
        <w:rPr>
          <w:color w:val="000000" w:themeColor="text1"/>
        </w:rPr>
        <w:t xml:space="preserve"> i.e. a ‘</w:t>
      </w:r>
      <w:r w:rsidR="001549E4" w:rsidRPr="00DA2049">
        <w:rPr>
          <w:color w:val="000000" w:themeColor="text1"/>
          <w:w w:val="15"/>
          <w:shd w:val="solid" w:color="000000" w:fill="000000"/>
          <w:fitText w:val="-20" w:id="-693990910"/>
          <w14:textFill>
            <w14:solidFill>
              <w14:schemeClr w14:val="tx1">
                <w14:alpha w14:val="100000"/>
              </w14:schemeClr>
            </w14:solidFill>
          </w14:textFill>
        </w:rPr>
        <w:t>|</w:t>
      </w:r>
      <w:r w:rsidR="004A6DE4" w:rsidRPr="00DA2049">
        <w:rPr>
          <w:color w:val="000000" w:themeColor="text1"/>
          <w:w w:val="15"/>
          <w:shd w:val="solid" w:color="000000" w:fill="000000"/>
          <w:fitText w:val="-20" w:id="-693990910"/>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10"/>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0909"/>
          <w14:textFill>
            <w14:solidFill>
              <w14:schemeClr w14:val="tx1">
                <w14:alpha w14:val="100000"/>
              </w14:schemeClr>
            </w14:solidFill>
          </w14:textFill>
        </w:rPr>
        <w:t>|</w:t>
      </w:r>
      <w:r w:rsidR="004A6DE4" w:rsidRPr="00DA2049">
        <w:rPr>
          <w:color w:val="000000" w:themeColor="text1"/>
          <w:w w:val="15"/>
          <w:shd w:val="solid" w:color="000000" w:fill="000000"/>
          <w:fitText w:val="-20" w:id="-693990909"/>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9"/>
          <w14:textFill>
            <w14:solidFill>
              <w14:schemeClr w14:val="tx1">
                <w14:alpha w14:val="100000"/>
              </w14:schemeClr>
            </w14:solidFill>
          </w14:textFill>
        </w:rPr>
        <w:t>|</w:t>
      </w:r>
      <w:r w:rsidR="00602649" w:rsidRPr="000F51F7">
        <w:rPr>
          <w:color w:val="000000" w:themeColor="text1"/>
        </w:rPr>
        <w:t xml:space="preserve"> cost’</w:t>
      </w:r>
      <w:r w:rsidRPr="000F51F7">
        <w:rPr>
          <w:color w:val="000000" w:themeColor="text1"/>
        </w:rPr>
        <w:t xml:space="preserve">. In addition, as the resubmission argued genetic testing should not be a requirement for access to treatment, the </w:t>
      </w:r>
      <w:r w:rsidR="00EE4571" w:rsidRPr="000F51F7">
        <w:rPr>
          <w:color w:val="000000" w:themeColor="text1"/>
        </w:rPr>
        <w:t xml:space="preserve">expenditure </w:t>
      </w:r>
      <w:r w:rsidRPr="000F51F7">
        <w:rPr>
          <w:color w:val="000000" w:themeColor="text1"/>
        </w:rPr>
        <w:t>cap would accommodate the eligibility of likely genetic non-responders, name</w:t>
      </w:r>
      <w:r w:rsidR="00657ACB" w:rsidRPr="000F51F7">
        <w:rPr>
          <w:color w:val="000000" w:themeColor="text1"/>
        </w:rPr>
        <w:t>ly</w:t>
      </w:r>
      <w:r w:rsidRPr="000F51F7">
        <w:rPr>
          <w:color w:val="000000" w:themeColor="text1"/>
        </w:rPr>
        <w:t xml:space="preserve"> the PFIC2 </w:t>
      </w:r>
      <w:r w:rsidRPr="003E58B6">
        <w:rPr>
          <w:i/>
          <w:iCs/>
          <w:color w:val="000000" w:themeColor="text1"/>
        </w:rPr>
        <w:t>BSEP3</w:t>
      </w:r>
      <w:r w:rsidRPr="000F51F7">
        <w:rPr>
          <w:color w:val="000000" w:themeColor="text1"/>
        </w:rPr>
        <w:t xml:space="preserve"> subtype</w:t>
      </w:r>
      <w:bookmarkEnd w:id="115"/>
      <w:r w:rsidR="00E82193" w:rsidRPr="000F51F7">
        <w:rPr>
          <w:color w:val="000000" w:themeColor="text1"/>
        </w:rPr>
        <w:t xml:space="preserve">. </w:t>
      </w:r>
      <w:r w:rsidR="00161F9E" w:rsidRPr="000F51F7">
        <w:rPr>
          <w:color w:val="000000" w:themeColor="text1"/>
        </w:rPr>
        <w:t xml:space="preserve">The resubmission stated that the annual expenditure caps are informed by DUSC / PBAC guidance on the utilisation estimates with a </w:t>
      </w:r>
      <w:r w:rsidR="001549E4" w:rsidRPr="00DA2049">
        <w:rPr>
          <w:color w:val="000000" w:themeColor="text1"/>
          <w:w w:val="15"/>
          <w:shd w:val="solid" w:color="000000" w:fill="000000"/>
          <w:fitText w:val="-20" w:id="-693990908"/>
          <w14:textFill>
            <w14:solidFill>
              <w14:schemeClr w14:val="tx1">
                <w14:alpha w14:val="100000"/>
              </w14:schemeClr>
            </w14:solidFill>
          </w14:textFill>
        </w:rPr>
        <w:t>|</w:t>
      </w:r>
      <w:r w:rsidR="004A6DE4" w:rsidRPr="00DA2049">
        <w:rPr>
          <w:color w:val="000000" w:themeColor="text1"/>
          <w:w w:val="15"/>
          <w:shd w:val="solid" w:color="000000" w:fill="000000"/>
          <w:fitText w:val="-20" w:id="-693990908"/>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8"/>
          <w14:textFill>
            <w14:solidFill>
              <w14:schemeClr w14:val="tx1">
                <w14:alpha w14:val="100000"/>
              </w14:schemeClr>
            </w14:solidFill>
          </w14:textFill>
        </w:rPr>
        <w:t>|</w:t>
      </w:r>
      <w:r w:rsidR="00161F9E" w:rsidRPr="000F51F7">
        <w:rPr>
          <w:color w:val="000000" w:themeColor="text1"/>
        </w:rPr>
        <w:t>% rebate payable for Commonwealth expenditure above the caps.</w:t>
      </w:r>
      <w:r w:rsidR="00623261" w:rsidRPr="000F51F7">
        <w:rPr>
          <w:color w:val="000000" w:themeColor="text1"/>
        </w:rPr>
        <w:t xml:space="preserve"> </w:t>
      </w:r>
    </w:p>
    <w:p w14:paraId="79D994CF" w14:textId="02800C40" w:rsidR="006F417C" w:rsidRPr="000F51F7" w:rsidRDefault="006F417C" w:rsidP="008724A4">
      <w:pPr>
        <w:pStyle w:val="3-BodyText"/>
        <w:numPr>
          <w:ilvl w:val="1"/>
          <w:numId w:val="1"/>
        </w:numPr>
        <w:rPr>
          <w:color w:val="000000" w:themeColor="text1"/>
        </w:rPr>
      </w:pPr>
      <w:r w:rsidRPr="000F51F7">
        <w:rPr>
          <w:color w:val="000000" w:themeColor="text1"/>
        </w:rPr>
        <w:t xml:space="preserve">The resubmission proposed a formal review of the annual </w:t>
      </w:r>
      <w:r w:rsidR="00EE4571" w:rsidRPr="000F51F7">
        <w:rPr>
          <w:color w:val="000000" w:themeColor="text1"/>
        </w:rPr>
        <w:t xml:space="preserve">expenditure </w:t>
      </w:r>
      <w:r w:rsidRPr="000F51F7">
        <w:rPr>
          <w:color w:val="000000" w:themeColor="text1"/>
        </w:rPr>
        <w:t xml:space="preserve">caps via submission to the PBAC </w:t>
      </w:r>
      <w:r w:rsidR="001A13F2" w:rsidRPr="000F51F7">
        <w:rPr>
          <w:color w:val="000000" w:themeColor="text1"/>
        </w:rPr>
        <w:t xml:space="preserve">after 2 to 3 </w:t>
      </w:r>
      <w:r w:rsidRPr="000F51F7">
        <w:rPr>
          <w:color w:val="000000" w:themeColor="text1"/>
        </w:rPr>
        <w:t xml:space="preserve">years to inform potential adjustments to </w:t>
      </w:r>
      <w:r w:rsidR="00EE4571" w:rsidRPr="000F51F7">
        <w:rPr>
          <w:color w:val="000000" w:themeColor="text1"/>
        </w:rPr>
        <w:t xml:space="preserve">the </w:t>
      </w:r>
      <w:r w:rsidRPr="000F51F7">
        <w:rPr>
          <w:color w:val="000000" w:themeColor="text1"/>
        </w:rPr>
        <w:t xml:space="preserve">caps. </w:t>
      </w:r>
      <w:r w:rsidR="00E0386C" w:rsidRPr="000F51F7">
        <w:rPr>
          <w:color w:val="000000" w:themeColor="text1"/>
        </w:rPr>
        <w:t xml:space="preserve">Notably, as the dosage is weight based and incident patients are likely to be children, the cost in the first five years of listing </w:t>
      </w:r>
      <w:r w:rsidR="005F6B8E" w:rsidRPr="000F51F7">
        <w:rPr>
          <w:color w:val="000000" w:themeColor="text1"/>
        </w:rPr>
        <w:t xml:space="preserve">(covered by the RSA) </w:t>
      </w:r>
      <w:r w:rsidR="00E0386C" w:rsidRPr="000F51F7">
        <w:rPr>
          <w:color w:val="000000" w:themeColor="text1"/>
        </w:rPr>
        <w:t xml:space="preserve">will be the lowest for all incident patients and will only increase over time, though the number of prevalent patients remaining on treatment could theoretically decrease over time. However, as discussed in </w:t>
      </w:r>
      <w:r w:rsidR="005F6B8E" w:rsidRPr="000F51F7">
        <w:rPr>
          <w:color w:val="000000" w:themeColor="text1"/>
        </w:rPr>
        <w:t xml:space="preserve">paragraphs </w:t>
      </w:r>
      <w:r w:rsidR="008B6886" w:rsidRPr="000F51F7">
        <w:rPr>
          <w:color w:val="000000" w:themeColor="text1"/>
        </w:rPr>
        <w:fldChar w:fldCharType="begin" w:fldLock="1"/>
      </w:r>
      <w:r w:rsidR="008B6886" w:rsidRPr="000F51F7">
        <w:rPr>
          <w:color w:val="000000" w:themeColor="text1"/>
        </w:rPr>
        <w:instrText xml:space="preserve"> REF _Ref185294852 \r \h </w:instrText>
      </w:r>
      <w:r w:rsidR="006943BC" w:rsidRPr="000F51F7">
        <w:rPr>
          <w:color w:val="000000" w:themeColor="text1"/>
        </w:rPr>
        <w:instrText xml:space="preserve"> \* MERGEFORMAT </w:instrText>
      </w:r>
      <w:r w:rsidR="008B6886" w:rsidRPr="000F51F7">
        <w:rPr>
          <w:color w:val="000000" w:themeColor="text1"/>
        </w:rPr>
      </w:r>
      <w:r w:rsidR="008B6886" w:rsidRPr="000F51F7">
        <w:rPr>
          <w:color w:val="000000" w:themeColor="text1"/>
        </w:rPr>
        <w:fldChar w:fldCharType="separate"/>
      </w:r>
      <w:r w:rsidR="00E16571">
        <w:rPr>
          <w:color w:val="000000" w:themeColor="text1"/>
        </w:rPr>
        <w:t>3.12</w:t>
      </w:r>
      <w:r w:rsidR="008B6886" w:rsidRPr="000F51F7">
        <w:rPr>
          <w:color w:val="000000" w:themeColor="text1"/>
        </w:rPr>
        <w:fldChar w:fldCharType="end"/>
      </w:r>
      <w:r w:rsidR="008B6886" w:rsidRPr="000F51F7">
        <w:rPr>
          <w:color w:val="000000" w:themeColor="text1"/>
        </w:rPr>
        <w:t xml:space="preserve"> and </w:t>
      </w:r>
      <w:r w:rsidR="008B6886" w:rsidRPr="000F51F7">
        <w:rPr>
          <w:color w:val="000000" w:themeColor="text1"/>
        </w:rPr>
        <w:fldChar w:fldCharType="begin" w:fldLock="1"/>
      </w:r>
      <w:r w:rsidR="008B6886" w:rsidRPr="000F51F7">
        <w:rPr>
          <w:color w:val="000000" w:themeColor="text1"/>
        </w:rPr>
        <w:instrText xml:space="preserve"> REF _Ref185294853 \r \h </w:instrText>
      </w:r>
      <w:r w:rsidR="006943BC" w:rsidRPr="000F51F7">
        <w:rPr>
          <w:color w:val="000000" w:themeColor="text1"/>
        </w:rPr>
        <w:instrText xml:space="preserve"> \* MERGEFORMAT </w:instrText>
      </w:r>
      <w:r w:rsidR="008B6886" w:rsidRPr="000F51F7">
        <w:rPr>
          <w:color w:val="000000" w:themeColor="text1"/>
        </w:rPr>
      </w:r>
      <w:r w:rsidR="008B6886" w:rsidRPr="000F51F7">
        <w:rPr>
          <w:color w:val="000000" w:themeColor="text1"/>
        </w:rPr>
        <w:fldChar w:fldCharType="separate"/>
      </w:r>
      <w:r w:rsidR="00E16571">
        <w:rPr>
          <w:color w:val="000000" w:themeColor="text1"/>
        </w:rPr>
        <w:t>3.13</w:t>
      </w:r>
      <w:r w:rsidR="008B6886" w:rsidRPr="000F51F7">
        <w:rPr>
          <w:color w:val="000000" w:themeColor="text1"/>
        </w:rPr>
        <w:fldChar w:fldCharType="end"/>
      </w:r>
      <w:r w:rsidR="00E0386C" w:rsidRPr="000F51F7">
        <w:rPr>
          <w:color w:val="000000" w:themeColor="text1"/>
        </w:rPr>
        <w:t xml:space="preserve">, there is nothing in the restriction which requires patients to stop treatment </w:t>
      </w:r>
      <w:r w:rsidR="006732CA" w:rsidRPr="000F51F7">
        <w:rPr>
          <w:color w:val="000000" w:themeColor="text1"/>
        </w:rPr>
        <w:t xml:space="preserve">if </w:t>
      </w:r>
      <w:r w:rsidR="00E0386C" w:rsidRPr="000F51F7">
        <w:rPr>
          <w:color w:val="000000" w:themeColor="text1"/>
        </w:rPr>
        <w:t xml:space="preserve">they achieved </w:t>
      </w:r>
      <w:r w:rsidR="006732CA" w:rsidRPr="000F51F7">
        <w:rPr>
          <w:color w:val="000000" w:themeColor="text1"/>
        </w:rPr>
        <w:t xml:space="preserve">a </w:t>
      </w:r>
      <w:r w:rsidR="00E0386C" w:rsidRPr="000F51F7">
        <w:rPr>
          <w:color w:val="000000" w:themeColor="text1"/>
        </w:rPr>
        <w:t xml:space="preserve">response </w:t>
      </w:r>
      <w:r w:rsidR="006732CA" w:rsidRPr="000F51F7">
        <w:rPr>
          <w:color w:val="000000" w:themeColor="text1"/>
        </w:rPr>
        <w:t>with initial treatment</w:t>
      </w:r>
      <w:r w:rsidR="000177AD" w:rsidRPr="000F51F7">
        <w:rPr>
          <w:color w:val="000000" w:themeColor="text1"/>
        </w:rPr>
        <w:t xml:space="preserve"> but </w:t>
      </w:r>
      <w:r w:rsidR="00A23120">
        <w:rPr>
          <w:color w:val="000000" w:themeColor="text1"/>
        </w:rPr>
        <w:t>subsequently</w:t>
      </w:r>
      <w:r w:rsidR="00A23120" w:rsidRPr="000F51F7">
        <w:rPr>
          <w:color w:val="000000" w:themeColor="text1"/>
        </w:rPr>
        <w:t xml:space="preserve"> </w:t>
      </w:r>
      <w:r w:rsidR="000177AD" w:rsidRPr="000F51F7">
        <w:rPr>
          <w:color w:val="000000" w:themeColor="text1"/>
        </w:rPr>
        <w:t>lost response</w:t>
      </w:r>
      <w:r w:rsidR="00E0386C" w:rsidRPr="000F51F7">
        <w:rPr>
          <w:color w:val="000000" w:themeColor="text1"/>
        </w:rPr>
        <w:t xml:space="preserve">, nor any </w:t>
      </w:r>
      <w:r w:rsidR="00FD7FB3" w:rsidRPr="000F51F7">
        <w:rPr>
          <w:color w:val="000000" w:themeColor="text1"/>
        </w:rPr>
        <w:t>criteria</w:t>
      </w:r>
      <w:r w:rsidR="00E0386C" w:rsidRPr="000F51F7">
        <w:rPr>
          <w:color w:val="000000" w:themeColor="text1"/>
        </w:rPr>
        <w:t xml:space="preserve"> which prevents non-responders from </w:t>
      </w:r>
      <w:r w:rsidR="00A23120">
        <w:rPr>
          <w:color w:val="000000" w:themeColor="text1"/>
        </w:rPr>
        <w:t>re-initiating</w:t>
      </w:r>
      <w:r w:rsidR="00A23120" w:rsidRPr="000F51F7">
        <w:rPr>
          <w:color w:val="000000" w:themeColor="text1"/>
        </w:rPr>
        <w:t xml:space="preserve"> </w:t>
      </w:r>
      <w:r w:rsidR="00E0386C" w:rsidRPr="000F51F7">
        <w:rPr>
          <w:color w:val="000000" w:themeColor="text1"/>
        </w:rPr>
        <w:t xml:space="preserve">odevixibat. Further, </w:t>
      </w:r>
      <w:r w:rsidR="007968B9" w:rsidRPr="000F51F7">
        <w:rPr>
          <w:color w:val="000000" w:themeColor="text1"/>
        </w:rPr>
        <w:t xml:space="preserve">the ESC noted that </w:t>
      </w:r>
      <w:r w:rsidR="00E0386C" w:rsidRPr="000F51F7">
        <w:rPr>
          <w:color w:val="000000" w:themeColor="text1"/>
        </w:rPr>
        <w:t>use in ‘episodic PFIC’ was not considered. As such, the cost beyond the five</w:t>
      </w:r>
      <w:r w:rsidR="008B6886" w:rsidRPr="000F51F7">
        <w:rPr>
          <w:color w:val="000000" w:themeColor="text1"/>
        </w:rPr>
        <w:t>-</w:t>
      </w:r>
      <w:r w:rsidR="00E0386C" w:rsidRPr="000F51F7">
        <w:rPr>
          <w:color w:val="000000" w:themeColor="text1"/>
        </w:rPr>
        <w:t>year RSA remains uncertain.</w:t>
      </w:r>
    </w:p>
    <w:p w14:paraId="2833EE1C" w14:textId="3B4E99E1" w:rsidR="00FD7FB3" w:rsidRPr="000F51F7" w:rsidRDefault="008724A4" w:rsidP="008724A4">
      <w:pPr>
        <w:pStyle w:val="3-BodyText"/>
        <w:numPr>
          <w:ilvl w:val="1"/>
          <w:numId w:val="1"/>
        </w:numPr>
        <w:rPr>
          <w:color w:val="000000" w:themeColor="text1"/>
        </w:rPr>
      </w:pPr>
      <w:bookmarkStart w:id="116" w:name="_Ref185073517"/>
      <w:bookmarkStart w:id="117" w:name="_Ref187856003"/>
      <w:r w:rsidRPr="000F51F7">
        <w:rPr>
          <w:color w:val="000000" w:themeColor="text1"/>
        </w:rPr>
        <w:t xml:space="preserve">The proposed annual </w:t>
      </w:r>
      <w:r w:rsidR="0098398C" w:rsidRPr="000F51F7">
        <w:rPr>
          <w:color w:val="000000" w:themeColor="text1"/>
        </w:rPr>
        <w:t xml:space="preserve">expenditure </w:t>
      </w:r>
      <w:r w:rsidRPr="000F51F7">
        <w:rPr>
          <w:color w:val="000000" w:themeColor="text1"/>
        </w:rPr>
        <w:t xml:space="preserve">caps were calculated by the resubmission from the base case by removing likely genetic non-responders (i.e. PFIC2 </w:t>
      </w:r>
      <w:r w:rsidRPr="003E58B6">
        <w:rPr>
          <w:i/>
          <w:iCs/>
          <w:color w:val="000000" w:themeColor="text1"/>
        </w:rPr>
        <w:t xml:space="preserve">BSEP3 </w:t>
      </w:r>
      <w:r w:rsidRPr="000F51F7">
        <w:rPr>
          <w:color w:val="000000" w:themeColor="text1"/>
        </w:rPr>
        <w:t xml:space="preserve">subtype but not PFIC5) from the eligibility criteria </w:t>
      </w:r>
      <w:r w:rsidR="00BF78F9" w:rsidRPr="000F51F7">
        <w:rPr>
          <w:color w:val="000000" w:themeColor="text1"/>
        </w:rPr>
        <w:t>(</w:t>
      </w:r>
      <w:r w:rsidRPr="000F51F7">
        <w:rPr>
          <w:color w:val="000000" w:themeColor="text1"/>
        </w:rPr>
        <w:t>assumed to make up 7% of the prevalent pool</w:t>
      </w:r>
      <w:r w:rsidR="00BF78F9" w:rsidRPr="000F51F7">
        <w:rPr>
          <w:color w:val="000000" w:themeColor="text1"/>
        </w:rPr>
        <w:t>)</w:t>
      </w:r>
      <w:r w:rsidRPr="000F51F7">
        <w:rPr>
          <w:color w:val="000000" w:themeColor="text1"/>
        </w:rPr>
        <w:t xml:space="preserve"> and incorporating a </w:t>
      </w:r>
      <w:r w:rsidR="00DB2937" w:rsidRPr="000F51F7">
        <w:rPr>
          <w:color w:val="000000" w:themeColor="text1"/>
        </w:rPr>
        <w:t>‘</w:t>
      </w:r>
      <w:r w:rsidR="001549E4" w:rsidRPr="00DA2049">
        <w:rPr>
          <w:color w:val="000000" w:themeColor="text1"/>
          <w:w w:val="15"/>
          <w:shd w:val="solid" w:color="000000" w:fill="000000"/>
          <w:fitText w:val="-20" w:id="-693990907"/>
          <w14:textFill>
            <w14:solidFill>
              <w14:schemeClr w14:val="tx1">
                <w14:alpha w14:val="100000"/>
              </w14:schemeClr>
            </w14:solidFill>
          </w14:textFill>
        </w:rPr>
        <w:t>|</w:t>
      </w:r>
      <w:r w:rsidR="004A6DE4" w:rsidRPr="00DA2049">
        <w:rPr>
          <w:color w:val="000000" w:themeColor="text1"/>
          <w:w w:val="15"/>
          <w:shd w:val="solid" w:color="000000" w:fill="000000"/>
          <w:fitText w:val="-20" w:id="-693990907"/>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7"/>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0906"/>
          <w14:textFill>
            <w14:solidFill>
              <w14:schemeClr w14:val="tx1">
                <w14:alpha w14:val="100000"/>
              </w14:schemeClr>
            </w14:solidFill>
          </w14:textFill>
        </w:rPr>
        <w:t>|</w:t>
      </w:r>
      <w:r w:rsidR="004A6DE4" w:rsidRPr="00DA2049">
        <w:rPr>
          <w:color w:val="000000" w:themeColor="text1"/>
          <w:w w:val="15"/>
          <w:shd w:val="solid" w:color="000000" w:fill="000000"/>
          <w:fitText w:val="-20" w:id="-693990906"/>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6"/>
          <w14:textFill>
            <w14:solidFill>
              <w14:schemeClr w14:val="tx1">
                <w14:alpha w14:val="100000"/>
              </w14:schemeClr>
            </w14:solidFill>
          </w14:textFill>
        </w:rPr>
        <w:t>|</w:t>
      </w:r>
      <w:r w:rsidRPr="000F51F7">
        <w:rPr>
          <w:color w:val="000000" w:themeColor="text1"/>
        </w:rPr>
        <w:t xml:space="preserve"> cost</w:t>
      </w:r>
      <w:r w:rsidR="00BF78F9" w:rsidRPr="000F51F7">
        <w:rPr>
          <w:color w:val="000000" w:themeColor="text1"/>
        </w:rPr>
        <w:t>’</w:t>
      </w:r>
      <w:r w:rsidRPr="000F51F7">
        <w:rPr>
          <w:color w:val="000000" w:themeColor="text1"/>
        </w:rPr>
        <w:t xml:space="preserve"> by assuming </w:t>
      </w:r>
      <w:r w:rsidR="001549E4" w:rsidRPr="00DA2049">
        <w:rPr>
          <w:color w:val="000000" w:themeColor="text1"/>
          <w:w w:val="15"/>
          <w:shd w:val="solid" w:color="000000" w:fill="000000"/>
          <w:fitText w:val="-20" w:id="-693990905"/>
          <w14:textFill>
            <w14:solidFill>
              <w14:schemeClr w14:val="tx1">
                <w14:alpha w14:val="100000"/>
              </w14:schemeClr>
            </w14:solidFill>
          </w14:textFill>
        </w:rPr>
        <w:t>|</w:t>
      </w:r>
      <w:r w:rsidR="004A6DE4" w:rsidRPr="00DA2049">
        <w:rPr>
          <w:color w:val="000000" w:themeColor="text1"/>
          <w:w w:val="15"/>
          <w:shd w:val="solid" w:color="000000" w:fill="000000"/>
          <w:fitText w:val="-20" w:id="-693990905"/>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5"/>
          <w14:textFill>
            <w14:solidFill>
              <w14:schemeClr w14:val="tx1">
                <w14:alpha w14:val="100000"/>
              </w14:schemeClr>
            </w14:solidFill>
          </w14:textFill>
        </w:rPr>
        <w:t>|</w:t>
      </w:r>
      <w:r w:rsidRPr="000F51F7">
        <w:rPr>
          <w:color w:val="000000" w:themeColor="text1"/>
        </w:rPr>
        <w:t>% of patients would remain on the 40</w:t>
      </w:r>
      <w:r w:rsidR="0017081E">
        <w:rPr>
          <w:color w:val="000000" w:themeColor="text1"/>
        </w:rPr>
        <w:t> mcg</w:t>
      </w:r>
      <w:r w:rsidR="00AB3767" w:rsidRPr="000F51F7">
        <w:rPr>
          <w:color w:val="000000" w:themeColor="text1"/>
        </w:rPr>
        <w:t>/kg</w:t>
      </w:r>
      <w:r w:rsidRPr="000F51F7">
        <w:rPr>
          <w:color w:val="000000" w:themeColor="text1"/>
        </w:rPr>
        <w:t xml:space="preserve"> dosage. </w:t>
      </w:r>
      <w:r w:rsidR="00B954D2" w:rsidRPr="000F51F7">
        <w:rPr>
          <w:color w:val="000000" w:themeColor="text1"/>
        </w:rPr>
        <w:t>However, this means that if the utilisation was lower than the assumptions used to generate the expenditure cap</w:t>
      </w:r>
      <w:r w:rsidR="000177AD" w:rsidRPr="000F51F7">
        <w:rPr>
          <w:color w:val="000000" w:themeColor="text1"/>
        </w:rPr>
        <w:t xml:space="preserve">, </w:t>
      </w:r>
      <w:r w:rsidR="00B954D2" w:rsidRPr="000F51F7">
        <w:rPr>
          <w:color w:val="000000" w:themeColor="text1"/>
        </w:rPr>
        <w:t xml:space="preserve">the cap </w:t>
      </w:r>
      <w:r w:rsidR="000177AD" w:rsidRPr="000F51F7">
        <w:rPr>
          <w:color w:val="000000" w:themeColor="text1"/>
        </w:rPr>
        <w:t xml:space="preserve">would not be </w:t>
      </w:r>
      <w:r w:rsidR="004074C6" w:rsidRPr="000F51F7">
        <w:rPr>
          <w:color w:val="000000" w:themeColor="text1"/>
        </w:rPr>
        <w:t>exceeded and the proposed</w:t>
      </w:r>
      <w:r w:rsidR="00B954D2" w:rsidRPr="000F51F7">
        <w:rPr>
          <w:color w:val="000000" w:themeColor="text1"/>
        </w:rPr>
        <w:t xml:space="preserve"> ’</w:t>
      </w:r>
      <w:r w:rsidR="001549E4" w:rsidRPr="00DA2049">
        <w:rPr>
          <w:color w:val="000000" w:themeColor="text1"/>
          <w:w w:val="15"/>
          <w:shd w:val="solid" w:color="000000" w:fill="000000"/>
          <w:fitText w:val="-20" w:id="-693990904"/>
          <w14:textFill>
            <w14:solidFill>
              <w14:schemeClr w14:val="tx1">
                <w14:alpha w14:val="100000"/>
              </w14:schemeClr>
            </w14:solidFill>
          </w14:textFill>
        </w:rPr>
        <w:t>|</w:t>
      </w:r>
      <w:r w:rsidR="004A6DE4" w:rsidRPr="00DA2049">
        <w:rPr>
          <w:color w:val="000000" w:themeColor="text1"/>
          <w:w w:val="15"/>
          <w:shd w:val="solid" w:color="000000" w:fill="000000"/>
          <w:fitText w:val="-20" w:id="-693990904"/>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4"/>
          <w14:textFill>
            <w14:solidFill>
              <w14:schemeClr w14:val="tx1">
                <w14:alpha w14:val="100000"/>
              </w14:schemeClr>
            </w14:solidFill>
          </w14:textFill>
        </w:rPr>
        <w:t>|</w:t>
      </w:r>
      <w:r w:rsidR="00BB1289" w:rsidRPr="00BB1289">
        <w:rPr>
          <w:color w:val="000000" w:themeColor="text1"/>
        </w:rPr>
        <w:t xml:space="preserve"> </w:t>
      </w:r>
      <w:r w:rsidR="001549E4" w:rsidRPr="00DA2049">
        <w:rPr>
          <w:color w:val="000000" w:themeColor="text1"/>
          <w:w w:val="15"/>
          <w:shd w:val="solid" w:color="000000" w:fill="000000"/>
          <w:fitText w:val="-20" w:id="-693990903"/>
          <w14:textFill>
            <w14:solidFill>
              <w14:schemeClr w14:val="tx1">
                <w14:alpha w14:val="100000"/>
              </w14:schemeClr>
            </w14:solidFill>
          </w14:textFill>
        </w:rPr>
        <w:t>|</w:t>
      </w:r>
      <w:r w:rsidR="004A6DE4" w:rsidRPr="00DA2049">
        <w:rPr>
          <w:color w:val="000000" w:themeColor="text1"/>
          <w:w w:val="15"/>
          <w:shd w:val="solid" w:color="000000" w:fill="000000"/>
          <w:fitText w:val="-20" w:id="-693990903"/>
          <w14:textFill>
            <w14:solidFill>
              <w14:schemeClr w14:val="tx1">
                <w14:alpha w14:val="100000"/>
              </w14:schemeClr>
            </w14:solidFill>
          </w14:textFill>
        </w:rPr>
        <w:t xml:space="preserve"> </w:t>
      </w:r>
      <w:r w:rsidR="001549E4" w:rsidRPr="00DA2049">
        <w:rPr>
          <w:color w:val="000000" w:themeColor="text1"/>
          <w:spacing w:val="-61"/>
          <w:w w:val="15"/>
          <w:shd w:val="solid" w:color="000000" w:fill="000000"/>
          <w:fitText w:val="-20" w:id="-693990903"/>
          <w14:textFill>
            <w14:solidFill>
              <w14:schemeClr w14:val="tx1">
                <w14:alpha w14:val="100000"/>
              </w14:schemeClr>
            </w14:solidFill>
          </w14:textFill>
        </w:rPr>
        <w:t>|</w:t>
      </w:r>
      <w:r w:rsidR="00B954D2" w:rsidRPr="000F51F7">
        <w:rPr>
          <w:color w:val="000000" w:themeColor="text1"/>
        </w:rPr>
        <w:t xml:space="preserve"> cost’ would not be achieved. </w:t>
      </w:r>
    </w:p>
    <w:p w14:paraId="0A982A3D" w14:textId="56CC9352" w:rsidR="000E3A42" w:rsidRPr="000F51F7" w:rsidRDefault="000E3A42" w:rsidP="000E3A42">
      <w:pPr>
        <w:pStyle w:val="3-BodyText"/>
        <w:numPr>
          <w:ilvl w:val="1"/>
          <w:numId w:val="1"/>
        </w:numPr>
        <w:spacing w:before="0"/>
      </w:pPr>
      <w:bookmarkStart w:id="118" w:name="_Ref190678138"/>
      <w:bookmarkEnd w:id="116"/>
      <w:bookmarkEnd w:id="117"/>
      <w:r w:rsidRPr="000F51F7">
        <w:t>During consideration by the ESC</w:t>
      </w:r>
      <w:r w:rsidR="008E30A8" w:rsidRPr="000F51F7">
        <w:t>,</w:t>
      </w:r>
      <w:r w:rsidRPr="000F51F7">
        <w:t xml:space="preserve"> it was noted that there was an error in the financial estimates model used for the proposed annual expenditure caps which assumed patients who do not respond to treatment in Year 1 (i.e. non-responders) continue to incur the cost of the 120</w:t>
      </w:r>
      <w:r w:rsidR="0017081E">
        <w:t> mcg</w:t>
      </w:r>
      <w:r w:rsidRPr="000F51F7">
        <w:t>/kg/day dose. In Year 1, the model assumed patients would incur the costs associated with the 1200</w:t>
      </w:r>
      <w:r w:rsidR="0017081E">
        <w:t> mcg</w:t>
      </w:r>
      <w:r w:rsidRPr="000F51F7">
        <w:t xml:space="preserve"> strength capsules (cell F31 of sheet 3a). This was unable to be corrected</w:t>
      </w:r>
      <w:r w:rsidR="00993E04" w:rsidRPr="000F51F7">
        <w:t xml:space="preserve"> for the ESC advice</w:t>
      </w:r>
      <w:r w:rsidRPr="000F51F7">
        <w:t xml:space="preserve">, but significantly overestimated the cost in Year 1. </w:t>
      </w:r>
      <w:r w:rsidR="00480C83" w:rsidRPr="000F51F7">
        <w:t xml:space="preserve">The expenditure caps </w:t>
      </w:r>
      <w:r w:rsidRPr="000F51F7">
        <w:t>in subsequent years were also overestimated as 12 prescriptions per year were assumed for patients continuing to receive 600</w:t>
      </w:r>
      <w:r w:rsidR="0017081E">
        <w:t> mcg</w:t>
      </w:r>
      <w:r w:rsidRPr="000F51F7">
        <w:t xml:space="preserve"> capsules and 14 prescriptions per year were assumed for patients continuing to receive 1200</w:t>
      </w:r>
      <w:r w:rsidR="0017081E">
        <w:t> mcg</w:t>
      </w:r>
      <w:r w:rsidRPr="000F51F7">
        <w:t xml:space="preserve"> capsules.</w:t>
      </w:r>
      <w:bookmarkEnd w:id="118"/>
    </w:p>
    <w:p w14:paraId="15F4378B" w14:textId="4C66277E" w:rsidR="008724A4" w:rsidRPr="000F51F7" w:rsidRDefault="008724A4" w:rsidP="00702823">
      <w:pPr>
        <w:pStyle w:val="3-BodyText"/>
        <w:numPr>
          <w:ilvl w:val="1"/>
          <w:numId w:val="1"/>
        </w:numPr>
        <w:spacing w:before="0"/>
        <w:rPr>
          <w:color w:val="000000" w:themeColor="text1"/>
        </w:rPr>
      </w:pPr>
      <w:bookmarkStart w:id="119" w:name="_Ref185079333"/>
      <w:r w:rsidRPr="000F51F7">
        <w:rPr>
          <w:color w:val="000000" w:themeColor="text1"/>
        </w:rPr>
        <w:lastRenderedPageBreak/>
        <w:t xml:space="preserve">The calculation of the annual </w:t>
      </w:r>
      <w:r w:rsidR="0098398C" w:rsidRPr="000F51F7">
        <w:rPr>
          <w:color w:val="000000" w:themeColor="text1"/>
        </w:rPr>
        <w:t xml:space="preserve">expenditure </w:t>
      </w:r>
      <w:r w:rsidRPr="000F51F7">
        <w:rPr>
          <w:color w:val="000000" w:themeColor="text1"/>
        </w:rPr>
        <w:t xml:space="preserve">caps is shown in </w:t>
      </w:r>
      <w:r w:rsidR="0066355F" w:rsidRPr="000F51F7">
        <w:rPr>
          <w:color w:val="000000" w:themeColor="text1"/>
        </w:rPr>
        <w:fldChar w:fldCharType="begin" w:fldLock="1"/>
      </w:r>
      <w:r w:rsidR="0066355F" w:rsidRPr="000F51F7">
        <w:rPr>
          <w:color w:val="000000" w:themeColor="text1"/>
        </w:rPr>
        <w:instrText xml:space="preserve"> REF _Ref185073431 \h  \* MERGEFORMAT </w:instrText>
      </w:r>
      <w:r w:rsidR="0066355F" w:rsidRPr="000F51F7">
        <w:rPr>
          <w:color w:val="000000" w:themeColor="text1"/>
        </w:rPr>
      </w:r>
      <w:r w:rsidR="0066355F" w:rsidRPr="000F51F7">
        <w:rPr>
          <w:color w:val="000000" w:themeColor="text1"/>
        </w:rPr>
        <w:fldChar w:fldCharType="separate"/>
      </w:r>
      <w:r w:rsidR="00091BC8" w:rsidRPr="000F51F7">
        <w:t xml:space="preserve">Table </w:t>
      </w:r>
      <w:r w:rsidR="00091BC8" w:rsidRPr="000F51F7">
        <w:rPr>
          <w:noProof/>
        </w:rPr>
        <w:t>21</w:t>
      </w:r>
      <w:r w:rsidR="0066355F" w:rsidRPr="000F51F7">
        <w:rPr>
          <w:color w:val="000000" w:themeColor="text1"/>
        </w:rPr>
        <w:fldChar w:fldCharType="end"/>
      </w:r>
      <w:r w:rsidR="001D2C9C" w:rsidRPr="000F51F7">
        <w:rPr>
          <w:color w:val="000000" w:themeColor="text1"/>
        </w:rPr>
        <w:t>.</w:t>
      </w:r>
      <w:r w:rsidR="0066355F" w:rsidRPr="000F51F7">
        <w:rPr>
          <w:color w:val="000000" w:themeColor="text1"/>
        </w:rPr>
        <w:t xml:space="preserve"> </w:t>
      </w:r>
      <w:bookmarkEnd w:id="119"/>
      <w:r w:rsidR="00702823" w:rsidRPr="000F51F7">
        <w:rPr>
          <w:color w:val="000000" w:themeColor="text1"/>
        </w:rPr>
        <w:t xml:space="preserve">These </w:t>
      </w:r>
      <w:r w:rsidR="0098398C" w:rsidRPr="000F51F7">
        <w:rPr>
          <w:color w:val="000000" w:themeColor="text1"/>
        </w:rPr>
        <w:t xml:space="preserve">expenditure </w:t>
      </w:r>
      <w:r w:rsidR="00702823" w:rsidRPr="000F51F7">
        <w:rPr>
          <w:color w:val="000000" w:themeColor="text1"/>
        </w:rPr>
        <w:t xml:space="preserve">caps were based on the </w:t>
      </w:r>
      <w:r w:rsidR="00125183" w:rsidRPr="000F51F7">
        <w:rPr>
          <w:color w:val="000000" w:themeColor="text1"/>
        </w:rPr>
        <w:t>re</w:t>
      </w:r>
      <w:r w:rsidR="00702823" w:rsidRPr="000F51F7">
        <w:rPr>
          <w:color w:val="000000" w:themeColor="text1"/>
        </w:rPr>
        <w:t>submission’s financial estimates which include the error in the weight distribution of incident patients</w:t>
      </w:r>
      <w:r w:rsidR="004E3F54" w:rsidRPr="000F51F7">
        <w:rPr>
          <w:color w:val="000000" w:themeColor="text1"/>
        </w:rPr>
        <w:t xml:space="preserve"> and the err</w:t>
      </w:r>
      <w:r w:rsidR="00D54D82" w:rsidRPr="000F51F7">
        <w:rPr>
          <w:color w:val="000000" w:themeColor="text1"/>
        </w:rPr>
        <w:t>or regarding non-responders continuing to receive treatment</w:t>
      </w:r>
      <w:r w:rsidR="00933AAC" w:rsidRPr="000F51F7">
        <w:rPr>
          <w:color w:val="000000" w:themeColor="text1"/>
        </w:rPr>
        <w:t xml:space="preserve"> at the 120</w:t>
      </w:r>
      <w:r w:rsidR="0017081E">
        <w:rPr>
          <w:color w:val="000000" w:themeColor="text1"/>
        </w:rPr>
        <w:t> mcg</w:t>
      </w:r>
      <w:r w:rsidR="00933AAC" w:rsidRPr="000F51F7">
        <w:rPr>
          <w:color w:val="000000" w:themeColor="text1"/>
        </w:rPr>
        <w:t>/kg/day dose</w:t>
      </w:r>
      <w:r w:rsidR="00702823" w:rsidRPr="000F51F7">
        <w:rPr>
          <w:color w:val="000000" w:themeColor="text1"/>
        </w:rPr>
        <w:t xml:space="preserve"> (see paragraph</w:t>
      </w:r>
      <w:r w:rsidR="00D54D82" w:rsidRPr="000F51F7">
        <w:rPr>
          <w:color w:val="000000" w:themeColor="text1"/>
        </w:rPr>
        <w:t>s</w:t>
      </w:r>
      <w:r w:rsidR="008B78EF" w:rsidRPr="000F51F7">
        <w:rPr>
          <w:color w:val="000000" w:themeColor="text1"/>
        </w:rPr>
        <w:t xml:space="preserve"> </w:t>
      </w:r>
      <w:r w:rsidR="004E3F54" w:rsidRPr="000F51F7">
        <w:rPr>
          <w:color w:val="000000" w:themeColor="text1"/>
        </w:rPr>
        <w:fldChar w:fldCharType="begin" w:fldLock="1"/>
      </w:r>
      <w:r w:rsidR="004E3F54" w:rsidRPr="000F51F7">
        <w:rPr>
          <w:color w:val="000000" w:themeColor="text1"/>
        </w:rPr>
        <w:instrText xml:space="preserve"> REF _Ref190597107 \r \h </w:instrText>
      </w:r>
      <w:r w:rsidR="000F51F7" w:rsidRPr="000F51F7">
        <w:rPr>
          <w:color w:val="000000" w:themeColor="text1"/>
        </w:rPr>
        <w:instrText xml:space="preserve"> \* MERGEFORMAT </w:instrText>
      </w:r>
      <w:r w:rsidR="004E3F54" w:rsidRPr="000F51F7">
        <w:rPr>
          <w:color w:val="000000" w:themeColor="text1"/>
        </w:rPr>
      </w:r>
      <w:r w:rsidR="004E3F54" w:rsidRPr="000F51F7">
        <w:rPr>
          <w:color w:val="000000" w:themeColor="text1"/>
        </w:rPr>
        <w:fldChar w:fldCharType="separate"/>
      </w:r>
      <w:r w:rsidR="00E16571">
        <w:rPr>
          <w:color w:val="000000" w:themeColor="text1"/>
        </w:rPr>
        <w:t>6.61</w:t>
      </w:r>
      <w:r w:rsidR="004E3F54" w:rsidRPr="000F51F7">
        <w:rPr>
          <w:color w:val="000000" w:themeColor="text1"/>
        </w:rPr>
        <w:fldChar w:fldCharType="end"/>
      </w:r>
      <w:r w:rsidR="00D54D82" w:rsidRPr="000F51F7">
        <w:rPr>
          <w:color w:val="000000" w:themeColor="text1"/>
        </w:rPr>
        <w:t xml:space="preserve"> and</w:t>
      </w:r>
      <w:r w:rsidR="009F26B3" w:rsidRPr="000F51F7">
        <w:rPr>
          <w:color w:val="000000" w:themeColor="text1"/>
        </w:rPr>
        <w:t xml:space="preserve"> </w:t>
      </w:r>
      <w:r w:rsidR="009F26B3" w:rsidRPr="000F51F7">
        <w:rPr>
          <w:color w:val="000000" w:themeColor="text1"/>
        </w:rPr>
        <w:fldChar w:fldCharType="begin" w:fldLock="1"/>
      </w:r>
      <w:r w:rsidR="009F26B3" w:rsidRPr="000F51F7">
        <w:rPr>
          <w:color w:val="000000" w:themeColor="text1"/>
        </w:rPr>
        <w:instrText xml:space="preserve"> REF _Ref190678138 \r \h </w:instrText>
      </w:r>
      <w:r w:rsidR="000F51F7" w:rsidRPr="000F51F7">
        <w:rPr>
          <w:color w:val="000000" w:themeColor="text1"/>
        </w:rPr>
        <w:instrText xml:space="preserve"> \* MERGEFORMAT </w:instrText>
      </w:r>
      <w:r w:rsidR="009F26B3" w:rsidRPr="000F51F7">
        <w:rPr>
          <w:color w:val="000000" w:themeColor="text1"/>
        </w:rPr>
      </w:r>
      <w:r w:rsidR="009F26B3" w:rsidRPr="000F51F7">
        <w:rPr>
          <w:color w:val="000000" w:themeColor="text1"/>
        </w:rPr>
        <w:fldChar w:fldCharType="separate"/>
      </w:r>
      <w:r w:rsidR="00E16571">
        <w:rPr>
          <w:color w:val="000000" w:themeColor="text1"/>
        </w:rPr>
        <w:t>6.70</w:t>
      </w:r>
      <w:r w:rsidR="009F26B3" w:rsidRPr="000F51F7">
        <w:rPr>
          <w:color w:val="000000" w:themeColor="text1"/>
        </w:rPr>
        <w:fldChar w:fldCharType="end"/>
      </w:r>
      <w:r w:rsidR="00702823" w:rsidRPr="000F51F7">
        <w:rPr>
          <w:color w:val="000000" w:themeColor="text1"/>
        </w:rPr>
        <w:t>).</w:t>
      </w:r>
    </w:p>
    <w:p w14:paraId="5D0C64D5" w14:textId="677C606C" w:rsidR="008724A4" w:rsidRDefault="008724A4" w:rsidP="008724A4">
      <w:pPr>
        <w:pStyle w:val="Caption"/>
      </w:pPr>
      <w:bookmarkStart w:id="120" w:name="_Ref185073431"/>
      <w:r>
        <w:t xml:space="preserve">Table </w:t>
      </w:r>
      <w:r w:rsidR="00091BC8">
        <w:fldChar w:fldCharType="begin" w:fldLock="1"/>
      </w:r>
      <w:r w:rsidR="00091BC8">
        <w:instrText xml:space="preserve"> SEQ Table \* ARABIC </w:instrText>
      </w:r>
      <w:r w:rsidR="00091BC8">
        <w:fldChar w:fldCharType="separate"/>
      </w:r>
      <w:r w:rsidR="00091BC8">
        <w:rPr>
          <w:noProof/>
        </w:rPr>
        <w:t>21</w:t>
      </w:r>
      <w:r w:rsidR="00091BC8">
        <w:rPr>
          <w:noProof/>
        </w:rPr>
        <w:fldChar w:fldCharType="end"/>
      </w:r>
      <w:bookmarkEnd w:id="120"/>
      <w:r>
        <w:t xml:space="preserve">: </w:t>
      </w:r>
      <w:r w:rsidRPr="008724A4">
        <w:t xml:space="preserve">Calculation of annual </w:t>
      </w:r>
      <w:r w:rsidR="0098398C">
        <w:t>expenditure</w:t>
      </w:r>
      <w:r w:rsidR="0098398C" w:rsidRPr="008724A4">
        <w:t xml:space="preserve"> </w:t>
      </w:r>
      <w:r w:rsidRPr="008724A4">
        <w:t>caps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Calculation of annual expenditure caps"/>
      </w:tblPr>
      <w:tblGrid>
        <w:gridCol w:w="2515"/>
        <w:gridCol w:w="1080"/>
        <w:gridCol w:w="1080"/>
        <w:gridCol w:w="1080"/>
        <w:gridCol w:w="1080"/>
        <w:gridCol w:w="1080"/>
        <w:gridCol w:w="1102"/>
      </w:tblGrid>
      <w:tr w:rsidR="008724A4" w:rsidRPr="00856310" w14:paraId="652D0072" w14:textId="77777777" w:rsidTr="00130A8F">
        <w:trPr>
          <w:trHeight w:val="207"/>
        </w:trPr>
        <w:tc>
          <w:tcPr>
            <w:tcW w:w="2515" w:type="dxa"/>
            <w:shd w:val="clear" w:color="auto" w:fill="auto"/>
            <w:noWrap/>
            <w:tcMar>
              <w:left w:w="20" w:type="dxa"/>
              <w:right w:w="20" w:type="dxa"/>
            </w:tcMar>
            <w:hideMark/>
          </w:tcPr>
          <w:p w14:paraId="6DEFB651" w14:textId="27D4752C" w:rsidR="008724A4" w:rsidRPr="003319BF" w:rsidRDefault="008724A4" w:rsidP="00AC13C1">
            <w:pPr>
              <w:pStyle w:val="Tabletext"/>
              <w:keepNext/>
              <w:keepLines/>
            </w:pPr>
          </w:p>
        </w:tc>
        <w:tc>
          <w:tcPr>
            <w:tcW w:w="1080" w:type="dxa"/>
            <w:shd w:val="clear" w:color="auto" w:fill="auto"/>
            <w:noWrap/>
            <w:tcMar>
              <w:left w:w="20" w:type="dxa"/>
              <w:right w:w="20" w:type="dxa"/>
            </w:tcMar>
            <w:vAlign w:val="center"/>
            <w:hideMark/>
          </w:tcPr>
          <w:p w14:paraId="20323E8F" w14:textId="77777777" w:rsidR="008724A4" w:rsidRPr="00856310" w:rsidRDefault="008724A4" w:rsidP="00AC13C1">
            <w:pPr>
              <w:pStyle w:val="Tabletext"/>
              <w:keepNext/>
              <w:keepLines/>
              <w:jc w:val="center"/>
              <w:rPr>
                <w:b/>
                <w:bCs/>
              </w:rPr>
            </w:pPr>
            <w:r w:rsidRPr="00DC76C5">
              <w:rPr>
                <w:b/>
                <w:bCs/>
              </w:rPr>
              <w:t xml:space="preserve">Year 1 </w:t>
            </w:r>
          </w:p>
        </w:tc>
        <w:tc>
          <w:tcPr>
            <w:tcW w:w="1080" w:type="dxa"/>
            <w:shd w:val="clear" w:color="auto" w:fill="auto"/>
            <w:noWrap/>
            <w:tcMar>
              <w:left w:w="20" w:type="dxa"/>
              <w:right w:w="20" w:type="dxa"/>
            </w:tcMar>
            <w:vAlign w:val="center"/>
            <w:hideMark/>
          </w:tcPr>
          <w:p w14:paraId="4296B49D" w14:textId="77777777" w:rsidR="008724A4" w:rsidRPr="00856310" w:rsidRDefault="008724A4" w:rsidP="00AC13C1">
            <w:pPr>
              <w:pStyle w:val="Tabletext"/>
              <w:keepNext/>
              <w:keepLines/>
              <w:jc w:val="center"/>
              <w:rPr>
                <w:b/>
                <w:bCs/>
              </w:rPr>
            </w:pPr>
            <w:r w:rsidRPr="00DC76C5">
              <w:rPr>
                <w:b/>
                <w:bCs/>
              </w:rPr>
              <w:t xml:space="preserve">Year 2 </w:t>
            </w:r>
          </w:p>
        </w:tc>
        <w:tc>
          <w:tcPr>
            <w:tcW w:w="1080" w:type="dxa"/>
            <w:shd w:val="clear" w:color="auto" w:fill="auto"/>
            <w:noWrap/>
            <w:tcMar>
              <w:left w:w="20" w:type="dxa"/>
              <w:right w:w="20" w:type="dxa"/>
            </w:tcMar>
            <w:vAlign w:val="center"/>
            <w:hideMark/>
          </w:tcPr>
          <w:p w14:paraId="2A9BBB83" w14:textId="77777777" w:rsidR="008724A4" w:rsidRPr="00856310" w:rsidRDefault="008724A4" w:rsidP="00AC13C1">
            <w:pPr>
              <w:pStyle w:val="Tabletext"/>
              <w:keepNext/>
              <w:keepLines/>
              <w:jc w:val="center"/>
              <w:rPr>
                <w:b/>
                <w:bCs/>
              </w:rPr>
            </w:pPr>
            <w:r w:rsidRPr="00DC76C5">
              <w:rPr>
                <w:b/>
                <w:bCs/>
              </w:rPr>
              <w:t xml:space="preserve">Year 3 </w:t>
            </w:r>
          </w:p>
        </w:tc>
        <w:tc>
          <w:tcPr>
            <w:tcW w:w="1080" w:type="dxa"/>
            <w:shd w:val="clear" w:color="auto" w:fill="auto"/>
            <w:noWrap/>
            <w:tcMar>
              <w:left w:w="20" w:type="dxa"/>
              <w:right w:w="20" w:type="dxa"/>
            </w:tcMar>
            <w:vAlign w:val="center"/>
            <w:hideMark/>
          </w:tcPr>
          <w:p w14:paraId="33754737" w14:textId="77777777" w:rsidR="008724A4" w:rsidRPr="00856310" w:rsidRDefault="008724A4" w:rsidP="00AC13C1">
            <w:pPr>
              <w:pStyle w:val="Tabletext"/>
              <w:keepNext/>
              <w:keepLines/>
              <w:jc w:val="center"/>
              <w:rPr>
                <w:b/>
                <w:bCs/>
              </w:rPr>
            </w:pPr>
            <w:r w:rsidRPr="00DC76C5">
              <w:rPr>
                <w:b/>
                <w:bCs/>
              </w:rPr>
              <w:t xml:space="preserve">Year 4 </w:t>
            </w:r>
          </w:p>
        </w:tc>
        <w:tc>
          <w:tcPr>
            <w:tcW w:w="1080" w:type="dxa"/>
            <w:shd w:val="clear" w:color="auto" w:fill="auto"/>
            <w:noWrap/>
            <w:tcMar>
              <w:left w:w="20" w:type="dxa"/>
              <w:right w:w="20" w:type="dxa"/>
            </w:tcMar>
            <w:vAlign w:val="center"/>
            <w:hideMark/>
          </w:tcPr>
          <w:p w14:paraId="3539CC6B" w14:textId="77777777" w:rsidR="008724A4" w:rsidRPr="00856310" w:rsidRDefault="008724A4" w:rsidP="00AC13C1">
            <w:pPr>
              <w:pStyle w:val="Tabletext"/>
              <w:keepNext/>
              <w:keepLines/>
              <w:jc w:val="center"/>
              <w:rPr>
                <w:b/>
                <w:bCs/>
              </w:rPr>
            </w:pPr>
            <w:r w:rsidRPr="00DC76C5">
              <w:rPr>
                <w:b/>
                <w:bCs/>
              </w:rPr>
              <w:t xml:space="preserve">Year 5 </w:t>
            </w:r>
          </w:p>
        </w:tc>
        <w:tc>
          <w:tcPr>
            <w:tcW w:w="1102" w:type="dxa"/>
            <w:shd w:val="clear" w:color="auto" w:fill="auto"/>
            <w:noWrap/>
            <w:tcMar>
              <w:left w:w="20" w:type="dxa"/>
              <w:right w:w="20" w:type="dxa"/>
            </w:tcMar>
            <w:vAlign w:val="center"/>
            <w:hideMark/>
          </w:tcPr>
          <w:p w14:paraId="0563EAA2" w14:textId="77777777" w:rsidR="008724A4" w:rsidRPr="00856310" w:rsidRDefault="008724A4" w:rsidP="00AC13C1">
            <w:pPr>
              <w:pStyle w:val="Tabletext"/>
              <w:keepNext/>
              <w:keepLines/>
              <w:jc w:val="center"/>
              <w:rPr>
                <w:b/>
                <w:bCs/>
              </w:rPr>
            </w:pPr>
            <w:r w:rsidRPr="00DC76C5">
              <w:rPr>
                <w:b/>
                <w:bCs/>
              </w:rPr>
              <w:t xml:space="preserve">Year 6 </w:t>
            </w:r>
          </w:p>
        </w:tc>
      </w:tr>
      <w:tr w:rsidR="008724A4" w:rsidRPr="00856310" w14:paraId="2565B423" w14:textId="77777777" w:rsidTr="00130A8F">
        <w:trPr>
          <w:trHeight w:val="207"/>
        </w:trPr>
        <w:tc>
          <w:tcPr>
            <w:tcW w:w="2515" w:type="dxa"/>
            <w:noWrap/>
            <w:tcMar>
              <w:left w:w="20" w:type="dxa"/>
              <w:right w:w="20" w:type="dxa"/>
            </w:tcMar>
            <w:vAlign w:val="center"/>
          </w:tcPr>
          <w:p w14:paraId="0A770D14" w14:textId="68CE8010" w:rsidR="008724A4" w:rsidRPr="00DD5DB8" w:rsidRDefault="008724A4" w:rsidP="00AC13C1">
            <w:pPr>
              <w:pStyle w:val="Tabletext"/>
              <w:keepNext/>
              <w:keepLines/>
              <w:rPr>
                <w:vertAlign w:val="superscript"/>
              </w:rPr>
            </w:pPr>
            <w:r w:rsidRPr="00FE4CAE">
              <w:t>Net impact (SPA</w:t>
            </w:r>
            <w:r>
              <w:t xml:space="preserve"> - Effective Price</w:t>
            </w:r>
            <w:r w:rsidRPr="00FE4CAE">
              <w:t>)</w:t>
            </w:r>
            <w:r>
              <w:t xml:space="preserve"> </w:t>
            </w:r>
            <w:r>
              <w:rPr>
                <w:vertAlign w:val="superscript"/>
              </w:rPr>
              <w: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tcPr>
          <w:p w14:paraId="143D6ED1" w14:textId="7FFE8279" w:rsidR="008724A4" w:rsidRPr="00DB6EAB" w:rsidRDefault="001549E4" w:rsidP="00AC13C1">
            <w:pPr>
              <w:pStyle w:val="Tabletext"/>
              <w:keepNext/>
              <w:keepLines/>
              <w:jc w:val="center"/>
              <w:rPr>
                <w:b/>
                <w:bCs/>
                <w:highlight w:val="darkGray"/>
              </w:rPr>
            </w:pPr>
            <w:r w:rsidRPr="001549E4">
              <w:rPr>
                <w:rFonts w:cs="Calibri" w:hint="eastAsia"/>
                <w:b/>
                <w:bCs/>
                <w:color w:val="000000"/>
                <w:w w:val="23"/>
                <w:szCs w:val="18"/>
                <w:shd w:val="solid" w:color="000000" w:fill="000000"/>
                <w:fitText w:val="104" w:id="-693990902"/>
                <w14:textFill>
                  <w14:solidFill>
                    <w14:srgbClr w14:val="000000">
                      <w14:alpha w14:val="100000"/>
                    </w14:srgbClr>
                  </w14:solidFill>
                </w14:textFill>
              </w:rPr>
              <w:t xml:space="preserve">　</w:t>
            </w:r>
            <w:r w:rsidRPr="001549E4">
              <w:rPr>
                <w:rFonts w:cs="Calibri"/>
                <w:b/>
                <w:bCs/>
                <w:color w:val="000000"/>
                <w:w w:val="23"/>
                <w:szCs w:val="18"/>
                <w:shd w:val="solid" w:color="000000" w:fill="000000"/>
                <w:fitText w:val="104" w:id="-693990902"/>
                <w14:textFill>
                  <w14:solidFill>
                    <w14:srgbClr w14:val="000000">
                      <w14:alpha w14:val="100000"/>
                    </w14:srgbClr>
                  </w14:solidFill>
                </w14:textFill>
              </w:rPr>
              <w:t>|</w:t>
            </w:r>
            <w:r w:rsidRPr="001549E4">
              <w:rPr>
                <w:rFonts w:cs="Calibri" w:hint="eastAsia"/>
                <w:b/>
                <w:bCs/>
                <w:color w:val="000000"/>
                <w:spacing w:val="2"/>
                <w:w w:val="23"/>
                <w:szCs w:val="18"/>
                <w:shd w:val="solid" w:color="000000" w:fill="000000"/>
                <w:fitText w:val="104" w:id="-693990902"/>
                <w14:textFill>
                  <w14:solidFill>
                    <w14:srgbClr w14:val="000000">
                      <w14:alpha w14:val="100000"/>
                    </w14:srgbClr>
                  </w14:solidFill>
                </w14:textFill>
              </w:rPr>
              <w:t xml:space="preserve">　</w:t>
            </w:r>
            <w:r w:rsidR="00BE787B" w:rsidRPr="00BE787B">
              <w:rPr>
                <w:rFonts w:cs="Calibri"/>
                <w:b/>
                <w:bCs/>
                <w:color w:val="000000"/>
                <w:szCs w:val="18"/>
                <w:vertAlign w:val="superscript"/>
              </w:rPr>
              <w:t>1</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13D10465" w14:textId="13AB9DC6" w:rsidR="008724A4" w:rsidRPr="00DB6EAB" w:rsidRDefault="001549E4" w:rsidP="00AC13C1">
            <w:pPr>
              <w:pStyle w:val="Tabletext"/>
              <w:keepNext/>
              <w:keepLines/>
              <w:jc w:val="center"/>
              <w:rPr>
                <w:b/>
                <w:bCs/>
                <w:highlight w:val="darkGray"/>
              </w:rPr>
            </w:pPr>
            <w:r w:rsidRPr="001549E4">
              <w:rPr>
                <w:rFonts w:cs="Calibri" w:hint="eastAsia"/>
                <w:b/>
                <w:bCs/>
                <w:color w:val="000000"/>
                <w:w w:val="23"/>
                <w:szCs w:val="18"/>
                <w:shd w:val="solid" w:color="000000" w:fill="000000"/>
                <w:fitText w:val="104" w:id="-693990901"/>
                <w14:textFill>
                  <w14:solidFill>
                    <w14:srgbClr w14:val="000000">
                      <w14:alpha w14:val="100000"/>
                    </w14:srgbClr>
                  </w14:solidFill>
                </w14:textFill>
              </w:rPr>
              <w:t xml:space="preserve">　</w:t>
            </w:r>
            <w:r w:rsidRPr="001549E4">
              <w:rPr>
                <w:rFonts w:cs="Calibri"/>
                <w:b/>
                <w:bCs/>
                <w:color w:val="000000"/>
                <w:w w:val="23"/>
                <w:szCs w:val="18"/>
                <w:shd w:val="solid" w:color="000000" w:fill="000000"/>
                <w:fitText w:val="104" w:id="-693990901"/>
                <w14:textFill>
                  <w14:solidFill>
                    <w14:srgbClr w14:val="000000">
                      <w14:alpha w14:val="100000"/>
                    </w14:srgbClr>
                  </w14:solidFill>
                </w14:textFill>
              </w:rPr>
              <w:t>|</w:t>
            </w:r>
            <w:r w:rsidRPr="001549E4">
              <w:rPr>
                <w:rFonts w:cs="Calibri" w:hint="eastAsia"/>
                <w:b/>
                <w:bCs/>
                <w:color w:val="000000"/>
                <w:spacing w:val="2"/>
                <w:w w:val="23"/>
                <w:szCs w:val="18"/>
                <w:shd w:val="solid" w:color="000000" w:fill="000000"/>
                <w:fitText w:val="104" w:id="-693990901"/>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54A26092" w14:textId="7EB930A4" w:rsidR="008724A4" w:rsidRPr="00DB6EAB" w:rsidRDefault="001549E4" w:rsidP="00AC13C1">
            <w:pPr>
              <w:pStyle w:val="Tabletext"/>
              <w:keepNext/>
              <w:keepLines/>
              <w:jc w:val="center"/>
              <w:rPr>
                <w:b/>
                <w:bCs/>
                <w:highlight w:val="darkGray"/>
              </w:rPr>
            </w:pPr>
            <w:r w:rsidRPr="001549E4">
              <w:rPr>
                <w:rFonts w:cs="Calibri" w:hint="eastAsia"/>
                <w:b/>
                <w:bCs/>
                <w:color w:val="000000"/>
                <w:w w:val="23"/>
                <w:szCs w:val="18"/>
                <w:shd w:val="solid" w:color="000000" w:fill="000000"/>
                <w:fitText w:val="103" w:id="-693990900"/>
                <w14:textFill>
                  <w14:solidFill>
                    <w14:srgbClr w14:val="000000">
                      <w14:alpha w14:val="100000"/>
                    </w14:srgbClr>
                  </w14:solidFill>
                </w14:textFill>
              </w:rPr>
              <w:t xml:space="preserve">　</w:t>
            </w:r>
            <w:r w:rsidRPr="001549E4">
              <w:rPr>
                <w:rFonts w:cs="Calibri"/>
                <w:b/>
                <w:bCs/>
                <w:color w:val="000000"/>
                <w:w w:val="23"/>
                <w:szCs w:val="18"/>
                <w:shd w:val="solid" w:color="000000" w:fill="000000"/>
                <w:fitText w:val="103" w:id="-693990900"/>
                <w14:textFill>
                  <w14:solidFill>
                    <w14:srgbClr w14:val="000000">
                      <w14:alpha w14:val="100000"/>
                    </w14:srgbClr>
                  </w14:solidFill>
                </w14:textFill>
              </w:rPr>
              <w:t>|</w:t>
            </w:r>
            <w:r w:rsidRPr="001549E4">
              <w:rPr>
                <w:rFonts w:cs="Calibri" w:hint="eastAsia"/>
                <w:b/>
                <w:bCs/>
                <w:color w:val="000000"/>
                <w:spacing w:val="1"/>
                <w:w w:val="23"/>
                <w:szCs w:val="18"/>
                <w:shd w:val="solid" w:color="000000" w:fill="000000"/>
                <w:fitText w:val="103" w:id="-693990900"/>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745F9E9F" w14:textId="1AF236D6" w:rsidR="008724A4" w:rsidRPr="00DB6EAB" w:rsidRDefault="001549E4" w:rsidP="00AC13C1">
            <w:pPr>
              <w:pStyle w:val="Tabletext"/>
              <w:keepNext/>
              <w:keepLines/>
              <w:jc w:val="center"/>
              <w:rPr>
                <w:b/>
                <w:bCs/>
                <w:highlight w:val="darkGray"/>
              </w:rPr>
            </w:pPr>
            <w:r w:rsidRPr="001549E4">
              <w:rPr>
                <w:rFonts w:cs="Calibri" w:hint="eastAsia"/>
                <w:b/>
                <w:bCs/>
                <w:color w:val="000000"/>
                <w:w w:val="23"/>
                <w:szCs w:val="18"/>
                <w:shd w:val="solid" w:color="000000" w:fill="000000"/>
                <w:fitText w:val="103" w:id="-693990899"/>
                <w14:textFill>
                  <w14:solidFill>
                    <w14:srgbClr w14:val="000000">
                      <w14:alpha w14:val="100000"/>
                    </w14:srgbClr>
                  </w14:solidFill>
                </w14:textFill>
              </w:rPr>
              <w:t xml:space="preserve">　</w:t>
            </w:r>
            <w:r w:rsidRPr="001549E4">
              <w:rPr>
                <w:rFonts w:cs="Calibri"/>
                <w:b/>
                <w:bCs/>
                <w:color w:val="000000"/>
                <w:w w:val="23"/>
                <w:szCs w:val="18"/>
                <w:shd w:val="solid" w:color="000000" w:fill="000000"/>
                <w:fitText w:val="103" w:id="-693990899"/>
                <w14:textFill>
                  <w14:solidFill>
                    <w14:srgbClr w14:val="000000">
                      <w14:alpha w14:val="100000"/>
                    </w14:srgbClr>
                  </w14:solidFill>
                </w14:textFill>
              </w:rPr>
              <w:t>|</w:t>
            </w:r>
            <w:r w:rsidRPr="001549E4">
              <w:rPr>
                <w:rFonts w:cs="Calibri" w:hint="eastAsia"/>
                <w:b/>
                <w:bCs/>
                <w:color w:val="000000"/>
                <w:spacing w:val="1"/>
                <w:w w:val="23"/>
                <w:szCs w:val="18"/>
                <w:shd w:val="solid" w:color="000000" w:fill="000000"/>
                <w:fitText w:val="103" w:id="-693990899"/>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135534F2" w14:textId="7978047B" w:rsidR="008724A4" w:rsidRPr="00DB6EAB" w:rsidRDefault="001549E4" w:rsidP="00AC13C1">
            <w:pPr>
              <w:pStyle w:val="Tabletext"/>
              <w:keepNext/>
              <w:keepLines/>
              <w:jc w:val="center"/>
              <w:rPr>
                <w:b/>
                <w:bCs/>
                <w:highlight w:val="darkGray"/>
              </w:rPr>
            </w:pPr>
            <w:r w:rsidRPr="001549E4">
              <w:rPr>
                <w:rFonts w:cs="Calibri" w:hint="eastAsia"/>
                <w:b/>
                <w:bCs/>
                <w:color w:val="000000"/>
                <w:w w:val="23"/>
                <w:szCs w:val="18"/>
                <w:shd w:val="solid" w:color="000000" w:fill="000000"/>
                <w:fitText w:val="103" w:id="-693990898"/>
                <w14:textFill>
                  <w14:solidFill>
                    <w14:srgbClr w14:val="000000">
                      <w14:alpha w14:val="100000"/>
                    </w14:srgbClr>
                  </w14:solidFill>
                </w14:textFill>
              </w:rPr>
              <w:t xml:space="preserve">　</w:t>
            </w:r>
            <w:r w:rsidRPr="001549E4">
              <w:rPr>
                <w:rFonts w:cs="Calibri"/>
                <w:b/>
                <w:bCs/>
                <w:color w:val="000000"/>
                <w:w w:val="23"/>
                <w:szCs w:val="18"/>
                <w:shd w:val="solid" w:color="000000" w:fill="000000"/>
                <w:fitText w:val="103" w:id="-693990898"/>
                <w14:textFill>
                  <w14:solidFill>
                    <w14:srgbClr w14:val="000000">
                      <w14:alpha w14:val="100000"/>
                    </w14:srgbClr>
                  </w14:solidFill>
                </w14:textFill>
              </w:rPr>
              <w:t>|</w:t>
            </w:r>
            <w:r w:rsidRPr="001549E4">
              <w:rPr>
                <w:rFonts w:cs="Calibri" w:hint="eastAsia"/>
                <w:b/>
                <w:bCs/>
                <w:color w:val="000000"/>
                <w:spacing w:val="1"/>
                <w:w w:val="23"/>
                <w:szCs w:val="18"/>
                <w:shd w:val="solid" w:color="000000" w:fill="000000"/>
                <w:fitText w:val="103" w:id="-693990898"/>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102"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46DCF311" w14:textId="466D2ABF" w:rsidR="008724A4" w:rsidRPr="00DB6EAB" w:rsidRDefault="001549E4" w:rsidP="00AC13C1">
            <w:pPr>
              <w:pStyle w:val="Tabletext"/>
              <w:keepNext/>
              <w:keepLines/>
              <w:jc w:val="center"/>
              <w:rPr>
                <w:b/>
                <w:bCs/>
                <w:highlight w:val="darkGray"/>
              </w:rPr>
            </w:pPr>
            <w:r w:rsidRPr="001549E4">
              <w:rPr>
                <w:rFonts w:cs="Calibri" w:hint="eastAsia"/>
                <w:b/>
                <w:bCs/>
                <w:color w:val="000000"/>
                <w:w w:val="20"/>
                <w:szCs w:val="18"/>
                <w:shd w:val="solid" w:color="000000" w:fill="000000"/>
                <w:fitText w:val="92" w:id="-693990897"/>
                <w14:textFill>
                  <w14:solidFill>
                    <w14:srgbClr w14:val="000000">
                      <w14:alpha w14:val="100000"/>
                    </w14:srgbClr>
                  </w14:solidFill>
                </w14:textFill>
              </w:rPr>
              <w:t xml:space="preserve">　</w:t>
            </w:r>
            <w:r w:rsidRPr="001549E4">
              <w:rPr>
                <w:rFonts w:cs="Calibri"/>
                <w:b/>
                <w:bCs/>
                <w:color w:val="000000"/>
                <w:w w:val="20"/>
                <w:szCs w:val="18"/>
                <w:shd w:val="solid" w:color="000000" w:fill="000000"/>
                <w:fitText w:val="92" w:id="-693990897"/>
                <w14:textFill>
                  <w14:solidFill>
                    <w14:srgbClr w14:val="000000">
                      <w14:alpha w14:val="100000"/>
                    </w14:srgbClr>
                  </w14:solidFill>
                </w14:textFill>
              </w:rPr>
              <w:t>|</w:t>
            </w:r>
            <w:r w:rsidRPr="001549E4">
              <w:rPr>
                <w:rFonts w:cs="Calibri" w:hint="eastAsia"/>
                <w:b/>
                <w:bCs/>
                <w:color w:val="000000"/>
                <w:spacing w:val="4"/>
                <w:w w:val="20"/>
                <w:szCs w:val="18"/>
                <w:shd w:val="solid" w:color="000000" w:fill="000000"/>
                <w:fitText w:val="92" w:id="-693990897"/>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r>
      <w:tr w:rsidR="008724A4" w:rsidRPr="006943BC" w14:paraId="69D53ABB" w14:textId="77777777" w:rsidTr="00130A8F">
        <w:trPr>
          <w:trHeight w:val="207"/>
        </w:trPr>
        <w:tc>
          <w:tcPr>
            <w:tcW w:w="2515" w:type="dxa"/>
            <w:shd w:val="clear" w:color="auto" w:fill="auto"/>
            <w:noWrap/>
            <w:tcMar>
              <w:left w:w="20" w:type="dxa"/>
              <w:right w:w="20" w:type="dxa"/>
            </w:tcMar>
          </w:tcPr>
          <w:p w14:paraId="49BC57D7" w14:textId="77777777" w:rsidR="008724A4" w:rsidRPr="006943BC" w:rsidRDefault="008724A4" w:rsidP="00AC13C1">
            <w:pPr>
              <w:pStyle w:val="Tabletext"/>
              <w:keepNext/>
              <w:keepLines/>
              <w:rPr>
                <w:vertAlign w:val="superscript"/>
              </w:rPr>
            </w:pPr>
            <w:r w:rsidRPr="006943BC">
              <w:t xml:space="preserve">Exclusion of genetic non-responders (PFIC 2 </w:t>
            </w:r>
            <w:r w:rsidRPr="004279AA">
              <w:rPr>
                <w:i/>
                <w:iCs/>
              </w:rPr>
              <w:t>BSEP3</w:t>
            </w:r>
            <w:r w:rsidRPr="006943BC">
              <w:t xml:space="preserve">) </w:t>
            </w:r>
            <w:r w:rsidRPr="006943BC">
              <w:rPr>
                <w:vertAlign w:val="superscript"/>
              </w:rPr>
              <w:t>b</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tcPr>
          <w:p w14:paraId="5982A4A0" w14:textId="0F55821A" w:rsidR="008724A4" w:rsidRPr="00DB6EAB" w:rsidRDefault="001549E4" w:rsidP="00AC13C1">
            <w:pPr>
              <w:pStyle w:val="Tabletext"/>
              <w:keepNext/>
              <w:keepLines/>
              <w:jc w:val="center"/>
              <w:rPr>
                <w:b/>
                <w:bCs/>
                <w:highlight w:val="darkGray"/>
              </w:rPr>
            </w:pPr>
            <w:r w:rsidRPr="001549E4">
              <w:rPr>
                <w:rFonts w:cs="Calibri" w:hint="eastAsia"/>
                <w:color w:val="000000"/>
                <w:w w:val="15"/>
                <w:shd w:val="solid" w:color="000000" w:fill="000000"/>
                <w:fitText w:val="57" w:id="-693990896"/>
                <w14:textFill>
                  <w14:solidFill>
                    <w14:srgbClr w14:val="000000">
                      <w14:alpha w14:val="100000"/>
                    </w14:srgbClr>
                  </w14:solidFill>
                </w14:textFill>
              </w:rPr>
              <w:t xml:space="preserve">　</w:t>
            </w:r>
            <w:r w:rsidRPr="001549E4">
              <w:rPr>
                <w:rFonts w:cs="Calibri"/>
                <w:color w:val="000000"/>
                <w:w w:val="15"/>
                <w:shd w:val="solid" w:color="000000" w:fill="000000"/>
                <w:fitText w:val="57" w:id="-693990896"/>
                <w14:textFill>
                  <w14:solidFill>
                    <w14:srgbClr w14:val="000000">
                      <w14:alpha w14:val="100000"/>
                    </w14:srgbClr>
                  </w14:solidFill>
                </w14:textFill>
              </w:rPr>
              <w:t>|</w:t>
            </w:r>
            <w:r w:rsidRPr="001549E4">
              <w:rPr>
                <w:rFonts w:cs="Calibri" w:hint="eastAsia"/>
                <w:color w:val="000000"/>
                <w:spacing w:val="-8"/>
                <w:w w:val="15"/>
                <w:shd w:val="solid" w:color="000000" w:fill="000000"/>
                <w:fitText w:val="57" w:id="-693990896"/>
                <w14:textFill>
                  <w14:solidFill>
                    <w14:srgbClr w14:val="000000">
                      <w14:alpha w14:val="100000"/>
                    </w14:srgbClr>
                  </w14:solidFill>
                </w14:textFill>
              </w:rPr>
              <w:t xml:space="preserve">　</w:t>
            </w:r>
            <w:r w:rsidR="00BE787B" w:rsidRPr="00BE787B">
              <w:rPr>
                <w:rFonts w:cs="Calibri"/>
                <w:b/>
                <w:bCs/>
                <w:color w:val="000000"/>
                <w:szCs w:val="18"/>
                <w:vertAlign w:val="superscript"/>
              </w:rPr>
              <w:t>1</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03F27FF2" w14:textId="5DA1544F" w:rsidR="008724A4" w:rsidRPr="00DB6EAB" w:rsidRDefault="001549E4" w:rsidP="00AC13C1">
            <w:pPr>
              <w:pStyle w:val="Tabletext"/>
              <w:keepNext/>
              <w:keepLines/>
              <w:jc w:val="center"/>
              <w:rPr>
                <w:b/>
                <w:bCs/>
                <w:highlight w:val="darkGray"/>
              </w:rPr>
            </w:pPr>
            <w:r w:rsidRPr="001549E4">
              <w:rPr>
                <w:rFonts w:cs="Calibri" w:hint="eastAsia"/>
                <w:color w:val="000000"/>
                <w:w w:val="15"/>
                <w:shd w:val="solid" w:color="000000" w:fill="000000"/>
                <w:fitText w:val="58" w:id="-693990912"/>
                <w14:textFill>
                  <w14:solidFill>
                    <w14:srgbClr w14:val="000000">
                      <w14:alpha w14:val="100000"/>
                    </w14:srgbClr>
                  </w14:solidFill>
                </w14:textFill>
              </w:rPr>
              <w:t xml:space="preserve">　</w:t>
            </w:r>
            <w:r w:rsidRPr="001549E4">
              <w:rPr>
                <w:rFonts w:cs="Calibri"/>
                <w:color w:val="000000"/>
                <w:w w:val="15"/>
                <w:shd w:val="solid" w:color="000000" w:fill="000000"/>
                <w:fitText w:val="58" w:id="-693990912"/>
                <w14:textFill>
                  <w14:solidFill>
                    <w14:srgbClr w14:val="000000">
                      <w14:alpha w14:val="100000"/>
                    </w14:srgbClr>
                  </w14:solidFill>
                </w14:textFill>
              </w:rPr>
              <w:t>|</w:t>
            </w:r>
            <w:r w:rsidRPr="001549E4">
              <w:rPr>
                <w:rFonts w:cs="Calibri" w:hint="eastAsia"/>
                <w:color w:val="000000"/>
                <w:spacing w:val="-7"/>
                <w:w w:val="15"/>
                <w:shd w:val="solid" w:color="000000" w:fill="000000"/>
                <w:fitText w:val="58" w:id="-693990912"/>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09231706" w14:textId="3F140704" w:rsidR="008724A4" w:rsidRPr="00DB6EAB" w:rsidRDefault="001549E4" w:rsidP="00AC13C1">
            <w:pPr>
              <w:pStyle w:val="Tabletext"/>
              <w:keepNext/>
              <w:keepLines/>
              <w:jc w:val="center"/>
              <w:rPr>
                <w:b/>
                <w:bCs/>
                <w:highlight w:val="darkGray"/>
              </w:rPr>
            </w:pPr>
            <w:r w:rsidRPr="001549E4">
              <w:rPr>
                <w:rFonts w:cs="Calibri" w:hint="eastAsia"/>
                <w:color w:val="000000"/>
                <w:w w:val="15"/>
                <w:shd w:val="solid" w:color="000000" w:fill="000000"/>
                <w:fitText w:val="58" w:id="-693990911"/>
                <w14:textFill>
                  <w14:solidFill>
                    <w14:srgbClr w14:val="000000">
                      <w14:alpha w14:val="100000"/>
                    </w14:srgbClr>
                  </w14:solidFill>
                </w14:textFill>
              </w:rPr>
              <w:t xml:space="preserve">　</w:t>
            </w:r>
            <w:r w:rsidRPr="001549E4">
              <w:rPr>
                <w:rFonts w:cs="Calibri"/>
                <w:color w:val="000000"/>
                <w:w w:val="15"/>
                <w:shd w:val="solid" w:color="000000" w:fill="000000"/>
                <w:fitText w:val="58" w:id="-693990911"/>
                <w14:textFill>
                  <w14:solidFill>
                    <w14:srgbClr w14:val="000000">
                      <w14:alpha w14:val="100000"/>
                    </w14:srgbClr>
                  </w14:solidFill>
                </w14:textFill>
              </w:rPr>
              <w:t>|</w:t>
            </w:r>
            <w:r w:rsidRPr="001549E4">
              <w:rPr>
                <w:rFonts w:cs="Calibri" w:hint="eastAsia"/>
                <w:color w:val="000000"/>
                <w:spacing w:val="-7"/>
                <w:w w:val="15"/>
                <w:shd w:val="solid" w:color="000000" w:fill="000000"/>
                <w:fitText w:val="58" w:id="-693990911"/>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2236E5D2" w14:textId="03AAEB15" w:rsidR="008724A4" w:rsidRPr="00DB6EAB" w:rsidRDefault="001549E4" w:rsidP="00AC13C1">
            <w:pPr>
              <w:pStyle w:val="Tabletext"/>
              <w:keepNext/>
              <w:keepLines/>
              <w:jc w:val="center"/>
              <w:rPr>
                <w:b/>
                <w:bCs/>
                <w:highlight w:val="darkGray"/>
              </w:rPr>
            </w:pPr>
            <w:r w:rsidRPr="001549E4">
              <w:rPr>
                <w:rFonts w:cs="Calibri" w:hint="eastAsia"/>
                <w:color w:val="000000"/>
                <w:w w:val="15"/>
                <w:shd w:val="solid" w:color="000000" w:fill="000000"/>
                <w:fitText w:val="58" w:id="-693990910"/>
                <w14:textFill>
                  <w14:solidFill>
                    <w14:srgbClr w14:val="000000">
                      <w14:alpha w14:val="100000"/>
                    </w14:srgbClr>
                  </w14:solidFill>
                </w14:textFill>
              </w:rPr>
              <w:t xml:space="preserve">　</w:t>
            </w:r>
            <w:r w:rsidRPr="001549E4">
              <w:rPr>
                <w:rFonts w:cs="Calibri"/>
                <w:color w:val="000000"/>
                <w:w w:val="15"/>
                <w:shd w:val="solid" w:color="000000" w:fill="000000"/>
                <w:fitText w:val="58" w:id="-693990910"/>
                <w14:textFill>
                  <w14:solidFill>
                    <w14:srgbClr w14:val="000000">
                      <w14:alpha w14:val="100000"/>
                    </w14:srgbClr>
                  </w14:solidFill>
                </w14:textFill>
              </w:rPr>
              <w:t>|</w:t>
            </w:r>
            <w:r w:rsidRPr="001549E4">
              <w:rPr>
                <w:rFonts w:cs="Calibri" w:hint="eastAsia"/>
                <w:color w:val="000000"/>
                <w:spacing w:val="-7"/>
                <w:w w:val="15"/>
                <w:shd w:val="solid" w:color="000000" w:fill="000000"/>
                <w:fitText w:val="58" w:id="-693990910"/>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2F1B7C50" w14:textId="0AA12AC6" w:rsidR="008724A4" w:rsidRPr="00DB6EAB" w:rsidRDefault="001549E4" w:rsidP="00AC13C1">
            <w:pPr>
              <w:pStyle w:val="Tabletext"/>
              <w:keepNext/>
              <w:keepLines/>
              <w:jc w:val="center"/>
              <w:rPr>
                <w:b/>
                <w:bCs/>
                <w:highlight w:val="darkGray"/>
              </w:rPr>
            </w:pPr>
            <w:r w:rsidRPr="001549E4">
              <w:rPr>
                <w:rFonts w:cs="Calibri" w:hint="eastAsia"/>
                <w:color w:val="000000"/>
                <w:w w:val="15"/>
                <w:shd w:val="solid" w:color="000000" w:fill="000000"/>
                <w:fitText w:val="58" w:id="-693990909"/>
                <w14:textFill>
                  <w14:solidFill>
                    <w14:srgbClr w14:val="000000">
                      <w14:alpha w14:val="100000"/>
                    </w14:srgbClr>
                  </w14:solidFill>
                </w14:textFill>
              </w:rPr>
              <w:t xml:space="preserve">　</w:t>
            </w:r>
            <w:r w:rsidRPr="001549E4">
              <w:rPr>
                <w:rFonts w:cs="Calibri"/>
                <w:color w:val="000000"/>
                <w:w w:val="15"/>
                <w:shd w:val="solid" w:color="000000" w:fill="000000"/>
                <w:fitText w:val="58" w:id="-693990909"/>
                <w14:textFill>
                  <w14:solidFill>
                    <w14:srgbClr w14:val="000000">
                      <w14:alpha w14:val="100000"/>
                    </w14:srgbClr>
                  </w14:solidFill>
                </w14:textFill>
              </w:rPr>
              <w:t>|</w:t>
            </w:r>
            <w:r w:rsidRPr="001549E4">
              <w:rPr>
                <w:rFonts w:cs="Calibri" w:hint="eastAsia"/>
                <w:color w:val="000000"/>
                <w:spacing w:val="-7"/>
                <w:w w:val="15"/>
                <w:shd w:val="solid" w:color="000000" w:fill="000000"/>
                <w:fitText w:val="58" w:id="-693990909"/>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102"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4C7CC66E" w14:textId="1231D288" w:rsidR="008724A4" w:rsidRPr="00DB6EAB" w:rsidRDefault="001549E4" w:rsidP="00AC13C1">
            <w:pPr>
              <w:pStyle w:val="Tabletext"/>
              <w:keepNext/>
              <w:keepLines/>
              <w:jc w:val="center"/>
              <w:rPr>
                <w:b/>
                <w:bCs/>
                <w:highlight w:val="darkGray"/>
              </w:rPr>
            </w:pPr>
            <w:r w:rsidRPr="001549E4">
              <w:rPr>
                <w:rFonts w:cs="Calibri" w:hint="eastAsia"/>
                <w:color w:val="000000"/>
                <w:w w:val="15"/>
                <w:shd w:val="solid" w:color="000000" w:fill="000000"/>
                <w:fitText w:val="47" w:id="-693990908"/>
                <w14:textFill>
                  <w14:solidFill>
                    <w14:srgbClr w14:val="000000">
                      <w14:alpha w14:val="100000"/>
                    </w14:srgbClr>
                  </w14:solidFill>
                </w14:textFill>
              </w:rPr>
              <w:t xml:space="preserve">　</w:t>
            </w:r>
            <w:r w:rsidRPr="001549E4">
              <w:rPr>
                <w:rFonts w:cs="Calibri"/>
                <w:color w:val="000000"/>
                <w:w w:val="15"/>
                <w:shd w:val="solid" w:color="000000" w:fill="000000"/>
                <w:fitText w:val="47" w:id="-693990908"/>
                <w14:textFill>
                  <w14:solidFill>
                    <w14:srgbClr w14:val="000000">
                      <w14:alpha w14:val="100000"/>
                    </w14:srgbClr>
                  </w14:solidFill>
                </w14:textFill>
              </w:rPr>
              <w:t>|</w:t>
            </w:r>
            <w:r w:rsidRPr="001549E4">
              <w:rPr>
                <w:rFonts w:cs="Calibri" w:hint="eastAsia"/>
                <w:color w:val="000000"/>
                <w:spacing w:val="-18"/>
                <w:w w:val="15"/>
                <w:shd w:val="solid" w:color="000000" w:fill="000000"/>
                <w:fitText w:val="47" w:id="-693990908"/>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r>
      <w:tr w:rsidR="008724A4" w:rsidRPr="006943BC" w14:paraId="56546338" w14:textId="77777777" w:rsidTr="00130A8F">
        <w:trPr>
          <w:trHeight w:val="207"/>
        </w:trPr>
        <w:tc>
          <w:tcPr>
            <w:tcW w:w="2515" w:type="dxa"/>
            <w:shd w:val="clear" w:color="auto" w:fill="auto"/>
            <w:noWrap/>
            <w:tcMar>
              <w:left w:w="20" w:type="dxa"/>
              <w:right w:w="20" w:type="dxa"/>
            </w:tcMar>
          </w:tcPr>
          <w:p w14:paraId="343B10CB" w14:textId="15C9C539" w:rsidR="008724A4" w:rsidRPr="006943BC" w:rsidRDefault="001549E4" w:rsidP="00AC13C1">
            <w:pPr>
              <w:pStyle w:val="Tabletext"/>
              <w:keepNext/>
              <w:keepLines/>
            </w:pPr>
            <w:r w:rsidRPr="001549E4">
              <w:rPr>
                <w:color w:val="000000"/>
                <w:spacing w:val="54"/>
                <w:shd w:val="solid" w:color="000000" w:fill="000000"/>
                <w:fitText w:val="334" w:id="-693990907"/>
                <w14:textFill>
                  <w14:solidFill>
                    <w14:srgbClr w14:val="000000">
                      <w14:alpha w14:val="100000"/>
                    </w14:srgbClr>
                  </w14:solidFill>
                </w14:textFill>
              </w:rPr>
              <w:t>|||</w:t>
            </w:r>
            <w:r w:rsidRPr="001549E4">
              <w:rPr>
                <w:color w:val="000000"/>
                <w:spacing w:val="2"/>
                <w:shd w:val="solid" w:color="000000" w:fill="000000"/>
                <w:fitText w:val="334" w:id="-693990907"/>
                <w14:textFill>
                  <w14:solidFill>
                    <w14:srgbClr w14:val="000000">
                      <w14:alpha w14:val="100000"/>
                    </w14:srgbClr>
                  </w14:solidFill>
                </w14:textFill>
              </w:rPr>
              <w:t>|</w:t>
            </w:r>
            <w:r w:rsidR="00BB1289" w:rsidRPr="00BB1289">
              <w:t xml:space="preserve"> </w:t>
            </w:r>
            <w:r w:rsidRPr="001549E4">
              <w:rPr>
                <w:color w:val="000000"/>
                <w:spacing w:val="54"/>
                <w:shd w:val="solid" w:color="000000" w:fill="000000"/>
                <w:fitText w:val="334" w:id="-693990906"/>
                <w14:textFill>
                  <w14:solidFill>
                    <w14:srgbClr w14:val="000000">
                      <w14:alpha w14:val="100000"/>
                    </w14:srgbClr>
                  </w14:solidFill>
                </w14:textFill>
              </w:rPr>
              <w:t>|||</w:t>
            </w:r>
            <w:r w:rsidRPr="001549E4">
              <w:rPr>
                <w:color w:val="000000"/>
                <w:spacing w:val="2"/>
                <w:shd w:val="solid" w:color="000000" w:fill="000000"/>
                <w:fitText w:val="334" w:id="-693990906"/>
                <w14:textFill>
                  <w14:solidFill>
                    <w14:srgbClr w14:val="000000">
                      <w14:alpha w14:val="100000"/>
                    </w14:srgbClr>
                  </w14:solidFill>
                </w14:textFill>
              </w:rPr>
              <w:t>|</w:t>
            </w:r>
            <w:r w:rsidR="008724A4" w:rsidRPr="006943BC">
              <w:t xml:space="preserve"> cost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tcPr>
          <w:p w14:paraId="5900150F" w14:textId="23D2A82D" w:rsidR="008724A4" w:rsidRPr="00DB6EAB" w:rsidRDefault="001549E4" w:rsidP="00AC13C1">
            <w:pPr>
              <w:pStyle w:val="Tabletext"/>
              <w:keepNext/>
              <w:keepLines/>
              <w:jc w:val="center"/>
              <w:rPr>
                <w:b/>
                <w:bCs/>
                <w:highlight w:val="darkGray"/>
              </w:rPr>
            </w:pPr>
            <w:r w:rsidRPr="001549E4">
              <w:rPr>
                <w:rFonts w:hint="eastAsia"/>
                <w:color w:val="000000"/>
                <w:w w:val="15"/>
                <w:shd w:val="solid" w:color="000000" w:fill="000000"/>
                <w:fitText w:val="57" w:id="-693990905"/>
                <w14:textFill>
                  <w14:solidFill>
                    <w14:srgbClr w14:val="000000">
                      <w14:alpha w14:val="100000"/>
                    </w14:srgbClr>
                  </w14:solidFill>
                </w14:textFill>
              </w:rPr>
              <w:t xml:space="preserve">　</w:t>
            </w:r>
            <w:r w:rsidRPr="001549E4">
              <w:rPr>
                <w:color w:val="000000"/>
                <w:w w:val="15"/>
                <w:shd w:val="solid" w:color="000000" w:fill="000000"/>
                <w:fitText w:val="57" w:id="-693990905"/>
                <w14:textFill>
                  <w14:solidFill>
                    <w14:srgbClr w14:val="000000">
                      <w14:alpha w14:val="100000"/>
                    </w14:srgbClr>
                  </w14:solidFill>
                </w14:textFill>
              </w:rPr>
              <w:t>|</w:t>
            </w:r>
            <w:r w:rsidRPr="001549E4">
              <w:rPr>
                <w:rFonts w:hint="eastAsia"/>
                <w:color w:val="000000"/>
                <w:spacing w:val="-8"/>
                <w:w w:val="15"/>
                <w:shd w:val="solid" w:color="000000" w:fill="000000"/>
                <w:fitText w:val="57" w:id="-693990905"/>
                <w14:textFill>
                  <w14:solidFill>
                    <w14:srgbClr w14:val="000000">
                      <w14:alpha w14:val="100000"/>
                    </w14:srgbClr>
                  </w14:solidFill>
                </w14:textFill>
              </w:rPr>
              <w:t xml:space="preserve">　</w:t>
            </w:r>
            <w:r w:rsidR="00BE787B" w:rsidRPr="00BE787B">
              <w:rPr>
                <w:rFonts w:cs="Calibri"/>
                <w:b/>
                <w:bCs/>
                <w:color w:val="000000"/>
                <w:szCs w:val="18"/>
                <w:vertAlign w:val="superscript"/>
              </w:rPr>
              <w:t>1</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7334CE11" w14:textId="16C2BC67" w:rsidR="008724A4" w:rsidRPr="00DB6EAB" w:rsidRDefault="001549E4" w:rsidP="00AC13C1">
            <w:pPr>
              <w:pStyle w:val="Tabletext"/>
              <w:keepNext/>
              <w:keepLines/>
              <w:jc w:val="center"/>
              <w:rPr>
                <w:b/>
                <w:bCs/>
                <w:highlight w:val="darkGray"/>
              </w:rPr>
            </w:pPr>
            <w:r w:rsidRPr="001549E4">
              <w:rPr>
                <w:rFonts w:hint="eastAsia"/>
                <w:color w:val="000000"/>
                <w:w w:val="15"/>
                <w:shd w:val="solid" w:color="000000" w:fill="000000"/>
                <w:fitText w:val="58" w:id="-693990904"/>
                <w14:textFill>
                  <w14:solidFill>
                    <w14:srgbClr w14:val="000000">
                      <w14:alpha w14:val="100000"/>
                    </w14:srgbClr>
                  </w14:solidFill>
                </w14:textFill>
              </w:rPr>
              <w:t xml:space="preserve">　</w:t>
            </w:r>
            <w:r w:rsidRPr="001549E4">
              <w:rPr>
                <w:color w:val="000000"/>
                <w:w w:val="15"/>
                <w:shd w:val="solid" w:color="000000" w:fill="000000"/>
                <w:fitText w:val="58" w:id="-693990904"/>
                <w14:textFill>
                  <w14:solidFill>
                    <w14:srgbClr w14:val="000000">
                      <w14:alpha w14:val="100000"/>
                    </w14:srgbClr>
                  </w14:solidFill>
                </w14:textFill>
              </w:rPr>
              <w:t>|</w:t>
            </w:r>
            <w:r w:rsidRPr="001549E4">
              <w:rPr>
                <w:rFonts w:hint="eastAsia"/>
                <w:color w:val="000000"/>
                <w:spacing w:val="-7"/>
                <w:w w:val="15"/>
                <w:shd w:val="solid" w:color="000000" w:fill="000000"/>
                <w:fitText w:val="58" w:id="-693990904"/>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4BD2586A" w14:textId="25489D21" w:rsidR="008724A4" w:rsidRPr="00DB6EAB" w:rsidRDefault="001549E4" w:rsidP="00AC13C1">
            <w:pPr>
              <w:pStyle w:val="Tabletext"/>
              <w:keepNext/>
              <w:keepLines/>
              <w:jc w:val="center"/>
              <w:rPr>
                <w:b/>
                <w:bCs/>
                <w:highlight w:val="darkGray"/>
              </w:rPr>
            </w:pPr>
            <w:r w:rsidRPr="001549E4">
              <w:rPr>
                <w:rFonts w:hint="eastAsia"/>
                <w:color w:val="000000"/>
                <w:w w:val="15"/>
                <w:shd w:val="solid" w:color="000000" w:fill="000000"/>
                <w:fitText w:val="58" w:id="-693990903"/>
                <w14:textFill>
                  <w14:solidFill>
                    <w14:srgbClr w14:val="000000">
                      <w14:alpha w14:val="100000"/>
                    </w14:srgbClr>
                  </w14:solidFill>
                </w14:textFill>
              </w:rPr>
              <w:t xml:space="preserve">　</w:t>
            </w:r>
            <w:r w:rsidRPr="001549E4">
              <w:rPr>
                <w:color w:val="000000"/>
                <w:w w:val="15"/>
                <w:shd w:val="solid" w:color="000000" w:fill="000000"/>
                <w:fitText w:val="58" w:id="-693990903"/>
                <w14:textFill>
                  <w14:solidFill>
                    <w14:srgbClr w14:val="000000">
                      <w14:alpha w14:val="100000"/>
                    </w14:srgbClr>
                  </w14:solidFill>
                </w14:textFill>
              </w:rPr>
              <w:t>|</w:t>
            </w:r>
            <w:r w:rsidRPr="001549E4">
              <w:rPr>
                <w:rFonts w:hint="eastAsia"/>
                <w:color w:val="000000"/>
                <w:spacing w:val="-7"/>
                <w:w w:val="15"/>
                <w:shd w:val="solid" w:color="000000" w:fill="000000"/>
                <w:fitText w:val="58" w:id="-693990903"/>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5F96A642" w14:textId="538AE772" w:rsidR="008724A4" w:rsidRPr="00DB6EAB" w:rsidRDefault="001549E4" w:rsidP="00AC13C1">
            <w:pPr>
              <w:pStyle w:val="Tabletext"/>
              <w:keepNext/>
              <w:keepLines/>
              <w:jc w:val="center"/>
              <w:rPr>
                <w:b/>
                <w:bCs/>
                <w:highlight w:val="darkGray"/>
              </w:rPr>
            </w:pPr>
            <w:r w:rsidRPr="001549E4">
              <w:rPr>
                <w:rFonts w:hint="eastAsia"/>
                <w:color w:val="000000"/>
                <w:w w:val="15"/>
                <w:shd w:val="solid" w:color="000000" w:fill="000000"/>
                <w:fitText w:val="58" w:id="-693990902"/>
                <w14:textFill>
                  <w14:solidFill>
                    <w14:srgbClr w14:val="000000">
                      <w14:alpha w14:val="100000"/>
                    </w14:srgbClr>
                  </w14:solidFill>
                </w14:textFill>
              </w:rPr>
              <w:t xml:space="preserve">　</w:t>
            </w:r>
            <w:r w:rsidRPr="001549E4">
              <w:rPr>
                <w:color w:val="000000"/>
                <w:w w:val="15"/>
                <w:shd w:val="solid" w:color="000000" w:fill="000000"/>
                <w:fitText w:val="58" w:id="-693990902"/>
                <w14:textFill>
                  <w14:solidFill>
                    <w14:srgbClr w14:val="000000">
                      <w14:alpha w14:val="100000"/>
                    </w14:srgbClr>
                  </w14:solidFill>
                </w14:textFill>
              </w:rPr>
              <w:t>|</w:t>
            </w:r>
            <w:r w:rsidRPr="001549E4">
              <w:rPr>
                <w:rFonts w:hint="eastAsia"/>
                <w:color w:val="000000"/>
                <w:spacing w:val="-7"/>
                <w:w w:val="15"/>
                <w:shd w:val="solid" w:color="000000" w:fill="000000"/>
                <w:fitText w:val="58" w:id="-693990902"/>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31752451" w14:textId="75D334F7" w:rsidR="008724A4" w:rsidRPr="00DB6EAB" w:rsidRDefault="001549E4" w:rsidP="00AC13C1">
            <w:pPr>
              <w:pStyle w:val="Tabletext"/>
              <w:keepNext/>
              <w:keepLines/>
              <w:jc w:val="center"/>
              <w:rPr>
                <w:b/>
                <w:bCs/>
                <w:highlight w:val="darkGray"/>
              </w:rPr>
            </w:pPr>
            <w:r w:rsidRPr="001549E4">
              <w:rPr>
                <w:rFonts w:hint="eastAsia"/>
                <w:color w:val="000000"/>
                <w:w w:val="15"/>
                <w:shd w:val="solid" w:color="000000" w:fill="000000"/>
                <w:fitText w:val="58" w:id="-693990901"/>
                <w14:textFill>
                  <w14:solidFill>
                    <w14:srgbClr w14:val="000000">
                      <w14:alpha w14:val="100000"/>
                    </w14:srgbClr>
                  </w14:solidFill>
                </w14:textFill>
              </w:rPr>
              <w:t xml:space="preserve">　</w:t>
            </w:r>
            <w:r w:rsidRPr="001549E4">
              <w:rPr>
                <w:color w:val="000000"/>
                <w:w w:val="15"/>
                <w:shd w:val="solid" w:color="000000" w:fill="000000"/>
                <w:fitText w:val="58" w:id="-693990901"/>
                <w14:textFill>
                  <w14:solidFill>
                    <w14:srgbClr w14:val="000000">
                      <w14:alpha w14:val="100000"/>
                    </w14:srgbClr>
                  </w14:solidFill>
                </w14:textFill>
              </w:rPr>
              <w:t>|</w:t>
            </w:r>
            <w:r w:rsidRPr="001549E4">
              <w:rPr>
                <w:rFonts w:hint="eastAsia"/>
                <w:color w:val="000000"/>
                <w:spacing w:val="-7"/>
                <w:w w:val="15"/>
                <w:shd w:val="solid" w:color="000000" w:fill="000000"/>
                <w:fitText w:val="58" w:id="-693990901"/>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102"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75FF184E" w14:textId="3C1B7C8C" w:rsidR="008724A4" w:rsidRPr="00DB6EAB" w:rsidRDefault="001549E4" w:rsidP="00AC13C1">
            <w:pPr>
              <w:pStyle w:val="Tabletext"/>
              <w:keepNext/>
              <w:keepLines/>
              <w:jc w:val="center"/>
              <w:rPr>
                <w:b/>
                <w:bCs/>
                <w:highlight w:val="darkGray"/>
              </w:rPr>
            </w:pPr>
            <w:r w:rsidRPr="001549E4">
              <w:rPr>
                <w:rFonts w:hint="eastAsia"/>
                <w:color w:val="000000"/>
                <w:w w:val="15"/>
                <w:shd w:val="solid" w:color="000000" w:fill="000000"/>
                <w:fitText w:val="47" w:id="-693990900"/>
                <w14:textFill>
                  <w14:solidFill>
                    <w14:srgbClr w14:val="000000">
                      <w14:alpha w14:val="100000"/>
                    </w14:srgbClr>
                  </w14:solidFill>
                </w14:textFill>
              </w:rPr>
              <w:t xml:space="preserve">　</w:t>
            </w:r>
            <w:r w:rsidRPr="001549E4">
              <w:rPr>
                <w:color w:val="000000"/>
                <w:w w:val="15"/>
                <w:shd w:val="solid" w:color="000000" w:fill="000000"/>
                <w:fitText w:val="47" w:id="-693990900"/>
                <w14:textFill>
                  <w14:solidFill>
                    <w14:srgbClr w14:val="000000">
                      <w14:alpha w14:val="100000"/>
                    </w14:srgbClr>
                  </w14:solidFill>
                </w14:textFill>
              </w:rPr>
              <w:t>|</w:t>
            </w:r>
            <w:r w:rsidRPr="001549E4">
              <w:rPr>
                <w:rFonts w:hint="eastAsia"/>
                <w:color w:val="000000"/>
                <w:spacing w:val="-18"/>
                <w:w w:val="15"/>
                <w:shd w:val="solid" w:color="000000" w:fill="000000"/>
                <w:fitText w:val="47" w:id="-693990900"/>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r>
      <w:tr w:rsidR="008724A4" w:rsidRPr="00856310" w14:paraId="5010F991" w14:textId="77777777" w:rsidTr="00130A8F">
        <w:trPr>
          <w:trHeight w:val="207"/>
        </w:trPr>
        <w:tc>
          <w:tcPr>
            <w:tcW w:w="2515" w:type="dxa"/>
            <w:shd w:val="clear" w:color="auto" w:fill="auto"/>
            <w:noWrap/>
            <w:tcMar>
              <w:left w:w="20" w:type="dxa"/>
              <w:right w:w="20" w:type="dxa"/>
            </w:tcMar>
            <w:vAlign w:val="center"/>
          </w:tcPr>
          <w:p w14:paraId="7E6F30FC" w14:textId="061F28F8" w:rsidR="008724A4" w:rsidRPr="00D92628" w:rsidRDefault="008724A4" w:rsidP="00AC13C1">
            <w:pPr>
              <w:pStyle w:val="Tabletext"/>
              <w:keepNext/>
              <w:keepLines/>
              <w:rPr>
                <w:b/>
                <w:bCs/>
              </w:rPr>
            </w:pPr>
            <w:r w:rsidRPr="00D92628">
              <w:rPr>
                <w:b/>
                <w:bCs/>
              </w:rPr>
              <w:t xml:space="preserve">Proposed annual </w:t>
            </w:r>
            <w:r w:rsidR="00D17D21" w:rsidRPr="00D92628">
              <w:rPr>
                <w:b/>
                <w:bCs/>
              </w:rPr>
              <w:t>expenditure</w:t>
            </w:r>
            <w:r w:rsidRPr="00D92628">
              <w:rPr>
                <w:b/>
                <w:bCs/>
              </w:rPr>
              <w:t xml:space="preserve"> caps </w:t>
            </w:r>
            <w:r w:rsidR="007C3159" w:rsidRPr="00D92628">
              <w:rPr>
                <w:b/>
                <w:bCs/>
                <w:vertAlign w:val="superscript"/>
              </w:rPr>
              <w:t>c</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tcPr>
          <w:p w14:paraId="0AB724FE" w14:textId="7EC99CA1" w:rsidR="008724A4" w:rsidRPr="00DB6EAB" w:rsidRDefault="001549E4" w:rsidP="00AC13C1">
            <w:pPr>
              <w:pStyle w:val="Tabletext"/>
              <w:keepNext/>
              <w:keepLines/>
              <w:jc w:val="center"/>
              <w:rPr>
                <w:b/>
                <w:bCs/>
                <w:highlight w:val="darkGray"/>
              </w:rPr>
            </w:pPr>
            <w:r w:rsidRPr="001549E4">
              <w:rPr>
                <w:rFonts w:hint="eastAsia"/>
                <w:b/>
                <w:bCs/>
                <w:color w:val="000000"/>
                <w:w w:val="23"/>
                <w:shd w:val="solid" w:color="000000" w:fill="000000"/>
                <w:fitText w:val="104" w:id="-693990899"/>
                <w14:textFill>
                  <w14:solidFill>
                    <w14:srgbClr w14:val="000000">
                      <w14:alpha w14:val="100000"/>
                    </w14:srgbClr>
                  </w14:solidFill>
                </w14:textFill>
              </w:rPr>
              <w:t xml:space="preserve">　</w:t>
            </w:r>
            <w:r w:rsidRPr="001549E4">
              <w:rPr>
                <w:b/>
                <w:bCs/>
                <w:color w:val="000000"/>
                <w:w w:val="23"/>
                <w:shd w:val="solid" w:color="000000" w:fill="000000"/>
                <w:fitText w:val="104" w:id="-693990899"/>
                <w14:textFill>
                  <w14:solidFill>
                    <w14:srgbClr w14:val="000000">
                      <w14:alpha w14:val="100000"/>
                    </w14:srgbClr>
                  </w14:solidFill>
                </w14:textFill>
              </w:rPr>
              <w:t>|</w:t>
            </w:r>
            <w:r w:rsidRPr="001549E4">
              <w:rPr>
                <w:rFonts w:hint="eastAsia"/>
                <w:b/>
                <w:bCs/>
                <w:color w:val="000000"/>
                <w:spacing w:val="2"/>
                <w:w w:val="23"/>
                <w:shd w:val="solid" w:color="000000" w:fill="000000"/>
                <w:fitText w:val="104" w:id="-693990899"/>
                <w14:textFill>
                  <w14:solidFill>
                    <w14:srgbClr w14:val="000000">
                      <w14:alpha w14:val="100000"/>
                    </w14:srgbClr>
                  </w14:solidFill>
                </w14:textFill>
              </w:rPr>
              <w:t xml:space="preserve">　</w:t>
            </w:r>
            <w:r w:rsidR="00BE787B" w:rsidRPr="00BE787B">
              <w:rPr>
                <w:rFonts w:cs="Calibri"/>
                <w:b/>
                <w:bCs/>
                <w:color w:val="000000"/>
                <w:szCs w:val="18"/>
                <w:vertAlign w:val="superscript"/>
              </w:rPr>
              <w:t>1</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2F12D80D" w14:textId="2F224FB3" w:rsidR="008724A4" w:rsidRPr="00DB6EAB" w:rsidRDefault="001549E4" w:rsidP="00AC13C1">
            <w:pPr>
              <w:pStyle w:val="Tabletext"/>
              <w:keepNext/>
              <w:keepLines/>
              <w:jc w:val="center"/>
              <w:rPr>
                <w:b/>
                <w:bCs/>
                <w:highlight w:val="darkGray"/>
              </w:rPr>
            </w:pPr>
            <w:r w:rsidRPr="001549E4">
              <w:rPr>
                <w:rFonts w:hint="eastAsia"/>
                <w:b/>
                <w:bCs/>
                <w:color w:val="000000"/>
                <w:w w:val="23"/>
                <w:shd w:val="solid" w:color="000000" w:fill="000000"/>
                <w:fitText w:val="104" w:id="-693990898"/>
                <w14:textFill>
                  <w14:solidFill>
                    <w14:srgbClr w14:val="000000">
                      <w14:alpha w14:val="100000"/>
                    </w14:srgbClr>
                  </w14:solidFill>
                </w14:textFill>
              </w:rPr>
              <w:t xml:space="preserve">　</w:t>
            </w:r>
            <w:r w:rsidRPr="001549E4">
              <w:rPr>
                <w:b/>
                <w:bCs/>
                <w:color w:val="000000"/>
                <w:w w:val="23"/>
                <w:shd w:val="solid" w:color="000000" w:fill="000000"/>
                <w:fitText w:val="104" w:id="-693990898"/>
                <w14:textFill>
                  <w14:solidFill>
                    <w14:srgbClr w14:val="000000">
                      <w14:alpha w14:val="100000"/>
                    </w14:srgbClr>
                  </w14:solidFill>
                </w14:textFill>
              </w:rPr>
              <w:t>|</w:t>
            </w:r>
            <w:r w:rsidRPr="001549E4">
              <w:rPr>
                <w:rFonts w:hint="eastAsia"/>
                <w:b/>
                <w:bCs/>
                <w:color w:val="000000"/>
                <w:spacing w:val="2"/>
                <w:w w:val="23"/>
                <w:shd w:val="solid" w:color="000000" w:fill="000000"/>
                <w:fitText w:val="104" w:id="-693990898"/>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00F731E9" w14:textId="77DA6AC4" w:rsidR="008724A4" w:rsidRPr="00DB6EAB" w:rsidRDefault="001549E4" w:rsidP="00AC13C1">
            <w:pPr>
              <w:pStyle w:val="Tabletext"/>
              <w:keepNext/>
              <w:keepLines/>
              <w:jc w:val="center"/>
              <w:rPr>
                <w:b/>
                <w:bCs/>
                <w:highlight w:val="darkGray"/>
              </w:rPr>
            </w:pPr>
            <w:r w:rsidRPr="001549E4">
              <w:rPr>
                <w:rFonts w:hint="eastAsia"/>
                <w:b/>
                <w:bCs/>
                <w:color w:val="000000"/>
                <w:w w:val="23"/>
                <w:shd w:val="solid" w:color="000000" w:fill="000000"/>
                <w:fitText w:val="103" w:id="-693990897"/>
                <w14:textFill>
                  <w14:solidFill>
                    <w14:srgbClr w14:val="000000">
                      <w14:alpha w14:val="100000"/>
                    </w14:srgbClr>
                  </w14:solidFill>
                </w14:textFill>
              </w:rPr>
              <w:t xml:space="preserve">　</w:t>
            </w:r>
            <w:r w:rsidRPr="001549E4">
              <w:rPr>
                <w:b/>
                <w:bCs/>
                <w:color w:val="000000"/>
                <w:w w:val="23"/>
                <w:shd w:val="solid" w:color="000000" w:fill="000000"/>
                <w:fitText w:val="103" w:id="-693990897"/>
                <w14:textFill>
                  <w14:solidFill>
                    <w14:srgbClr w14:val="000000">
                      <w14:alpha w14:val="100000"/>
                    </w14:srgbClr>
                  </w14:solidFill>
                </w14:textFill>
              </w:rPr>
              <w:t>|</w:t>
            </w:r>
            <w:r w:rsidRPr="001549E4">
              <w:rPr>
                <w:rFonts w:hint="eastAsia"/>
                <w:b/>
                <w:bCs/>
                <w:color w:val="000000"/>
                <w:spacing w:val="1"/>
                <w:w w:val="23"/>
                <w:shd w:val="solid" w:color="000000" w:fill="000000"/>
                <w:fitText w:val="103" w:id="-693990897"/>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26425A30" w14:textId="201DC0F7" w:rsidR="008724A4" w:rsidRPr="00DB6EAB" w:rsidRDefault="001549E4" w:rsidP="00AC13C1">
            <w:pPr>
              <w:pStyle w:val="Tabletext"/>
              <w:keepNext/>
              <w:keepLines/>
              <w:jc w:val="center"/>
              <w:rPr>
                <w:b/>
                <w:bCs/>
                <w:highlight w:val="darkGray"/>
              </w:rPr>
            </w:pPr>
            <w:r w:rsidRPr="001549E4">
              <w:rPr>
                <w:rFonts w:hint="eastAsia"/>
                <w:b/>
                <w:bCs/>
                <w:color w:val="000000"/>
                <w:w w:val="23"/>
                <w:shd w:val="solid" w:color="000000" w:fill="000000"/>
                <w:fitText w:val="103" w:id="-693990896"/>
                <w14:textFill>
                  <w14:solidFill>
                    <w14:srgbClr w14:val="000000">
                      <w14:alpha w14:val="100000"/>
                    </w14:srgbClr>
                  </w14:solidFill>
                </w14:textFill>
              </w:rPr>
              <w:t xml:space="preserve">　</w:t>
            </w:r>
            <w:r w:rsidRPr="001549E4">
              <w:rPr>
                <w:b/>
                <w:bCs/>
                <w:color w:val="000000"/>
                <w:w w:val="23"/>
                <w:shd w:val="solid" w:color="000000" w:fill="000000"/>
                <w:fitText w:val="103" w:id="-693990896"/>
                <w14:textFill>
                  <w14:solidFill>
                    <w14:srgbClr w14:val="000000">
                      <w14:alpha w14:val="100000"/>
                    </w14:srgbClr>
                  </w14:solidFill>
                </w14:textFill>
              </w:rPr>
              <w:t>|</w:t>
            </w:r>
            <w:r w:rsidRPr="001549E4">
              <w:rPr>
                <w:rFonts w:hint="eastAsia"/>
                <w:b/>
                <w:bCs/>
                <w:color w:val="000000"/>
                <w:spacing w:val="1"/>
                <w:w w:val="23"/>
                <w:shd w:val="solid" w:color="000000" w:fill="000000"/>
                <w:fitText w:val="103" w:id="-693990896"/>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08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5A8AB329" w14:textId="0BC27DC2" w:rsidR="008724A4" w:rsidRPr="00DB6EAB" w:rsidRDefault="001549E4" w:rsidP="00AC13C1">
            <w:pPr>
              <w:pStyle w:val="Tabletext"/>
              <w:keepNext/>
              <w:keepLines/>
              <w:jc w:val="center"/>
              <w:rPr>
                <w:b/>
                <w:bCs/>
                <w:highlight w:val="darkGray"/>
              </w:rPr>
            </w:pPr>
            <w:r w:rsidRPr="001549E4">
              <w:rPr>
                <w:rFonts w:hint="eastAsia"/>
                <w:b/>
                <w:bCs/>
                <w:color w:val="000000"/>
                <w:w w:val="23"/>
                <w:shd w:val="solid" w:color="000000" w:fill="000000"/>
                <w:fitText w:val="103" w:id="-693990912"/>
                <w14:textFill>
                  <w14:solidFill>
                    <w14:srgbClr w14:val="000000">
                      <w14:alpha w14:val="100000"/>
                    </w14:srgbClr>
                  </w14:solidFill>
                </w14:textFill>
              </w:rPr>
              <w:t xml:space="preserve">　</w:t>
            </w:r>
            <w:r w:rsidRPr="001549E4">
              <w:rPr>
                <w:b/>
                <w:bCs/>
                <w:color w:val="000000"/>
                <w:w w:val="23"/>
                <w:shd w:val="solid" w:color="000000" w:fill="000000"/>
                <w:fitText w:val="103" w:id="-693990912"/>
                <w14:textFill>
                  <w14:solidFill>
                    <w14:srgbClr w14:val="000000">
                      <w14:alpha w14:val="100000"/>
                    </w14:srgbClr>
                  </w14:solidFill>
                </w14:textFill>
              </w:rPr>
              <w:t>|</w:t>
            </w:r>
            <w:r w:rsidRPr="001549E4">
              <w:rPr>
                <w:rFonts w:hint="eastAsia"/>
                <w:b/>
                <w:bCs/>
                <w:color w:val="000000"/>
                <w:spacing w:val="1"/>
                <w:w w:val="23"/>
                <w:shd w:val="solid" w:color="000000" w:fill="000000"/>
                <w:fitText w:val="103" w:id="-693990912"/>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c>
          <w:tcPr>
            <w:tcW w:w="1102"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16081B6E" w14:textId="27CBB03A" w:rsidR="008724A4" w:rsidRPr="00DB6EAB" w:rsidRDefault="001549E4" w:rsidP="00AC13C1">
            <w:pPr>
              <w:pStyle w:val="Tabletext"/>
              <w:keepNext/>
              <w:keepLines/>
              <w:jc w:val="center"/>
              <w:rPr>
                <w:b/>
                <w:bCs/>
                <w:highlight w:val="darkGray"/>
              </w:rPr>
            </w:pPr>
            <w:r w:rsidRPr="001549E4">
              <w:rPr>
                <w:rFonts w:hint="eastAsia"/>
                <w:b/>
                <w:bCs/>
                <w:color w:val="000000"/>
                <w:w w:val="20"/>
                <w:shd w:val="solid" w:color="000000" w:fill="000000"/>
                <w:fitText w:val="92" w:id="-693990911"/>
                <w14:textFill>
                  <w14:solidFill>
                    <w14:srgbClr w14:val="000000">
                      <w14:alpha w14:val="100000"/>
                    </w14:srgbClr>
                  </w14:solidFill>
                </w14:textFill>
              </w:rPr>
              <w:t xml:space="preserve">　</w:t>
            </w:r>
            <w:r w:rsidRPr="001549E4">
              <w:rPr>
                <w:b/>
                <w:bCs/>
                <w:color w:val="000000"/>
                <w:w w:val="20"/>
                <w:shd w:val="solid" w:color="000000" w:fill="000000"/>
                <w:fitText w:val="92" w:id="-693990911"/>
                <w14:textFill>
                  <w14:solidFill>
                    <w14:srgbClr w14:val="000000">
                      <w14:alpha w14:val="100000"/>
                    </w14:srgbClr>
                  </w14:solidFill>
                </w14:textFill>
              </w:rPr>
              <w:t>|</w:t>
            </w:r>
            <w:r w:rsidRPr="001549E4">
              <w:rPr>
                <w:rFonts w:hint="eastAsia"/>
                <w:b/>
                <w:bCs/>
                <w:color w:val="000000"/>
                <w:spacing w:val="4"/>
                <w:w w:val="20"/>
                <w:shd w:val="solid" w:color="000000" w:fill="000000"/>
                <w:fitText w:val="92" w:id="-693990911"/>
                <w14:textFill>
                  <w14:solidFill>
                    <w14:srgbClr w14:val="000000">
                      <w14:alpha w14:val="100000"/>
                    </w14:srgbClr>
                  </w14:solidFill>
                </w14:textFill>
              </w:rPr>
              <w:t xml:space="preserve">　</w:t>
            </w:r>
            <w:r w:rsidR="00BE787B" w:rsidRPr="00BE787B">
              <w:rPr>
                <w:rFonts w:cs="Calibri"/>
                <w:b/>
                <w:bCs/>
                <w:color w:val="000000"/>
                <w:szCs w:val="18"/>
                <w:vertAlign w:val="superscript"/>
              </w:rPr>
              <w:t>2</w:t>
            </w:r>
          </w:p>
        </w:tc>
      </w:tr>
    </w:tbl>
    <w:p w14:paraId="2A36105C" w14:textId="34FE95CA" w:rsidR="00DB6EAB" w:rsidRDefault="008724A4" w:rsidP="00DB6EAB">
      <w:pPr>
        <w:keepNext/>
        <w:keepLines/>
        <w:jc w:val="left"/>
        <w:rPr>
          <w:rFonts w:ascii="Arial Narrow" w:hAnsi="Arial Narrow"/>
          <w:sz w:val="18"/>
          <w:szCs w:val="18"/>
        </w:rPr>
      </w:pPr>
      <w:r w:rsidRPr="00EF043C">
        <w:rPr>
          <w:rFonts w:ascii="Arial Narrow" w:hAnsi="Arial Narrow"/>
          <w:sz w:val="18"/>
          <w:szCs w:val="18"/>
        </w:rPr>
        <w:t>a Uncorrected for the incident patient weight distribution, as presented in the resubmission</w:t>
      </w:r>
      <w:r w:rsidRPr="00EF043C">
        <w:rPr>
          <w:rFonts w:ascii="Arial Narrow" w:hAnsi="Arial Narrow"/>
          <w:sz w:val="18"/>
          <w:szCs w:val="18"/>
        </w:rPr>
        <w:br/>
        <w:t xml:space="preserve">b Proportion eligible for odevixibat (no </w:t>
      </w:r>
      <w:r w:rsidRPr="00411BA3">
        <w:rPr>
          <w:rFonts w:ascii="Arial Narrow" w:hAnsi="Arial Narrow"/>
          <w:i/>
          <w:iCs/>
          <w:sz w:val="18"/>
          <w:szCs w:val="18"/>
        </w:rPr>
        <w:t>BSEP3</w:t>
      </w:r>
      <w:r w:rsidRPr="00EF043C">
        <w:rPr>
          <w:rFonts w:ascii="Arial Narrow" w:hAnsi="Arial Narrow"/>
          <w:sz w:val="18"/>
          <w:szCs w:val="18"/>
        </w:rPr>
        <w:t>) reduced from 100% to 93% in 2a. Patients – Incident and 2b. Patients – prevalent</w:t>
      </w:r>
      <w:r w:rsidRPr="00EF043C">
        <w:rPr>
          <w:rFonts w:ascii="Arial Narrow" w:hAnsi="Arial Narrow"/>
          <w:sz w:val="18"/>
          <w:szCs w:val="18"/>
        </w:rPr>
        <w:br/>
      </w:r>
      <w:r w:rsidR="007C3159">
        <w:rPr>
          <w:rFonts w:ascii="Arial Narrow" w:hAnsi="Arial Narrow"/>
          <w:sz w:val="18"/>
          <w:szCs w:val="18"/>
        </w:rPr>
        <w:t>c</w:t>
      </w:r>
      <w:r w:rsidRPr="00EF043C">
        <w:rPr>
          <w:rFonts w:ascii="Arial Narrow" w:hAnsi="Arial Narrow"/>
          <w:sz w:val="18"/>
          <w:szCs w:val="18"/>
        </w:rPr>
        <w:t xml:space="preserve"> Both exclusion of genetic non-responders and the </w:t>
      </w:r>
      <w:r w:rsidR="001549E4" w:rsidRPr="006F5FAE">
        <w:rPr>
          <w:rFonts w:ascii="Arial Narrow" w:hAnsi="Arial Narrow"/>
          <w:color w:val="000000"/>
          <w:spacing w:val="223"/>
          <w:sz w:val="18"/>
          <w:szCs w:val="18"/>
          <w:shd w:val="solid" w:color="000000" w:fill="000000"/>
          <w:fitText w:val="300" w:id="-693990910"/>
          <w14:textFill>
            <w14:solidFill>
              <w14:srgbClr w14:val="000000">
                <w14:alpha w14:val="100000"/>
              </w14:srgbClr>
            </w14:solidFill>
          </w14:textFill>
        </w:rPr>
        <w:t>|</w:t>
      </w:r>
      <w:r w:rsidR="001549E4" w:rsidRPr="006F5FAE">
        <w:rPr>
          <w:rFonts w:ascii="Arial Narrow" w:hAnsi="Arial Narrow"/>
          <w:color w:val="000000"/>
          <w:spacing w:val="1"/>
          <w:sz w:val="18"/>
          <w:szCs w:val="18"/>
          <w:shd w:val="solid" w:color="000000" w:fill="000000"/>
          <w:fitText w:val="300" w:id="-693990910"/>
          <w14:textFill>
            <w14:solidFill>
              <w14:srgbClr w14:val="000000">
                <w14:alpha w14:val="100000"/>
              </w14:srgbClr>
            </w14:solidFill>
          </w14:textFill>
        </w:rPr>
        <w:t>|</w:t>
      </w:r>
      <w:r w:rsidRPr="00EF043C">
        <w:rPr>
          <w:rFonts w:ascii="Arial Narrow" w:hAnsi="Arial Narrow"/>
          <w:sz w:val="18"/>
          <w:szCs w:val="18"/>
        </w:rPr>
        <w:t xml:space="preserve"> 40</w:t>
      </w:r>
      <w:r w:rsidR="0017081E">
        <w:rPr>
          <w:rFonts w:ascii="Arial Narrow" w:hAnsi="Arial Narrow"/>
          <w:sz w:val="18"/>
          <w:szCs w:val="18"/>
        </w:rPr>
        <w:t> mcg</w:t>
      </w:r>
      <w:r w:rsidRPr="00EF043C">
        <w:rPr>
          <w:rFonts w:ascii="Arial Narrow" w:hAnsi="Arial Narrow"/>
          <w:sz w:val="18"/>
          <w:szCs w:val="18"/>
        </w:rPr>
        <w:t xml:space="preserve">/kg dosage applied. </w:t>
      </w:r>
    </w:p>
    <w:p w14:paraId="7001C16D" w14:textId="32921B82" w:rsidR="00DB6EAB" w:rsidRPr="001200DE" w:rsidRDefault="00DB6EAB" w:rsidP="00DB6EAB">
      <w:pPr>
        <w:keepNext/>
        <w:keepLines/>
        <w:jc w:val="left"/>
        <w:rPr>
          <w:rFonts w:ascii="Arial Narrow" w:hAnsi="Arial Narrow"/>
          <w:i/>
          <w:iCs/>
          <w:sz w:val="18"/>
          <w:szCs w:val="18"/>
        </w:rPr>
      </w:pPr>
      <w:r w:rsidRPr="001200DE">
        <w:rPr>
          <w:rFonts w:ascii="Arial Narrow" w:hAnsi="Arial Narrow"/>
          <w:i/>
          <w:iCs/>
          <w:sz w:val="18"/>
          <w:szCs w:val="18"/>
        </w:rPr>
        <w:t xml:space="preserve">The redacted values correspond to the following ranges: </w:t>
      </w:r>
    </w:p>
    <w:p w14:paraId="02F9BA33" w14:textId="15944FF6" w:rsidR="00DB6EAB" w:rsidRPr="001200DE" w:rsidRDefault="00DB6EAB" w:rsidP="00DB6EAB">
      <w:pPr>
        <w:keepNext/>
        <w:keepLines/>
        <w:jc w:val="left"/>
        <w:rPr>
          <w:rFonts w:ascii="Arial Narrow" w:hAnsi="Arial Narrow"/>
          <w:i/>
          <w:iCs/>
          <w:sz w:val="18"/>
          <w:szCs w:val="18"/>
        </w:rPr>
      </w:pPr>
      <w:r w:rsidRPr="001200DE">
        <w:rPr>
          <w:rFonts w:ascii="Arial Narrow" w:hAnsi="Arial Narrow"/>
          <w:i/>
          <w:iCs/>
          <w:sz w:val="18"/>
          <w:szCs w:val="18"/>
          <w:vertAlign w:val="superscript"/>
        </w:rPr>
        <w:t>1</w:t>
      </w:r>
      <w:r w:rsidRPr="001200DE">
        <w:rPr>
          <w:rFonts w:ascii="Arial Narrow" w:hAnsi="Arial Narrow"/>
          <w:i/>
          <w:iCs/>
          <w:sz w:val="18"/>
          <w:szCs w:val="18"/>
        </w:rPr>
        <w:t xml:space="preserve"> $20 million to &lt; $30 million </w:t>
      </w:r>
    </w:p>
    <w:p w14:paraId="73788E5A" w14:textId="2B3CEAF2" w:rsidR="00705F63" w:rsidRPr="001200DE" w:rsidRDefault="00DB6EAB" w:rsidP="0066355F">
      <w:pPr>
        <w:keepNext/>
        <w:keepLines/>
        <w:jc w:val="left"/>
        <w:rPr>
          <w:rFonts w:ascii="Arial Narrow" w:hAnsi="Arial Narrow"/>
          <w:i/>
          <w:iCs/>
          <w:sz w:val="18"/>
          <w:szCs w:val="18"/>
        </w:rPr>
      </w:pPr>
      <w:r w:rsidRPr="001200DE">
        <w:rPr>
          <w:rFonts w:ascii="Arial Narrow" w:hAnsi="Arial Narrow"/>
          <w:i/>
          <w:iCs/>
          <w:sz w:val="18"/>
          <w:szCs w:val="18"/>
          <w:vertAlign w:val="superscript"/>
        </w:rPr>
        <w:t>2</w:t>
      </w:r>
      <w:r w:rsidRPr="001200DE">
        <w:rPr>
          <w:rFonts w:ascii="Arial Narrow" w:hAnsi="Arial Narrow"/>
          <w:i/>
          <w:iCs/>
          <w:sz w:val="18"/>
          <w:szCs w:val="18"/>
        </w:rPr>
        <w:t xml:space="preserve"> $10 million to &lt; $20 million </w:t>
      </w:r>
    </w:p>
    <w:p w14:paraId="24FBDEF3" w14:textId="7588517D" w:rsidR="00705F63" w:rsidRPr="00A90134" w:rsidRDefault="00A90134" w:rsidP="00A90134">
      <w:pPr>
        <w:pStyle w:val="3-BodyText"/>
        <w:numPr>
          <w:ilvl w:val="0"/>
          <w:numId w:val="0"/>
        </w:numPr>
        <w:ind w:left="720"/>
        <w:rPr>
          <w:i/>
          <w:iCs/>
        </w:rPr>
      </w:pPr>
      <w:r w:rsidRPr="00A90134">
        <w:rPr>
          <w:i/>
          <w:iCs/>
        </w:rPr>
        <w:t>For more detail on PBAC’s view, see section 7 PBAC outcome.</w:t>
      </w:r>
    </w:p>
    <w:p w14:paraId="5C22BA73" w14:textId="77777777" w:rsidR="000D2D45" w:rsidRPr="0090150D" w:rsidRDefault="000D2D45" w:rsidP="000D2D45">
      <w:pPr>
        <w:pStyle w:val="2-SectionHeading"/>
        <w:numPr>
          <w:ilvl w:val="0"/>
          <w:numId w:val="1"/>
        </w:numPr>
      </w:pPr>
      <w:bookmarkStart w:id="121" w:name="_Hlk76381249"/>
      <w:bookmarkStart w:id="122" w:name="_Hlk76377955"/>
      <w:bookmarkStart w:id="123" w:name="_Toc188451886"/>
      <w:r w:rsidRPr="0090150D">
        <w:t>PBAC Outcome</w:t>
      </w:r>
    </w:p>
    <w:p w14:paraId="15543E5B" w14:textId="7338A958" w:rsidR="00C115A7" w:rsidRDefault="0005439F" w:rsidP="0005439F">
      <w:pPr>
        <w:widowControl w:val="0"/>
        <w:numPr>
          <w:ilvl w:val="1"/>
          <w:numId w:val="1"/>
        </w:numPr>
        <w:spacing w:after="120"/>
      </w:pPr>
      <w:r w:rsidRPr="0005439F">
        <w:t xml:space="preserve">The PBAC </w:t>
      </w:r>
      <w:r w:rsidRPr="00F22713">
        <w:t xml:space="preserve">deferred </w:t>
      </w:r>
      <w:r w:rsidR="009A5835">
        <w:t>making a recommendation</w:t>
      </w:r>
      <w:r w:rsidR="00775F6D">
        <w:t xml:space="preserve"> for </w:t>
      </w:r>
      <w:r w:rsidRPr="0005439F">
        <w:t xml:space="preserve">odevixibat for the treatment of progressive familial intrahepatic cholestasis (PFIC). </w:t>
      </w:r>
      <w:r w:rsidR="00C115A7" w:rsidRPr="00C115A7">
        <w:t xml:space="preserve">The PBAC requested draft restrictions which considered revisions to the following aspects: prescriber type for adults, instrument used for assessing pruritus, and criteria for ceasing treatment if no response, for retreatment and for dose escalation. The PBAC </w:t>
      </w:r>
      <w:r w:rsidR="00ED74FB">
        <w:t>considered</w:t>
      </w:r>
      <w:r w:rsidR="00C115A7" w:rsidRPr="00C115A7">
        <w:t xml:space="preserve"> a reduced price for odevixibat </w:t>
      </w:r>
      <w:r w:rsidR="003C40D8">
        <w:t xml:space="preserve">would be required </w:t>
      </w:r>
      <w:r w:rsidR="00C115A7" w:rsidRPr="00C115A7">
        <w:t xml:space="preserve">as it was not cost-effective at the price proposed in the resubmission. The PBAC requested revised financial estimates </w:t>
      </w:r>
      <w:r w:rsidR="00D36CF9">
        <w:t>as they</w:t>
      </w:r>
      <w:r w:rsidR="00C115A7" w:rsidRPr="00C115A7">
        <w:t xml:space="preserve"> were overestimated and hence</w:t>
      </w:r>
      <w:r w:rsidR="00D97CF9">
        <w:t>,</w:t>
      </w:r>
      <w:r w:rsidR="00C115A7" w:rsidRPr="00C115A7">
        <w:t xml:space="preserve"> </w:t>
      </w:r>
      <w:r w:rsidR="00D36CF9">
        <w:t xml:space="preserve">when used as a basis for </w:t>
      </w:r>
      <w:r w:rsidR="00BC759F">
        <w:t>risk</w:t>
      </w:r>
      <w:r w:rsidR="00F455ED">
        <w:t xml:space="preserve"> sharing arrangement</w:t>
      </w:r>
      <w:r w:rsidR="008D1735">
        <w:t>,</w:t>
      </w:r>
      <w:r w:rsidR="00F455ED">
        <w:t xml:space="preserve"> </w:t>
      </w:r>
      <w:r w:rsidR="00C115A7" w:rsidRPr="00C115A7">
        <w:t xml:space="preserve">did not adequately manage the risk of dose escalation which would not be </w:t>
      </w:r>
      <w:r w:rsidR="00C115A7" w:rsidRPr="00E471DE">
        <w:t>cost-effective, as well as continued use in non-responders</w:t>
      </w:r>
      <w:r w:rsidR="00E471DE">
        <w:t>.</w:t>
      </w:r>
    </w:p>
    <w:p w14:paraId="1B8A6BBE" w14:textId="7098154D" w:rsidR="001B1A21" w:rsidRDefault="00B02C88" w:rsidP="001B1A21">
      <w:pPr>
        <w:widowControl w:val="0"/>
        <w:numPr>
          <w:ilvl w:val="1"/>
          <w:numId w:val="1"/>
        </w:numPr>
        <w:spacing w:after="120"/>
        <w:rPr>
          <w:rFonts w:asciiTheme="minorHAnsi" w:hAnsiTheme="minorHAnsi"/>
          <w:snapToGrid w:val="0"/>
        </w:rPr>
      </w:pPr>
      <w:r w:rsidRPr="0005439F">
        <w:t xml:space="preserve">The PBAC recognised that there </w:t>
      </w:r>
      <w:r w:rsidR="003A2CB8">
        <w:t>i</w:t>
      </w:r>
      <w:r w:rsidRPr="0005439F">
        <w:t xml:space="preserve">s a high clinical need for treatment of this </w:t>
      </w:r>
      <w:r>
        <w:t xml:space="preserve">ultra </w:t>
      </w:r>
      <w:r w:rsidRPr="0005439F">
        <w:t>rare condition</w:t>
      </w:r>
      <w:r>
        <w:t>.</w:t>
      </w:r>
      <w:r w:rsidRPr="0005439F">
        <w:t xml:space="preserve"> </w:t>
      </w:r>
      <w:r w:rsidR="0027085B">
        <w:rPr>
          <w:rFonts w:asciiTheme="minorHAnsi" w:hAnsiTheme="minorHAnsi"/>
          <w:snapToGrid w:val="0"/>
        </w:rPr>
        <w:t>The PBAC noted th</w:t>
      </w:r>
      <w:r w:rsidR="00DA4F68">
        <w:rPr>
          <w:rFonts w:asciiTheme="minorHAnsi" w:hAnsiTheme="minorHAnsi"/>
          <w:snapToGrid w:val="0"/>
        </w:rPr>
        <w:t>e</w:t>
      </w:r>
      <w:r w:rsidR="0027085B">
        <w:rPr>
          <w:rFonts w:asciiTheme="minorHAnsi" w:hAnsiTheme="minorHAnsi"/>
          <w:snapToGrid w:val="0"/>
        </w:rPr>
        <w:t xml:space="preserve"> outcomes from the Facilitated Workshop</w:t>
      </w:r>
      <w:r w:rsidR="000363D5">
        <w:rPr>
          <w:rFonts w:asciiTheme="minorHAnsi" w:hAnsiTheme="minorHAnsi"/>
          <w:snapToGrid w:val="0"/>
        </w:rPr>
        <w:t xml:space="preserve"> which was held in September 2024. </w:t>
      </w:r>
      <w:r w:rsidR="0079501C">
        <w:rPr>
          <w:rFonts w:asciiTheme="minorHAnsi" w:hAnsiTheme="minorHAnsi"/>
          <w:snapToGrid w:val="0"/>
        </w:rPr>
        <w:t xml:space="preserve">The PBAC noted that there was significant patient and clinician input at the Workshop </w:t>
      </w:r>
      <w:r w:rsidR="006B08AB">
        <w:rPr>
          <w:rFonts w:asciiTheme="minorHAnsi" w:hAnsiTheme="minorHAnsi"/>
          <w:snapToGrid w:val="0"/>
        </w:rPr>
        <w:t xml:space="preserve">relating to the </w:t>
      </w:r>
      <w:r w:rsidR="00DA6B0E">
        <w:rPr>
          <w:rFonts w:asciiTheme="minorHAnsi" w:hAnsiTheme="minorHAnsi"/>
          <w:snapToGrid w:val="0"/>
        </w:rPr>
        <w:t xml:space="preserve">symptoms of disease and the </w:t>
      </w:r>
      <w:r w:rsidR="0063216F">
        <w:rPr>
          <w:rFonts w:asciiTheme="minorHAnsi" w:hAnsiTheme="minorHAnsi"/>
          <w:snapToGrid w:val="0"/>
        </w:rPr>
        <w:t xml:space="preserve">proposed patient population and </w:t>
      </w:r>
      <w:r w:rsidR="00515391">
        <w:rPr>
          <w:rFonts w:asciiTheme="minorHAnsi" w:hAnsiTheme="minorHAnsi"/>
          <w:snapToGrid w:val="0"/>
        </w:rPr>
        <w:t xml:space="preserve">PBS </w:t>
      </w:r>
      <w:r w:rsidR="006B08AB">
        <w:rPr>
          <w:rFonts w:asciiTheme="minorHAnsi" w:hAnsiTheme="minorHAnsi"/>
          <w:snapToGrid w:val="0"/>
        </w:rPr>
        <w:t>restriction</w:t>
      </w:r>
      <w:r w:rsidR="00515391">
        <w:rPr>
          <w:rFonts w:asciiTheme="minorHAnsi" w:hAnsiTheme="minorHAnsi"/>
          <w:snapToGrid w:val="0"/>
        </w:rPr>
        <w:t xml:space="preserve"> criteria</w:t>
      </w:r>
      <w:r w:rsidR="0063216F">
        <w:rPr>
          <w:rFonts w:asciiTheme="minorHAnsi" w:hAnsiTheme="minorHAnsi"/>
          <w:snapToGrid w:val="0"/>
        </w:rPr>
        <w:t xml:space="preserve">. </w:t>
      </w:r>
      <w:r w:rsidR="001B1A21">
        <w:rPr>
          <w:rFonts w:asciiTheme="minorHAnsi" w:hAnsiTheme="minorHAnsi"/>
          <w:snapToGrid w:val="0"/>
        </w:rPr>
        <w:t xml:space="preserve">The PBAC </w:t>
      </w:r>
      <w:r w:rsidR="007C30EA">
        <w:rPr>
          <w:rFonts w:asciiTheme="minorHAnsi" w:hAnsiTheme="minorHAnsi"/>
          <w:snapToGrid w:val="0"/>
        </w:rPr>
        <w:t>also</w:t>
      </w:r>
      <w:r w:rsidR="001B1A21">
        <w:rPr>
          <w:rFonts w:asciiTheme="minorHAnsi" w:hAnsiTheme="minorHAnsi"/>
          <w:snapToGrid w:val="0"/>
        </w:rPr>
        <w:t xml:space="preserve"> noted and welcomed the consumer comments provided in support of </w:t>
      </w:r>
      <w:r w:rsidR="00507B70">
        <w:rPr>
          <w:rFonts w:asciiTheme="minorHAnsi" w:hAnsiTheme="minorHAnsi"/>
          <w:snapToGrid w:val="0"/>
        </w:rPr>
        <w:t>odevixibat</w:t>
      </w:r>
      <w:r w:rsidR="001B1A21">
        <w:rPr>
          <w:rFonts w:asciiTheme="minorHAnsi" w:hAnsiTheme="minorHAnsi"/>
          <w:snapToGrid w:val="0"/>
        </w:rPr>
        <w:t>. The comments described the significant burden PFIC has on the quality of life of patients, carers and their families. The PBAC</w:t>
      </w:r>
      <w:r w:rsidR="001B1A21" w:rsidRPr="000478AD">
        <w:rPr>
          <w:rFonts w:asciiTheme="minorHAnsi" w:hAnsiTheme="minorHAnsi"/>
          <w:snapToGrid w:val="0"/>
        </w:rPr>
        <w:t xml:space="preserve"> </w:t>
      </w:r>
      <w:r w:rsidR="001B1A21">
        <w:rPr>
          <w:rFonts w:asciiTheme="minorHAnsi" w:hAnsiTheme="minorHAnsi"/>
          <w:snapToGrid w:val="0"/>
        </w:rPr>
        <w:t xml:space="preserve">noted </w:t>
      </w:r>
      <w:r w:rsidR="001B1A21" w:rsidRPr="000478AD">
        <w:rPr>
          <w:rFonts w:asciiTheme="minorHAnsi" w:hAnsiTheme="minorHAnsi"/>
          <w:snapToGrid w:val="0"/>
        </w:rPr>
        <w:t xml:space="preserve">the comments </w:t>
      </w:r>
      <w:r w:rsidR="001B1A21">
        <w:rPr>
          <w:rFonts w:asciiTheme="minorHAnsi" w:hAnsiTheme="minorHAnsi"/>
          <w:snapToGrid w:val="0"/>
        </w:rPr>
        <w:t>received indicate</w:t>
      </w:r>
      <w:r w:rsidR="001B1A21" w:rsidRPr="000478AD">
        <w:rPr>
          <w:rFonts w:asciiTheme="minorHAnsi" w:hAnsiTheme="minorHAnsi"/>
          <w:snapToGrid w:val="0"/>
        </w:rPr>
        <w:t xml:space="preserve">d </w:t>
      </w:r>
      <w:r w:rsidR="001B1A21">
        <w:rPr>
          <w:rFonts w:asciiTheme="minorHAnsi" w:hAnsiTheme="minorHAnsi"/>
          <w:snapToGrid w:val="0"/>
        </w:rPr>
        <w:t xml:space="preserve">that treatment with odevixibat </w:t>
      </w:r>
      <w:r w:rsidR="00F530BD">
        <w:rPr>
          <w:rFonts w:asciiTheme="minorHAnsi" w:hAnsiTheme="minorHAnsi"/>
          <w:snapToGrid w:val="0"/>
        </w:rPr>
        <w:t>improved</w:t>
      </w:r>
      <w:r w:rsidR="001B1A21">
        <w:rPr>
          <w:rFonts w:asciiTheme="minorHAnsi" w:hAnsiTheme="minorHAnsi"/>
          <w:snapToGrid w:val="0"/>
        </w:rPr>
        <w:t xml:space="preserve"> </w:t>
      </w:r>
      <w:r w:rsidR="00373EBE">
        <w:rPr>
          <w:rFonts w:asciiTheme="minorHAnsi" w:hAnsiTheme="minorHAnsi"/>
          <w:snapToGrid w:val="0"/>
        </w:rPr>
        <w:t xml:space="preserve">both the symptoms of disease, such as </w:t>
      </w:r>
      <w:r w:rsidR="001B1A21">
        <w:rPr>
          <w:rFonts w:asciiTheme="minorHAnsi" w:hAnsiTheme="minorHAnsi"/>
          <w:snapToGrid w:val="0"/>
        </w:rPr>
        <w:t>severe itch</w:t>
      </w:r>
      <w:r w:rsidR="00373EBE">
        <w:rPr>
          <w:rFonts w:asciiTheme="minorHAnsi" w:hAnsiTheme="minorHAnsi"/>
          <w:snapToGrid w:val="0"/>
        </w:rPr>
        <w:t xml:space="preserve">, as well </w:t>
      </w:r>
      <w:r w:rsidR="00A510DD">
        <w:rPr>
          <w:rFonts w:asciiTheme="minorHAnsi" w:hAnsiTheme="minorHAnsi"/>
          <w:snapToGrid w:val="0"/>
        </w:rPr>
        <w:t xml:space="preserve">complications of the disease, such as </w:t>
      </w:r>
      <w:r w:rsidR="00F530BD">
        <w:rPr>
          <w:rFonts w:asciiTheme="minorHAnsi" w:hAnsiTheme="minorHAnsi"/>
          <w:snapToGrid w:val="0"/>
        </w:rPr>
        <w:t xml:space="preserve">anxiety, </w:t>
      </w:r>
      <w:r w:rsidR="001B1A21" w:rsidRPr="000478AD">
        <w:rPr>
          <w:rFonts w:asciiTheme="minorHAnsi" w:hAnsiTheme="minorHAnsi"/>
          <w:bCs/>
          <w:snapToGrid w:val="0"/>
        </w:rPr>
        <w:t>sleep, appetite, growth and energy</w:t>
      </w:r>
      <w:r w:rsidR="00F43BFC">
        <w:rPr>
          <w:rFonts w:asciiTheme="minorHAnsi" w:hAnsiTheme="minorHAnsi"/>
          <w:bCs/>
          <w:snapToGrid w:val="0"/>
        </w:rPr>
        <w:t xml:space="preserve"> and reduced the </w:t>
      </w:r>
      <w:r w:rsidR="00E26E0F">
        <w:rPr>
          <w:rFonts w:asciiTheme="minorHAnsi" w:hAnsiTheme="minorHAnsi"/>
          <w:bCs/>
          <w:snapToGrid w:val="0"/>
        </w:rPr>
        <w:t>need for hospitalisations and surgical interventions</w:t>
      </w:r>
      <w:r w:rsidR="001B1A21" w:rsidRPr="000478AD">
        <w:rPr>
          <w:rFonts w:asciiTheme="minorHAnsi" w:hAnsiTheme="minorHAnsi"/>
          <w:bCs/>
          <w:snapToGrid w:val="0"/>
        </w:rPr>
        <w:t>.</w:t>
      </w:r>
      <w:r w:rsidR="00A510DD">
        <w:rPr>
          <w:rFonts w:asciiTheme="minorHAnsi" w:hAnsiTheme="minorHAnsi"/>
          <w:bCs/>
          <w:snapToGrid w:val="0"/>
        </w:rPr>
        <w:t xml:space="preserve"> The </w:t>
      </w:r>
      <w:r w:rsidR="00F530BD">
        <w:rPr>
          <w:rFonts w:asciiTheme="minorHAnsi" w:hAnsiTheme="minorHAnsi"/>
          <w:bCs/>
          <w:snapToGrid w:val="0"/>
        </w:rPr>
        <w:t xml:space="preserve">PBAC further noted that </w:t>
      </w:r>
      <w:r w:rsidR="00A7757C">
        <w:rPr>
          <w:rFonts w:asciiTheme="minorHAnsi" w:hAnsiTheme="minorHAnsi"/>
          <w:bCs/>
          <w:snapToGrid w:val="0"/>
        </w:rPr>
        <w:t xml:space="preserve">adverse events associated with odevixibat were considered tolerable by </w:t>
      </w:r>
      <w:r w:rsidR="00A7757C">
        <w:rPr>
          <w:rFonts w:asciiTheme="minorHAnsi" w:hAnsiTheme="minorHAnsi"/>
          <w:bCs/>
          <w:snapToGrid w:val="0"/>
        </w:rPr>
        <w:lastRenderedPageBreak/>
        <w:t>patients.</w:t>
      </w:r>
    </w:p>
    <w:p w14:paraId="199FF1F4" w14:textId="1FCDB266" w:rsidR="0005439F" w:rsidRDefault="00DA5D8E" w:rsidP="000D2D45">
      <w:pPr>
        <w:widowControl w:val="0"/>
        <w:numPr>
          <w:ilvl w:val="1"/>
          <w:numId w:val="1"/>
        </w:numPr>
        <w:spacing w:after="120"/>
        <w:rPr>
          <w:rFonts w:asciiTheme="minorHAnsi" w:hAnsiTheme="minorHAnsi"/>
          <w:snapToGrid w:val="0"/>
          <w:lang w:val="en-GB"/>
        </w:rPr>
      </w:pPr>
      <w:bookmarkStart w:id="124" w:name="_Ref193964689"/>
      <w:r>
        <w:rPr>
          <w:rFonts w:asciiTheme="minorHAnsi" w:hAnsiTheme="minorHAnsi"/>
          <w:snapToGrid w:val="0"/>
          <w:lang w:val="en-GB"/>
        </w:rPr>
        <w:t>T</w:t>
      </w:r>
      <w:r w:rsidR="00C5230B">
        <w:rPr>
          <w:rFonts w:asciiTheme="minorHAnsi" w:hAnsiTheme="minorHAnsi"/>
          <w:snapToGrid w:val="0"/>
          <w:lang w:val="en-GB"/>
        </w:rPr>
        <w:t xml:space="preserve">he PBAC noted that </w:t>
      </w:r>
      <w:proofErr w:type="gramStart"/>
      <w:r w:rsidR="00F173D7">
        <w:rPr>
          <w:rFonts w:asciiTheme="minorHAnsi" w:hAnsiTheme="minorHAnsi"/>
          <w:snapToGrid w:val="0"/>
          <w:lang w:val="en-GB"/>
        </w:rPr>
        <w:t>a number of</w:t>
      </w:r>
      <w:proofErr w:type="gramEnd"/>
      <w:r w:rsidR="00F173D7">
        <w:rPr>
          <w:rFonts w:asciiTheme="minorHAnsi" w:hAnsiTheme="minorHAnsi"/>
          <w:snapToGrid w:val="0"/>
          <w:lang w:val="en-GB"/>
        </w:rPr>
        <w:t xml:space="preserve"> the changes</w:t>
      </w:r>
      <w:r w:rsidR="00CA6687">
        <w:rPr>
          <w:rFonts w:asciiTheme="minorHAnsi" w:hAnsiTheme="minorHAnsi"/>
          <w:snapToGrid w:val="0"/>
          <w:lang w:val="en-GB"/>
        </w:rPr>
        <w:t xml:space="preserve"> proposed at</w:t>
      </w:r>
      <w:r w:rsidR="00F173D7">
        <w:rPr>
          <w:rFonts w:asciiTheme="minorHAnsi" w:hAnsiTheme="minorHAnsi"/>
          <w:snapToGrid w:val="0"/>
          <w:lang w:val="en-GB"/>
        </w:rPr>
        <w:t xml:space="preserve"> </w:t>
      </w:r>
      <w:r w:rsidR="003E6C4B" w:rsidRPr="008333EC">
        <w:rPr>
          <w:rFonts w:asciiTheme="minorHAnsi" w:hAnsiTheme="minorHAnsi"/>
          <w:snapToGrid w:val="0"/>
          <w:lang w:val="en-GB"/>
        </w:rPr>
        <w:t>its</w:t>
      </w:r>
      <w:r w:rsidR="003E6C4B">
        <w:rPr>
          <w:rFonts w:asciiTheme="minorHAnsi" w:hAnsiTheme="minorHAnsi"/>
          <w:snapToGrid w:val="0"/>
          <w:lang w:val="en-GB"/>
        </w:rPr>
        <w:t xml:space="preserve"> </w:t>
      </w:r>
      <w:r w:rsidR="00F173D7">
        <w:rPr>
          <w:rFonts w:asciiTheme="minorHAnsi" w:hAnsiTheme="minorHAnsi"/>
          <w:snapToGrid w:val="0"/>
          <w:lang w:val="en-GB"/>
        </w:rPr>
        <w:t xml:space="preserve">July 2024 </w:t>
      </w:r>
      <w:r w:rsidR="00CA6687">
        <w:rPr>
          <w:rFonts w:asciiTheme="minorHAnsi" w:hAnsiTheme="minorHAnsi"/>
          <w:snapToGrid w:val="0"/>
          <w:lang w:val="en-GB"/>
        </w:rPr>
        <w:t xml:space="preserve">meeting </w:t>
      </w:r>
      <w:r w:rsidR="00F173D7">
        <w:rPr>
          <w:rFonts w:asciiTheme="minorHAnsi" w:hAnsiTheme="minorHAnsi"/>
          <w:snapToGrid w:val="0"/>
          <w:lang w:val="en-GB"/>
        </w:rPr>
        <w:t xml:space="preserve">and </w:t>
      </w:r>
      <w:r w:rsidR="00560CCB">
        <w:rPr>
          <w:rFonts w:asciiTheme="minorHAnsi" w:hAnsiTheme="minorHAnsi"/>
          <w:snapToGrid w:val="0"/>
          <w:lang w:val="en-GB"/>
        </w:rPr>
        <w:t xml:space="preserve">discussed </w:t>
      </w:r>
      <w:r w:rsidR="00865ABE">
        <w:rPr>
          <w:rFonts w:asciiTheme="minorHAnsi" w:hAnsiTheme="minorHAnsi"/>
          <w:snapToGrid w:val="0"/>
          <w:lang w:val="en-GB"/>
        </w:rPr>
        <w:t xml:space="preserve">at </w:t>
      </w:r>
      <w:r w:rsidR="00F173D7">
        <w:rPr>
          <w:rFonts w:asciiTheme="minorHAnsi" w:hAnsiTheme="minorHAnsi"/>
          <w:snapToGrid w:val="0"/>
          <w:lang w:val="en-GB"/>
        </w:rPr>
        <w:t xml:space="preserve">the Facilitated Workshop were </w:t>
      </w:r>
      <w:r>
        <w:rPr>
          <w:rFonts w:asciiTheme="minorHAnsi" w:hAnsiTheme="minorHAnsi"/>
          <w:snapToGrid w:val="0"/>
          <w:lang w:val="en-GB"/>
        </w:rPr>
        <w:t xml:space="preserve">incorporated into the restrictions. </w:t>
      </w:r>
      <w:r w:rsidR="00CE4838" w:rsidRPr="008333EC">
        <w:rPr>
          <w:rFonts w:asciiTheme="minorHAnsi" w:hAnsiTheme="minorHAnsi"/>
          <w:snapToGrid w:val="0"/>
          <w:lang w:val="en-GB"/>
        </w:rPr>
        <w:t xml:space="preserve">The PBAC noted that the </w:t>
      </w:r>
      <w:r w:rsidR="00C26722">
        <w:rPr>
          <w:rFonts w:asciiTheme="minorHAnsi" w:hAnsiTheme="minorHAnsi"/>
          <w:snapToGrid w:val="0"/>
          <w:lang w:val="en-GB"/>
        </w:rPr>
        <w:t xml:space="preserve">revised restrictions </w:t>
      </w:r>
      <w:r w:rsidR="00CE4838" w:rsidRPr="008333EC">
        <w:rPr>
          <w:rFonts w:asciiTheme="minorHAnsi" w:hAnsiTheme="minorHAnsi"/>
          <w:snapToGrid w:val="0"/>
          <w:lang w:val="en-GB"/>
        </w:rPr>
        <w:t xml:space="preserve">expanded the eligible population to include </w:t>
      </w:r>
      <w:r w:rsidR="003208E2">
        <w:rPr>
          <w:rFonts w:asciiTheme="minorHAnsi" w:hAnsiTheme="minorHAnsi"/>
          <w:snapToGrid w:val="0"/>
          <w:lang w:val="en-GB"/>
        </w:rPr>
        <w:t>patients diagnos</w:t>
      </w:r>
      <w:r w:rsidR="003208E2" w:rsidRPr="00751FB3">
        <w:rPr>
          <w:rFonts w:asciiTheme="minorHAnsi" w:hAnsiTheme="minorHAnsi"/>
          <w:snapToGrid w:val="0"/>
          <w:lang w:val="en-GB"/>
        </w:rPr>
        <w:t xml:space="preserve">ed </w:t>
      </w:r>
      <w:r w:rsidR="00C636A5" w:rsidRPr="00751FB3">
        <w:rPr>
          <w:rFonts w:asciiTheme="minorHAnsi" w:hAnsiTheme="minorHAnsi"/>
          <w:snapToGrid w:val="0"/>
          <w:lang w:val="en-GB"/>
        </w:rPr>
        <w:t xml:space="preserve">with PFIC </w:t>
      </w:r>
      <w:r w:rsidR="003208E2" w:rsidRPr="00751FB3">
        <w:rPr>
          <w:rFonts w:asciiTheme="minorHAnsi" w:hAnsiTheme="minorHAnsi"/>
          <w:snapToGrid w:val="0"/>
          <w:lang w:val="en-GB"/>
        </w:rPr>
        <w:t xml:space="preserve">as </w:t>
      </w:r>
      <w:r w:rsidR="00CE4838" w:rsidRPr="00751FB3">
        <w:rPr>
          <w:rFonts w:asciiTheme="minorHAnsi" w:hAnsiTheme="minorHAnsi"/>
          <w:snapToGrid w:val="0"/>
          <w:lang w:val="en-GB"/>
        </w:rPr>
        <w:t>adults</w:t>
      </w:r>
      <w:r w:rsidR="00FB6CBC" w:rsidRPr="00751FB3">
        <w:rPr>
          <w:rFonts w:asciiTheme="minorHAnsi" w:hAnsiTheme="minorHAnsi"/>
          <w:snapToGrid w:val="0"/>
          <w:lang w:val="en-GB"/>
        </w:rPr>
        <w:t xml:space="preserve"> with the</w:t>
      </w:r>
      <w:r w:rsidR="00E37EBA" w:rsidRPr="00751FB3">
        <w:rPr>
          <w:rFonts w:asciiTheme="minorHAnsi" w:hAnsiTheme="minorHAnsi"/>
          <w:snapToGrid w:val="0"/>
          <w:lang w:val="en-GB"/>
        </w:rPr>
        <w:t xml:space="preserve"> </w:t>
      </w:r>
      <w:r w:rsidR="00FB6CBC" w:rsidRPr="00751FB3">
        <w:rPr>
          <w:rFonts w:asciiTheme="minorHAnsi" w:hAnsiTheme="minorHAnsi"/>
          <w:snapToGrid w:val="0"/>
          <w:lang w:val="en-GB"/>
        </w:rPr>
        <w:t>listing being age agnostic</w:t>
      </w:r>
      <w:r w:rsidR="00783C4F" w:rsidRPr="00751FB3">
        <w:rPr>
          <w:rFonts w:asciiTheme="minorHAnsi" w:hAnsiTheme="minorHAnsi"/>
          <w:snapToGrid w:val="0"/>
          <w:lang w:val="en-GB"/>
        </w:rPr>
        <w:t xml:space="preserve"> </w:t>
      </w:r>
      <w:r w:rsidR="00A23120">
        <w:rPr>
          <w:rFonts w:asciiTheme="minorHAnsi" w:hAnsiTheme="minorHAnsi"/>
          <w:snapToGrid w:val="0"/>
          <w:lang w:val="en-GB"/>
        </w:rPr>
        <w:t>which</w:t>
      </w:r>
      <w:r w:rsidR="00A23120" w:rsidRPr="00751FB3">
        <w:rPr>
          <w:rFonts w:asciiTheme="minorHAnsi" w:hAnsiTheme="minorHAnsi"/>
          <w:snapToGrid w:val="0"/>
          <w:lang w:val="en-GB"/>
        </w:rPr>
        <w:t xml:space="preserve"> </w:t>
      </w:r>
      <w:r w:rsidR="00751FB3" w:rsidRPr="00751FB3">
        <w:rPr>
          <w:rFonts w:asciiTheme="minorHAnsi" w:hAnsiTheme="minorHAnsi"/>
          <w:snapToGrid w:val="0"/>
          <w:lang w:val="en-GB"/>
        </w:rPr>
        <w:t xml:space="preserve">would </w:t>
      </w:r>
      <w:r w:rsidR="00217444" w:rsidRPr="00751FB3">
        <w:rPr>
          <w:rFonts w:asciiTheme="minorHAnsi" w:hAnsiTheme="minorHAnsi"/>
          <w:snapToGrid w:val="0"/>
          <w:lang w:val="en-GB"/>
        </w:rPr>
        <w:t xml:space="preserve">allow use </w:t>
      </w:r>
      <w:r w:rsidR="000945D9" w:rsidRPr="00751FB3">
        <w:rPr>
          <w:rFonts w:asciiTheme="minorHAnsi" w:hAnsiTheme="minorHAnsi"/>
          <w:snapToGrid w:val="0"/>
          <w:lang w:val="en-GB"/>
        </w:rPr>
        <w:t xml:space="preserve">in </w:t>
      </w:r>
      <w:r w:rsidR="00CE4838" w:rsidRPr="00751FB3">
        <w:rPr>
          <w:rFonts w:asciiTheme="minorHAnsi" w:hAnsiTheme="minorHAnsi"/>
          <w:snapToGrid w:val="0"/>
          <w:lang w:val="en-GB"/>
        </w:rPr>
        <w:t>those with episodic disease who would likely use odevixibat intermittently.</w:t>
      </w:r>
      <w:r w:rsidR="00CE4838" w:rsidRPr="008333EC">
        <w:rPr>
          <w:rFonts w:asciiTheme="minorHAnsi" w:hAnsiTheme="minorHAnsi"/>
          <w:snapToGrid w:val="0"/>
          <w:lang w:val="en-GB"/>
        </w:rPr>
        <w:t xml:space="preserve"> The PBAC considered that this </w:t>
      </w:r>
      <w:r w:rsidR="00A23120">
        <w:rPr>
          <w:rFonts w:asciiTheme="minorHAnsi" w:hAnsiTheme="minorHAnsi"/>
          <w:snapToGrid w:val="0"/>
          <w:lang w:val="en-GB"/>
        </w:rPr>
        <w:t>may not be un</w:t>
      </w:r>
      <w:r w:rsidR="00CE4838" w:rsidRPr="008333EC">
        <w:rPr>
          <w:rFonts w:asciiTheme="minorHAnsi" w:hAnsiTheme="minorHAnsi"/>
          <w:snapToGrid w:val="0"/>
          <w:lang w:val="en-GB"/>
        </w:rPr>
        <w:t xml:space="preserve">reasonable, as it would allow </w:t>
      </w:r>
      <w:r w:rsidR="008333EC">
        <w:rPr>
          <w:rFonts w:asciiTheme="minorHAnsi" w:hAnsiTheme="minorHAnsi"/>
          <w:snapToGrid w:val="0"/>
          <w:lang w:val="en-GB"/>
        </w:rPr>
        <w:t>greater</w:t>
      </w:r>
      <w:r w:rsidR="00CE4838" w:rsidRPr="008333EC">
        <w:rPr>
          <w:rFonts w:asciiTheme="minorHAnsi" w:hAnsiTheme="minorHAnsi"/>
          <w:snapToGrid w:val="0"/>
          <w:lang w:val="en-GB"/>
        </w:rPr>
        <w:t xml:space="preserve"> patient access in this ultra rare disease, but noted that</w:t>
      </w:r>
      <w:r w:rsidR="003C10FC">
        <w:rPr>
          <w:rFonts w:asciiTheme="minorHAnsi" w:hAnsiTheme="minorHAnsi"/>
          <w:snapToGrid w:val="0"/>
          <w:lang w:val="en-GB"/>
        </w:rPr>
        <w:t>,</w:t>
      </w:r>
      <w:r w:rsidR="00CE4838" w:rsidRPr="008333EC">
        <w:rPr>
          <w:rFonts w:asciiTheme="minorHAnsi" w:hAnsiTheme="minorHAnsi"/>
          <w:snapToGrid w:val="0"/>
          <w:lang w:val="en-GB"/>
        </w:rPr>
        <w:t xml:space="preserve"> as there was no clinical evidence for </w:t>
      </w:r>
      <w:r w:rsidR="001C1C3C">
        <w:rPr>
          <w:rFonts w:asciiTheme="minorHAnsi" w:hAnsiTheme="minorHAnsi"/>
          <w:snapToGrid w:val="0"/>
          <w:lang w:val="en-GB"/>
        </w:rPr>
        <w:t xml:space="preserve">patients diagnosed as </w:t>
      </w:r>
      <w:r w:rsidR="00CE4838" w:rsidRPr="008333EC">
        <w:rPr>
          <w:rFonts w:asciiTheme="minorHAnsi" w:hAnsiTheme="minorHAnsi"/>
          <w:snapToGrid w:val="0"/>
          <w:lang w:val="en-GB"/>
        </w:rPr>
        <w:t>adult</w:t>
      </w:r>
      <w:r w:rsidR="001C1C3C">
        <w:rPr>
          <w:rFonts w:asciiTheme="minorHAnsi" w:hAnsiTheme="minorHAnsi"/>
          <w:snapToGrid w:val="0"/>
          <w:lang w:val="en-GB"/>
        </w:rPr>
        <w:t>s</w:t>
      </w:r>
      <w:r w:rsidR="00284776">
        <w:rPr>
          <w:rFonts w:asciiTheme="minorHAnsi" w:hAnsiTheme="minorHAnsi"/>
          <w:snapToGrid w:val="0"/>
          <w:lang w:val="en-GB"/>
        </w:rPr>
        <w:t xml:space="preserve"> or for </w:t>
      </w:r>
      <w:r w:rsidR="00FD623B">
        <w:rPr>
          <w:rFonts w:asciiTheme="minorHAnsi" w:hAnsiTheme="minorHAnsi"/>
          <w:snapToGrid w:val="0"/>
          <w:lang w:val="en-GB"/>
        </w:rPr>
        <w:t xml:space="preserve">those with </w:t>
      </w:r>
      <w:r w:rsidR="00CE4838" w:rsidRPr="008333EC">
        <w:rPr>
          <w:rFonts w:asciiTheme="minorHAnsi" w:hAnsiTheme="minorHAnsi"/>
          <w:snapToGrid w:val="0"/>
          <w:lang w:val="en-GB"/>
        </w:rPr>
        <w:t xml:space="preserve">episodic </w:t>
      </w:r>
      <w:r w:rsidR="00FD623B">
        <w:rPr>
          <w:rFonts w:asciiTheme="minorHAnsi" w:hAnsiTheme="minorHAnsi"/>
          <w:snapToGrid w:val="0"/>
          <w:lang w:val="en-GB"/>
        </w:rPr>
        <w:t>disease</w:t>
      </w:r>
      <w:r w:rsidR="00CE4838" w:rsidRPr="008333EC">
        <w:rPr>
          <w:rFonts w:asciiTheme="minorHAnsi" w:hAnsiTheme="minorHAnsi"/>
          <w:snapToGrid w:val="0"/>
          <w:lang w:val="en-GB"/>
        </w:rPr>
        <w:t xml:space="preserve">, the cost effectiveness in this population was </w:t>
      </w:r>
      <w:r w:rsidR="005031E0">
        <w:rPr>
          <w:rFonts w:asciiTheme="minorHAnsi" w:hAnsiTheme="minorHAnsi"/>
          <w:snapToGrid w:val="0"/>
          <w:lang w:val="en-GB"/>
        </w:rPr>
        <w:t>unknown</w:t>
      </w:r>
      <w:r w:rsidR="00CE4838" w:rsidRPr="008333EC">
        <w:rPr>
          <w:rFonts w:asciiTheme="minorHAnsi" w:hAnsiTheme="minorHAnsi"/>
          <w:snapToGrid w:val="0"/>
          <w:lang w:val="en-GB"/>
        </w:rPr>
        <w:t>.</w:t>
      </w:r>
      <w:r w:rsidRPr="008333EC">
        <w:rPr>
          <w:rFonts w:asciiTheme="minorHAnsi" w:hAnsiTheme="minorHAnsi"/>
          <w:snapToGrid w:val="0"/>
          <w:lang w:val="en-GB"/>
        </w:rPr>
        <w:t xml:space="preserve"> </w:t>
      </w:r>
      <w:r w:rsidR="00827779">
        <w:rPr>
          <w:rFonts w:asciiTheme="minorHAnsi" w:hAnsiTheme="minorHAnsi"/>
          <w:snapToGrid w:val="0"/>
          <w:lang w:val="en-GB"/>
        </w:rPr>
        <w:t xml:space="preserve">The PBAC considered that additional changes </w:t>
      </w:r>
      <w:r w:rsidR="0002754C">
        <w:rPr>
          <w:rFonts w:asciiTheme="minorHAnsi" w:hAnsiTheme="minorHAnsi"/>
          <w:snapToGrid w:val="0"/>
          <w:lang w:val="en-GB"/>
        </w:rPr>
        <w:t xml:space="preserve">to the restrictions </w:t>
      </w:r>
      <w:r w:rsidR="00827779">
        <w:rPr>
          <w:rFonts w:asciiTheme="minorHAnsi" w:hAnsiTheme="minorHAnsi"/>
          <w:snapToGrid w:val="0"/>
          <w:lang w:val="en-GB"/>
        </w:rPr>
        <w:t xml:space="preserve">would be required to ensure that the </w:t>
      </w:r>
      <w:r w:rsidR="00955460" w:rsidRPr="008333EC">
        <w:rPr>
          <w:rFonts w:asciiTheme="minorHAnsi" w:hAnsiTheme="minorHAnsi"/>
          <w:snapToGrid w:val="0"/>
          <w:lang w:val="en-GB"/>
        </w:rPr>
        <w:t xml:space="preserve">appropriate </w:t>
      </w:r>
      <w:r w:rsidR="00827779" w:rsidRPr="008333EC">
        <w:rPr>
          <w:rFonts w:asciiTheme="minorHAnsi" w:hAnsiTheme="minorHAnsi"/>
          <w:snapToGrid w:val="0"/>
          <w:lang w:val="en-GB"/>
        </w:rPr>
        <w:t>patients receiv</w:t>
      </w:r>
      <w:r w:rsidR="00D20E60" w:rsidRPr="008333EC">
        <w:rPr>
          <w:rFonts w:asciiTheme="minorHAnsi" w:hAnsiTheme="minorHAnsi"/>
          <w:snapToGrid w:val="0"/>
          <w:lang w:val="en-GB"/>
        </w:rPr>
        <w:t>ed</w:t>
      </w:r>
      <w:r w:rsidR="00827779">
        <w:rPr>
          <w:rFonts w:asciiTheme="minorHAnsi" w:hAnsiTheme="minorHAnsi"/>
          <w:snapToGrid w:val="0"/>
          <w:lang w:val="en-GB"/>
        </w:rPr>
        <w:t xml:space="preserve"> treatment</w:t>
      </w:r>
      <w:r w:rsidR="00D93033">
        <w:rPr>
          <w:rFonts w:asciiTheme="minorHAnsi" w:hAnsiTheme="minorHAnsi"/>
          <w:snapToGrid w:val="0"/>
          <w:lang w:val="en-GB"/>
        </w:rPr>
        <w:t>, including:</w:t>
      </w:r>
      <w:bookmarkEnd w:id="124"/>
      <w:r w:rsidR="00D93033">
        <w:rPr>
          <w:rFonts w:asciiTheme="minorHAnsi" w:hAnsiTheme="minorHAnsi"/>
          <w:snapToGrid w:val="0"/>
          <w:lang w:val="en-GB"/>
        </w:rPr>
        <w:t xml:space="preserve"> </w:t>
      </w:r>
    </w:p>
    <w:p w14:paraId="29023AA4" w14:textId="6E6F649B" w:rsidR="00A43C65" w:rsidRPr="008F74BC" w:rsidRDefault="008C3037" w:rsidP="008F74BC">
      <w:pPr>
        <w:widowControl w:val="0"/>
        <w:numPr>
          <w:ilvl w:val="1"/>
          <w:numId w:val="43"/>
        </w:numPr>
        <w:spacing w:after="120"/>
        <w:ind w:left="1080"/>
        <w:rPr>
          <w:rFonts w:asciiTheme="minorHAnsi" w:hAnsiTheme="minorHAnsi"/>
          <w:snapToGrid w:val="0"/>
          <w:lang w:val="en-GB"/>
        </w:rPr>
      </w:pPr>
      <w:r>
        <w:rPr>
          <w:rFonts w:asciiTheme="minorHAnsi" w:hAnsiTheme="minorHAnsi"/>
          <w:snapToGrid w:val="0"/>
          <w:lang w:val="en-GB"/>
        </w:rPr>
        <w:t xml:space="preserve">That </w:t>
      </w:r>
      <w:r w:rsidR="00F70482">
        <w:rPr>
          <w:rFonts w:asciiTheme="minorHAnsi" w:hAnsiTheme="minorHAnsi"/>
          <w:snapToGrid w:val="0"/>
          <w:lang w:val="en-GB"/>
        </w:rPr>
        <w:t xml:space="preserve">the proposal in the pre-PBAC response to </w:t>
      </w:r>
      <w:r w:rsidR="00EC069C">
        <w:rPr>
          <w:rFonts w:asciiTheme="minorHAnsi" w:hAnsiTheme="minorHAnsi"/>
          <w:snapToGrid w:val="0"/>
          <w:lang w:val="en-GB"/>
        </w:rPr>
        <w:t xml:space="preserve">restrict initiation of treatment </w:t>
      </w:r>
      <w:r w:rsidR="003B0A00">
        <w:rPr>
          <w:rFonts w:asciiTheme="minorHAnsi" w:hAnsiTheme="minorHAnsi"/>
          <w:snapToGrid w:val="0"/>
          <w:lang w:val="en-GB"/>
        </w:rPr>
        <w:t xml:space="preserve">in adult patients </w:t>
      </w:r>
      <w:r w:rsidR="00EC069C">
        <w:rPr>
          <w:rFonts w:asciiTheme="minorHAnsi" w:hAnsiTheme="minorHAnsi"/>
          <w:snapToGrid w:val="0"/>
          <w:lang w:val="en-GB"/>
        </w:rPr>
        <w:t>to specialist hepatologists working in liver transplant centres</w:t>
      </w:r>
      <w:r w:rsidR="007B2BDF">
        <w:rPr>
          <w:rFonts w:asciiTheme="minorHAnsi" w:hAnsiTheme="minorHAnsi"/>
          <w:snapToGrid w:val="0"/>
          <w:lang w:val="en-GB"/>
        </w:rPr>
        <w:t xml:space="preserve"> </w:t>
      </w:r>
      <w:r w:rsidR="00262534">
        <w:rPr>
          <w:rFonts w:asciiTheme="minorHAnsi" w:hAnsiTheme="minorHAnsi"/>
          <w:snapToGrid w:val="0"/>
          <w:lang w:val="en-GB"/>
        </w:rPr>
        <w:t xml:space="preserve">would be appropriate </w:t>
      </w:r>
      <w:r w:rsidR="007B2BDF">
        <w:rPr>
          <w:rFonts w:asciiTheme="minorHAnsi" w:hAnsiTheme="minorHAnsi"/>
          <w:snapToGrid w:val="0"/>
          <w:lang w:val="en-GB"/>
        </w:rPr>
        <w:t>to prevent use in other cholestatic liver diseases</w:t>
      </w:r>
      <w:r w:rsidR="00902ACB">
        <w:rPr>
          <w:rFonts w:asciiTheme="minorHAnsi" w:hAnsiTheme="minorHAnsi"/>
          <w:snapToGrid w:val="0"/>
          <w:lang w:val="en-GB"/>
        </w:rPr>
        <w:t>, particularly as adult patients will be older, and therefore heavier and require a higher dose of odevixibat</w:t>
      </w:r>
    </w:p>
    <w:p w14:paraId="30BC33AC" w14:textId="263BEA54" w:rsidR="00E340CE" w:rsidRDefault="003C3407" w:rsidP="00C1701A">
      <w:pPr>
        <w:widowControl w:val="0"/>
        <w:numPr>
          <w:ilvl w:val="1"/>
          <w:numId w:val="43"/>
        </w:numPr>
        <w:spacing w:after="120"/>
        <w:ind w:left="1080"/>
        <w:rPr>
          <w:rFonts w:asciiTheme="minorHAnsi" w:hAnsiTheme="minorHAnsi"/>
          <w:snapToGrid w:val="0"/>
          <w:lang w:val="en-GB"/>
        </w:rPr>
      </w:pPr>
      <w:r>
        <w:rPr>
          <w:rFonts w:asciiTheme="minorHAnsi" w:hAnsiTheme="minorHAnsi"/>
          <w:snapToGrid w:val="0"/>
          <w:lang w:val="en-GB"/>
        </w:rPr>
        <w:t xml:space="preserve">Review of the </w:t>
      </w:r>
      <w:r w:rsidR="0099628C">
        <w:rPr>
          <w:rFonts w:asciiTheme="minorHAnsi" w:hAnsiTheme="minorHAnsi"/>
          <w:snapToGrid w:val="0"/>
          <w:lang w:val="en-GB"/>
        </w:rPr>
        <w:t>ObsRO Pruritus Scale</w:t>
      </w:r>
      <w:r w:rsidR="008D4BDD">
        <w:rPr>
          <w:rFonts w:asciiTheme="minorHAnsi" w:hAnsiTheme="minorHAnsi"/>
          <w:snapToGrid w:val="0"/>
          <w:lang w:val="en-GB"/>
        </w:rPr>
        <w:t xml:space="preserve"> which was </w:t>
      </w:r>
      <w:r>
        <w:rPr>
          <w:rFonts w:asciiTheme="minorHAnsi" w:hAnsiTheme="minorHAnsi"/>
          <w:snapToGrid w:val="0"/>
          <w:lang w:val="en-GB"/>
        </w:rPr>
        <w:t xml:space="preserve">used to assess pruritis at treatment initiation and for continuation of therapy. </w:t>
      </w:r>
      <w:r w:rsidR="00577767">
        <w:rPr>
          <w:rFonts w:asciiTheme="minorHAnsi" w:hAnsiTheme="minorHAnsi"/>
          <w:snapToGrid w:val="0"/>
          <w:lang w:val="en-GB"/>
        </w:rPr>
        <w:t xml:space="preserve">The PBAC </w:t>
      </w:r>
      <w:r w:rsidR="005B62BF">
        <w:rPr>
          <w:rFonts w:asciiTheme="minorHAnsi" w:hAnsiTheme="minorHAnsi"/>
          <w:snapToGrid w:val="0"/>
          <w:lang w:val="en-GB"/>
        </w:rPr>
        <w:t>w</w:t>
      </w:r>
      <w:r w:rsidR="002B1A2A">
        <w:rPr>
          <w:rFonts w:asciiTheme="minorHAnsi" w:hAnsiTheme="minorHAnsi"/>
          <w:snapToGrid w:val="0"/>
          <w:lang w:val="en-GB"/>
        </w:rPr>
        <w:t>as</w:t>
      </w:r>
      <w:r w:rsidR="005B62BF">
        <w:rPr>
          <w:rFonts w:asciiTheme="minorHAnsi" w:hAnsiTheme="minorHAnsi"/>
          <w:snapToGrid w:val="0"/>
          <w:lang w:val="en-GB"/>
        </w:rPr>
        <w:t xml:space="preserve"> concerned about the rigour of the </w:t>
      </w:r>
      <w:r w:rsidR="00577767">
        <w:rPr>
          <w:rFonts w:asciiTheme="minorHAnsi" w:hAnsiTheme="minorHAnsi"/>
          <w:snapToGrid w:val="0"/>
          <w:lang w:val="en-GB"/>
        </w:rPr>
        <w:t>ObsRO</w:t>
      </w:r>
      <w:r w:rsidR="00E04DB3">
        <w:rPr>
          <w:rFonts w:asciiTheme="minorHAnsi" w:hAnsiTheme="minorHAnsi"/>
          <w:snapToGrid w:val="0"/>
          <w:lang w:val="en-GB"/>
        </w:rPr>
        <w:t xml:space="preserve"> Pruritus Scale</w:t>
      </w:r>
      <w:r w:rsidR="00C439A0">
        <w:rPr>
          <w:rFonts w:asciiTheme="minorHAnsi" w:hAnsiTheme="minorHAnsi"/>
          <w:snapToGrid w:val="0"/>
          <w:lang w:val="en-GB"/>
        </w:rPr>
        <w:t xml:space="preserve">, particularly in terms of the assessment for continuing therapy, as </w:t>
      </w:r>
      <w:r w:rsidR="004169CE">
        <w:rPr>
          <w:rFonts w:asciiTheme="minorHAnsi" w:hAnsiTheme="minorHAnsi"/>
          <w:snapToGrid w:val="0"/>
          <w:lang w:val="en-GB"/>
        </w:rPr>
        <w:t xml:space="preserve">it relied on the response to one question. </w:t>
      </w:r>
      <w:r w:rsidR="00CA2B81">
        <w:rPr>
          <w:rFonts w:asciiTheme="minorHAnsi" w:hAnsiTheme="minorHAnsi"/>
          <w:snapToGrid w:val="0"/>
          <w:lang w:val="en-GB"/>
        </w:rPr>
        <w:t xml:space="preserve">Overall, the PBAC considered that the ObsRO Pruritus Scale would be subject to high variability and may not provide a meaningful measure of response. </w:t>
      </w:r>
      <w:r w:rsidR="003B3692">
        <w:rPr>
          <w:rFonts w:asciiTheme="minorHAnsi" w:hAnsiTheme="minorHAnsi"/>
          <w:snapToGrid w:val="0"/>
          <w:lang w:val="en-GB"/>
        </w:rPr>
        <w:t xml:space="preserve">The PBAC noted that the </w:t>
      </w:r>
      <w:r w:rsidR="00B6114B">
        <w:rPr>
          <w:rFonts w:asciiTheme="minorHAnsi" w:hAnsiTheme="minorHAnsi"/>
          <w:snapToGrid w:val="0"/>
          <w:lang w:val="en-GB"/>
        </w:rPr>
        <w:t xml:space="preserve">pre-PBAC response </w:t>
      </w:r>
      <w:r w:rsidR="003B3692">
        <w:rPr>
          <w:rFonts w:asciiTheme="minorHAnsi" w:hAnsiTheme="minorHAnsi"/>
          <w:snapToGrid w:val="0"/>
          <w:lang w:val="en-GB"/>
        </w:rPr>
        <w:t xml:space="preserve">advised that </w:t>
      </w:r>
      <w:r w:rsidR="00A40548">
        <w:rPr>
          <w:rFonts w:asciiTheme="minorHAnsi" w:hAnsiTheme="minorHAnsi"/>
          <w:snapToGrid w:val="0"/>
          <w:lang w:val="en-GB"/>
        </w:rPr>
        <w:t xml:space="preserve">the </w:t>
      </w:r>
      <w:r w:rsidR="00CF34FB">
        <w:rPr>
          <w:rFonts w:asciiTheme="minorHAnsi" w:hAnsiTheme="minorHAnsi"/>
          <w:snapToGrid w:val="0"/>
          <w:lang w:val="en-GB"/>
        </w:rPr>
        <w:t>s</w:t>
      </w:r>
      <w:r w:rsidR="00A40548">
        <w:rPr>
          <w:rFonts w:asciiTheme="minorHAnsi" w:hAnsiTheme="minorHAnsi"/>
          <w:snapToGrid w:val="0"/>
          <w:lang w:val="en-GB"/>
        </w:rPr>
        <w:t xml:space="preserve">ponsor was </w:t>
      </w:r>
      <w:r w:rsidR="00D7657D">
        <w:rPr>
          <w:rFonts w:asciiTheme="minorHAnsi" w:hAnsiTheme="minorHAnsi"/>
          <w:snapToGrid w:val="0"/>
          <w:lang w:val="en-GB"/>
        </w:rPr>
        <w:t xml:space="preserve">agreeable to </w:t>
      </w:r>
      <w:r w:rsidR="000E1D0D">
        <w:rPr>
          <w:rFonts w:asciiTheme="minorHAnsi" w:hAnsiTheme="minorHAnsi"/>
          <w:snapToGrid w:val="0"/>
          <w:lang w:val="en-GB"/>
        </w:rPr>
        <w:t>alternatives to the ObsRO Pruritus Scale</w:t>
      </w:r>
      <w:r w:rsidR="00517049">
        <w:rPr>
          <w:rFonts w:asciiTheme="minorHAnsi" w:hAnsiTheme="minorHAnsi"/>
          <w:snapToGrid w:val="0"/>
          <w:lang w:val="en-GB"/>
        </w:rPr>
        <w:t xml:space="preserve">, </w:t>
      </w:r>
      <w:proofErr w:type="gramStart"/>
      <w:r w:rsidR="00517049">
        <w:rPr>
          <w:rFonts w:asciiTheme="minorHAnsi" w:hAnsiTheme="minorHAnsi"/>
          <w:snapToGrid w:val="0"/>
          <w:lang w:val="en-GB"/>
        </w:rPr>
        <w:t>as long as</w:t>
      </w:r>
      <w:proofErr w:type="gramEnd"/>
      <w:r w:rsidR="00517049">
        <w:rPr>
          <w:rFonts w:asciiTheme="minorHAnsi" w:hAnsiTheme="minorHAnsi"/>
          <w:snapToGrid w:val="0"/>
          <w:lang w:val="en-GB"/>
        </w:rPr>
        <w:t xml:space="preserve"> </w:t>
      </w:r>
      <w:r w:rsidR="00AB1264">
        <w:rPr>
          <w:rFonts w:asciiTheme="minorHAnsi" w:hAnsiTheme="minorHAnsi"/>
          <w:snapToGrid w:val="0"/>
          <w:lang w:val="en-GB"/>
        </w:rPr>
        <w:t>there was no undue burden on prescribers, patients o</w:t>
      </w:r>
      <w:r w:rsidR="008D4BDD">
        <w:rPr>
          <w:rFonts w:asciiTheme="minorHAnsi" w:hAnsiTheme="minorHAnsi"/>
          <w:snapToGrid w:val="0"/>
          <w:lang w:val="en-GB"/>
        </w:rPr>
        <w:t>r</w:t>
      </w:r>
      <w:r w:rsidR="00AB1264">
        <w:rPr>
          <w:rFonts w:asciiTheme="minorHAnsi" w:hAnsiTheme="minorHAnsi"/>
          <w:snapToGrid w:val="0"/>
          <w:lang w:val="en-GB"/>
        </w:rPr>
        <w:t xml:space="preserve"> caregivers</w:t>
      </w:r>
      <w:r w:rsidR="00A23120">
        <w:rPr>
          <w:rFonts w:asciiTheme="minorHAnsi" w:hAnsiTheme="minorHAnsi"/>
          <w:snapToGrid w:val="0"/>
          <w:lang w:val="en-GB"/>
        </w:rPr>
        <w:t>,</w:t>
      </w:r>
      <w:r w:rsidR="001C2028">
        <w:rPr>
          <w:rFonts w:asciiTheme="minorHAnsi" w:hAnsiTheme="minorHAnsi"/>
          <w:snapToGrid w:val="0"/>
          <w:lang w:val="en-GB"/>
        </w:rPr>
        <w:t xml:space="preserve"> but did not provide </w:t>
      </w:r>
      <w:r w:rsidR="008C75B4">
        <w:rPr>
          <w:rFonts w:asciiTheme="minorHAnsi" w:hAnsiTheme="minorHAnsi"/>
          <w:snapToGrid w:val="0"/>
          <w:lang w:val="en-GB"/>
        </w:rPr>
        <w:t>an alternative measure</w:t>
      </w:r>
      <w:r w:rsidR="006F1EFC">
        <w:rPr>
          <w:rFonts w:asciiTheme="minorHAnsi" w:hAnsiTheme="minorHAnsi"/>
          <w:snapToGrid w:val="0"/>
          <w:lang w:val="en-GB"/>
        </w:rPr>
        <w:t xml:space="preserve">. </w:t>
      </w:r>
    </w:p>
    <w:p w14:paraId="6B59E5F2" w14:textId="42737FFA" w:rsidR="007B2BDF" w:rsidRPr="00E340CE" w:rsidRDefault="00914BA4" w:rsidP="000E1BFF">
      <w:pPr>
        <w:widowControl w:val="0"/>
        <w:numPr>
          <w:ilvl w:val="1"/>
          <w:numId w:val="43"/>
        </w:numPr>
        <w:spacing w:after="120"/>
        <w:ind w:left="1080"/>
        <w:rPr>
          <w:rFonts w:asciiTheme="minorHAnsi" w:hAnsiTheme="minorHAnsi"/>
          <w:snapToGrid w:val="0"/>
          <w:lang w:val="en-GB"/>
        </w:rPr>
      </w:pPr>
      <w:r>
        <w:rPr>
          <w:rFonts w:asciiTheme="minorHAnsi" w:hAnsiTheme="minorHAnsi"/>
          <w:snapToGrid w:val="0"/>
          <w:lang w:val="en-GB"/>
        </w:rPr>
        <w:t xml:space="preserve">Although </w:t>
      </w:r>
      <w:r w:rsidR="001C787D">
        <w:rPr>
          <w:rFonts w:asciiTheme="minorHAnsi" w:hAnsiTheme="minorHAnsi"/>
          <w:snapToGrid w:val="0"/>
          <w:lang w:val="en-GB"/>
        </w:rPr>
        <w:t>t</w:t>
      </w:r>
      <w:r w:rsidR="00C1701A" w:rsidRPr="00E340CE">
        <w:rPr>
          <w:rFonts w:asciiTheme="minorHAnsi" w:hAnsiTheme="minorHAnsi"/>
          <w:snapToGrid w:val="0"/>
          <w:lang w:val="en-GB"/>
        </w:rPr>
        <w:t xml:space="preserve">he continuing restriction </w:t>
      </w:r>
      <w:r w:rsidR="001C787D">
        <w:rPr>
          <w:rFonts w:asciiTheme="minorHAnsi" w:hAnsiTheme="minorHAnsi"/>
          <w:snapToGrid w:val="0"/>
          <w:lang w:val="en-GB"/>
        </w:rPr>
        <w:t xml:space="preserve">required patients to have an adequate clinical response to initial treatment, </w:t>
      </w:r>
      <w:r w:rsidR="00A9518E">
        <w:rPr>
          <w:rFonts w:asciiTheme="minorHAnsi" w:hAnsiTheme="minorHAnsi"/>
          <w:snapToGrid w:val="0"/>
          <w:lang w:val="en-GB"/>
        </w:rPr>
        <w:t>there was no requirement for patients to continue to demonstrate a benefit</w:t>
      </w:r>
      <w:r w:rsidR="0038562E">
        <w:rPr>
          <w:rFonts w:asciiTheme="minorHAnsi" w:hAnsiTheme="minorHAnsi"/>
          <w:snapToGrid w:val="0"/>
          <w:lang w:val="en-GB"/>
        </w:rPr>
        <w:t xml:space="preserve"> to receive continuing therapy. The PBAC considered that the continuing restriction </w:t>
      </w:r>
      <w:r w:rsidR="00C1701A" w:rsidRPr="00E340CE">
        <w:rPr>
          <w:rFonts w:asciiTheme="minorHAnsi" w:hAnsiTheme="minorHAnsi"/>
          <w:snapToGrid w:val="0"/>
          <w:lang w:val="en-GB"/>
        </w:rPr>
        <w:t>should include a stopping rule</w:t>
      </w:r>
      <w:r w:rsidR="00E340CE" w:rsidRPr="00E340CE">
        <w:rPr>
          <w:rFonts w:asciiTheme="minorHAnsi" w:hAnsiTheme="minorHAnsi"/>
          <w:snapToGrid w:val="0"/>
          <w:lang w:val="en-GB"/>
        </w:rPr>
        <w:t xml:space="preserve"> </w:t>
      </w:r>
      <w:r w:rsidR="009961BD" w:rsidRPr="00E340CE">
        <w:rPr>
          <w:rFonts w:asciiTheme="minorHAnsi" w:hAnsiTheme="minorHAnsi"/>
          <w:snapToGrid w:val="0"/>
          <w:lang w:val="en-GB"/>
        </w:rPr>
        <w:t>to ensure that treatment only continues for as long as a positive pruritus response is maintained</w:t>
      </w:r>
    </w:p>
    <w:p w14:paraId="713A3DA3" w14:textId="082B3BF4" w:rsidR="00AC0D46" w:rsidRDefault="003C3407" w:rsidP="00D57061">
      <w:pPr>
        <w:widowControl w:val="0"/>
        <w:numPr>
          <w:ilvl w:val="1"/>
          <w:numId w:val="43"/>
        </w:numPr>
        <w:spacing w:after="120"/>
        <w:ind w:left="1080"/>
        <w:rPr>
          <w:rFonts w:asciiTheme="minorHAnsi" w:hAnsiTheme="minorHAnsi"/>
          <w:snapToGrid w:val="0"/>
          <w:lang w:val="en-GB"/>
        </w:rPr>
      </w:pPr>
      <w:r>
        <w:rPr>
          <w:rFonts w:asciiTheme="minorHAnsi" w:hAnsiTheme="minorHAnsi"/>
          <w:snapToGrid w:val="0"/>
          <w:lang w:val="en-GB"/>
        </w:rPr>
        <w:t xml:space="preserve">Amendments to </w:t>
      </w:r>
      <w:r w:rsidR="00EC4909">
        <w:rPr>
          <w:rFonts w:asciiTheme="minorHAnsi" w:hAnsiTheme="minorHAnsi"/>
          <w:snapToGrid w:val="0"/>
          <w:lang w:val="en-GB"/>
        </w:rPr>
        <w:t xml:space="preserve">the </w:t>
      </w:r>
      <w:r w:rsidR="00CA31B0">
        <w:rPr>
          <w:rFonts w:asciiTheme="minorHAnsi" w:hAnsiTheme="minorHAnsi"/>
          <w:snapToGrid w:val="0"/>
          <w:lang w:val="en-GB"/>
        </w:rPr>
        <w:t xml:space="preserve">retreatment </w:t>
      </w:r>
      <w:r w:rsidR="00EC4909">
        <w:rPr>
          <w:rFonts w:asciiTheme="minorHAnsi" w:hAnsiTheme="minorHAnsi"/>
          <w:snapToGrid w:val="0"/>
          <w:lang w:val="en-GB"/>
        </w:rPr>
        <w:t xml:space="preserve">restriction </w:t>
      </w:r>
      <w:r w:rsidR="00CA31B0">
        <w:rPr>
          <w:rFonts w:asciiTheme="minorHAnsi" w:hAnsiTheme="minorHAnsi"/>
          <w:snapToGrid w:val="0"/>
          <w:lang w:val="en-GB"/>
        </w:rPr>
        <w:t xml:space="preserve">to </w:t>
      </w:r>
      <w:r w:rsidR="00EC4909">
        <w:rPr>
          <w:rFonts w:asciiTheme="minorHAnsi" w:hAnsiTheme="minorHAnsi"/>
          <w:snapToGrid w:val="0"/>
          <w:lang w:val="en-GB"/>
        </w:rPr>
        <w:t xml:space="preserve">ensure </w:t>
      </w:r>
      <w:r w:rsidR="00025739">
        <w:rPr>
          <w:rFonts w:asciiTheme="minorHAnsi" w:hAnsiTheme="minorHAnsi"/>
          <w:snapToGrid w:val="0"/>
          <w:lang w:val="en-GB"/>
        </w:rPr>
        <w:t xml:space="preserve">only </w:t>
      </w:r>
      <w:r w:rsidR="00CA31B0">
        <w:rPr>
          <w:rFonts w:asciiTheme="minorHAnsi" w:hAnsiTheme="minorHAnsi"/>
          <w:snapToGrid w:val="0"/>
          <w:lang w:val="en-GB"/>
        </w:rPr>
        <w:t>patients who have previously</w:t>
      </w:r>
      <w:r w:rsidR="00025739">
        <w:rPr>
          <w:rFonts w:asciiTheme="minorHAnsi" w:hAnsiTheme="minorHAnsi"/>
          <w:snapToGrid w:val="0"/>
          <w:lang w:val="en-GB"/>
        </w:rPr>
        <w:t xml:space="preserve"> benefited from treatment </w:t>
      </w:r>
      <w:r w:rsidR="00A23120">
        <w:rPr>
          <w:rFonts w:asciiTheme="minorHAnsi" w:hAnsiTheme="minorHAnsi"/>
          <w:snapToGrid w:val="0"/>
          <w:lang w:val="en-GB"/>
        </w:rPr>
        <w:t xml:space="preserve">and who stopped treatment for reasons other than loss of response </w:t>
      </w:r>
      <w:r w:rsidR="00025739">
        <w:rPr>
          <w:rFonts w:asciiTheme="minorHAnsi" w:hAnsiTheme="minorHAnsi"/>
          <w:snapToGrid w:val="0"/>
          <w:lang w:val="en-GB"/>
        </w:rPr>
        <w:t>could be retreated</w:t>
      </w:r>
    </w:p>
    <w:p w14:paraId="2BE2D2D5" w14:textId="4ECB2FE9" w:rsidR="009D2610" w:rsidRPr="00AC0D46" w:rsidRDefault="009D2610" w:rsidP="00D57061">
      <w:pPr>
        <w:widowControl w:val="0"/>
        <w:numPr>
          <w:ilvl w:val="1"/>
          <w:numId w:val="43"/>
        </w:numPr>
        <w:spacing w:after="120"/>
        <w:ind w:left="1080"/>
        <w:rPr>
          <w:rFonts w:asciiTheme="minorHAnsi" w:hAnsiTheme="minorHAnsi"/>
          <w:snapToGrid w:val="0"/>
          <w:lang w:val="en-GB"/>
        </w:rPr>
      </w:pPr>
      <w:r>
        <w:rPr>
          <w:rFonts w:asciiTheme="minorHAnsi" w:hAnsiTheme="minorHAnsi"/>
          <w:snapToGrid w:val="0"/>
          <w:lang w:val="en-GB"/>
        </w:rPr>
        <w:t xml:space="preserve">The </w:t>
      </w:r>
      <w:r w:rsidR="00317646">
        <w:rPr>
          <w:rFonts w:asciiTheme="minorHAnsi" w:hAnsiTheme="minorHAnsi"/>
          <w:snapToGrid w:val="0"/>
          <w:lang w:val="en-GB"/>
        </w:rPr>
        <w:t xml:space="preserve">criteria for, the </w:t>
      </w:r>
      <w:r>
        <w:rPr>
          <w:rFonts w:asciiTheme="minorHAnsi" w:hAnsiTheme="minorHAnsi"/>
          <w:snapToGrid w:val="0"/>
          <w:lang w:val="en-GB"/>
        </w:rPr>
        <w:t xml:space="preserve">timing </w:t>
      </w:r>
      <w:r w:rsidR="00093483">
        <w:rPr>
          <w:rFonts w:asciiTheme="minorHAnsi" w:hAnsiTheme="minorHAnsi"/>
          <w:snapToGrid w:val="0"/>
          <w:lang w:val="en-GB"/>
        </w:rPr>
        <w:t xml:space="preserve">of, </w:t>
      </w:r>
      <w:r>
        <w:rPr>
          <w:rFonts w:asciiTheme="minorHAnsi" w:hAnsiTheme="minorHAnsi"/>
          <w:snapToGrid w:val="0"/>
          <w:lang w:val="en-GB"/>
        </w:rPr>
        <w:t>and assessment of response to</w:t>
      </w:r>
      <w:r w:rsidR="00093483">
        <w:rPr>
          <w:rFonts w:asciiTheme="minorHAnsi" w:hAnsiTheme="minorHAnsi"/>
          <w:snapToGrid w:val="0"/>
          <w:lang w:val="en-GB"/>
        </w:rPr>
        <w:t>,</w:t>
      </w:r>
      <w:r>
        <w:rPr>
          <w:rFonts w:asciiTheme="minorHAnsi" w:hAnsiTheme="minorHAnsi"/>
          <w:snapToGrid w:val="0"/>
          <w:lang w:val="en-GB"/>
        </w:rPr>
        <w:t xml:space="preserve"> dose escalation is clear</w:t>
      </w:r>
      <w:r w:rsidR="00CB4945">
        <w:rPr>
          <w:rFonts w:asciiTheme="minorHAnsi" w:hAnsiTheme="minorHAnsi"/>
          <w:snapToGrid w:val="0"/>
          <w:lang w:val="en-GB"/>
        </w:rPr>
        <w:t xml:space="preserve">. </w:t>
      </w:r>
      <w:r w:rsidR="00E44DDC">
        <w:rPr>
          <w:rFonts w:asciiTheme="minorHAnsi" w:hAnsiTheme="minorHAnsi"/>
          <w:snapToGrid w:val="0"/>
          <w:lang w:val="en-GB"/>
        </w:rPr>
        <w:t xml:space="preserve">Dose escalation should be allowed to occur between 1-3 months after initiation and the continuation criteria </w:t>
      </w:r>
      <w:r w:rsidR="004E0269">
        <w:rPr>
          <w:rFonts w:asciiTheme="minorHAnsi" w:hAnsiTheme="minorHAnsi"/>
          <w:snapToGrid w:val="0"/>
          <w:lang w:val="en-GB"/>
        </w:rPr>
        <w:t>should be met at 6 months post initiation of treatment.</w:t>
      </w:r>
    </w:p>
    <w:p w14:paraId="48351445" w14:textId="5FC9E3F4" w:rsidR="00B74254" w:rsidRDefault="00B74254" w:rsidP="009A1EA9">
      <w:pPr>
        <w:widowControl w:val="0"/>
        <w:numPr>
          <w:ilvl w:val="1"/>
          <w:numId w:val="1"/>
        </w:numPr>
        <w:spacing w:after="120"/>
        <w:rPr>
          <w:rFonts w:asciiTheme="minorHAnsi" w:hAnsiTheme="minorHAnsi"/>
          <w:snapToGrid w:val="0"/>
          <w:lang w:val="en-GB"/>
        </w:rPr>
      </w:pPr>
      <w:bookmarkStart w:id="125" w:name="_Ref193890827"/>
      <w:r w:rsidRPr="00D56748">
        <w:rPr>
          <w:rFonts w:asciiTheme="minorHAnsi" w:hAnsiTheme="minorHAnsi"/>
          <w:snapToGrid w:val="0"/>
          <w:lang w:val="en-GB"/>
        </w:rPr>
        <w:t>The PBAC accepted that genetic testing for PFIC was inconclusive in some patients</w:t>
      </w:r>
      <w:r w:rsidR="00850B85">
        <w:rPr>
          <w:rFonts w:asciiTheme="minorHAnsi" w:hAnsiTheme="minorHAnsi"/>
          <w:snapToGrid w:val="0"/>
          <w:lang w:val="en-GB"/>
        </w:rPr>
        <w:t xml:space="preserve"> and considered that </w:t>
      </w:r>
      <w:r w:rsidR="002705DD">
        <w:rPr>
          <w:rFonts w:asciiTheme="minorHAnsi" w:hAnsiTheme="minorHAnsi"/>
          <w:snapToGrid w:val="0"/>
          <w:lang w:val="en-GB"/>
        </w:rPr>
        <w:t xml:space="preserve">it was </w:t>
      </w:r>
      <w:r w:rsidR="00A96A1D">
        <w:rPr>
          <w:rFonts w:asciiTheme="minorHAnsi" w:hAnsiTheme="minorHAnsi"/>
          <w:snapToGrid w:val="0"/>
          <w:lang w:val="en-GB"/>
        </w:rPr>
        <w:t xml:space="preserve">not required as a </w:t>
      </w:r>
      <w:r w:rsidR="00561649">
        <w:rPr>
          <w:rFonts w:asciiTheme="minorHAnsi" w:hAnsiTheme="minorHAnsi"/>
          <w:snapToGrid w:val="0"/>
          <w:lang w:val="en-GB"/>
        </w:rPr>
        <w:t xml:space="preserve">criterion for initial treatment. The PBAC noted </w:t>
      </w:r>
      <w:r w:rsidR="00561649">
        <w:rPr>
          <w:rFonts w:asciiTheme="minorHAnsi" w:hAnsiTheme="minorHAnsi"/>
          <w:snapToGrid w:val="0"/>
          <w:lang w:val="en-GB"/>
        </w:rPr>
        <w:lastRenderedPageBreak/>
        <w:t xml:space="preserve">that </w:t>
      </w:r>
      <w:r w:rsidR="00593DBF">
        <w:rPr>
          <w:rFonts w:asciiTheme="minorHAnsi" w:hAnsiTheme="minorHAnsi"/>
          <w:snapToGrid w:val="0"/>
          <w:lang w:val="en-GB"/>
        </w:rPr>
        <w:t>cost</w:t>
      </w:r>
      <w:r w:rsidR="00F42311">
        <w:rPr>
          <w:rFonts w:asciiTheme="minorHAnsi" w:hAnsiTheme="minorHAnsi"/>
          <w:snapToGrid w:val="0"/>
          <w:lang w:val="en-GB"/>
        </w:rPr>
        <w:t>s</w:t>
      </w:r>
      <w:r w:rsidR="00561649">
        <w:rPr>
          <w:rFonts w:asciiTheme="minorHAnsi" w:hAnsiTheme="minorHAnsi"/>
          <w:snapToGrid w:val="0"/>
          <w:lang w:val="en-GB"/>
        </w:rPr>
        <w:t xml:space="preserve"> of odevixibat in patients </w:t>
      </w:r>
      <w:r w:rsidR="002F6BFB">
        <w:rPr>
          <w:rFonts w:asciiTheme="minorHAnsi" w:hAnsiTheme="minorHAnsi"/>
          <w:snapToGrid w:val="0"/>
          <w:lang w:val="en-GB"/>
        </w:rPr>
        <w:t xml:space="preserve">with a genetic subtype known to be </w:t>
      </w:r>
      <w:r w:rsidR="00593DBF">
        <w:rPr>
          <w:rFonts w:asciiTheme="minorHAnsi" w:hAnsiTheme="minorHAnsi"/>
          <w:snapToGrid w:val="0"/>
          <w:lang w:val="en-GB"/>
        </w:rPr>
        <w:t xml:space="preserve">unlikely to respond </w:t>
      </w:r>
      <w:r w:rsidR="006C4358">
        <w:rPr>
          <w:rFonts w:asciiTheme="minorHAnsi" w:hAnsiTheme="minorHAnsi"/>
          <w:snapToGrid w:val="0"/>
          <w:lang w:val="en-GB"/>
        </w:rPr>
        <w:t>w</w:t>
      </w:r>
      <w:r w:rsidR="00F42311">
        <w:rPr>
          <w:rFonts w:asciiTheme="minorHAnsi" w:hAnsiTheme="minorHAnsi"/>
          <w:snapToGrid w:val="0"/>
          <w:lang w:val="en-GB"/>
        </w:rPr>
        <w:t xml:space="preserve">ere </w:t>
      </w:r>
      <w:r w:rsidR="00C37FE4">
        <w:rPr>
          <w:rFonts w:asciiTheme="minorHAnsi" w:hAnsiTheme="minorHAnsi"/>
          <w:snapToGrid w:val="0"/>
          <w:lang w:val="en-GB"/>
        </w:rPr>
        <w:t xml:space="preserve">appropriately </w:t>
      </w:r>
      <w:r w:rsidR="00AB00F5">
        <w:rPr>
          <w:rFonts w:asciiTheme="minorHAnsi" w:hAnsiTheme="minorHAnsi"/>
          <w:snapToGrid w:val="0"/>
          <w:lang w:val="en-GB"/>
        </w:rPr>
        <w:t>removed from</w:t>
      </w:r>
      <w:r w:rsidR="00F33D4A">
        <w:rPr>
          <w:rFonts w:asciiTheme="minorHAnsi" w:hAnsiTheme="minorHAnsi"/>
          <w:snapToGrid w:val="0"/>
          <w:lang w:val="en-GB"/>
        </w:rPr>
        <w:t xml:space="preserve"> </w:t>
      </w:r>
      <w:r w:rsidR="00AB00F5">
        <w:rPr>
          <w:rFonts w:asciiTheme="minorHAnsi" w:hAnsiTheme="minorHAnsi"/>
          <w:snapToGrid w:val="0"/>
          <w:lang w:val="en-GB"/>
        </w:rPr>
        <w:t xml:space="preserve">the expenditure caps in the proposed RSA (see paragraph </w:t>
      </w:r>
      <w:r w:rsidR="00F42311">
        <w:rPr>
          <w:rFonts w:asciiTheme="minorHAnsi" w:hAnsiTheme="minorHAnsi"/>
          <w:snapToGrid w:val="0"/>
          <w:highlight w:val="yellow"/>
          <w:lang w:val="en-GB"/>
        </w:rPr>
        <w:fldChar w:fldCharType="begin" w:fldLock="1"/>
      </w:r>
      <w:r w:rsidR="00F42311">
        <w:rPr>
          <w:rFonts w:asciiTheme="minorHAnsi" w:hAnsiTheme="minorHAnsi"/>
          <w:snapToGrid w:val="0"/>
          <w:lang w:val="en-GB"/>
        </w:rPr>
        <w:instrText xml:space="preserve"> REF _Ref195089028 \r \h </w:instrText>
      </w:r>
      <w:r w:rsidR="00F42311">
        <w:rPr>
          <w:rFonts w:asciiTheme="minorHAnsi" w:hAnsiTheme="minorHAnsi"/>
          <w:snapToGrid w:val="0"/>
          <w:highlight w:val="yellow"/>
          <w:lang w:val="en-GB"/>
        </w:rPr>
      </w:r>
      <w:r w:rsidR="00F42311">
        <w:rPr>
          <w:rFonts w:asciiTheme="minorHAnsi" w:hAnsiTheme="minorHAnsi"/>
          <w:snapToGrid w:val="0"/>
          <w:highlight w:val="yellow"/>
          <w:lang w:val="en-GB"/>
        </w:rPr>
        <w:fldChar w:fldCharType="separate"/>
      </w:r>
      <w:r w:rsidR="00E16571">
        <w:rPr>
          <w:rFonts w:asciiTheme="minorHAnsi" w:hAnsiTheme="minorHAnsi"/>
          <w:snapToGrid w:val="0"/>
          <w:lang w:val="en-GB"/>
        </w:rPr>
        <w:t>7.18</w:t>
      </w:r>
      <w:r w:rsidR="00F42311">
        <w:rPr>
          <w:rFonts w:asciiTheme="minorHAnsi" w:hAnsiTheme="minorHAnsi"/>
          <w:snapToGrid w:val="0"/>
          <w:highlight w:val="yellow"/>
          <w:lang w:val="en-GB"/>
        </w:rPr>
        <w:fldChar w:fldCharType="end"/>
      </w:r>
      <w:r w:rsidR="00AB00F5">
        <w:rPr>
          <w:rFonts w:asciiTheme="minorHAnsi" w:hAnsiTheme="minorHAnsi"/>
          <w:snapToGrid w:val="0"/>
          <w:lang w:val="en-GB"/>
        </w:rPr>
        <w:t>).</w:t>
      </w:r>
    </w:p>
    <w:p w14:paraId="68A097AD" w14:textId="708055E5" w:rsidR="009A1EA9" w:rsidRDefault="009A1EA9" w:rsidP="009A1EA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857A5A">
        <w:rPr>
          <w:rFonts w:asciiTheme="minorHAnsi" w:hAnsiTheme="minorHAnsi"/>
          <w:snapToGrid w:val="0"/>
          <w:lang w:val="en-GB"/>
        </w:rPr>
        <w:t>requested</w:t>
      </w:r>
      <w:r w:rsidR="00895885">
        <w:rPr>
          <w:rFonts w:asciiTheme="minorHAnsi" w:hAnsiTheme="minorHAnsi"/>
          <w:snapToGrid w:val="0"/>
          <w:lang w:val="en-GB"/>
        </w:rPr>
        <w:t>, if possible,</w:t>
      </w:r>
      <w:r w:rsidR="00857A5A">
        <w:rPr>
          <w:rFonts w:asciiTheme="minorHAnsi" w:hAnsiTheme="minorHAnsi"/>
          <w:snapToGrid w:val="0"/>
          <w:lang w:val="en-GB"/>
        </w:rPr>
        <w:t xml:space="preserve"> review</w:t>
      </w:r>
      <w:r w:rsidR="00F550E8">
        <w:rPr>
          <w:rFonts w:asciiTheme="minorHAnsi" w:hAnsiTheme="minorHAnsi"/>
          <w:snapToGrid w:val="0"/>
          <w:lang w:val="en-GB"/>
        </w:rPr>
        <w:t xml:space="preserve"> of</w:t>
      </w:r>
      <w:r>
        <w:rPr>
          <w:rFonts w:asciiTheme="minorHAnsi" w:hAnsiTheme="minorHAnsi"/>
          <w:snapToGrid w:val="0"/>
          <w:lang w:val="en-GB"/>
        </w:rPr>
        <w:t xml:space="preserve"> the revised restrictions by clinical specialists</w:t>
      </w:r>
      <w:r w:rsidR="00590866">
        <w:rPr>
          <w:rFonts w:asciiTheme="minorHAnsi" w:hAnsiTheme="minorHAnsi"/>
          <w:snapToGrid w:val="0"/>
          <w:lang w:val="en-GB"/>
        </w:rPr>
        <w:t>, including those</w:t>
      </w:r>
      <w:r>
        <w:rPr>
          <w:rFonts w:asciiTheme="minorHAnsi" w:hAnsiTheme="minorHAnsi"/>
          <w:snapToGrid w:val="0"/>
          <w:lang w:val="en-GB"/>
        </w:rPr>
        <w:t xml:space="preserve"> who attended the Facilitated Workshop</w:t>
      </w:r>
      <w:r w:rsidR="0008239D">
        <w:rPr>
          <w:rFonts w:asciiTheme="minorHAnsi" w:hAnsiTheme="minorHAnsi"/>
          <w:snapToGrid w:val="0"/>
          <w:lang w:val="en-GB"/>
        </w:rPr>
        <w:t>,</w:t>
      </w:r>
      <w:r w:rsidR="003E4E75">
        <w:rPr>
          <w:rFonts w:asciiTheme="minorHAnsi" w:hAnsiTheme="minorHAnsi"/>
          <w:snapToGrid w:val="0"/>
          <w:lang w:val="en-GB"/>
        </w:rPr>
        <w:t xml:space="preserve"> prior to PBAC reconsideration</w:t>
      </w:r>
      <w:r>
        <w:rPr>
          <w:rFonts w:asciiTheme="minorHAnsi" w:hAnsiTheme="minorHAnsi"/>
          <w:snapToGrid w:val="0"/>
          <w:lang w:val="en-GB"/>
        </w:rPr>
        <w:t>.</w:t>
      </w:r>
    </w:p>
    <w:bookmarkEnd w:id="125"/>
    <w:p w14:paraId="4C867E76" w14:textId="11959C39" w:rsidR="002E2F59" w:rsidRDefault="002E2F59" w:rsidP="002E2F59">
      <w:pPr>
        <w:widowControl w:val="0"/>
        <w:numPr>
          <w:ilvl w:val="1"/>
          <w:numId w:val="1"/>
        </w:numPr>
        <w:spacing w:after="120"/>
        <w:rPr>
          <w:rFonts w:asciiTheme="minorHAnsi" w:hAnsiTheme="minorHAnsi"/>
          <w:snapToGrid w:val="0"/>
          <w:lang w:val="en-GB"/>
        </w:rPr>
      </w:pPr>
      <w:r w:rsidRPr="00330733">
        <w:rPr>
          <w:rFonts w:asciiTheme="minorHAnsi" w:hAnsiTheme="minorHAnsi"/>
          <w:snapToGrid w:val="0"/>
          <w:lang w:val="en-GB" w:eastAsia="en-US"/>
        </w:rPr>
        <w:t xml:space="preserve">The PBAC noted the </w:t>
      </w:r>
      <w:r>
        <w:rPr>
          <w:rFonts w:asciiTheme="minorHAnsi" w:hAnsiTheme="minorHAnsi"/>
          <w:snapToGrid w:val="0"/>
          <w:lang w:val="en-GB" w:eastAsia="en-US"/>
        </w:rPr>
        <w:t>re</w:t>
      </w:r>
      <w:r w:rsidRPr="00330733">
        <w:rPr>
          <w:rFonts w:asciiTheme="minorHAnsi" w:hAnsiTheme="minorHAnsi"/>
          <w:snapToGrid w:val="0"/>
          <w:lang w:val="en-GB" w:eastAsia="en-US"/>
        </w:rPr>
        <w:t xml:space="preserve">submission was </w:t>
      </w:r>
      <w:r>
        <w:rPr>
          <w:rFonts w:asciiTheme="minorHAnsi" w:hAnsiTheme="minorHAnsi"/>
          <w:snapToGrid w:val="0"/>
          <w:lang w:val="en-GB" w:eastAsia="en-US"/>
        </w:rPr>
        <w:t xml:space="preserve">again </w:t>
      </w:r>
      <w:r w:rsidRPr="00330733">
        <w:rPr>
          <w:rFonts w:asciiTheme="minorHAnsi" w:hAnsiTheme="minorHAnsi"/>
          <w:snapToGrid w:val="0"/>
          <w:lang w:val="en-GB" w:eastAsia="en-US"/>
        </w:rPr>
        <w:t xml:space="preserve">based on the results from a randomised trial that compared odevixibat with placebo (PEDFIC 1), a single arm “extension” study (PEDFIC 2) and the results of </w:t>
      </w:r>
      <w:r w:rsidRPr="00330733">
        <w:t>an unanchored indirect treatment comparison (ITC</w:t>
      </w:r>
      <w:r>
        <w:t xml:space="preserve">; </w:t>
      </w:r>
      <w:r w:rsidRPr="00330733">
        <w:t>OvEC). The OvEC study compared odevixibat (patients from PEDFIC 1 and PEDFIC 2) to external controls (patients from a natural history study of PFIC (NAPPED)).</w:t>
      </w:r>
    </w:p>
    <w:p w14:paraId="66FAD8D6" w14:textId="0855ACCD" w:rsidR="0082440D" w:rsidRDefault="007729F4" w:rsidP="000D2D4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u</w:t>
      </w:r>
      <w:r w:rsidR="00A4337E">
        <w:rPr>
          <w:rFonts w:asciiTheme="minorHAnsi" w:hAnsiTheme="minorHAnsi"/>
          <w:snapToGrid w:val="0"/>
          <w:lang w:val="en-GB"/>
        </w:rPr>
        <w:t xml:space="preserve">pdated </w:t>
      </w:r>
      <w:r w:rsidR="004C04A8">
        <w:rPr>
          <w:rFonts w:asciiTheme="minorHAnsi" w:hAnsiTheme="minorHAnsi"/>
          <w:snapToGrid w:val="0"/>
          <w:lang w:val="en-GB"/>
        </w:rPr>
        <w:t xml:space="preserve">data from the PEDFIC 2 study </w:t>
      </w:r>
      <w:r w:rsidR="00C57E8C">
        <w:rPr>
          <w:rFonts w:asciiTheme="minorHAnsi" w:hAnsiTheme="minorHAnsi"/>
          <w:snapToGrid w:val="0"/>
          <w:lang w:val="en-GB"/>
        </w:rPr>
        <w:t>(a single arm study</w:t>
      </w:r>
      <w:r w:rsidR="00761976">
        <w:rPr>
          <w:rFonts w:asciiTheme="minorHAnsi" w:hAnsiTheme="minorHAnsi"/>
          <w:snapToGrid w:val="0"/>
          <w:lang w:val="en-GB"/>
        </w:rPr>
        <w:t xml:space="preserve"> in which all patients received 120</w:t>
      </w:r>
      <w:r w:rsidR="0017081E">
        <w:rPr>
          <w:rFonts w:asciiTheme="minorHAnsi" w:hAnsiTheme="minorHAnsi"/>
          <w:snapToGrid w:val="0"/>
          <w:lang w:val="en-GB"/>
        </w:rPr>
        <w:t> mcg</w:t>
      </w:r>
      <w:r w:rsidR="00761976">
        <w:rPr>
          <w:rFonts w:asciiTheme="minorHAnsi" w:hAnsiTheme="minorHAnsi"/>
          <w:snapToGrid w:val="0"/>
          <w:lang w:val="en-GB"/>
        </w:rPr>
        <w:t>/kg/day</w:t>
      </w:r>
      <w:r w:rsidR="00C57E8C">
        <w:rPr>
          <w:rFonts w:asciiTheme="minorHAnsi" w:hAnsiTheme="minorHAnsi"/>
          <w:snapToGrid w:val="0"/>
          <w:lang w:val="en-GB"/>
        </w:rPr>
        <w:t xml:space="preserve">) </w:t>
      </w:r>
      <w:r w:rsidR="004C04A8">
        <w:rPr>
          <w:rFonts w:asciiTheme="minorHAnsi" w:hAnsiTheme="minorHAnsi"/>
          <w:snapToGrid w:val="0"/>
          <w:lang w:val="en-GB"/>
        </w:rPr>
        <w:t>were presented</w:t>
      </w:r>
      <w:r w:rsidR="00747B15">
        <w:rPr>
          <w:rFonts w:asciiTheme="minorHAnsi" w:hAnsiTheme="minorHAnsi"/>
          <w:snapToGrid w:val="0"/>
          <w:lang w:val="en-GB"/>
        </w:rPr>
        <w:t>.</w:t>
      </w:r>
      <w:r w:rsidR="00761976">
        <w:rPr>
          <w:rFonts w:asciiTheme="minorHAnsi" w:hAnsiTheme="minorHAnsi"/>
          <w:snapToGrid w:val="0"/>
          <w:lang w:val="en-GB"/>
        </w:rPr>
        <w:t xml:space="preserve"> The PBAC noted that the updated data </w:t>
      </w:r>
      <w:r w:rsidR="006E0D0E">
        <w:rPr>
          <w:rFonts w:asciiTheme="minorHAnsi" w:hAnsiTheme="minorHAnsi"/>
          <w:snapToGrid w:val="0"/>
          <w:lang w:val="en-GB"/>
        </w:rPr>
        <w:t>aligned with th</w:t>
      </w:r>
      <w:r w:rsidR="00530551">
        <w:rPr>
          <w:rFonts w:asciiTheme="minorHAnsi" w:hAnsiTheme="minorHAnsi"/>
          <w:snapToGrid w:val="0"/>
          <w:lang w:val="en-GB"/>
        </w:rPr>
        <w:t>ose</w:t>
      </w:r>
      <w:r w:rsidR="006E0D0E">
        <w:rPr>
          <w:rFonts w:asciiTheme="minorHAnsi" w:hAnsiTheme="minorHAnsi"/>
          <w:snapToGrid w:val="0"/>
          <w:lang w:val="en-GB"/>
        </w:rPr>
        <w:t xml:space="preserve"> previously presented.</w:t>
      </w:r>
    </w:p>
    <w:p w14:paraId="0DA0BBCC" w14:textId="77777777" w:rsidR="00DA2C32" w:rsidRDefault="00326A4A" w:rsidP="00DA2C32">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rPr>
        <w:t>The PBAC recalled that it had previously considered that</w:t>
      </w:r>
      <w:r w:rsidR="00DA2C32">
        <w:rPr>
          <w:rFonts w:asciiTheme="minorHAnsi" w:hAnsiTheme="minorHAnsi"/>
          <w:snapToGrid w:val="0"/>
          <w:lang w:val="en-GB"/>
        </w:rPr>
        <w:t>:</w:t>
      </w:r>
      <w:r>
        <w:rPr>
          <w:rFonts w:asciiTheme="minorHAnsi" w:hAnsiTheme="minorHAnsi"/>
          <w:snapToGrid w:val="0"/>
          <w:lang w:val="en-GB"/>
        </w:rPr>
        <w:t xml:space="preserve"> </w:t>
      </w:r>
    </w:p>
    <w:p w14:paraId="73B226F0" w14:textId="70F6CC01" w:rsidR="00ED470D" w:rsidRDefault="00ED470D" w:rsidP="005F5BBA">
      <w:pPr>
        <w:widowControl w:val="0"/>
        <w:numPr>
          <w:ilvl w:val="1"/>
          <w:numId w:val="44"/>
        </w:numPr>
        <w:spacing w:after="120"/>
        <w:ind w:left="1080"/>
        <w:rPr>
          <w:rFonts w:asciiTheme="minorHAnsi" w:hAnsiTheme="minorHAnsi"/>
          <w:snapToGrid w:val="0"/>
          <w:lang w:val="en-GB" w:eastAsia="en-US"/>
        </w:rPr>
      </w:pPr>
      <w:r>
        <w:rPr>
          <w:rFonts w:asciiTheme="minorHAnsi" w:hAnsiTheme="minorHAnsi"/>
          <w:snapToGrid w:val="0"/>
          <w:lang w:val="en-GB" w:eastAsia="en-US"/>
        </w:rPr>
        <w:t xml:space="preserve">odevixibat was superior in terms of effectiveness compared to placebo for patients with PFIC1 and PFIC2 (based on the results from PEDFIC 1) but noted that the patient numbers were small, and the trial was of a short duration (it only provided 24 weeks of comparative data). </w:t>
      </w:r>
    </w:p>
    <w:p w14:paraId="656B51D7" w14:textId="4281F899" w:rsidR="00DA2C32" w:rsidRDefault="00DA2C32" w:rsidP="005F5BBA">
      <w:pPr>
        <w:widowControl w:val="0"/>
        <w:numPr>
          <w:ilvl w:val="1"/>
          <w:numId w:val="44"/>
        </w:numPr>
        <w:spacing w:after="120"/>
        <w:ind w:left="1080"/>
        <w:rPr>
          <w:rFonts w:asciiTheme="minorHAnsi" w:hAnsiTheme="minorHAnsi"/>
          <w:snapToGrid w:val="0"/>
          <w:lang w:val="en-GB" w:eastAsia="en-US"/>
        </w:rPr>
      </w:pPr>
      <w:r>
        <w:rPr>
          <w:rFonts w:asciiTheme="minorHAnsi" w:hAnsiTheme="minorHAnsi"/>
          <w:snapToGrid w:val="0"/>
          <w:lang w:val="en-GB" w:eastAsia="en-US"/>
        </w:rPr>
        <w:t xml:space="preserve">the </w:t>
      </w:r>
      <w:bookmarkStart w:id="126" w:name="_Hlk172124283"/>
      <w:r>
        <w:rPr>
          <w:rFonts w:asciiTheme="minorHAnsi" w:hAnsiTheme="minorHAnsi"/>
          <w:snapToGrid w:val="0"/>
          <w:lang w:val="en-GB" w:eastAsia="en-US"/>
        </w:rPr>
        <w:t xml:space="preserve">claim of superior effectiveness against </w:t>
      </w:r>
      <w:r w:rsidR="005F5BBA">
        <w:rPr>
          <w:rFonts w:asciiTheme="minorHAnsi" w:hAnsiTheme="minorHAnsi"/>
          <w:snapToGrid w:val="0"/>
          <w:lang w:val="en-GB" w:eastAsia="en-US"/>
        </w:rPr>
        <w:t>standard of care (</w:t>
      </w:r>
      <w:r w:rsidR="004A5F38">
        <w:rPr>
          <w:rFonts w:asciiTheme="minorHAnsi" w:hAnsiTheme="minorHAnsi"/>
          <w:snapToGrid w:val="0"/>
          <w:lang w:val="en-GB" w:eastAsia="en-US"/>
        </w:rPr>
        <w:t>SoC</w:t>
      </w:r>
      <w:r w:rsidR="005F5BBA">
        <w:rPr>
          <w:rFonts w:asciiTheme="minorHAnsi" w:hAnsiTheme="minorHAnsi"/>
          <w:snapToGrid w:val="0"/>
          <w:lang w:val="en-GB" w:eastAsia="en-US"/>
        </w:rPr>
        <w:t>)</w:t>
      </w:r>
      <w:r>
        <w:rPr>
          <w:rFonts w:asciiTheme="minorHAnsi" w:hAnsiTheme="minorHAnsi"/>
          <w:snapToGrid w:val="0"/>
          <w:lang w:val="en-GB" w:eastAsia="en-US"/>
        </w:rPr>
        <w:t xml:space="preserve"> was uncertain, but possibly supported based on the results from OvEC Part B. The magnitude of benefit versus </w:t>
      </w:r>
      <w:r w:rsidR="004A5F38">
        <w:rPr>
          <w:rFonts w:asciiTheme="minorHAnsi" w:hAnsiTheme="minorHAnsi"/>
          <w:snapToGrid w:val="0"/>
          <w:lang w:val="en-GB" w:eastAsia="en-US"/>
        </w:rPr>
        <w:t xml:space="preserve">SoC </w:t>
      </w:r>
      <w:r>
        <w:rPr>
          <w:rFonts w:asciiTheme="minorHAnsi" w:hAnsiTheme="minorHAnsi"/>
          <w:snapToGrid w:val="0"/>
          <w:lang w:val="en-GB" w:eastAsia="en-US"/>
        </w:rPr>
        <w:t xml:space="preserve">was highly uncertain given the small patient numbers, limited comparative data, and likely transitivity issues. </w:t>
      </w:r>
      <w:bookmarkEnd w:id="126"/>
    </w:p>
    <w:p w14:paraId="3B30C48E" w14:textId="2CCB5745" w:rsidR="00E900A4" w:rsidRPr="00E900A4" w:rsidRDefault="00DA2C32" w:rsidP="00E900A4">
      <w:pPr>
        <w:widowControl w:val="0"/>
        <w:numPr>
          <w:ilvl w:val="1"/>
          <w:numId w:val="44"/>
        </w:numPr>
        <w:spacing w:after="120"/>
        <w:ind w:left="1080"/>
        <w:rPr>
          <w:rFonts w:asciiTheme="minorHAnsi" w:hAnsiTheme="minorHAnsi"/>
          <w:snapToGrid w:val="0"/>
          <w:lang w:val="en-GB" w:eastAsia="en-US"/>
        </w:rPr>
      </w:pPr>
      <w:r>
        <w:rPr>
          <w:rFonts w:asciiTheme="minorHAnsi" w:hAnsiTheme="minorHAnsi"/>
          <w:snapToGrid w:val="0"/>
          <w:lang w:val="en-GB" w:eastAsia="en-US"/>
        </w:rPr>
        <w:t xml:space="preserve">the clinical claim that odevixibat is non-inferior in terms of safety to </w:t>
      </w:r>
      <w:r w:rsidR="004A5F38">
        <w:rPr>
          <w:rFonts w:asciiTheme="minorHAnsi" w:hAnsiTheme="minorHAnsi"/>
          <w:snapToGrid w:val="0"/>
          <w:lang w:val="en-GB" w:eastAsia="en-US"/>
        </w:rPr>
        <w:t xml:space="preserve">SoC </w:t>
      </w:r>
      <w:r>
        <w:rPr>
          <w:rFonts w:asciiTheme="minorHAnsi" w:hAnsiTheme="minorHAnsi"/>
          <w:snapToGrid w:val="0"/>
          <w:lang w:val="en-GB" w:eastAsia="en-US"/>
        </w:rPr>
        <w:t xml:space="preserve">to be inadequately supported, given the lack of comparative data. </w:t>
      </w:r>
    </w:p>
    <w:p w14:paraId="674BED0F" w14:textId="2F613864" w:rsidR="00C37FE4" w:rsidRDefault="00C37FE4" w:rsidP="000E1BF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9237E2">
        <w:rPr>
          <w:rFonts w:asciiTheme="minorHAnsi" w:hAnsiTheme="minorHAnsi"/>
          <w:snapToGrid w:val="0"/>
          <w:lang w:val="en-GB"/>
        </w:rPr>
        <w:t xml:space="preserve">noted that no clinical evidence was provided for patients diagnosed with PFIC as </w:t>
      </w:r>
      <w:r w:rsidR="006F7EA6">
        <w:rPr>
          <w:rFonts w:asciiTheme="minorHAnsi" w:hAnsiTheme="minorHAnsi"/>
          <w:snapToGrid w:val="0"/>
          <w:lang w:val="en-GB"/>
        </w:rPr>
        <w:t xml:space="preserve">an adult or for patients with episodic disease. Therefore, the PBAC was unable to </w:t>
      </w:r>
      <w:r w:rsidR="0081435A">
        <w:rPr>
          <w:rFonts w:asciiTheme="minorHAnsi" w:hAnsiTheme="minorHAnsi"/>
          <w:snapToGrid w:val="0"/>
          <w:lang w:val="en-GB"/>
        </w:rPr>
        <w:t>determine the effectiveness or safety of odevixibat in these patients.</w:t>
      </w:r>
    </w:p>
    <w:p w14:paraId="1662A0A5" w14:textId="33B6CF5C" w:rsidR="0060507D" w:rsidRDefault="00E62DF0" w:rsidP="000E1BF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w:t>
      </w:r>
      <w:r w:rsidR="00167E93">
        <w:rPr>
          <w:rFonts w:asciiTheme="minorHAnsi" w:hAnsiTheme="minorHAnsi"/>
          <w:snapToGrid w:val="0"/>
          <w:lang w:val="en-GB"/>
        </w:rPr>
        <w:t xml:space="preserve">resubmission presented a revised economic model that </w:t>
      </w:r>
      <w:r w:rsidR="0098434F">
        <w:rPr>
          <w:rFonts w:asciiTheme="minorHAnsi" w:hAnsiTheme="minorHAnsi"/>
          <w:snapToGrid w:val="0"/>
          <w:lang w:val="en-GB"/>
        </w:rPr>
        <w:t xml:space="preserve">partially addressed </w:t>
      </w:r>
      <w:r w:rsidR="0025710B">
        <w:rPr>
          <w:rFonts w:asciiTheme="minorHAnsi" w:hAnsiTheme="minorHAnsi"/>
          <w:snapToGrid w:val="0"/>
          <w:lang w:val="en-GB"/>
        </w:rPr>
        <w:t xml:space="preserve">the issues identified in </w:t>
      </w:r>
      <w:r w:rsidR="00167E93">
        <w:rPr>
          <w:rFonts w:asciiTheme="minorHAnsi" w:hAnsiTheme="minorHAnsi"/>
          <w:snapToGrid w:val="0"/>
          <w:lang w:val="en-GB"/>
        </w:rPr>
        <w:t>July 2024</w:t>
      </w:r>
      <w:r w:rsidR="0025710B">
        <w:rPr>
          <w:rFonts w:asciiTheme="minorHAnsi" w:hAnsiTheme="minorHAnsi"/>
          <w:snapToGrid w:val="0"/>
          <w:lang w:val="en-GB"/>
        </w:rPr>
        <w:t xml:space="preserve"> (see </w:t>
      </w:r>
      <w:r w:rsidR="0025710B">
        <w:rPr>
          <w:rFonts w:asciiTheme="minorHAnsi" w:hAnsiTheme="minorHAnsi"/>
          <w:snapToGrid w:val="0"/>
          <w:lang w:val="en-GB"/>
        </w:rPr>
        <w:fldChar w:fldCharType="begin" w:fldLock="1"/>
      </w:r>
      <w:r w:rsidR="0025710B">
        <w:rPr>
          <w:rFonts w:asciiTheme="minorHAnsi" w:hAnsiTheme="minorHAnsi"/>
          <w:snapToGrid w:val="0"/>
          <w:lang w:val="en-GB"/>
        </w:rPr>
        <w:instrText xml:space="preserve"> REF _Ref184824272 \h </w:instrText>
      </w:r>
      <w:r w:rsidR="0025710B">
        <w:rPr>
          <w:rFonts w:asciiTheme="minorHAnsi" w:hAnsiTheme="minorHAnsi"/>
          <w:snapToGrid w:val="0"/>
          <w:lang w:val="en-GB"/>
        </w:rPr>
      </w:r>
      <w:r w:rsidR="0025710B">
        <w:rPr>
          <w:rFonts w:asciiTheme="minorHAnsi" w:hAnsiTheme="minorHAnsi"/>
          <w:snapToGrid w:val="0"/>
          <w:lang w:val="en-GB"/>
        </w:rPr>
        <w:fldChar w:fldCharType="separate"/>
      </w:r>
      <w:r w:rsidR="0025710B" w:rsidRPr="0098262F">
        <w:t xml:space="preserve">Table </w:t>
      </w:r>
      <w:r w:rsidR="0025710B">
        <w:rPr>
          <w:noProof/>
        </w:rPr>
        <w:t>2</w:t>
      </w:r>
      <w:r w:rsidR="0025710B">
        <w:rPr>
          <w:rFonts w:asciiTheme="minorHAnsi" w:hAnsiTheme="minorHAnsi"/>
          <w:snapToGrid w:val="0"/>
          <w:lang w:val="en-GB"/>
        </w:rPr>
        <w:fldChar w:fldCharType="end"/>
      </w:r>
      <w:r w:rsidR="0025710B">
        <w:rPr>
          <w:rFonts w:asciiTheme="minorHAnsi" w:hAnsiTheme="minorHAnsi"/>
          <w:snapToGrid w:val="0"/>
          <w:lang w:val="en-GB"/>
        </w:rPr>
        <w:t>)</w:t>
      </w:r>
      <w:r w:rsidR="00167E93">
        <w:rPr>
          <w:rFonts w:asciiTheme="minorHAnsi" w:hAnsiTheme="minorHAnsi"/>
          <w:snapToGrid w:val="0"/>
          <w:lang w:val="en-GB"/>
        </w:rPr>
        <w:t xml:space="preserve">. </w:t>
      </w:r>
      <w:r w:rsidR="00527727">
        <w:rPr>
          <w:rFonts w:asciiTheme="minorHAnsi" w:hAnsiTheme="minorHAnsi"/>
          <w:snapToGrid w:val="0"/>
          <w:lang w:val="en-GB"/>
        </w:rPr>
        <w:t xml:space="preserve">The PBAC recalled that it had previously considered that the economic model was biased in favour of odevixibat and that odevixibat would not be cost effective without revisions to the economic model and a significant price reduction. </w:t>
      </w:r>
      <w:r w:rsidR="00135E09" w:rsidRPr="00A0397B">
        <w:rPr>
          <w:rFonts w:asciiTheme="minorHAnsi" w:hAnsiTheme="minorHAnsi"/>
          <w:snapToGrid w:val="0"/>
          <w:lang w:val="en-GB"/>
        </w:rPr>
        <w:t>The PBAC</w:t>
      </w:r>
      <w:r w:rsidR="005A640A" w:rsidRPr="00A0397B">
        <w:rPr>
          <w:rFonts w:asciiTheme="minorHAnsi" w:hAnsiTheme="minorHAnsi"/>
          <w:snapToGrid w:val="0"/>
          <w:lang w:val="en-GB"/>
        </w:rPr>
        <w:t xml:space="preserve"> noted that the revised economic model </w:t>
      </w:r>
      <w:r w:rsidR="00C21282" w:rsidRPr="00A0397B">
        <w:rPr>
          <w:rFonts w:asciiTheme="minorHAnsi" w:hAnsiTheme="minorHAnsi"/>
          <w:snapToGrid w:val="0"/>
          <w:lang w:val="en-GB"/>
        </w:rPr>
        <w:t xml:space="preserve">presented in the resubmission resulted in an </w:t>
      </w:r>
      <w:r w:rsidR="00E851C3">
        <w:rPr>
          <w:rFonts w:asciiTheme="minorHAnsi" w:hAnsiTheme="minorHAnsi"/>
          <w:snapToGrid w:val="0"/>
          <w:lang w:val="en-GB"/>
        </w:rPr>
        <w:t>ICER</w:t>
      </w:r>
      <w:r w:rsidR="00C21282" w:rsidRPr="00A0397B">
        <w:rPr>
          <w:rFonts w:asciiTheme="minorHAnsi" w:hAnsiTheme="minorHAnsi"/>
          <w:snapToGrid w:val="0"/>
          <w:lang w:val="en-GB"/>
        </w:rPr>
        <w:t xml:space="preserve"> </w:t>
      </w:r>
      <w:r w:rsidR="00AB5A84" w:rsidRPr="00A0397B">
        <w:rPr>
          <w:rFonts w:asciiTheme="minorHAnsi" w:hAnsiTheme="minorHAnsi"/>
          <w:snapToGrid w:val="0"/>
          <w:lang w:val="en-GB"/>
        </w:rPr>
        <w:t>of $</w:t>
      </w:r>
      <w:r w:rsidR="00CE00F4" w:rsidRPr="00CE00F4">
        <w:rPr>
          <w:rFonts w:asciiTheme="minorHAnsi" w:hAnsiTheme="minorHAnsi"/>
          <w:snapToGrid w:val="0"/>
          <w:lang w:val="en-GB"/>
        </w:rPr>
        <w:t>355,000</w:t>
      </w:r>
      <w:r w:rsidR="00F828E2">
        <w:rPr>
          <w:rFonts w:asciiTheme="minorHAnsi" w:hAnsiTheme="minorHAnsi"/>
          <w:snapToGrid w:val="0"/>
          <w:lang w:val="en-GB"/>
        </w:rPr>
        <w:t> </w:t>
      </w:r>
      <w:r w:rsidR="00CE00F4" w:rsidRPr="00CE00F4">
        <w:rPr>
          <w:rFonts w:asciiTheme="minorHAnsi" w:hAnsiTheme="minorHAnsi"/>
          <w:snapToGrid w:val="0"/>
          <w:lang w:val="en-GB"/>
        </w:rPr>
        <w:t>to &lt;</w:t>
      </w:r>
      <w:r w:rsidR="00F828E2">
        <w:rPr>
          <w:rFonts w:asciiTheme="minorHAnsi" w:hAnsiTheme="minorHAnsi"/>
          <w:snapToGrid w:val="0"/>
          <w:lang w:val="en-GB"/>
        </w:rPr>
        <w:t> </w:t>
      </w:r>
      <w:r w:rsidR="00CE00F4" w:rsidRPr="00CE00F4">
        <w:rPr>
          <w:rFonts w:asciiTheme="minorHAnsi" w:hAnsiTheme="minorHAnsi"/>
          <w:snapToGrid w:val="0"/>
          <w:lang w:val="en-GB"/>
        </w:rPr>
        <w:t>$455,000</w:t>
      </w:r>
      <w:r w:rsidR="00F828E2">
        <w:rPr>
          <w:rFonts w:asciiTheme="minorHAnsi" w:hAnsiTheme="minorHAnsi"/>
          <w:snapToGrid w:val="0"/>
          <w:lang w:val="en-GB"/>
        </w:rPr>
        <w:t xml:space="preserve"> </w:t>
      </w:r>
      <w:r w:rsidR="00AB5A84" w:rsidRPr="00A0397B">
        <w:rPr>
          <w:rFonts w:asciiTheme="minorHAnsi" w:hAnsiTheme="minorHAnsi"/>
          <w:snapToGrid w:val="0"/>
          <w:lang w:val="en-GB"/>
        </w:rPr>
        <w:t xml:space="preserve">per quality adjusted life year (QALY). </w:t>
      </w:r>
      <w:r w:rsidR="00F44E95" w:rsidRPr="00A65BE6">
        <w:rPr>
          <w:rFonts w:asciiTheme="minorHAnsi" w:hAnsiTheme="minorHAnsi"/>
          <w:snapToGrid w:val="0"/>
          <w:lang w:val="en-GB"/>
        </w:rPr>
        <w:t>However, t</w:t>
      </w:r>
      <w:r w:rsidR="00B4002C" w:rsidRPr="00A65BE6">
        <w:rPr>
          <w:rFonts w:asciiTheme="minorHAnsi" w:hAnsiTheme="minorHAnsi"/>
          <w:snapToGrid w:val="0"/>
          <w:lang w:val="en-GB"/>
        </w:rPr>
        <w:t xml:space="preserve">he </w:t>
      </w:r>
      <w:r w:rsidR="00083AEC" w:rsidRPr="00A65BE6">
        <w:rPr>
          <w:rFonts w:asciiTheme="minorHAnsi" w:hAnsiTheme="minorHAnsi"/>
          <w:snapToGrid w:val="0"/>
          <w:lang w:val="en-GB"/>
        </w:rPr>
        <w:t>PBAC</w:t>
      </w:r>
      <w:r w:rsidR="00B4002C" w:rsidRPr="00A65BE6">
        <w:rPr>
          <w:rFonts w:asciiTheme="minorHAnsi" w:hAnsiTheme="minorHAnsi"/>
          <w:snapToGrid w:val="0"/>
          <w:lang w:val="en-GB"/>
        </w:rPr>
        <w:t xml:space="preserve"> noted that </w:t>
      </w:r>
      <w:r w:rsidR="00F232C9" w:rsidRPr="00A65BE6">
        <w:rPr>
          <w:rFonts w:asciiTheme="minorHAnsi" w:hAnsiTheme="minorHAnsi"/>
          <w:snapToGrid w:val="0"/>
          <w:lang w:val="en-GB"/>
        </w:rPr>
        <w:t>only the 40</w:t>
      </w:r>
      <w:r w:rsidR="0017081E">
        <w:rPr>
          <w:rFonts w:asciiTheme="minorHAnsi" w:hAnsiTheme="minorHAnsi"/>
          <w:snapToGrid w:val="0"/>
          <w:lang w:val="en-GB"/>
        </w:rPr>
        <w:t> mcg</w:t>
      </w:r>
      <w:r w:rsidR="00F232C9" w:rsidRPr="00A65BE6">
        <w:rPr>
          <w:rFonts w:asciiTheme="minorHAnsi" w:hAnsiTheme="minorHAnsi"/>
          <w:snapToGrid w:val="0"/>
          <w:lang w:val="en-GB"/>
        </w:rPr>
        <w:t xml:space="preserve">/kg/day dose was captured in the </w:t>
      </w:r>
      <w:r w:rsidR="00591143" w:rsidRPr="00A65BE6">
        <w:rPr>
          <w:rFonts w:asciiTheme="minorHAnsi" w:hAnsiTheme="minorHAnsi"/>
          <w:snapToGrid w:val="0"/>
          <w:lang w:val="en-GB"/>
        </w:rPr>
        <w:t xml:space="preserve">base case ICER, and if </w:t>
      </w:r>
      <w:r w:rsidR="00F55228" w:rsidRPr="00A65BE6">
        <w:rPr>
          <w:rFonts w:asciiTheme="minorHAnsi" w:hAnsiTheme="minorHAnsi"/>
          <w:snapToGrid w:val="0"/>
          <w:lang w:val="en-GB"/>
        </w:rPr>
        <w:t>the cost and response of the 120</w:t>
      </w:r>
      <w:r w:rsidR="0017081E">
        <w:rPr>
          <w:rFonts w:asciiTheme="minorHAnsi" w:hAnsiTheme="minorHAnsi"/>
          <w:snapToGrid w:val="0"/>
          <w:lang w:val="en-GB"/>
        </w:rPr>
        <w:t> mcg</w:t>
      </w:r>
      <w:r w:rsidR="00F55228" w:rsidRPr="00A65BE6">
        <w:rPr>
          <w:rFonts w:asciiTheme="minorHAnsi" w:hAnsiTheme="minorHAnsi"/>
          <w:snapToGrid w:val="0"/>
          <w:lang w:val="en-GB"/>
        </w:rPr>
        <w:t>/kg/day dose was included, the ICER increased to $</w:t>
      </w:r>
      <w:r w:rsidR="00BC2F60" w:rsidRPr="00BC2F60">
        <w:rPr>
          <w:rFonts w:asciiTheme="minorHAnsi" w:hAnsiTheme="minorHAnsi"/>
          <w:snapToGrid w:val="0"/>
          <w:lang w:val="en-GB"/>
        </w:rPr>
        <w:t>655,000 to &lt; $755,000</w:t>
      </w:r>
      <w:r w:rsidR="00F828E2">
        <w:rPr>
          <w:rFonts w:asciiTheme="minorHAnsi" w:hAnsiTheme="minorHAnsi"/>
          <w:snapToGrid w:val="0"/>
          <w:lang w:val="en-GB"/>
        </w:rPr>
        <w:t xml:space="preserve"> </w:t>
      </w:r>
      <w:r w:rsidR="00F55228" w:rsidRPr="00A65BE6">
        <w:rPr>
          <w:rFonts w:asciiTheme="minorHAnsi" w:hAnsiTheme="minorHAnsi"/>
          <w:snapToGrid w:val="0"/>
          <w:lang w:val="en-GB"/>
        </w:rPr>
        <w:t>per QALY</w:t>
      </w:r>
      <w:r w:rsidR="00083AEC" w:rsidRPr="00A65BE6">
        <w:rPr>
          <w:rFonts w:asciiTheme="minorHAnsi" w:hAnsiTheme="minorHAnsi"/>
          <w:snapToGrid w:val="0"/>
          <w:lang w:val="en-GB"/>
        </w:rPr>
        <w:t>.</w:t>
      </w:r>
    </w:p>
    <w:p w14:paraId="2DAA3158" w14:textId="5F3AE7EC" w:rsidR="00D47403" w:rsidRDefault="009238A1" w:rsidP="000E1BFF">
      <w:pPr>
        <w:widowControl w:val="0"/>
        <w:numPr>
          <w:ilvl w:val="1"/>
          <w:numId w:val="1"/>
        </w:numPr>
        <w:spacing w:after="120"/>
        <w:rPr>
          <w:rFonts w:asciiTheme="minorHAnsi" w:hAnsiTheme="minorHAnsi"/>
          <w:snapToGrid w:val="0"/>
          <w:lang w:val="en-GB"/>
        </w:rPr>
      </w:pPr>
      <w:r w:rsidRPr="00D47403">
        <w:rPr>
          <w:rFonts w:asciiTheme="minorHAnsi" w:hAnsiTheme="minorHAnsi"/>
          <w:snapToGrid w:val="0"/>
          <w:lang w:val="en-GB"/>
        </w:rPr>
        <w:t>T</w:t>
      </w:r>
      <w:r w:rsidR="00AB5A84" w:rsidRPr="00D47403">
        <w:rPr>
          <w:rFonts w:asciiTheme="minorHAnsi" w:hAnsiTheme="minorHAnsi"/>
          <w:snapToGrid w:val="0"/>
          <w:lang w:val="en-GB"/>
        </w:rPr>
        <w:t xml:space="preserve">he PBAC </w:t>
      </w:r>
      <w:r w:rsidR="005F61A3" w:rsidRPr="00D47403">
        <w:rPr>
          <w:rFonts w:asciiTheme="minorHAnsi" w:hAnsiTheme="minorHAnsi"/>
          <w:snapToGrid w:val="0"/>
          <w:lang w:val="en-GB"/>
        </w:rPr>
        <w:t xml:space="preserve">noted that the </w:t>
      </w:r>
      <w:r w:rsidR="005969D4" w:rsidRPr="00D47403">
        <w:rPr>
          <w:rFonts w:asciiTheme="minorHAnsi" w:hAnsiTheme="minorHAnsi"/>
          <w:snapToGrid w:val="0"/>
          <w:lang w:val="en-GB"/>
        </w:rPr>
        <w:t xml:space="preserve">revised model </w:t>
      </w:r>
      <w:r w:rsidR="005F61A3" w:rsidRPr="00D47403">
        <w:rPr>
          <w:rFonts w:asciiTheme="minorHAnsi" w:hAnsiTheme="minorHAnsi"/>
          <w:snapToGrid w:val="0"/>
          <w:lang w:val="en-GB"/>
        </w:rPr>
        <w:t xml:space="preserve">was </w:t>
      </w:r>
      <w:r w:rsidR="0077426C" w:rsidRPr="00D47403">
        <w:rPr>
          <w:rFonts w:asciiTheme="minorHAnsi" w:hAnsiTheme="minorHAnsi"/>
          <w:snapToGrid w:val="0"/>
          <w:lang w:val="en-GB"/>
        </w:rPr>
        <w:t>sensitive</w:t>
      </w:r>
      <w:r w:rsidR="005F61A3" w:rsidRPr="00D47403">
        <w:rPr>
          <w:rFonts w:asciiTheme="minorHAnsi" w:hAnsiTheme="minorHAnsi"/>
          <w:snapToGrid w:val="0"/>
          <w:lang w:val="en-GB"/>
        </w:rPr>
        <w:t xml:space="preserve"> to the response and </w:t>
      </w:r>
      <w:r w:rsidR="005A7C6A" w:rsidRPr="00D47403">
        <w:rPr>
          <w:rFonts w:asciiTheme="minorHAnsi" w:hAnsiTheme="minorHAnsi"/>
          <w:snapToGrid w:val="0"/>
          <w:lang w:val="en-GB"/>
        </w:rPr>
        <w:t xml:space="preserve">loss of </w:t>
      </w:r>
      <w:r w:rsidR="005A7C6A" w:rsidRPr="00D47403">
        <w:rPr>
          <w:rFonts w:asciiTheme="minorHAnsi" w:hAnsiTheme="minorHAnsi"/>
          <w:snapToGrid w:val="0"/>
          <w:lang w:val="en-GB"/>
        </w:rPr>
        <w:lastRenderedPageBreak/>
        <w:t>response</w:t>
      </w:r>
      <w:r w:rsidR="005F61A3" w:rsidRPr="00D47403">
        <w:rPr>
          <w:rFonts w:asciiTheme="minorHAnsi" w:hAnsiTheme="minorHAnsi"/>
          <w:snapToGrid w:val="0"/>
          <w:lang w:val="en-GB"/>
        </w:rPr>
        <w:t xml:space="preserve"> rates </w:t>
      </w:r>
      <w:r w:rsidR="006D76D1" w:rsidRPr="00D47403">
        <w:rPr>
          <w:rFonts w:asciiTheme="minorHAnsi" w:hAnsiTheme="minorHAnsi"/>
          <w:snapToGrid w:val="0"/>
          <w:lang w:val="en-GB"/>
        </w:rPr>
        <w:t>applied</w:t>
      </w:r>
      <w:r w:rsidR="00226C32">
        <w:rPr>
          <w:rFonts w:asciiTheme="minorHAnsi" w:hAnsiTheme="minorHAnsi"/>
          <w:snapToGrid w:val="0"/>
          <w:lang w:val="en-GB"/>
        </w:rPr>
        <w:t>. The PBAC noted that</w:t>
      </w:r>
      <w:r w:rsidR="00B14A1E" w:rsidRPr="00D47403">
        <w:rPr>
          <w:rFonts w:asciiTheme="minorHAnsi" w:hAnsiTheme="minorHAnsi"/>
          <w:snapToGrid w:val="0"/>
          <w:lang w:val="en-GB"/>
        </w:rPr>
        <w:t>,</w:t>
      </w:r>
      <w:r w:rsidR="007E2459" w:rsidRPr="00D47403">
        <w:rPr>
          <w:rFonts w:asciiTheme="minorHAnsi" w:hAnsiTheme="minorHAnsi"/>
          <w:snapToGrid w:val="0"/>
          <w:lang w:val="en-GB"/>
        </w:rPr>
        <w:t xml:space="preserve"> </w:t>
      </w:r>
      <w:r w:rsidR="009E7FD2" w:rsidRPr="00D47403">
        <w:rPr>
          <w:rFonts w:asciiTheme="minorHAnsi" w:hAnsiTheme="minorHAnsi"/>
          <w:snapToGrid w:val="0"/>
          <w:lang w:val="en-GB"/>
        </w:rPr>
        <w:t>if response was increased</w:t>
      </w:r>
      <w:r w:rsidR="00462A2C" w:rsidRPr="00D47403">
        <w:rPr>
          <w:rFonts w:asciiTheme="minorHAnsi" w:hAnsiTheme="minorHAnsi"/>
          <w:snapToGrid w:val="0"/>
          <w:lang w:val="en-GB"/>
        </w:rPr>
        <w:t xml:space="preserve">, the ICER </w:t>
      </w:r>
      <w:r w:rsidR="007E2459" w:rsidRPr="00D47403">
        <w:rPr>
          <w:rFonts w:asciiTheme="minorHAnsi" w:hAnsiTheme="minorHAnsi"/>
          <w:snapToGrid w:val="0"/>
          <w:lang w:val="en-GB"/>
        </w:rPr>
        <w:t>paradoxically increased</w:t>
      </w:r>
      <w:r w:rsidR="000957B6" w:rsidRPr="00D47403">
        <w:rPr>
          <w:rFonts w:asciiTheme="minorHAnsi" w:hAnsiTheme="minorHAnsi"/>
          <w:snapToGrid w:val="0"/>
          <w:lang w:val="en-GB"/>
        </w:rPr>
        <w:t>,</w:t>
      </w:r>
      <w:r w:rsidR="007E2459" w:rsidRPr="00D47403">
        <w:rPr>
          <w:rFonts w:asciiTheme="minorHAnsi" w:hAnsiTheme="minorHAnsi"/>
          <w:snapToGrid w:val="0"/>
          <w:lang w:val="en-GB"/>
        </w:rPr>
        <w:t xml:space="preserve"> </w:t>
      </w:r>
      <w:r w:rsidR="00226C32">
        <w:rPr>
          <w:rFonts w:asciiTheme="minorHAnsi" w:hAnsiTheme="minorHAnsi"/>
          <w:snapToGrid w:val="0"/>
          <w:lang w:val="en-GB"/>
        </w:rPr>
        <w:t>while</w:t>
      </w:r>
      <w:r w:rsidR="00226C32" w:rsidRPr="00D47403">
        <w:rPr>
          <w:rFonts w:asciiTheme="minorHAnsi" w:hAnsiTheme="minorHAnsi"/>
          <w:snapToGrid w:val="0"/>
          <w:lang w:val="en-GB"/>
        </w:rPr>
        <w:t xml:space="preserve"> </w:t>
      </w:r>
      <w:r w:rsidR="009D1FCA" w:rsidRPr="00D47403">
        <w:rPr>
          <w:rFonts w:asciiTheme="minorHAnsi" w:hAnsiTheme="minorHAnsi"/>
          <w:snapToGrid w:val="0"/>
          <w:lang w:val="en-GB"/>
        </w:rPr>
        <w:t>assuming a lower loss of response</w:t>
      </w:r>
      <w:r w:rsidR="00700831" w:rsidRPr="00D47403">
        <w:rPr>
          <w:rFonts w:asciiTheme="minorHAnsi" w:hAnsiTheme="minorHAnsi"/>
          <w:snapToGrid w:val="0"/>
          <w:lang w:val="en-GB"/>
        </w:rPr>
        <w:t>,</w:t>
      </w:r>
      <w:r w:rsidR="00A0397B" w:rsidRPr="00D47403">
        <w:rPr>
          <w:rFonts w:asciiTheme="minorHAnsi" w:hAnsiTheme="minorHAnsi"/>
          <w:snapToGrid w:val="0"/>
          <w:lang w:val="en-GB"/>
        </w:rPr>
        <w:t xml:space="preserve"> again paradoxically, increased the ICER. </w:t>
      </w:r>
      <w:r w:rsidRPr="00D47403">
        <w:rPr>
          <w:rFonts w:asciiTheme="minorHAnsi" w:hAnsiTheme="minorHAnsi"/>
          <w:snapToGrid w:val="0"/>
          <w:lang w:val="en-GB"/>
        </w:rPr>
        <w:t xml:space="preserve">The PBAC also noted that the model assumed an average duration of treatment of 3.39 years, which </w:t>
      </w:r>
      <w:r w:rsidR="00493533" w:rsidRPr="00D47403">
        <w:rPr>
          <w:rFonts w:asciiTheme="minorHAnsi" w:hAnsiTheme="minorHAnsi"/>
          <w:snapToGrid w:val="0"/>
          <w:lang w:val="en-GB"/>
        </w:rPr>
        <w:t xml:space="preserve">was likely underestimated and </w:t>
      </w:r>
      <w:r w:rsidR="00547BFD" w:rsidRPr="00D47403">
        <w:rPr>
          <w:rFonts w:asciiTheme="minorHAnsi" w:hAnsiTheme="minorHAnsi"/>
          <w:snapToGrid w:val="0"/>
          <w:lang w:val="en-GB"/>
        </w:rPr>
        <w:t xml:space="preserve">which </w:t>
      </w:r>
      <w:r w:rsidR="00493533" w:rsidRPr="00D47403">
        <w:rPr>
          <w:rFonts w:asciiTheme="minorHAnsi" w:hAnsiTheme="minorHAnsi"/>
          <w:snapToGrid w:val="0"/>
          <w:lang w:val="en-GB"/>
        </w:rPr>
        <w:t>favoured odevixibat.</w:t>
      </w:r>
      <w:r w:rsidR="00A0397B" w:rsidRPr="00D47403">
        <w:rPr>
          <w:rFonts w:asciiTheme="minorHAnsi" w:hAnsiTheme="minorHAnsi"/>
          <w:snapToGrid w:val="0"/>
          <w:lang w:val="en-GB"/>
        </w:rPr>
        <w:t xml:space="preserve"> The</w:t>
      </w:r>
      <w:r w:rsidR="002E302B" w:rsidRPr="00D47403">
        <w:rPr>
          <w:rFonts w:asciiTheme="minorHAnsi" w:hAnsiTheme="minorHAnsi"/>
          <w:snapToGrid w:val="0"/>
          <w:lang w:val="en-GB"/>
        </w:rPr>
        <w:t xml:space="preserve"> </w:t>
      </w:r>
      <w:r w:rsidR="00A0397B" w:rsidRPr="00D47403">
        <w:rPr>
          <w:rFonts w:asciiTheme="minorHAnsi" w:hAnsiTheme="minorHAnsi"/>
          <w:snapToGrid w:val="0"/>
          <w:lang w:val="en-GB"/>
        </w:rPr>
        <w:t xml:space="preserve">PBAC </w:t>
      </w:r>
      <w:r w:rsidR="009E6C09" w:rsidRPr="00D47403">
        <w:rPr>
          <w:rFonts w:asciiTheme="minorHAnsi" w:hAnsiTheme="minorHAnsi"/>
          <w:snapToGrid w:val="0"/>
          <w:lang w:val="en-GB"/>
        </w:rPr>
        <w:t xml:space="preserve">considered </w:t>
      </w:r>
      <w:r w:rsidR="00135E09" w:rsidRPr="00D47403">
        <w:rPr>
          <w:rFonts w:asciiTheme="minorHAnsi" w:hAnsiTheme="minorHAnsi"/>
          <w:snapToGrid w:val="0"/>
          <w:lang w:val="en-GB"/>
        </w:rPr>
        <w:t xml:space="preserve">that the </w:t>
      </w:r>
      <w:r w:rsidR="00A760E1" w:rsidRPr="00D47403">
        <w:rPr>
          <w:rFonts w:asciiTheme="minorHAnsi" w:hAnsiTheme="minorHAnsi"/>
          <w:snapToGrid w:val="0"/>
          <w:lang w:val="en-GB"/>
        </w:rPr>
        <w:t xml:space="preserve">base case </w:t>
      </w:r>
      <w:r w:rsidR="00135E09" w:rsidRPr="00D47403">
        <w:rPr>
          <w:rFonts w:asciiTheme="minorHAnsi" w:hAnsiTheme="minorHAnsi"/>
          <w:snapToGrid w:val="0"/>
          <w:lang w:val="en-GB"/>
        </w:rPr>
        <w:t xml:space="preserve">economic model presented in the resubmission </w:t>
      </w:r>
      <w:r w:rsidR="00792AFE" w:rsidRPr="00D47403">
        <w:rPr>
          <w:rFonts w:asciiTheme="minorHAnsi" w:hAnsiTheme="minorHAnsi"/>
          <w:snapToGrid w:val="0"/>
          <w:lang w:val="en-GB"/>
        </w:rPr>
        <w:t xml:space="preserve">could not be used to assess the </w:t>
      </w:r>
      <w:r w:rsidR="00665D6C" w:rsidRPr="00D47403">
        <w:rPr>
          <w:rFonts w:asciiTheme="minorHAnsi" w:hAnsiTheme="minorHAnsi"/>
          <w:snapToGrid w:val="0"/>
          <w:lang w:val="en-GB"/>
        </w:rPr>
        <w:t>cost-effectiveness of odevixi</w:t>
      </w:r>
      <w:r w:rsidR="0013241C" w:rsidRPr="00D47403">
        <w:rPr>
          <w:rFonts w:asciiTheme="minorHAnsi" w:hAnsiTheme="minorHAnsi"/>
          <w:snapToGrid w:val="0"/>
          <w:lang w:val="en-GB"/>
        </w:rPr>
        <w:t>ba</w:t>
      </w:r>
      <w:r w:rsidR="00F30A71" w:rsidRPr="00D47403">
        <w:rPr>
          <w:rFonts w:asciiTheme="minorHAnsi" w:hAnsiTheme="minorHAnsi"/>
          <w:snapToGrid w:val="0"/>
          <w:lang w:val="en-GB"/>
        </w:rPr>
        <w:t>t</w:t>
      </w:r>
      <w:r w:rsidR="008902F2" w:rsidRPr="00D47403">
        <w:rPr>
          <w:rFonts w:asciiTheme="minorHAnsi" w:hAnsiTheme="minorHAnsi"/>
          <w:snapToGrid w:val="0"/>
          <w:lang w:val="en-GB"/>
        </w:rPr>
        <w:t xml:space="preserve">. </w:t>
      </w:r>
      <w:r w:rsidR="00A96BFD" w:rsidRPr="00D47403">
        <w:rPr>
          <w:rFonts w:asciiTheme="minorHAnsi" w:hAnsiTheme="minorHAnsi"/>
          <w:snapToGrid w:val="0"/>
          <w:lang w:val="en-GB"/>
        </w:rPr>
        <w:t xml:space="preserve">Noting the available clinical evidence, which </w:t>
      </w:r>
      <w:r w:rsidR="005A1F02" w:rsidRPr="00D47403">
        <w:rPr>
          <w:rFonts w:asciiTheme="minorHAnsi" w:hAnsiTheme="minorHAnsi"/>
          <w:snapToGrid w:val="0"/>
          <w:lang w:val="en-GB"/>
        </w:rPr>
        <w:t xml:space="preserve">reflected the </w:t>
      </w:r>
      <w:r w:rsidR="00E762F9" w:rsidRPr="00D47403">
        <w:rPr>
          <w:rFonts w:asciiTheme="minorHAnsi" w:hAnsiTheme="minorHAnsi"/>
          <w:snapToGrid w:val="0"/>
          <w:lang w:val="en-GB"/>
        </w:rPr>
        <w:t>rarity of the disease,</w:t>
      </w:r>
      <w:r w:rsidR="000F7363" w:rsidRPr="00D47403">
        <w:rPr>
          <w:rFonts w:asciiTheme="minorHAnsi" w:hAnsiTheme="minorHAnsi"/>
          <w:snapToGrid w:val="0"/>
          <w:lang w:val="en-GB"/>
        </w:rPr>
        <w:t xml:space="preserve"> </w:t>
      </w:r>
      <w:r w:rsidR="00E762F9" w:rsidRPr="00D47403">
        <w:rPr>
          <w:rFonts w:asciiTheme="minorHAnsi" w:hAnsiTheme="minorHAnsi"/>
          <w:snapToGrid w:val="0"/>
          <w:lang w:val="en-GB"/>
        </w:rPr>
        <w:t>t</w:t>
      </w:r>
      <w:r w:rsidR="000F7363" w:rsidRPr="00D47403">
        <w:rPr>
          <w:rFonts w:asciiTheme="minorHAnsi" w:hAnsiTheme="minorHAnsi"/>
          <w:snapToGrid w:val="0"/>
          <w:lang w:val="en-GB"/>
        </w:rPr>
        <w:t xml:space="preserve">he PBAC considered that the uncertainty </w:t>
      </w:r>
      <w:r w:rsidR="002B6CE2" w:rsidRPr="00D47403">
        <w:rPr>
          <w:rFonts w:asciiTheme="minorHAnsi" w:hAnsiTheme="minorHAnsi"/>
          <w:snapToGrid w:val="0"/>
          <w:lang w:val="en-GB"/>
        </w:rPr>
        <w:t>with the cost-effectiveness</w:t>
      </w:r>
      <w:r w:rsidR="000F7363" w:rsidRPr="00D47403">
        <w:rPr>
          <w:rFonts w:asciiTheme="minorHAnsi" w:hAnsiTheme="minorHAnsi"/>
          <w:snapToGrid w:val="0"/>
          <w:lang w:val="en-GB"/>
        </w:rPr>
        <w:t xml:space="preserve"> was unlikely to be adequately resolved with further revision to the model </w:t>
      </w:r>
      <w:r w:rsidR="004350DE" w:rsidRPr="00D47403">
        <w:rPr>
          <w:rFonts w:asciiTheme="minorHAnsi" w:hAnsiTheme="minorHAnsi"/>
          <w:snapToGrid w:val="0"/>
          <w:lang w:val="en-GB"/>
        </w:rPr>
        <w:t>inputs</w:t>
      </w:r>
      <w:r w:rsidR="000F7363" w:rsidRPr="00D47403">
        <w:rPr>
          <w:rFonts w:asciiTheme="minorHAnsi" w:hAnsiTheme="minorHAnsi"/>
          <w:snapToGrid w:val="0"/>
          <w:lang w:val="en-GB"/>
        </w:rPr>
        <w:t>.</w:t>
      </w:r>
      <w:r w:rsidR="00D47403" w:rsidRPr="00D47403">
        <w:rPr>
          <w:rFonts w:asciiTheme="minorHAnsi" w:hAnsiTheme="minorHAnsi"/>
          <w:snapToGrid w:val="0"/>
          <w:lang w:val="en-GB"/>
        </w:rPr>
        <w:t xml:space="preserve"> </w:t>
      </w:r>
      <w:bookmarkStart w:id="127" w:name="_Ref193964408"/>
    </w:p>
    <w:p w14:paraId="4329A36B" w14:textId="5618E7D8" w:rsidR="00BF799C" w:rsidRPr="00050AAB" w:rsidRDefault="000F7363" w:rsidP="000E1BFF">
      <w:pPr>
        <w:widowControl w:val="0"/>
        <w:numPr>
          <w:ilvl w:val="1"/>
          <w:numId w:val="1"/>
        </w:numPr>
        <w:spacing w:after="120"/>
        <w:rPr>
          <w:rFonts w:asciiTheme="minorHAnsi" w:hAnsiTheme="minorHAnsi"/>
          <w:snapToGrid w:val="0"/>
          <w:lang w:val="en-GB"/>
        </w:rPr>
      </w:pPr>
      <w:r w:rsidRPr="00D47403">
        <w:rPr>
          <w:rFonts w:asciiTheme="minorHAnsi" w:hAnsiTheme="minorHAnsi"/>
          <w:snapToGrid w:val="0"/>
          <w:lang w:val="en-GB"/>
        </w:rPr>
        <w:t>The PBAC acknowledged the high and urgent clinical need for effective PFIC treatments</w:t>
      </w:r>
      <w:r w:rsidR="00F86AAA" w:rsidRPr="00D47403">
        <w:rPr>
          <w:rFonts w:asciiTheme="minorHAnsi" w:hAnsiTheme="minorHAnsi"/>
          <w:snapToGrid w:val="0"/>
          <w:lang w:val="en-GB"/>
        </w:rPr>
        <w:t xml:space="preserve"> i</w:t>
      </w:r>
      <w:r w:rsidR="004E5F1D" w:rsidRPr="00D47403">
        <w:rPr>
          <w:rFonts w:asciiTheme="minorHAnsi" w:hAnsiTheme="minorHAnsi"/>
          <w:snapToGrid w:val="0"/>
          <w:lang w:val="en-GB"/>
        </w:rPr>
        <w:t xml:space="preserve">n the context of this </w:t>
      </w:r>
      <w:r w:rsidR="00740CEB" w:rsidRPr="00D47403">
        <w:rPr>
          <w:rFonts w:asciiTheme="minorHAnsi" w:hAnsiTheme="minorHAnsi"/>
          <w:snapToGrid w:val="0"/>
          <w:lang w:val="en-GB"/>
        </w:rPr>
        <w:t xml:space="preserve">ultra </w:t>
      </w:r>
      <w:r w:rsidR="00857315" w:rsidRPr="00D47403">
        <w:rPr>
          <w:rFonts w:asciiTheme="minorHAnsi" w:hAnsiTheme="minorHAnsi"/>
          <w:snapToGrid w:val="0"/>
          <w:lang w:val="en-GB"/>
        </w:rPr>
        <w:t xml:space="preserve">rare and life-limiting disease and the </w:t>
      </w:r>
      <w:r w:rsidR="00E2445E" w:rsidRPr="00D47403">
        <w:rPr>
          <w:rFonts w:asciiTheme="minorHAnsi" w:hAnsiTheme="minorHAnsi"/>
          <w:snapToGrid w:val="0"/>
          <w:lang w:val="en-GB"/>
        </w:rPr>
        <w:t xml:space="preserve">importance of </w:t>
      </w:r>
      <w:r w:rsidR="00C07C61" w:rsidRPr="00D47403">
        <w:rPr>
          <w:rFonts w:asciiTheme="minorHAnsi" w:hAnsiTheme="minorHAnsi"/>
          <w:snapToGrid w:val="0"/>
          <w:lang w:val="en-GB"/>
        </w:rPr>
        <w:t xml:space="preserve">clinical gains in </w:t>
      </w:r>
      <w:r w:rsidR="00F02418" w:rsidRPr="00D47403">
        <w:rPr>
          <w:rFonts w:asciiTheme="minorHAnsi" w:hAnsiTheme="minorHAnsi"/>
          <w:snapToGrid w:val="0"/>
          <w:lang w:val="en-GB"/>
        </w:rPr>
        <w:t>reducing the need for surgery, including liver transplantation</w:t>
      </w:r>
      <w:r w:rsidR="005C14CD" w:rsidRPr="00D47403">
        <w:rPr>
          <w:rFonts w:asciiTheme="minorHAnsi" w:hAnsiTheme="minorHAnsi"/>
          <w:snapToGrid w:val="0"/>
          <w:lang w:val="en-GB"/>
        </w:rPr>
        <w:t>,</w:t>
      </w:r>
      <w:r w:rsidR="005B1942" w:rsidRPr="00D47403">
        <w:rPr>
          <w:rFonts w:asciiTheme="minorHAnsi" w:hAnsiTheme="minorHAnsi"/>
          <w:snapToGrid w:val="0"/>
          <w:lang w:val="en-GB"/>
        </w:rPr>
        <w:t xml:space="preserve"> as well as </w:t>
      </w:r>
      <w:r w:rsidR="00BE7CA5" w:rsidRPr="00D47403">
        <w:rPr>
          <w:rFonts w:asciiTheme="minorHAnsi" w:hAnsiTheme="minorHAnsi"/>
          <w:snapToGrid w:val="0"/>
          <w:lang w:val="en-GB"/>
        </w:rPr>
        <w:t xml:space="preserve">the </w:t>
      </w:r>
      <w:r w:rsidR="001364E5" w:rsidRPr="00D47403">
        <w:rPr>
          <w:rFonts w:asciiTheme="minorHAnsi" w:hAnsiTheme="minorHAnsi"/>
          <w:snapToGrid w:val="0"/>
          <w:lang w:val="en-GB"/>
        </w:rPr>
        <w:t xml:space="preserve">significant </w:t>
      </w:r>
      <w:r w:rsidR="00BE7CA5" w:rsidRPr="00D47403">
        <w:rPr>
          <w:rFonts w:asciiTheme="minorHAnsi" w:hAnsiTheme="minorHAnsi"/>
          <w:snapToGrid w:val="0"/>
          <w:lang w:val="en-GB"/>
        </w:rPr>
        <w:t xml:space="preserve">quality of life improvements for patients and carers associated with </w:t>
      </w:r>
      <w:r w:rsidR="005C14CD" w:rsidRPr="00D47403">
        <w:rPr>
          <w:rFonts w:asciiTheme="minorHAnsi" w:hAnsiTheme="minorHAnsi"/>
          <w:snapToGrid w:val="0"/>
          <w:lang w:val="en-GB"/>
        </w:rPr>
        <w:t>reduced pruritus</w:t>
      </w:r>
      <w:r w:rsidR="00C07C61" w:rsidRPr="00D47403">
        <w:rPr>
          <w:rFonts w:asciiTheme="minorHAnsi" w:hAnsiTheme="minorHAnsi"/>
          <w:snapToGrid w:val="0"/>
          <w:lang w:val="en-GB"/>
        </w:rPr>
        <w:t xml:space="preserve">. </w:t>
      </w:r>
      <w:r w:rsidR="003D1F13" w:rsidRPr="00050AAB">
        <w:rPr>
          <w:rFonts w:asciiTheme="minorHAnsi" w:hAnsiTheme="minorHAnsi"/>
          <w:snapToGrid w:val="0"/>
          <w:lang w:val="en-GB"/>
        </w:rPr>
        <w:t>The PBAC reflected on previous determinations made for other ra</w:t>
      </w:r>
      <w:r w:rsidR="00C65B49" w:rsidRPr="00050AAB">
        <w:rPr>
          <w:rFonts w:asciiTheme="minorHAnsi" w:hAnsiTheme="minorHAnsi"/>
          <w:snapToGrid w:val="0"/>
          <w:lang w:val="en-GB"/>
        </w:rPr>
        <w:t>r</w:t>
      </w:r>
      <w:r w:rsidR="003D1F13" w:rsidRPr="00050AAB">
        <w:rPr>
          <w:rFonts w:asciiTheme="minorHAnsi" w:hAnsiTheme="minorHAnsi"/>
          <w:snapToGrid w:val="0"/>
          <w:lang w:val="en-GB"/>
        </w:rPr>
        <w:t>e diseases</w:t>
      </w:r>
      <w:r w:rsidR="0005766A" w:rsidRPr="00050AAB">
        <w:rPr>
          <w:rFonts w:asciiTheme="minorHAnsi" w:hAnsiTheme="minorHAnsi"/>
          <w:snapToGrid w:val="0"/>
          <w:lang w:val="en-GB"/>
        </w:rPr>
        <w:t>. The PBAC compared</w:t>
      </w:r>
      <w:r w:rsidR="002D0E07">
        <w:rPr>
          <w:rFonts w:asciiTheme="minorHAnsi" w:hAnsiTheme="minorHAnsi"/>
          <w:snapToGrid w:val="0"/>
          <w:lang w:val="en-GB"/>
        </w:rPr>
        <w:t xml:space="preserve"> the current resubmission in terms of</w:t>
      </w:r>
      <w:r w:rsidR="0005766A" w:rsidRPr="00050AAB">
        <w:rPr>
          <w:rFonts w:asciiTheme="minorHAnsi" w:hAnsiTheme="minorHAnsi"/>
          <w:snapToGrid w:val="0"/>
          <w:lang w:val="en-GB"/>
        </w:rPr>
        <w:t xml:space="preserve"> the nature of the benefits</w:t>
      </w:r>
      <w:r w:rsidR="009127D7">
        <w:rPr>
          <w:rFonts w:asciiTheme="minorHAnsi" w:hAnsiTheme="minorHAnsi"/>
          <w:snapToGrid w:val="0"/>
          <w:lang w:val="en-GB"/>
        </w:rPr>
        <w:t xml:space="preserve"> with odevixibat</w:t>
      </w:r>
      <w:r w:rsidR="0005766A" w:rsidRPr="00050AAB">
        <w:rPr>
          <w:rFonts w:asciiTheme="minorHAnsi" w:hAnsiTheme="minorHAnsi"/>
          <w:snapToGrid w:val="0"/>
          <w:lang w:val="en-GB"/>
        </w:rPr>
        <w:t xml:space="preserve">, </w:t>
      </w:r>
      <w:r w:rsidR="00050EEE">
        <w:rPr>
          <w:rFonts w:asciiTheme="minorHAnsi" w:hAnsiTheme="minorHAnsi"/>
          <w:snapToGrid w:val="0"/>
          <w:lang w:val="en-GB"/>
        </w:rPr>
        <w:t xml:space="preserve">estimated </w:t>
      </w:r>
      <w:r w:rsidR="0005766A" w:rsidRPr="00050AAB">
        <w:rPr>
          <w:rFonts w:asciiTheme="minorHAnsi" w:hAnsiTheme="minorHAnsi"/>
          <w:snapToGrid w:val="0"/>
          <w:lang w:val="en-GB"/>
        </w:rPr>
        <w:t xml:space="preserve">ICERs </w:t>
      </w:r>
      <w:r w:rsidR="00725FE6" w:rsidRPr="00050AAB">
        <w:rPr>
          <w:rFonts w:asciiTheme="minorHAnsi" w:hAnsiTheme="minorHAnsi"/>
          <w:snapToGrid w:val="0"/>
          <w:lang w:val="en-GB"/>
        </w:rPr>
        <w:t>and the</w:t>
      </w:r>
      <w:r w:rsidR="00E84273" w:rsidRPr="00050AAB">
        <w:rPr>
          <w:rFonts w:asciiTheme="minorHAnsi" w:hAnsiTheme="minorHAnsi"/>
          <w:snapToGrid w:val="0"/>
          <w:lang w:val="en-GB"/>
        </w:rPr>
        <w:t xml:space="preserve"> </w:t>
      </w:r>
      <w:r w:rsidR="0005766A" w:rsidRPr="00050AAB">
        <w:rPr>
          <w:rFonts w:asciiTheme="minorHAnsi" w:hAnsiTheme="minorHAnsi"/>
          <w:snapToGrid w:val="0"/>
          <w:lang w:val="en-GB"/>
        </w:rPr>
        <w:t>number of patients expected to be treated</w:t>
      </w:r>
      <w:r w:rsidR="00DC3ABC" w:rsidRPr="00050AAB">
        <w:rPr>
          <w:rFonts w:asciiTheme="minorHAnsi" w:hAnsiTheme="minorHAnsi"/>
          <w:snapToGrid w:val="0"/>
          <w:lang w:val="en-GB"/>
        </w:rPr>
        <w:t xml:space="preserve"> </w:t>
      </w:r>
      <w:r w:rsidR="007D6E6D" w:rsidRPr="00050AAB">
        <w:rPr>
          <w:rFonts w:asciiTheme="minorHAnsi" w:hAnsiTheme="minorHAnsi"/>
          <w:snapToGrid w:val="0"/>
          <w:lang w:val="en-GB"/>
        </w:rPr>
        <w:t xml:space="preserve">with other treatments for rare diseases </w:t>
      </w:r>
      <w:r w:rsidR="001301FB" w:rsidRPr="00050AAB">
        <w:rPr>
          <w:rFonts w:asciiTheme="minorHAnsi" w:hAnsiTheme="minorHAnsi"/>
          <w:snapToGrid w:val="0"/>
          <w:lang w:val="en-GB"/>
        </w:rPr>
        <w:t xml:space="preserve">recommended for </w:t>
      </w:r>
      <w:r w:rsidR="007D6E6D" w:rsidRPr="00050AAB">
        <w:rPr>
          <w:rFonts w:asciiTheme="minorHAnsi" w:hAnsiTheme="minorHAnsi"/>
          <w:snapToGrid w:val="0"/>
          <w:lang w:val="en-GB"/>
        </w:rPr>
        <w:t>fund</w:t>
      </w:r>
      <w:r w:rsidR="001301FB" w:rsidRPr="00050AAB">
        <w:rPr>
          <w:rFonts w:asciiTheme="minorHAnsi" w:hAnsiTheme="minorHAnsi"/>
          <w:snapToGrid w:val="0"/>
          <w:lang w:val="en-GB"/>
        </w:rPr>
        <w:t xml:space="preserve">ing </w:t>
      </w:r>
      <w:r w:rsidR="007D6E6D" w:rsidRPr="00050AAB">
        <w:rPr>
          <w:rFonts w:asciiTheme="minorHAnsi" w:hAnsiTheme="minorHAnsi"/>
          <w:snapToGrid w:val="0"/>
          <w:lang w:val="en-GB"/>
        </w:rPr>
        <w:t xml:space="preserve">on the PBS. </w:t>
      </w:r>
      <w:r w:rsidR="00BF799C" w:rsidRPr="00050AAB">
        <w:rPr>
          <w:rFonts w:asciiTheme="minorHAnsi" w:hAnsiTheme="minorHAnsi"/>
          <w:snapToGrid w:val="0"/>
          <w:lang w:val="en-GB"/>
        </w:rPr>
        <w:t>The PBAC noted</w:t>
      </w:r>
      <w:r w:rsidR="00385640" w:rsidRPr="00050AAB">
        <w:rPr>
          <w:rFonts w:asciiTheme="minorHAnsi" w:hAnsiTheme="minorHAnsi"/>
          <w:snapToGrid w:val="0"/>
          <w:lang w:val="en-GB"/>
        </w:rPr>
        <w:t xml:space="preserve"> that </w:t>
      </w:r>
      <w:r w:rsidR="00BF799C" w:rsidRPr="00050AAB">
        <w:rPr>
          <w:rFonts w:asciiTheme="minorHAnsi" w:hAnsiTheme="minorHAnsi"/>
          <w:snapToGrid w:val="0"/>
          <w:lang w:val="en-GB"/>
        </w:rPr>
        <w:t>the ESC ha</w:t>
      </w:r>
      <w:r w:rsidR="00BA11A9" w:rsidRPr="00050AAB">
        <w:rPr>
          <w:rFonts w:asciiTheme="minorHAnsi" w:hAnsiTheme="minorHAnsi"/>
          <w:snapToGrid w:val="0"/>
          <w:lang w:val="en-GB"/>
        </w:rPr>
        <w:t>d</w:t>
      </w:r>
      <w:r w:rsidR="00BF799C" w:rsidRPr="00050AAB">
        <w:rPr>
          <w:rFonts w:asciiTheme="minorHAnsi" w:hAnsiTheme="minorHAnsi"/>
          <w:snapToGrid w:val="0"/>
          <w:lang w:val="en-GB"/>
        </w:rPr>
        <w:t xml:space="preserve"> considered that a cost per responder </w:t>
      </w:r>
      <w:r w:rsidR="009773DE" w:rsidRPr="00050AAB">
        <w:rPr>
          <w:rFonts w:asciiTheme="minorHAnsi" w:hAnsiTheme="minorHAnsi"/>
          <w:snapToGrid w:val="0"/>
          <w:lang w:val="en-GB"/>
        </w:rPr>
        <w:t xml:space="preserve">analysis might provide a reasonable alternative assessment of cost-effectiveness. </w:t>
      </w:r>
      <w:r w:rsidR="00E51138" w:rsidRPr="00050AAB">
        <w:rPr>
          <w:rFonts w:asciiTheme="minorHAnsi" w:hAnsiTheme="minorHAnsi"/>
          <w:snapToGrid w:val="0"/>
          <w:lang w:val="en-GB"/>
        </w:rPr>
        <w:t>The PBAC recalled that it had previously considered that cost per responder analyses were acceptable in the context of difficult to treat and relatively uncommon</w:t>
      </w:r>
      <w:r w:rsidR="002C2933" w:rsidRPr="00050AAB">
        <w:rPr>
          <w:rFonts w:asciiTheme="minorHAnsi" w:hAnsiTheme="minorHAnsi"/>
          <w:snapToGrid w:val="0"/>
          <w:lang w:val="en-GB"/>
        </w:rPr>
        <w:t xml:space="preserve"> diseases. The PBAC noted that, based on the results of the PEDFIC 1 trial</w:t>
      </w:r>
      <w:r w:rsidR="00C45417" w:rsidRPr="00050AAB">
        <w:rPr>
          <w:rFonts w:asciiTheme="minorHAnsi" w:hAnsiTheme="minorHAnsi"/>
          <w:snapToGrid w:val="0"/>
          <w:lang w:val="en-GB"/>
        </w:rPr>
        <w:t xml:space="preserve">, the </w:t>
      </w:r>
      <w:r w:rsidR="008C7544" w:rsidRPr="00050AAB">
        <w:rPr>
          <w:rFonts w:asciiTheme="minorHAnsi" w:hAnsiTheme="minorHAnsi"/>
          <w:snapToGrid w:val="0"/>
          <w:lang w:val="en-GB"/>
        </w:rPr>
        <w:t xml:space="preserve">incremental </w:t>
      </w:r>
      <w:r w:rsidR="00C45417" w:rsidRPr="00050AAB">
        <w:rPr>
          <w:rFonts w:asciiTheme="minorHAnsi" w:hAnsiTheme="minorHAnsi"/>
          <w:snapToGrid w:val="0"/>
          <w:lang w:val="en-GB"/>
        </w:rPr>
        <w:t xml:space="preserve">cost per </w:t>
      </w:r>
      <w:r w:rsidR="00DA1EEC" w:rsidRPr="00050AAB">
        <w:rPr>
          <w:rFonts w:asciiTheme="minorHAnsi" w:hAnsiTheme="minorHAnsi"/>
          <w:snapToGrid w:val="0"/>
          <w:lang w:val="en-GB"/>
        </w:rPr>
        <w:t>patient with a</w:t>
      </w:r>
      <w:r w:rsidR="00670A70" w:rsidRPr="00050AAB">
        <w:rPr>
          <w:rFonts w:asciiTheme="minorHAnsi" w:hAnsiTheme="minorHAnsi"/>
          <w:snapToGrid w:val="0"/>
          <w:lang w:val="en-GB"/>
        </w:rPr>
        <w:t xml:space="preserve"> serum bile acid (</w:t>
      </w:r>
      <w:proofErr w:type="spellStart"/>
      <w:r w:rsidR="00670A70" w:rsidRPr="00050AAB">
        <w:rPr>
          <w:rFonts w:asciiTheme="minorHAnsi" w:hAnsiTheme="minorHAnsi"/>
          <w:snapToGrid w:val="0"/>
          <w:lang w:val="en-GB"/>
        </w:rPr>
        <w:t>sBA</w:t>
      </w:r>
      <w:proofErr w:type="spellEnd"/>
      <w:r w:rsidR="00670A70" w:rsidRPr="00050AAB">
        <w:rPr>
          <w:rFonts w:asciiTheme="minorHAnsi" w:hAnsiTheme="minorHAnsi"/>
          <w:snapToGrid w:val="0"/>
          <w:lang w:val="en-GB"/>
        </w:rPr>
        <w:t xml:space="preserve">) response at 24 weeks </w:t>
      </w:r>
      <w:r w:rsidR="00C45417" w:rsidRPr="00050AAB">
        <w:rPr>
          <w:rFonts w:asciiTheme="minorHAnsi" w:hAnsiTheme="minorHAnsi"/>
          <w:snapToGrid w:val="0"/>
          <w:lang w:val="en-GB"/>
        </w:rPr>
        <w:t xml:space="preserve">for a </w:t>
      </w:r>
      <w:r w:rsidR="005E7EB3" w:rsidRPr="00050AAB">
        <w:rPr>
          <w:rFonts w:asciiTheme="minorHAnsi" w:hAnsiTheme="minorHAnsi"/>
          <w:snapToGrid w:val="0"/>
          <w:lang w:val="en-GB"/>
        </w:rPr>
        <w:t xml:space="preserve">15.5 kg </w:t>
      </w:r>
      <w:r w:rsidR="00C45417" w:rsidRPr="00050AAB">
        <w:rPr>
          <w:rFonts w:asciiTheme="minorHAnsi" w:hAnsiTheme="minorHAnsi"/>
          <w:snapToGrid w:val="0"/>
          <w:lang w:val="en-GB"/>
        </w:rPr>
        <w:t xml:space="preserve">paediatric patient ranged from </w:t>
      </w:r>
      <w:r w:rsidR="00670A70" w:rsidRPr="00050AAB">
        <w:rPr>
          <w:rFonts w:asciiTheme="minorHAnsi" w:hAnsiTheme="minorHAnsi"/>
          <w:snapToGrid w:val="0"/>
          <w:lang w:val="en-GB"/>
        </w:rPr>
        <w:t>$</w:t>
      </w:r>
      <w:r w:rsidR="001549E4" w:rsidRPr="00DA2049">
        <w:rPr>
          <w:rFonts w:asciiTheme="minorHAnsi" w:hAnsiTheme="minorHAnsi"/>
          <w:snapToGrid w:val="0"/>
          <w:color w:val="000000"/>
          <w:w w:val="15"/>
          <w:shd w:val="solid" w:color="000000" w:fill="000000"/>
          <w:fitText w:val="-20" w:id="-693990909"/>
          <w:lang w:val="en-GB"/>
          <w14:textFill>
            <w14:solidFill>
              <w14:srgbClr w14:val="000000">
                <w14:alpha w14:val="100000"/>
              </w14:srgbClr>
            </w14:solidFill>
          </w14:textFill>
        </w:rPr>
        <w:t>|</w:t>
      </w:r>
      <w:r w:rsidR="004A6DE4" w:rsidRPr="00DA2049">
        <w:rPr>
          <w:rFonts w:asciiTheme="minorHAnsi" w:hAnsiTheme="minorHAnsi"/>
          <w:snapToGrid w:val="0"/>
          <w:color w:val="000000"/>
          <w:w w:val="15"/>
          <w:shd w:val="solid" w:color="000000" w:fill="000000"/>
          <w:fitText w:val="-20" w:id="-693990909"/>
          <w:lang w:val="en-GB"/>
          <w14:textFill>
            <w14:solidFill>
              <w14:srgbClr w14:val="000000">
                <w14:alpha w14:val="100000"/>
              </w14:srgbClr>
            </w14:solidFill>
          </w14:textFill>
        </w:rPr>
        <w:t xml:space="preserve"> </w:t>
      </w:r>
      <w:r w:rsidR="001549E4" w:rsidRPr="00DA2049">
        <w:rPr>
          <w:rFonts w:asciiTheme="minorHAnsi" w:hAnsiTheme="minorHAnsi"/>
          <w:snapToGrid w:val="0"/>
          <w:color w:val="000000"/>
          <w:spacing w:val="-61"/>
          <w:w w:val="15"/>
          <w:shd w:val="solid" w:color="000000" w:fill="000000"/>
          <w:fitText w:val="-20" w:id="-693990909"/>
          <w:lang w:val="en-GB"/>
          <w14:textFill>
            <w14:solidFill>
              <w14:srgbClr w14:val="000000">
                <w14:alpha w14:val="100000"/>
              </w14:srgbClr>
            </w14:solidFill>
          </w14:textFill>
        </w:rPr>
        <w:t>|</w:t>
      </w:r>
      <w:r w:rsidR="00E77B43" w:rsidRPr="00050AAB">
        <w:rPr>
          <w:rFonts w:asciiTheme="minorHAnsi" w:hAnsiTheme="minorHAnsi"/>
          <w:snapToGrid w:val="0"/>
          <w:lang w:val="en-GB"/>
        </w:rPr>
        <w:t xml:space="preserve"> </w:t>
      </w:r>
      <w:r w:rsidR="005E7EB3" w:rsidRPr="00050AAB">
        <w:rPr>
          <w:rFonts w:asciiTheme="minorHAnsi" w:hAnsiTheme="minorHAnsi"/>
          <w:snapToGrid w:val="0"/>
          <w:lang w:val="en-GB"/>
        </w:rPr>
        <w:t>when receiving the 40</w:t>
      </w:r>
      <w:r w:rsidR="0017081E">
        <w:rPr>
          <w:rFonts w:asciiTheme="minorHAnsi" w:hAnsiTheme="minorHAnsi"/>
          <w:snapToGrid w:val="0"/>
          <w:lang w:val="en-GB"/>
        </w:rPr>
        <w:t> mcg</w:t>
      </w:r>
      <w:r w:rsidR="005E7EB3" w:rsidRPr="00050AAB">
        <w:rPr>
          <w:rFonts w:asciiTheme="minorHAnsi" w:hAnsiTheme="minorHAnsi"/>
          <w:snapToGrid w:val="0"/>
          <w:lang w:val="en-GB"/>
        </w:rPr>
        <w:t xml:space="preserve">/kg/day </w:t>
      </w:r>
      <w:r w:rsidR="00385640" w:rsidRPr="00050AAB">
        <w:rPr>
          <w:rFonts w:asciiTheme="minorHAnsi" w:hAnsiTheme="minorHAnsi"/>
          <w:snapToGrid w:val="0"/>
          <w:lang w:val="en-GB"/>
        </w:rPr>
        <w:t xml:space="preserve">dose </w:t>
      </w:r>
      <w:r w:rsidR="005E7EB3" w:rsidRPr="00050AAB">
        <w:rPr>
          <w:rFonts w:asciiTheme="minorHAnsi" w:hAnsiTheme="minorHAnsi"/>
          <w:snapToGrid w:val="0"/>
          <w:lang w:val="en-GB"/>
        </w:rPr>
        <w:t>to $</w:t>
      </w:r>
      <w:r w:rsidR="001549E4" w:rsidRPr="00DA2049">
        <w:rPr>
          <w:rFonts w:asciiTheme="minorHAnsi" w:hAnsiTheme="minorHAnsi"/>
          <w:snapToGrid w:val="0"/>
          <w:color w:val="000000"/>
          <w:w w:val="15"/>
          <w:shd w:val="solid" w:color="000000" w:fill="000000"/>
          <w:fitText w:val="-20" w:id="-693990908"/>
          <w:lang w:val="en-GB"/>
          <w14:textFill>
            <w14:solidFill>
              <w14:srgbClr w14:val="000000">
                <w14:alpha w14:val="100000"/>
              </w14:srgbClr>
            </w14:solidFill>
          </w14:textFill>
        </w:rPr>
        <w:t>|</w:t>
      </w:r>
      <w:r w:rsidR="004A6DE4" w:rsidRPr="00DA2049">
        <w:rPr>
          <w:rFonts w:asciiTheme="minorHAnsi" w:hAnsiTheme="minorHAnsi"/>
          <w:snapToGrid w:val="0"/>
          <w:color w:val="000000"/>
          <w:w w:val="15"/>
          <w:shd w:val="solid" w:color="000000" w:fill="000000"/>
          <w:fitText w:val="-20" w:id="-693990908"/>
          <w:lang w:val="en-GB"/>
          <w14:textFill>
            <w14:solidFill>
              <w14:srgbClr w14:val="000000">
                <w14:alpha w14:val="100000"/>
              </w14:srgbClr>
            </w14:solidFill>
          </w14:textFill>
        </w:rPr>
        <w:t xml:space="preserve"> </w:t>
      </w:r>
      <w:r w:rsidR="001549E4" w:rsidRPr="00DA2049">
        <w:rPr>
          <w:rFonts w:asciiTheme="minorHAnsi" w:hAnsiTheme="minorHAnsi"/>
          <w:snapToGrid w:val="0"/>
          <w:color w:val="000000"/>
          <w:spacing w:val="-61"/>
          <w:w w:val="15"/>
          <w:shd w:val="solid" w:color="000000" w:fill="000000"/>
          <w:fitText w:val="-20" w:id="-693990908"/>
          <w:lang w:val="en-GB"/>
          <w14:textFill>
            <w14:solidFill>
              <w14:srgbClr w14:val="000000">
                <w14:alpha w14:val="100000"/>
              </w14:srgbClr>
            </w14:solidFill>
          </w14:textFill>
        </w:rPr>
        <w:t>|</w:t>
      </w:r>
      <w:r w:rsidR="005E7EB3" w:rsidRPr="00050AAB">
        <w:rPr>
          <w:rFonts w:asciiTheme="minorHAnsi" w:hAnsiTheme="minorHAnsi"/>
          <w:snapToGrid w:val="0"/>
          <w:lang w:val="en-GB"/>
        </w:rPr>
        <w:t xml:space="preserve"> when receiving the 120</w:t>
      </w:r>
      <w:r w:rsidR="0017081E">
        <w:rPr>
          <w:rFonts w:asciiTheme="minorHAnsi" w:hAnsiTheme="minorHAnsi"/>
          <w:snapToGrid w:val="0"/>
          <w:lang w:val="en-GB"/>
        </w:rPr>
        <w:t> mcg</w:t>
      </w:r>
      <w:r w:rsidR="005E7EB3" w:rsidRPr="00050AAB">
        <w:rPr>
          <w:rFonts w:asciiTheme="minorHAnsi" w:hAnsiTheme="minorHAnsi"/>
          <w:snapToGrid w:val="0"/>
          <w:lang w:val="en-GB"/>
        </w:rPr>
        <w:t>/kg/day dose.</w:t>
      </w:r>
      <w:r w:rsidR="00554DEE" w:rsidRPr="00050AAB">
        <w:rPr>
          <w:rFonts w:asciiTheme="minorHAnsi" w:hAnsiTheme="minorHAnsi"/>
          <w:snapToGrid w:val="0"/>
          <w:lang w:val="en-GB"/>
        </w:rPr>
        <w:t xml:space="preserve"> Given the weight-based dosing for odevixibat, the PBAC noted that the incremental </w:t>
      </w:r>
      <w:r w:rsidR="00511139" w:rsidRPr="00050AAB">
        <w:rPr>
          <w:rFonts w:asciiTheme="minorHAnsi" w:hAnsiTheme="minorHAnsi"/>
          <w:snapToGrid w:val="0"/>
          <w:lang w:val="en-GB"/>
        </w:rPr>
        <w:t>c</w:t>
      </w:r>
      <w:r w:rsidR="00554DEE" w:rsidRPr="00050AAB">
        <w:rPr>
          <w:rFonts w:asciiTheme="minorHAnsi" w:hAnsiTheme="minorHAnsi"/>
          <w:snapToGrid w:val="0"/>
          <w:lang w:val="en-GB"/>
        </w:rPr>
        <w:t>ost per patient</w:t>
      </w:r>
      <w:r w:rsidR="00385640" w:rsidRPr="00050AAB">
        <w:rPr>
          <w:rFonts w:asciiTheme="minorHAnsi" w:hAnsiTheme="minorHAnsi"/>
          <w:snapToGrid w:val="0"/>
          <w:lang w:val="en-GB"/>
        </w:rPr>
        <w:t xml:space="preserve"> would be </w:t>
      </w:r>
      <w:r w:rsidR="00554DEE" w:rsidRPr="00050AAB">
        <w:rPr>
          <w:rFonts w:asciiTheme="minorHAnsi" w:hAnsiTheme="minorHAnsi"/>
          <w:snapToGrid w:val="0"/>
          <w:lang w:val="en-GB"/>
        </w:rPr>
        <w:t xml:space="preserve">higher for </w:t>
      </w:r>
      <w:r w:rsidR="00BB2967" w:rsidRPr="00050AAB">
        <w:rPr>
          <w:rFonts w:asciiTheme="minorHAnsi" w:hAnsiTheme="minorHAnsi"/>
          <w:snapToGrid w:val="0"/>
          <w:lang w:val="en-GB"/>
        </w:rPr>
        <w:t xml:space="preserve">prevalent </w:t>
      </w:r>
      <w:r w:rsidR="003E7601" w:rsidRPr="00050AAB">
        <w:rPr>
          <w:rFonts w:asciiTheme="minorHAnsi" w:hAnsiTheme="minorHAnsi"/>
          <w:snapToGrid w:val="0"/>
          <w:lang w:val="en-GB"/>
        </w:rPr>
        <w:t xml:space="preserve">patients who would be </w:t>
      </w:r>
      <w:r w:rsidR="00BD46E9" w:rsidRPr="00050AAB">
        <w:rPr>
          <w:rFonts w:asciiTheme="minorHAnsi" w:hAnsiTheme="minorHAnsi"/>
          <w:snapToGrid w:val="0"/>
          <w:lang w:val="en-GB"/>
        </w:rPr>
        <w:t>older</w:t>
      </w:r>
      <w:r w:rsidR="003E7601" w:rsidRPr="00050AAB">
        <w:rPr>
          <w:rFonts w:asciiTheme="minorHAnsi" w:hAnsiTheme="minorHAnsi"/>
          <w:snapToGrid w:val="0"/>
          <w:lang w:val="en-GB"/>
        </w:rPr>
        <w:t>, and therefore heavier</w:t>
      </w:r>
      <w:r w:rsidR="00BD46E9" w:rsidRPr="00050AAB">
        <w:rPr>
          <w:rFonts w:asciiTheme="minorHAnsi" w:hAnsiTheme="minorHAnsi"/>
          <w:snapToGrid w:val="0"/>
          <w:lang w:val="en-GB"/>
        </w:rPr>
        <w:t>.</w:t>
      </w:r>
      <w:r w:rsidR="00DE284B" w:rsidRPr="00050AAB">
        <w:rPr>
          <w:rFonts w:asciiTheme="minorHAnsi" w:hAnsiTheme="minorHAnsi"/>
          <w:snapToGrid w:val="0"/>
          <w:lang w:val="en-GB"/>
        </w:rPr>
        <w:t xml:space="preserve"> </w:t>
      </w:r>
    </w:p>
    <w:p w14:paraId="669B2161" w14:textId="0641C717" w:rsidR="00A9439C" w:rsidRDefault="002B4428" w:rsidP="000E1BFF">
      <w:pPr>
        <w:widowControl w:val="0"/>
        <w:numPr>
          <w:ilvl w:val="1"/>
          <w:numId w:val="1"/>
        </w:numPr>
        <w:spacing w:after="120"/>
        <w:rPr>
          <w:rFonts w:asciiTheme="minorHAnsi" w:hAnsiTheme="minorHAnsi"/>
          <w:snapToGrid w:val="0"/>
          <w:lang w:val="en-GB"/>
        </w:rPr>
      </w:pPr>
      <w:bookmarkStart w:id="128" w:name="_Ref195088862"/>
      <w:r>
        <w:rPr>
          <w:rFonts w:asciiTheme="minorHAnsi" w:hAnsiTheme="minorHAnsi"/>
          <w:snapToGrid w:val="0"/>
          <w:lang w:val="en-GB"/>
        </w:rPr>
        <w:t xml:space="preserve">The PBAC considered that </w:t>
      </w:r>
      <w:proofErr w:type="gramStart"/>
      <w:r>
        <w:rPr>
          <w:rFonts w:asciiTheme="minorHAnsi" w:hAnsiTheme="minorHAnsi"/>
          <w:snapToGrid w:val="0"/>
          <w:lang w:val="en-GB"/>
        </w:rPr>
        <w:t>in order to</w:t>
      </w:r>
      <w:proofErr w:type="gramEnd"/>
      <w:r>
        <w:rPr>
          <w:rFonts w:asciiTheme="minorHAnsi" w:hAnsiTheme="minorHAnsi"/>
          <w:snapToGrid w:val="0"/>
          <w:lang w:val="en-GB"/>
        </w:rPr>
        <w:t xml:space="preserve"> </w:t>
      </w:r>
      <w:r w:rsidR="00D72C06">
        <w:rPr>
          <w:rFonts w:asciiTheme="minorHAnsi" w:hAnsiTheme="minorHAnsi"/>
          <w:snapToGrid w:val="0"/>
          <w:lang w:val="en-GB"/>
        </w:rPr>
        <w:t xml:space="preserve">accept the value proposition, in the context of </w:t>
      </w:r>
      <w:r w:rsidR="00725FE6">
        <w:rPr>
          <w:rFonts w:asciiTheme="minorHAnsi" w:hAnsiTheme="minorHAnsi"/>
          <w:snapToGrid w:val="0"/>
          <w:lang w:val="en-GB"/>
        </w:rPr>
        <w:t>the</w:t>
      </w:r>
      <w:r w:rsidR="00D72C06">
        <w:rPr>
          <w:rFonts w:asciiTheme="minorHAnsi" w:hAnsiTheme="minorHAnsi"/>
          <w:snapToGrid w:val="0"/>
          <w:lang w:val="en-GB"/>
        </w:rPr>
        <w:t xml:space="preserve"> high degree of uncertainty </w:t>
      </w:r>
      <w:r w:rsidR="00B44DC0">
        <w:rPr>
          <w:rFonts w:asciiTheme="minorHAnsi" w:hAnsiTheme="minorHAnsi"/>
          <w:snapToGrid w:val="0"/>
          <w:lang w:val="en-GB"/>
        </w:rPr>
        <w:t xml:space="preserve">and bias </w:t>
      </w:r>
      <w:r w:rsidR="00D72C06">
        <w:rPr>
          <w:rFonts w:asciiTheme="minorHAnsi" w:hAnsiTheme="minorHAnsi"/>
          <w:snapToGrid w:val="0"/>
          <w:lang w:val="en-GB"/>
        </w:rPr>
        <w:t>in the economic model</w:t>
      </w:r>
      <w:r w:rsidR="003965CE">
        <w:rPr>
          <w:rFonts w:asciiTheme="minorHAnsi" w:hAnsiTheme="minorHAnsi"/>
          <w:snapToGrid w:val="0"/>
          <w:lang w:val="en-GB"/>
        </w:rPr>
        <w:t>, and</w:t>
      </w:r>
      <w:r w:rsidR="00D72C06">
        <w:rPr>
          <w:rFonts w:asciiTheme="minorHAnsi" w:hAnsiTheme="minorHAnsi"/>
          <w:snapToGrid w:val="0"/>
          <w:lang w:val="en-GB"/>
        </w:rPr>
        <w:t xml:space="preserve"> the potential l</w:t>
      </w:r>
      <w:r w:rsidR="00A404A3">
        <w:rPr>
          <w:rFonts w:asciiTheme="minorHAnsi" w:hAnsiTheme="minorHAnsi"/>
          <w:snapToGrid w:val="0"/>
          <w:lang w:val="en-GB"/>
        </w:rPr>
        <w:t>ong</w:t>
      </w:r>
      <w:r w:rsidR="00DC3ABC">
        <w:rPr>
          <w:rFonts w:asciiTheme="minorHAnsi" w:hAnsiTheme="minorHAnsi"/>
          <w:snapToGrid w:val="0"/>
          <w:lang w:val="en-GB"/>
        </w:rPr>
        <w:t>-</w:t>
      </w:r>
      <w:r w:rsidR="00A404A3">
        <w:rPr>
          <w:rFonts w:asciiTheme="minorHAnsi" w:hAnsiTheme="minorHAnsi"/>
          <w:snapToGrid w:val="0"/>
          <w:lang w:val="en-GB"/>
        </w:rPr>
        <w:t>term use of odevixibat</w:t>
      </w:r>
      <w:r w:rsidR="002516B3">
        <w:rPr>
          <w:rFonts w:asciiTheme="minorHAnsi" w:hAnsiTheme="minorHAnsi"/>
          <w:snapToGrid w:val="0"/>
          <w:lang w:val="en-GB"/>
        </w:rPr>
        <w:t xml:space="preserve">, </w:t>
      </w:r>
      <w:r w:rsidR="00DD7089">
        <w:rPr>
          <w:rFonts w:asciiTheme="minorHAnsi" w:hAnsiTheme="minorHAnsi"/>
          <w:snapToGrid w:val="0"/>
          <w:lang w:val="en-GB"/>
        </w:rPr>
        <w:t xml:space="preserve">a price reduction would be required. </w:t>
      </w:r>
      <w:r w:rsidR="00385640">
        <w:rPr>
          <w:rFonts w:asciiTheme="minorHAnsi" w:hAnsiTheme="minorHAnsi"/>
          <w:snapToGrid w:val="0"/>
          <w:lang w:val="en-GB"/>
        </w:rPr>
        <w:t xml:space="preserve">Noting </w:t>
      </w:r>
      <w:r w:rsidR="00BA11A9">
        <w:rPr>
          <w:rFonts w:asciiTheme="minorHAnsi" w:hAnsiTheme="minorHAnsi"/>
          <w:snapToGrid w:val="0"/>
          <w:lang w:val="en-GB"/>
        </w:rPr>
        <w:t xml:space="preserve">the </w:t>
      </w:r>
      <w:r w:rsidR="00B1789A">
        <w:rPr>
          <w:rFonts w:asciiTheme="minorHAnsi" w:hAnsiTheme="minorHAnsi"/>
          <w:snapToGrid w:val="0"/>
          <w:lang w:val="en-GB"/>
        </w:rPr>
        <w:t xml:space="preserve">estimated </w:t>
      </w:r>
      <w:r w:rsidR="00BA11A9">
        <w:rPr>
          <w:rFonts w:asciiTheme="minorHAnsi" w:hAnsiTheme="minorHAnsi"/>
          <w:snapToGrid w:val="0"/>
          <w:lang w:val="en-GB"/>
        </w:rPr>
        <w:t xml:space="preserve">cost per responder </w:t>
      </w:r>
      <w:r w:rsidR="004876F1">
        <w:rPr>
          <w:rFonts w:asciiTheme="minorHAnsi" w:hAnsiTheme="minorHAnsi"/>
          <w:snapToGrid w:val="0"/>
          <w:lang w:val="en-GB"/>
        </w:rPr>
        <w:t xml:space="preserve">was high </w:t>
      </w:r>
      <w:r w:rsidR="00DD2D71">
        <w:rPr>
          <w:rFonts w:asciiTheme="minorHAnsi" w:hAnsiTheme="minorHAnsi"/>
          <w:snapToGrid w:val="0"/>
          <w:lang w:val="en-GB"/>
        </w:rPr>
        <w:t>compared with</w:t>
      </w:r>
      <w:r w:rsidR="005E2CBC">
        <w:rPr>
          <w:rFonts w:asciiTheme="minorHAnsi" w:hAnsiTheme="minorHAnsi"/>
          <w:snapToGrid w:val="0"/>
          <w:lang w:val="en-GB"/>
        </w:rPr>
        <w:t xml:space="preserve"> that</w:t>
      </w:r>
      <w:r w:rsidR="000D54E1">
        <w:rPr>
          <w:rFonts w:asciiTheme="minorHAnsi" w:hAnsiTheme="minorHAnsi"/>
          <w:snapToGrid w:val="0"/>
          <w:lang w:val="en-GB"/>
        </w:rPr>
        <w:t xml:space="preserve"> previously accepted for other chronic </w:t>
      </w:r>
      <w:r w:rsidR="00F1251A">
        <w:rPr>
          <w:rFonts w:asciiTheme="minorHAnsi" w:hAnsiTheme="minorHAnsi"/>
          <w:snapToGrid w:val="0"/>
          <w:lang w:val="en-GB"/>
        </w:rPr>
        <w:t>therapies</w:t>
      </w:r>
      <w:r w:rsidR="00D5082D">
        <w:rPr>
          <w:rFonts w:asciiTheme="minorHAnsi" w:hAnsiTheme="minorHAnsi"/>
          <w:snapToGrid w:val="0"/>
          <w:lang w:val="en-GB"/>
        </w:rPr>
        <w:t>, t</w:t>
      </w:r>
      <w:r w:rsidR="007D6E6D">
        <w:rPr>
          <w:rFonts w:asciiTheme="minorHAnsi" w:hAnsiTheme="minorHAnsi"/>
          <w:snapToGrid w:val="0"/>
          <w:lang w:val="en-GB"/>
        </w:rPr>
        <w:t>he PBAC considered that</w:t>
      </w:r>
      <w:r w:rsidR="003F6D08">
        <w:rPr>
          <w:rFonts w:asciiTheme="minorHAnsi" w:hAnsiTheme="minorHAnsi"/>
          <w:snapToGrid w:val="0"/>
          <w:lang w:val="en-GB"/>
        </w:rPr>
        <w:t xml:space="preserve"> for</w:t>
      </w:r>
      <w:r w:rsidR="00046111">
        <w:rPr>
          <w:rFonts w:asciiTheme="minorHAnsi" w:hAnsiTheme="minorHAnsi"/>
          <w:snapToGrid w:val="0"/>
          <w:lang w:val="en-GB"/>
        </w:rPr>
        <w:t xml:space="preserve"> odevixibat </w:t>
      </w:r>
      <w:r w:rsidR="003F6D08">
        <w:rPr>
          <w:rFonts w:asciiTheme="minorHAnsi" w:hAnsiTheme="minorHAnsi"/>
          <w:snapToGrid w:val="0"/>
          <w:lang w:val="en-GB"/>
        </w:rPr>
        <w:t xml:space="preserve">to </w:t>
      </w:r>
      <w:r w:rsidR="00046111">
        <w:rPr>
          <w:rFonts w:asciiTheme="minorHAnsi" w:hAnsiTheme="minorHAnsi"/>
          <w:snapToGrid w:val="0"/>
          <w:lang w:val="en-GB"/>
        </w:rPr>
        <w:t xml:space="preserve">be </w:t>
      </w:r>
      <w:r w:rsidR="003F6D08">
        <w:rPr>
          <w:rFonts w:asciiTheme="minorHAnsi" w:hAnsiTheme="minorHAnsi"/>
          <w:snapToGrid w:val="0"/>
          <w:lang w:val="en-GB"/>
        </w:rPr>
        <w:t xml:space="preserve">considered </w:t>
      </w:r>
      <w:r w:rsidR="00046111">
        <w:rPr>
          <w:rFonts w:asciiTheme="minorHAnsi" w:hAnsiTheme="minorHAnsi"/>
          <w:snapToGrid w:val="0"/>
          <w:lang w:val="en-GB"/>
        </w:rPr>
        <w:t>cost effective</w:t>
      </w:r>
      <w:r w:rsidR="00086373">
        <w:rPr>
          <w:rFonts w:asciiTheme="minorHAnsi" w:hAnsiTheme="minorHAnsi"/>
          <w:snapToGrid w:val="0"/>
          <w:lang w:val="en-GB"/>
        </w:rPr>
        <w:t xml:space="preserve"> the</w:t>
      </w:r>
      <w:r w:rsidR="00046111" w:rsidRPr="001D46EF">
        <w:rPr>
          <w:rFonts w:asciiTheme="minorHAnsi" w:hAnsiTheme="minorHAnsi"/>
          <w:snapToGrid w:val="0"/>
          <w:lang w:val="en-GB"/>
        </w:rPr>
        <w:t xml:space="preserve"> cost per patient per year</w:t>
      </w:r>
      <w:r w:rsidR="00BD795A" w:rsidRPr="001D46EF">
        <w:rPr>
          <w:rFonts w:asciiTheme="minorHAnsi" w:hAnsiTheme="minorHAnsi"/>
          <w:snapToGrid w:val="0"/>
          <w:lang w:val="en-GB"/>
        </w:rPr>
        <w:t xml:space="preserve"> </w:t>
      </w:r>
      <w:r w:rsidR="005A190F">
        <w:rPr>
          <w:rFonts w:asciiTheme="minorHAnsi" w:hAnsiTheme="minorHAnsi"/>
          <w:snapToGrid w:val="0"/>
          <w:lang w:val="en-GB"/>
        </w:rPr>
        <w:t>would need to be</w:t>
      </w:r>
      <w:r w:rsidR="00B56E44">
        <w:rPr>
          <w:rFonts w:asciiTheme="minorHAnsi" w:hAnsiTheme="minorHAnsi"/>
          <w:snapToGrid w:val="0"/>
          <w:lang w:val="en-GB"/>
        </w:rPr>
        <w:t xml:space="preserve"> </w:t>
      </w:r>
      <w:r w:rsidR="00BD795A" w:rsidRPr="001D46EF">
        <w:rPr>
          <w:rFonts w:asciiTheme="minorHAnsi" w:hAnsiTheme="minorHAnsi"/>
          <w:snapToGrid w:val="0"/>
          <w:lang w:val="en-GB"/>
        </w:rPr>
        <w:t>in the order of $</w:t>
      </w:r>
      <w:r w:rsidR="001549E4" w:rsidRPr="00DA2049">
        <w:rPr>
          <w:rFonts w:asciiTheme="minorHAnsi" w:hAnsiTheme="minorHAnsi"/>
          <w:snapToGrid w:val="0"/>
          <w:color w:val="000000"/>
          <w:w w:val="15"/>
          <w:shd w:val="solid" w:color="000000" w:fill="000000"/>
          <w:fitText w:val="-20" w:id="-693990907"/>
          <w:lang w:val="en-GB"/>
          <w14:textFill>
            <w14:solidFill>
              <w14:srgbClr w14:val="000000">
                <w14:alpha w14:val="100000"/>
              </w14:srgbClr>
            </w14:solidFill>
          </w14:textFill>
        </w:rPr>
        <w:t>|</w:t>
      </w:r>
      <w:r w:rsidR="004A6DE4" w:rsidRPr="00DA2049">
        <w:rPr>
          <w:rFonts w:asciiTheme="minorHAnsi" w:hAnsiTheme="minorHAnsi"/>
          <w:snapToGrid w:val="0"/>
          <w:color w:val="000000"/>
          <w:w w:val="15"/>
          <w:shd w:val="solid" w:color="000000" w:fill="000000"/>
          <w:fitText w:val="-20" w:id="-693990907"/>
          <w:lang w:val="en-GB"/>
          <w14:textFill>
            <w14:solidFill>
              <w14:srgbClr w14:val="000000">
                <w14:alpha w14:val="100000"/>
              </w14:srgbClr>
            </w14:solidFill>
          </w14:textFill>
        </w:rPr>
        <w:t xml:space="preserve"> </w:t>
      </w:r>
      <w:r w:rsidR="001549E4" w:rsidRPr="00DA2049">
        <w:rPr>
          <w:rFonts w:asciiTheme="minorHAnsi" w:hAnsiTheme="minorHAnsi"/>
          <w:snapToGrid w:val="0"/>
          <w:color w:val="000000"/>
          <w:spacing w:val="-61"/>
          <w:w w:val="15"/>
          <w:shd w:val="solid" w:color="000000" w:fill="000000"/>
          <w:fitText w:val="-20" w:id="-693990907"/>
          <w:lang w:val="en-GB"/>
          <w14:textFill>
            <w14:solidFill>
              <w14:srgbClr w14:val="000000">
                <w14:alpha w14:val="100000"/>
              </w14:srgbClr>
            </w14:solidFill>
          </w14:textFill>
        </w:rPr>
        <w:t>|</w:t>
      </w:r>
      <w:r w:rsidR="00936040" w:rsidRPr="001D46EF">
        <w:rPr>
          <w:rFonts w:asciiTheme="minorHAnsi" w:hAnsiTheme="minorHAnsi"/>
          <w:snapToGrid w:val="0"/>
          <w:lang w:val="en-GB"/>
        </w:rPr>
        <w:t xml:space="preserve"> </w:t>
      </w:r>
      <w:r w:rsidR="00DF2644" w:rsidRPr="001D46EF">
        <w:rPr>
          <w:rFonts w:asciiTheme="minorHAnsi" w:hAnsiTheme="minorHAnsi"/>
          <w:snapToGrid w:val="0"/>
          <w:lang w:val="en-GB"/>
        </w:rPr>
        <w:t>for an average</w:t>
      </w:r>
      <w:r w:rsidR="00DF2644">
        <w:rPr>
          <w:rFonts w:asciiTheme="minorHAnsi" w:hAnsiTheme="minorHAnsi"/>
          <w:snapToGrid w:val="0"/>
          <w:lang w:val="en-GB"/>
        </w:rPr>
        <w:t xml:space="preserve"> prevalent patient receiving 40</w:t>
      </w:r>
      <w:r w:rsidR="0017081E">
        <w:rPr>
          <w:rFonts w:asciiTheme="minorHAnsi" w:hAnsiTheme="minorHAnsi"/>
          <w:snapToGrid w:val="0"/>
          <w:lang w:val="en-GB"/>
        </w:rPr>
        <w:t> mcg</w:t>
      </w:r>
      <w:r w:rsidR="00DF2644">
        <w:rPr>
          <w:rFonts w:asciiTheme="minorHAnsi" w:hAnsiTheme="minorHAnsi"/>
          <w:snapToGrid w:val="0"/>
          <w:lang w:val="en-GB"/>
        </w:rPr>
        <w:t>/kg/day</w:t>
      </w:r>
      <w:r w:rsidR="00D5082D">
        <w:rPr>
          <w:rFonts w:asciiTheme="minorHAnsi" w:hAnsiTheme="minorHAnsi"/>
          <w:snapToGrid w:val="0"/>
          <w:lang w:val="en-GB"/>
        </w:rPr>
        <w:t xml:space="preserve"> </w:t>
      </w:r>
      <w:r w:rsidR="00DF2644">
        <w:rPr>
          <w:rFonts w:asciiTheme="minorHAnsi" w:hAnsiTheme="minorHAnsi"/>
          <w:snapToGrid w:val="0"/>
          <w:lang w:val="en-GB"/>
        </w:rPr>
        <w:t>dosing</w:t>
      </w:r>
      <w:r w:rsidR="004363B1">
        <w:rPr>
          <w:rFonts w:asciiTheme="minorHAnsi" w:hAnsiTheme="minorHAnsi"/>
          <w:snapToGrid w:val="0"/>
          <w:lang w:val="en-GB"/>
        </w:rPr>
        <w:t>.</w:t>
      </w:r>
      <w:r w:rsidR="00E82374">
        <w:rPr>
          <w:rFonts w:asciiTheme="minorHAnsi" w:hAnsiTheme="minorHAnsi"/>
          <w:snapToGrid w:val="0"/>
          <w:lang w:val="en-GB"/>
        </w:rPr>
        <w:t xml:space="preserve"> The PBAC noted that </w:t>
      </w:r>
      <w:r w:rsidR="00694B01">
        <w:rPr>
          <w:rFonts w:asciiTheme="minorHAnsi" w:hAnsiTheme="minorHAnsi"/>
          <w:snapToGrid w:val="0"/>
          <w:lang w:val="en-GB"/>
        </w:rPr>
        <w:t xml:space="preserve">the average age of a prevalent patient </w:t>
      </w:r>
      <w:r w:rsidR="00457426">
        <w:rPr>
          <w:rFonts w:asciiTheme="minorHAnsi" w:hAnsiTheme="minorHAnsi"/>
          <w:snapToGrid w:val="0"/>
          <w:lang w:val="en-GB"/>
        </w:rPr>
        <w:t xml:space="preserve">entering </w:t>
      </w:r>
      <w:r w:rsidR="00694B01">
        <w:rPr>
          <w:rFonts w:asciiTheme="minorHAnsi" w:hAnsiTheme="minorHAnsi"/>
          <w:snapToGrid w:val="0"/>
          <w:lang w:val="en-GB"/>
        </w:rPr>
        <w:t xml:space="preserve">the model was </w:t>
      </w:r>
      <w:r w:rsidR="00C744EB">
        <w:rPr>
          <w:rFonts w:asciiTheme="minorHAnsi" w:hAnsiTheme="minorHAnsi"/>
          <w:snapToGrid w:val="0"/>
          <w:lang w:val="en-GB"/>
        </w:rPr>
        <w:t xml:space="preserve">assumed to be </w:t>
      </w:r>
      <w:r w:rsidR="00694B01">
        <w:rPr>
          <w:rFonts w:asciiTheme="minorHAnsi" w:hAnsiTheme="minorHAnsi"/>
          <w:snapToGrid w:val="0"/>
          <w:lang w:val="en-GB"/>
        </w:rPr>
        <w:t>1</w:t>
      </w:r>
      <w:r w:rsidR="0006777E">
        <w:rPr>
          <w:rFonts w:asciiTheme="minorHAnsi" w:hAnsiTheme="minorHAnsi"/>
          <w:snapToGrid w:val="0"/>
          <w:lang w:val="en-GB"/>
        </w:rPr>
        <w:t>3</w:t>
      </w:r>
      <w:r w:rsidR="00694B01">
        <w:rPr>
          <w:rFonts w:asciiTheme="minorHAnsi" w:hAnsiTheme="minorHAnsi"/>
          <w:snapToGrid w:val="0"/>
          <w:lang w:val="en-GB"/>
        </w:rPr>
        <w:t xml:space="preserve"> years</w:t>
      </w:r>
      <w:r w:rsidR="000E1BFF">
        <w:rPr>
          <w:rFonts w:asciiTheme="minorHAnsi" w:hAnsiTheme="minorHAnsi"/>
          <w:snapToGrid w:val="0"/>
          <w:lang w:val="en-GB"/>
        </w:rPr>
        <w:t xml:space="preserve"> and the average dose was 4.51 x 400</w:t>
      </w:r>
      <w:r w:rsidR="0017081E">
        <w:rPr>
          <w:rFonts w:asciiTheme="minorHAnsi" w:hAnsiTheme="minorHAnsi"/>
          <w:snapToGrid w:val="0"/>
          <w:lang w:val="en-GB"/>
        </w:rPr>
        <w:t> mcg</w:t>
      </w:r>
      <w:r w:rsidR="000E1BFF">
        <w:rPr>
          <w:rFonts w:asciiTheme="minorHAnsi" w:hAnsiTheme="minorHAnsi"/>
          <w:snapToGrid w:val="0"/>
          <w:lang w:val="en-GB"/>
        </w:rPr>
        <w:t xml:space="preserve"> tablets per day</w:t>
      </w:r>
      <w:r w:rsidR="001777F9">
        <w:rPr>
          <w:rFonts w:asciiTheme="minorHAnsi" w:hAnsiTheme="minorHAnsi"/>
          <w:snapToGrid w:val="0"/>
          <w:lang w:val="en-GB"/>
        </w:rPr>
        <w:t>.</w:t>
      </w:r>
      <w:r w:rsidR="004363B1">
        <w:rPr>
          <w:rFonts w:asciiTheme="minorHAnsi" w:hAnsiTheme="minorHAnsi"/>
          <w:snapToGrid w:val="0"/>
          <w:lang w:val="en-GB"/>
        </w:rPr>
        <w:t xml:space="preserve"> </w:t>
      </w:r>
      <w:r w:rsidR="00206C60">
        <w:rPr>
          <w:rFonts w:asciiTheme="minorHAnsi" w:hAnsiTheme="minorHAnsi"/>
          <w:snapToGrid w:val="0"/>
          <w:lang w:val="en-GB"/>
        </w:rPr>
        <w:t>The PBAC noted that dose escalation to the 120</w:t>
      </w:r>
      <w:r w:rsidR="0017081E">
        <w:rPr>
          <w:rFonts w:asciiTheme="minorHAnsi" w:hAnsiTheme="minorHAnsi"/>
          <w:snapToGrid w:val="0"/>
          <w:lang w:val="en-GB"/>
        </w:rPr>
        <w:t> mcg</w:t>
      </w:r>
      <w:r w:rsidR="00206C60">
        <w:rPr>
          <w:rFonts w:asciiTheme="minorHAnsi" w:hAnsiTheme="minorHAnsi"/>
          <w:snapToGrid w:val="0"/>
          <w:lang w:val="en-GB"/>
        </w:rPr>
        <w:t xml:space="preserve">/kg/day dose would </w:t>
      </w:r>
      <w:r w:rsidR="00226C32">
        <w:rPr>
          <w:rFonts w:asciiTheme="minorHAnsi" w:hAnsiTheme="minorHAnsi"/>
          <w:snapToGrid w:val="0"/>
          <w:lang w:val="en-GB"/>
        </w:rPr>
        <w:t xml:space="preserve">need to </w:t>
      </w:r>
      <w:r w:rsidR="00206C60">
        <w:rPr>
          <w:rFonts w:asciiTheme="minorHAnsi" w:hAnsiTheme="minorHAnsi"/>
          <w:snapToGrid w:val="0"/>
          <w:lang w:val="en-GB"/>
        </w:rPr>
        <w:t>be managed by the RSA. Overall, t</w:t>
      </w:r>
      <w:r w:rsidR="004363B1">
        <w:rPr>
          <w:rFonts w:asciiTheme="minorHAnsi" w:hAnsiTheme="minorHAnsi"/>
          <w:snapToGrid w:val="0"/>
          <w:lang w:val="en-GB"/>
        </w:rPr>
        <w:t>he PBAC considered that this would be consistent with that for previously recommended treatme</w:t>
      </w:r>
      <w:r w:rsidR="00A9439C">
        <w:rPr>
          <w:rFonts w:asciiTheme="minorHAnsi" w:hAnsiTheme="minorHAnsi"/>
          <w:snapToGrid w:val="0"/>
          <w:lang w:val="en-GB"/>
        </w:rPr>
        <w:t xml:space="preserve">nts for </w:t>
      </w:r>
      <w:r w:rsidR="00E2477D">
        <w:rPr>
          <w:rFonts w:asciiTheme="minorHAnsi" w:hAnsiTheme="minorHAnsi"/>
          <w:snapToGrid w:val="0"/>
          <w:lang w:val="en-GB"/>
        </w:rPr>
        <w:t xml:space="preserve">ultra </w:t>
      </w:r>
      <w:r w:rsidR="00A9439C">
        <w:rPr>
          <w:rFonts w:asciiTheme="minorHAnsi" w:hAnsiTheme="minorHAnsi"/>
          <w:snapToGrid w:val="0"/>
          <w:lang w:val="en-GB"/>
        </w:rPr>
        <w:t>rare diseases</w:t>
      </w:r>
      <w:r w:rsidR="00DD7089">
        <w:rPr>
          <w:rFonts w:asciiTheme="minorHAnsi" w:hAnsiTheme="minorHAnsi"/>
          <w:snapToGrid w:val="0"/>
          <w:lang w:val="en-GB"/>
        </w:rPr>
        <w:t xml:space="preserve"> funded on the PBS</w:t>
      </w:r>
      <w:r w:rsidR="00A9439C">
        <w:rPr>
          <w:rFonts w:asciiTheme="minorHAnsi" w:hAnsiTheme="minorHAnsi"/>
          <w:snapToGrid w:val="0"/>
          <w:lang w:val="en-GB"/>
        </w:rPr>
        <w:t>, when accounting for the clinical need, available evidence</w:t>
      </w:r>
      <w:r w:rsidR="00496969">
        <w:rPr>
          <w:rFonts w:asciiTheme="minorHAnsi" w:hAnsiTheme="minorHAnsi"/>
          <w:snapToGrid w:val="0"/>
          <w:lang w:val="en-GB"/>
        </w:rPr>
        <w:t xml:space="preserve">, </w:t>
      </w:r>
      <w:r w:rsidR="008D234E">
        <w:rPr>
          <w:rFonts w:asciiTheme="minorHAnsi" w:hAnsiTheme="minorHAnsi"/>
          <w:snapToGrid w:val="0"/>
          <w:lang w:val="en-GB"/>
        </w:rPr>
        <w:t xml:space="preserve">nature of the benefits, </w:t>
      </w:r>
      <w:r w:rsidR="00795529">
        <w:rPr>
          <w:rFonts w:asciiTheme="minorHAnsi" w:hAnsiTheme="minorHAnsi"/>
          <w:snapToGrid w:val="0"/>
          <w:lang w:val="en-GB"/>
        </w:rPr>
        <w:t>range of</w:t>
      </w:r>
      <w:r w:rsidR="008E284F">
        <w:rPr>
          <w:rFonts w:asciiTheme="minorHAnsi" w:hAnsiTheme="minorHAnsi"/>
          <w:snapToGrid w:val="0"/>
          <w:lang w:val="en-GB"/>
        </w:rPr>
        <w:t xml:space="preserve"> estimated</w:t>
      </w:r>
      <w:r w:rsidR="00496969">
        <w:rPr>
          <w:rFonts w:asciiTheme="minorHAnsi" w:hAnsiTheme="minorHAnsi"/>
          <w:snapToGrid w:val="0"/>
          <w:lang w:val="en-GB"/>
        </w:rPr>
        <w:t xml:space="preserve"> ICER</w:t>
      </w:r>
      <w:r w:rsidR="00795529">
        <w:rPr>
          <w:rFonts w:asciiTheme="minorHAnsi" w:hAnsiTheme="minorHAnsi"/>
          <w:snapToGrid w:val="0"/>
          <w:lang w:val="en-GB"/>
        </w:rPr>
        <w:t xml:space="preserve">s </w:t>
      </w:r>
      <w:r w:rsidR="00A9439C">
        <w:rPr>
          <w:rFonts w:asciiTheme="minorHAnsi" w:hAnsiTheme="minorHAnsi"/>
          <w:snapToGrid w:val="0"/>
          <w:lang w:val="en-GB"/>
        </w:rPr>
        <w:t>and size of the patient population</w:t>
      </w:r>
      <w:r w:rsidR="00AE683D">
        <w:rPr>
          <w:rFonts w:asciiTheme="minorHAnsi" w:hAnsiTheme="minorHAnsi"/>
          <w:snapToGrid w:val="0"/>
          <w:lang w:val="en-GB"/>
        </w:rPr>
        <w:t xml:space="preserve"> </w:t>
      </w:r>
      <w:r w:rsidR="00886C08">
        <w:rPr>
          <w:rFonts w:asciiTheme="minorHAnsi" w:hAnsiTheme="minorHAnsi"/>
          <w:snapToGrid w:val="0"/>
          <w:lang w:val="en-GB"/>
        </w:rPr>
        <w:t>so</w:t>
      </w:r>
      <w:r w:rsidR="00AE683D">
        <w:rPr>
          <w:rFonts w:asciiTheme="minorHAnsi" w:hAnsiTheme="minorHAnsi"/>
          <w:snapToGrid w:val="0"/>
          <w:lang w:val="en-GB"/>
        </w:rPr>
        <w:t xml:space="preserve"> long as </w:t>
      </w:r>
      <w:r w:rsidR="008E6F1C">
        <w:rPr>
          <w:rFonts w:asciiTheme="minorHAnsi" w:hAnsiTheme="minorHAnsi"/>
          <w:snapToGrid w:val="0"/>
          <w:lang w:val="en-GB"/>
        </w:rPr>
        <w:t xml:space="preserve">the </w:t>
      </w:r>
      <w:r w:rsidR="005E4991">
        <w:rPr>
          <w:rFonts w:asciiTheme="minorHAnsi" w:hAnsiTheme="minorHAnsi"/>
          <w:snapToGrid w:val="0"/>
          <w:lang w:val="en-GB"/>
        </w:rPr>
        <w:t xml:space="preserve">financial estimates and </w:t>
      </w:r>
      <w:r w:rsidR="008E6F1C">
        <w:rPr>
          <w:rFonts w:asciiTheme="minorHAnsi" w:hAnsiTheme="minorHAnsi"/>
          <w:snapToGrid w:val="0"/>
          <w:lang w:val="en-GB"/>
        </w:rPr>
        <w:t xml:space="preserve">RSA managed the risk of </w:t>
      </w:r>
      <w:r w:rsidR="000F5BA4">
        <w:rPr>
          <w:rFonts w:asciiTheme="minorHAnsi" w:hAnsiTheme="minorHAnsi"/>
          <w:snapToGrid w:val="0"/>
          <w:lang w:val="en-GB"/>
        </w:rPr>
        <w:t>non-cost-effective use</w:t>
      </w:r>
      <w:r w:rsidR="00F174B1">
        <w:rPr>
          <w:rFonts w:asciiTheme="minorHAnsi" w:hAnsiTheme="minorHAnsi"/>
          <w:snapToGrid w:val="0"/>
          <w:lang w:val="en-GB"/>
        </w:rPr>
        <w:t xml:space="preserve"> </w:t>
      </w:r>
      <w:r w:rsidR="008F49C4">
        <w:rPr>
          <w:rFonts w:asciiTheme="minorHAnsi" w:hAnsiTheme="minorHAnsi"/>
          <w:snapToGrid w:val="0"/>
          <w:lang w:val="en-GB"/>
        </w:rPr>
        <w:t xml:space="preserve">(i.e. those with non-responsive disease </w:t>
      </w:r>
      <w:r w:rsidR="009F2F29">
        <w:rPr>
          <w:rFonts w:asciiTheme="minorHAnsi" w:hAnsiTheme="minorHAnsi"/>
          <w:snapToGrid w:val="0"/>
          <w:lang w:val="en-GB"/>
        </w:rPr>
        <w:t xml:space="preserve">or requiring dose </w:t>
      </w:r>
      <w:r w:rsidR="009F2F29">
        <w:rPr>
          <w:rFonts w:asciiTheme="minorHAnsi" w:hAnsiTheme="minorHAnsi"/>
          <w:snapToGrid w:val="0"/>
          <w:lang w:val="en-GB"/>
        </w:rPr>
        <w:lastRenderedPageBreak/>
        <w:t>escalation) and the risk of use where the cost effectiveness was unknown (</w:t>
      </w:r>
      <w:r w:rsidR="00C5088E">
        <w:rPr>
          <w:rFonts w:asciiTheme="minorHAnsi" w:hAnsiTheme="minorHAnsi"/>
          <w:snapToGrid w:val="0"/>
          <w:lang w:val="en-GB"/>
        </w:rPr>
        <w:t>i.e. patients diagnosed with PFIC as an adult and those with episodic disease)</w:t>
      </w:r>
      <w:r w:rsidR="00A9439C">
        <w:rPr>
          <w:rFonts w:asciiTheme="minorHAnsi" w:hAnsiTheme="minorHAnsi"/>
          <w:snapToGrid w:val="0"/>
          <w:lang w:val="en-GB"/>
        </w:rPr>
        <w:t>.</w:t>
      </w:r>
      <w:r w:rsidR="008F4409">
        <w:rPr>
          <w:rFonts w:asciiTheme="minorHAnsi" w:hAnsiTheme="minorHAnsi"/>
          <w:snapToGrid w:val="0"/>
          <w:lang w:val="en-GB"/>
        </w:rPr>
        <w:t xml:space="preserve"> </w:t>
      </w:r>
      <w:bookmarkEnd w:id="127"/>
      <w:bookmarkEnd w:id="128"/>
    </w:p>
    <w:p w14:paraId="7C2CBB63" w14:textId="77777777" w:rsidR="003D1AE9" w:rsidRDefault="000B149D" w:rsidP="003D1AE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In terms of the utilisation estimates, t</w:t>
      </w:r>
      <w:r w:rsidR="000F66F9">
        <w:rPr>
          <w:rFonts w:asciiTheme="minorHAnsi" w:hAnsiTheme="minorHAnsi"/>
          <w:snapToGrid w:val="0"/>
          <w:lang w:val="en-GB"/>
        </w:rPr>
        <w:t xml:space="preserve">he PBAC noted that the number of incident patients </w:t>
      </w:r>
      <w:r w:rsidR="00310E6B">
        <w:rPr>
          <w:rFonts w:asciiTheme="minorHAnsi" w:hAnsiTheme="minorHAnsi"/>
          <w:snapToGrid w:val="0"/>
          <w:lang w:val="en-GB"/>
        </w:rPr>
        <w:t xml:space="preserve">with PFIC </w:t>
      </w:r>
      <w:r w:rsidR="000F66F9">
        <w:rPr>
          <w:rFonts w:asciiTheme="minorHAnsi" w:hAnsiTheme="minorHAnsi"/>
          <w:snapToGrid w:val="0"/>
          <w:lang w:val="en-GB"/>
        </w:rPr>
        <w:t xml:space="preserve">was decreased from 6 </w:t>
      </w:r>
      <w:r w:rsidR="007A440C">
        <w:rPr>
          <w:rFonts w:asciiTheme="minorHAnsi" w:hAnsiTheme="minorHAnsi"/>
          <w:snapToGrid w:val="0"/>
          <w:lang w:val="en-GB"/>
        </w:rPr>
        <w:t xml:space="preserve">in the July 2024 submission </w:t>
      </w:r>
      <w:r w:rsidR="000F66F9">
        <w:rPr>
          <w:rFonts w:asciiTheme="minorHAnsi" w:hAnsiTheme="minorHAnsi"/>
          <w:snapToGrid w:val="0"/>
          <w:lang w:val="en-GB"/>
        </w:rPr>
        <w:t>to 4 in the resubmission and considered that this was reasonable.</w:t>
      </w:r>
      <w:bookmarkStart w:id="129" w:name="_Ref193964473"/>
    </w:p>
    <w:p w14:paraId="54D48140" w14:textId="03D854CB" w:rsidR="002C31E7" w:rsidRDefault="007A440C" w:rsidP="002C31E7">
      <w:pPr>
        <w:widowControl w:val="0"/>
        <w:numPr>
          <w:ilvl w:val="1"/>
          <w:numId w:val="1"/>
        </w:numPr>
        <w:spacing w:after="120"/>
        <w:rPr>
          <w:rFonts w:asciiTheme="minorHAnsi" w:hAnsiTheme="minorHAnsi"/>
          <w:snapToGrid w:val="0"/>
          <w:lang w:val="en-GB"/>
        </w:rPr>
      </w:pPr>
      <w:bookmarkStart w:id="130" w:name="_Ref195088885"/>
      <w:r w:rsidRPr="00C5623C">
        <w:rPr>
          <w:rFonts w:asciiTheme="minorHAnsi" w:hAnsiTheme="minorHAnsi"/>
          <w:snapToGrid w:val="0"/>
          <w:lang w:val="en-GB"/>
        </w:rPr>
        <w:t>The PBAC noted</w:t>
      </w:r>
      <w:r w:rsidR="00940CB1" w:rsidRPr="00C5623C">
        <w:rPr>
          <w:rFonts w:asciiTheme="minorHAnsi" w:hAnsiTheme="minorHAnsi"/>
          <w:snapToGrid w:val="0"/>
          <w:lang w:val="en-GB"/>
        </w:rPr>
        <w:t xml:space="preserve"> however,</w:t>
      </w:r>
      <w:r w:rsidRPr="00C5623C">
        <w:rPr>
          <w:rFonts w:asciiTheme="minorHAnsi" w:hAnsiTheme="minorHAnsi"/>
          <w:snapToGrid w:val="0"/>
          <w:lang w:val="en-GB"/>
        </w:rPr>
        <w:t xml:space="preserve"> that the prevalent population was increased from </w:t>
      </w:r>
      <w:r w:rsidR="008530C5">
        <w:rPr>
          <w:rFonts w:asciiTheme="minorHAnsi" w:hAnsiTheme="minorHAnsi"/>
          <w:snapToGrid w:val="0"/>
          <w:lang w:val="en-GB"/>
        </w:rPr>
        <w:t>&lt;500</w:t>
      </w:r>
      <w:r w:rsidR="008530C5" w:rsidRPr="00C5623C">
        <w:rPr>
          <w:rFonts w:asciiTheme="minorHAnsi" w:hAnsiTheme="minorHAnsi"/>
          <w:snapToGrid w:val="0"/>
          <w:lang w:val="en-GB"/>
        </w:rPr>
        <w:t xml:space="preserve"> </w:t>
      </w:r>
      <w:r w:rsidRPr="00C5623C">
        <w:rPr>
          <w:rFonts w:asciiTheme="minorHAnsi" w:hAnsiTheme="minorHAnsi"/>
          <w:snapToGrid w:val="0"/>
          <w:lang w:val="en-GB"/>
        </w:rPr>
        <w:t xml:space="preserve">in the July 2024 submission to </w:t>
      </w:r>
      <w:r w:rsidR="008530C5">
        <w:rPr>
          <w:rFonts w:asciiTheme="minorHAnsi" w:hAnsiTheme="minorHAnsi"/>
          <w:snapToGrid w:val="0"/>
          <w:lang w:val="en-GB"/>
        </w:rPr>
        <w:t>&lt;500</w:t>
      </w:r>
      <w:r w:rsidR="008530C5" w:rsidRPr="00C5623C">
        <w:rPr>
          <w:rFonts w:asciiTheme="minorHAnsi" w:hAnsiTheme="minorHAnsi"/>
          <w:snapToGrid w:val="0"/>
          <w:lang w:val="en-GB"/>
        </w:rPr>
        <w:t xml:space="preserve"> </w:t>
      </w:r>
      <w:r w:rsidRPr="00C5623C">
        <w:rPr>
          <w:rFonts w:asciiTheme="minorHAnsi" w:hAnsiTheme="minorHAnsi"/>
          <w:snapToGrid w:val="0"/>
          <w:lang w:val="en-GB"/>
        </w:rPr>
        <w:t>in the resubmission</w:t>
      </w:r>
      <w:r w:rsidR="002548F0" w:rsidRPr="00C5623C">
        <w:rPr>
          <w:rFonts w:asciiTheme="minorHAnsi" w:hAnsiTheme="minorHAnsi"/>
          <w:snapToGrid w:val="0"/>
          <w:lang w:val="en-GB"/>
        </w:rPr>
        <w:t xml:space="preserve"> due to changes in t</w:t>
      </w:r>
      <w:r w:rsidR="000749B1" w:rsidRPr="00C5623C">
        <w:rPr>
          <w:rFonts w:asciiTheme="minorHAnsi" w:hAnsiTheme="minorHAnsi"/>
          <w:snapToGrid w:val="0"/>
          <w:lang w:val="en-GB"/>
        </w:rPr>
        <w:t>he proportion of patients with prior liver transplant or PEBD surgery</w:t>
      </w:r>
      <w:r w:rsidR="00723E3A">
        <w:rPr>
          <w:rFonts w:asciiTheme="minorHAnsi" w:hAnsiTheme="minorHAnsi"/>
          <w:snapToGrid w:val="0"/>
          <w:lang w:val="en-GB"/>
        </w:rPr>
        <w:t xml:space="preserve"> to account for different rate</w:t>
      </w:r>
      <w:r w:rsidR="00F50E6B">
        <w:rPr>
          <w:rFonts w:asciiTheme="minorHAnsi" w:hAnsiTheme="minorHAnsi"/>
          <w:snapToGrid w:val="0"/>
          <w:lang w:val="en-GB"/>
        </w:rPr>
        <w:t>s</w:t>
      </w:r>
      <w:r w:rsidR="00723E3A">
        <w:rPr>
          <w:rFonts w:asciiTheme="minorHAnsi" w:hAnsiTheme="minorHAnsi"/>
          <w:snapToGrid w:val="0"/>
          <w:lang w:val="en-GB"/>
        </w:rPr>
        <w:t xml:space="preserve"> in</w:t>
      </w:r>
      <w:r w:rsidR="00F50E6B">
        <w:rPr>
          <w:rFonts w:asciiTheme="minorHAnsi" w:hAnsiTheme="minorHAnsi"/>
          <w:snapToGrid w:val="0"/>
          <w:lang w:val="en-GB"/>
        </w:rPr>
        <w:t xml:space="preserve"> children and adults</w:t>
      </w:r>
      <w:r w:rsidR="00423A7C">
        <w:rPr>
          <w:rFonts w:asciiTheme="minorHAnsi" w:hAnsiTheme="minorHAnsi"/>
          <w:snapToGrid w:val="0"/>
          <w:lang w:val="en-GB"/>
        </w:rPr>
        <w:t xml:space="preserve"> (which was </w:t>
      </w:r>
      <w:r w:rsidR="00E01005">
        <w:rPr>
          <w:rFonts w:asciiTheme="minorHAnsi" w:hAnsiTheme="minorHAnsi"/>
          <w:snapToGrid w:val="0"/>
          <w:lang w:val="en-GB"/>
        </w:rPr>
        <w:t xml:space="preserve">then </w:t>
      </w:r>
      <w:r w:rsidR="00423A7C">
        <w:rPr>
          <w:rFonts w:asciiTheme="minorHAnsi" w:hAnsiTheme="minorHAnsi"/>
          <w:snapToGrid w:val="0"/>
          <w:lang w:val="en-GB"/>
        </w:rPr>
        <w:t>applied as a weighted rate</w:t>
      </w:r>
      <w:r w:rsidR="00E01005">
        <w:rPr>
          <w:rFonts w:asciiTheme="minorHAnsi" w:hAnsiTheme="minorHAnsi"/>
          <w:snapToGrid w:val="0"/>
          <w:lang w:val="en-GB"/>
        </w:rPr>
        <w:t xml:space="preserve"> across the</w:t>
      </w:r>
      <w:r w:rsidR="00646D0E">
        <w:rPr>
          <w:rFonts w:asciiTheme="minorHAnsi" w:hAnsiTheme="minorHAnsi"/>
          <w:snapToGrid w:val="0"/>
          <w:lang w:val="en-GB"/>
        </w:rPr>
        <w:t xml:space="preserve"> prevalent population</w:t>
      </w:r>
      <w:r w:rsidR="00E01005">
        <w:rPr>
          <w:rFonts w:asciiTheme="minorHAnsi" w:hAnsiTheme="minorHAnsi"/>
          <w:snapToGrid w:val="0"/>
          <w:lang w:val="en-GB"/>
        </w:rPr>
        <w:t>)</w:t>
      </w:r>
      <w:r w:rsidRPr="00C5623C">
        <w:rPr>
          <w:rFonts w:asciiTheme="minorHAnsi" w:hAnsiTheme="minorHAnsi"/>
          <w:snapToGrid w:val="0"/>
          <w:lang w:val="en-GB"/>
        </w:rPr>
        <w:t xml:space="preserve">. </w:t>
      </w:r>
      <w:r w:rsidR="000749B1" w:rsidRPr="00C5623C">
        <w:rPr>
          <w:rFonts w:asciiTheme="minorHAnsi" w:hAnsiTheme="minorHAnsi"/>
          <w:snapToGrid w:val="0"/>
          <w:lang w:val="en-GB"/>
        </w:rPr>
        <w:t xml:space="preserve">The PBAC considered that </w:t>
      </w:r>
      <w:r w:rsidR="008951E0" w:rsidRPr="00C5623C">
        <w:rPr>
          <w:rFonts w:asciiTheme="minorHAnsi" w:hAnsiTheme="minorHAnsi"/>
          <w:snapToGrid w:val="0"/>
          <w:lang w:val="en-GB"/>
        </w:rPr>
        <w:t xml:space="preserve">although the </w:t>
      </w:r>
      <w:r w:rsidR="003D1AE9" w:rsidRPr="00C5623C">
        <w:rPr>
          <w:rFonts w:asciiTheme="minorHAnsi" w:hAnsiTheme="minorHAnsi"/>
          <w:snapToGrid w:val="0"/>
          <w:lang w:val="en-GB"/>
        </w:rPr>
        <w:t>changes in liver transplant and PEBD surgery were reasonable,</w:t>
      </w:r>
      <w:r w:rsidR="00471991">
        <w:rPr>
          <w:rFonts w:asciiTheme="minorHAnsi" w:hAnsiTheme="minorHAnsi"/>
          <w:snapToGrid w:val="0"/>
          <w:lang w:val="en-GB"/>
        </w:rPr>
        <w:t xml:space="preserve"> </w:t>
      </w:r>
      <w:r w:rsidR="00E4122A">
        <w:rPr>
          <w:rFonts w:asciiTheme="minorHAnsi" w:hAnsiTheme="minorHAnsi"/>
          <w:snapToGrid w:val="0"/>
          <w:lang w:val="en-GB"/>
        </w:rPr>
        <w:t xml:space="preserve">it would be more appropriate to </w:t>
      </w:r>
      <w:r w:rsidR="00723E3A">
        <w:rPr>
          <w:rFonts w:asciiTheme="minorHAnsi" w:hAnsiTheme="minorHAnsi"/>
          <w:snapToGrid w:val="0"/>
          <w:lang w:val="en-GB"/>
        </w:rPr>
        <w:t xml:space="preserve">estimate use </w:t>
      </w:r>
      <w:r w:rsidR="006075C1">
        <w:rPr>
          <w:rFonts w:asciiTheme="minorHAnsi" w:hAnsiTheme="minorHAnsi"/>
          <w:snapToGrid w:val="0"/>
          <w:lang w:val="en-GB"/>
        </w:rPr>
        <w:t>separately</w:t>
      </w:r>
      <w:r w:rsidR="00F50E6B">
        <w:rPr>
          <w:rFonts w:asciiTheme="minorHAnsi" w:hAnsiTheme="minorHAnsi"/>
          <w:snapToGrid w:val="0"/>
          <w:lang w:val="en-GB"/>
        </w:rPr>
        <w:t xml:space="preserve"> for children and adults</w:t>
      </w:r>
      <w:r w:rsidR="006075C1">
        <w:rPr>
          <w:rFonts w:asciiTheme="minorHAnsi" w:hAnsiTheme="minorHAnsi"/>
          <w:snapToGrid w:val="0"/>
          <w:lang w:val="en-GB"/>
        </w:rPr>
        <w:t>.</w:t>
      </w:r>
      <w:bookmarkEnd w:id="129"/>
      <w:r w:rsidR="004437FF" w:rsidRPr="00C5623C">
        <w:rPr>
          <w:rFonts w:asciiTheme="minorHAnsi" w:hAnsiTheme="minorHAnsi"/>
          <w:snapToGrid w:val="0"/>
          <w:lang w:val="en-GB"/>
        </w:rPr>
        <w:t xml:space="preserve"> </w:t>
      </w:r>
      <w:r w:rsidR="00DA08E1" w:rsidRPr="00C5623C">
        <w:rPr>
          <w:rFonts w:asciiTheme="minorHAnsi" w:hAnsiTheme="minorHAnsi"/>
          <w:snapToGrid w:val="0"/>
          <w:lang w:val="en-GB"/>
        </w:rPr>
        <w:t xml:space="preserve">The PBAC noted that </w:t>
      </w:r>
      <w:r w:rsidR="002313BB" w:rsidRPr="00C5623C">
        <w:rPr>
          <w:rFonts w:asciiTheme="minorHAnsi" w:hAnsiTheme="minorHAnsi"/>
          <w:snapToGrid w:val="0"/>
          <w:lang w:val="en-GB"/>
        </w:rPr>
        <w:t xml:space="preserve">PFIC and Related Disorders, Australia </w:t>
      </w:r>
      <w:r w:rsidR="00661708" w:rsidRPr="00C5623C">
        <w:rPr>
          <w:rFonts w:asciiTheme="minorHAnsi" w:hAnsiTheme="minorHAnsi"/>
          <w:snapToGrid w:val="0"/>
          <w:lang w:val="en-GB"/>
        </w:rPr>
        <w:t xml:space="preserve">stated that the </w:t>
      </w:r>
      <w:r w:rsidR="00226C32">
        <w:rPr>
          <w:rFonts w:asciiTheme="minorHAnsi" w:hAnsiTheme="minorHAnsi"/>
          <w:snapToGrid w:val="0"/>
          <w:lang w:val="en-GB"/>
        </w:rPr>
        <w:t xml:space="preserve">prevalent </w:t>
      </w:r>
      <w:r w:rsidR="00661708" w:rsidRPr="00C5623C">
        <w:rPr>
          <w:rFonts w:asciiTheme="minorHAnsi" w:hAnsiTheme="minorHAnsi"/>
          <w:snapToGrid w:val="0"/>
          <w:lang w:val="en-GB"/>
        </w:rPr>
        <w:t>adult population was likely to be approximately 10 patients.</w:t>
      </w:r>
      <w:bookmarkEnd w:id="130"/>
      <w:r w:rsidR="00661708" w:rsidRPr="00C5623C">
        <w:rPr>
          <w:rFonts w:asciiTheme="minorHAnsi" w:hAnsiTheme="minorHAnsi"/>
          <w:snapToGrid w:val="0"/>
          <w:lang w:val="en-GB"/>
        </w:rPr>
        <w:t xml:space="preserve"> </w:t>
      </w:r>
      <w:bookmarkStart w:id="131" w:name="_Ref195088898"/>
    </w:p>
    <w:p w14:paraId="0E5E094F" w14:textId="6119F4E2" w:rsidR="000E1A90" w:rsidRPr="002C31E7" w:rsidRDefault="006124DF" w:rsidP="002C31E7">
      <w:pPr>
        <w:widowControl w:val="0"/>
        <w:numPr>
          <w:ilvl w:val="1"/>
          <w:numId w:val="1"/>
        </w:numPr>
        <w:spacing w:after="120"/>
        <w:rPr>
          <w:rFonts w:asciiTheme="minorHAnsi" w:hAnsiTheme="minorHAnsi"/>
          <w:snapToGrid w:val="0"/>
          <w:lang w:val="en-GB"/>
        </w:rPr>
      </w:pPr>
      <w:r w:rsidRPr="002C31E7">
        <w:rPr>
          <w:rFonts w:asciiTheme="minorHAnsi" w:hAnsiTheme="minorHAnsi"/>
          <w:snapToGrid w:val="0"/>
          <w:lang w:val="en-GB"/>
        </w:rPr>
        <w:t xml:space="preserve">The PBAC also considered that the financial impact of </w:t>
      </w:r>
      <w:r w:rsidR="0011311E" w:rsidRPr="002C31E7">
        <w:rPr>
          <w:rFonts w:asciiTheme="minorHAnsi" w:hAnsiTheme="minorHAnsi"/>
          <w:snapToGrid w:val="0"/>
          <w:lang w:val="en-GB"/>
        </w:rPr>
        <w:t>odevixibat was overestimated as</w:t>
      </w:r>
      <w:r w:rsidR="0039363E" w:rsidRPr="002C31E7">
        <w:rPr>
          <w:rFonts w:asciiTheme="minorHAnsi" w:hAnsiTheme="minorHAnsi"/>
          <w:snapToGrid w:val="0"/>
          <w:lang w:val="en-GB"/>
        </w:rPr>
        <w:t xml:space="preserve"> the</w:t>
      </w:r>
      <w:bookmarkEnd w:id="131"/>
      <w:r w:rsidR="00E10F90" w:rsidRPr="002C31E7">
        <w:rPr>
          <w:rFonts w:asciiTheme="minorHAnsi" w:hAnsiTheme="minorHAnsi"/>
          <w:snapToGrid w:val="0"/>
          <w:lang w:val="en-GB"/>
        </w:rPr>
        <w:t xml:space="preserve"> </w:t>
      </w:r>
      <w:r w:rsidR="00DB5C16" w:rsidRPr="002C31E7">
        <w:rPr>
          <w:rFonts w:asciiTheme="minorHAnsi" w:hAnsiTheme="minorHAnsi"/>
          <w:snapToGrid w:val="0"/>
          <w:lang w:val="en-GB"/>
        </w:rPr>
        <w:t>e</w:t>
      </w:r>
      <w:r w:rsidR="000E1A90" w:rsidRPr="002C31E7">
        <w:rPr>
          <w:rFonts w:asciiTheme="minorHAnsi" w:hAnsiTheme="minorHAnsi"/>
          <w:snapToGrid w:val="0"/>
          <w:lang w:val="en-GB"/>
        </w:rPr>
        <w:t xml:space="preserve">stimates assumed </w:t>
      </w:r>
      <w:r w:rsidR="001549E4" w:rsidRPr="00DA2049">
        <w:rPr>
          <w:rFonts w:asciiTheme="minorHAnsi" w:hAnsiTheme="minorHAnsi"/>
          <w:snapToGrid w:val="0"/>
          <w:color w:val="000000"/>
          <w:w w:val="15"/>
          <w:shd w:val="solid" w:color="000000" w:fill="000000"/>
          <w:fitText w:val="-20" w:id="-693990906"/>
          <w:lang w:val="en-GB"/>
          <w14:textFill>
            <w14:solidFill>
              <w14:srgbClr w14:val="000000">
                <w14:alpha w14:val="100000"/>
              </w14:srgbClr>
            </w14:solidFill>
          </w14:textFill>
        </w:rPr>
        <w:t>|</w:t>
      </w:r>
      <w:r w:rsidR="004A6DE4" w:rsidRPr="00DA2049">
        <w:rPr>
          <w:rFonts w:asciiTheme="minorHAnsi" w:hAnsiTheme="minorHAnsi"/>
          <w:snapToGrid w:val="0"/>
          <w:color w:val="000000"/>
          <w:w w:val="15"/>
          <w:shd w:val="solid" w:color="000000" w:fill="000000"/>
          <w:fitText w:val="-20" w:id="-693990906"/>
          <w:lang w:val="en-GB"/>
          <w14:textFill>
            <w14:solidFill>
              <w14:srgbClr w14:val="000000">
                <w14:alpha w14:val="100000"/>
              </w14:srgbClr>
            </w14:solidFill>
          </w14:textFill>
        </w:rPr>
        <w:t xml:space="preserve"> </w:t>
      </w:r>
      <w:r w:rsidR="001549E4" w:rsidRPr="00DA2049">
        <w:rPr>
          <w:rFonts w:asciiTheme="minorHAnsi" w:hAnsiTheme="minorHAnsi"/>
          <w:snapToGrid w:val="0"/>
          <w:color w:val="000000"/>
          <w:spacing w:val="-61"/>
          <w:w w:val="15"/>
          <w:shd w:val="solid" w:color="000000" w:fill="000000"/>
          <w:fitText w:val="-20" w:id="-693990906"/>
          <w:lang w:val="en-GB"/>
          <w14:textFill>
            <w14:solidFill>
              <w14:srgbClr w14:val="000000">
                <w14:alpha w14:val="100000"/>
              </w14:srgbClr>
            </w14:solidFill>
          </w14:textFill>
        </w:rPr>
        <w:t>|</w:t>
      </w:r>
      <w:r w:rsidR="000E1A90" w:rsidRPr="002C31E7">
        <w:rPr>
          <w:rFonts w:asciiTheme="minorHAnsi" w:hAnsiTheme="minorHAnsi"/>
          <w:snapToGrid w:val="0"/>
          <w:lang w:val="en-GB"/>
        </w:rPr>
        <w:t xml:space="preserve">% uptake in </w:t>
      </w:r>
      <w:r w:rsidR="0076429C" w:rsidRPr="002C31E7">
        <w:rPr>
          <w:rFonts w:asciiTheme="minorHAnsi" w:hAnsiTheme="minorHAnsi"/>
          <w:snapToGrid w:val="0"/>
          <w:lang w:val="en-GB"/>
        </w:rPr>
        <w:t xml:space="preserve">Year 1 and </w:t>
      </w:r>
      <w:r w:rsidR="0076429C" w:rsidRPr="00D03A40">
        <w:rPr>
          <w:rFonts w:asciiTheme="minorHAnsi" w:hAnsiTheme="minorHAnsi"/>
          <w:snapToGrid w:val="0"/>
          <w:lang w:val="en-GB"/>
        </w:rPr>
        <w:t>100</w:t>
      </w:r>
      <w:r w:rsidR="0076429C" w:rsidRPr="002C31E7">
        <w:rPr>
          <w:rFonts w:asciiTheme="minorHAnsi" w:hAnsiTheme="minorHAnsi"/>
          <w:snapToGrid w:val="0"/>
          <w:lang w:val="en-GB"/>
        </w:rPr>
        <w:t>% compliance for all patients.</w:t>
      </w:r>
      <w:r w:rsidR="0039363E" w:rsidRPr="002C31E7">
        <w:rPr>
          <w:rFonts w:asciiTheme="minorHAnsi" w:hAnsiTheme="minorHAnsi"/>
          <w:snapToGrid w:val="0"/>
          <w:lang w:val="en-GB"/>
        </w:rPr>
        <w:t xml:space="preserve"> The PBAC </w:t>
      </w:r>
      <w:r w:rsidR="00E125C6" w:rsidRPr="002C31E7">
        <w:rPr>
          <w:rFonts w:asciiTheme="minorHAnsi" w:hAnsiTheme="minorHAnsi"/>
          <w:snapToGrid w:val="0"/>
          <w:lang w:val="en-GB"/>
        </w:rPr>
        <w:t xml:space="preserve">considered that an uptake of </w:t>
      </w:r>
      <w:r w:rsidR="001549E4" w:rsidRPr="00DA2049">
        <w:rPr>
          <w:rFonts w:asciiTheme="minorHAnsi" w:hAnsiTheme="minorHAnsi"/>
          <w:snapToGrid w:val="0"/>
          <w:color w:val="000000"/>
          <w:w w:val="15"/>
          <w:shd w:val="solid" w:color="000000" w:fill="000000"/>
          <w:fitText w:val="-20" w:id="-693990905"/>
          <w:lang w:val="en-GB"/>
          <w14:textFill>
            <w14:solidFill>
              <w14:srgbClr w14:val="000000">
                <w14:alpha w14:val="100000"/>
              </w14:srgbClr>
            </w14:solidFill>
          </w14:textFill>
        </w:rPr>
        <w:t>|</w:t>
      </w:r>
      <w:r w:rsidR="004A6DE4" w:rsidRPr="00DA2049">
        <w:rPr>
          <w:rFonts w:asciiTheme="minorHAnsi" w:hAnsiTheme="minorHAnsi"/>
          <w:snapToGrid w:val="0"/>
          <w:color w:val="000000"/>
          <w:w w:val="15"/>
          <w:shd w:val="solid" w:color="000000" w:fill="000000"/>
          <w:fitText w:val="-20" w:id="-693990905"/>
          <w:lang w:val="en-GB"/>
          <w14:textFill>
            <w14:solidFill>
              <w14:srgbClr w14:val="000000">
                <w14:alpha w14:val="100000"/>
              </w14:srgbClr>
            </w14:solidFill>
          </w14:textFill>
        </w:rPr>
        <w:t xml:space="preserve"> </w:t>
      </w:r>
      <w:r w:rsidR="001549E4" w:rsidRPr="00DA2049">
        <w:rPr>
          <w:rFonts w:asciiTheme="minorHAnsi" w:hAnsiTheme="minorHAnsi"/>
          <w:snapToGrid w:val="0"/>
          <w:color w:val="000000"/>
          <w:spacing w:val="-61"/>
          <w:w w:val="15"/>
          <w:shd w:val="solid" w:color="000000" w:fill="000000"/>
          <w:fitText w:val="-20" w:id="-693990905"/>
          <w:lang w:val="en-GB"/>
          <w14:textFill>
            <w14:solidFill>
              <w14:srgbClr w14:val="000000">
                <w14:alpha w14:val="100000"/>
              </w14:srgbClr>
            </w14:solidFill>
          </w14:textFill>
        </w:rPr>
        <w:t>|</w:t>
      </w:r>
      <w:r w:rsidR="00E125C6" w:rsidRPr="002C31E7">
        <w:rPr>
          <w:rFonts w:asciiTheme="minorHAnsi" w:hAnsiTheme="minorHAnsi"/>
          <w:snapToGrid w:val="0"/>
          <w:lang w:val="en-GB"/>
        </w:rPr>
        <w:t xml:space="preserve">% was </w:t>
      </w:r>
      <w:r w:rsidR="00E10F90" w:rsidRPr="002C31E7">
        <w:rPr>
          <w:rFonts w:asciiTheme="minorHAnsi" w:hAnsiTheme="minorHAnsi"/>
          <w:snapToGrid w:val="0"/>
          <w:lang w:val="en-GB"/>
        </w:rPr>
        <w:t xml:space="preserve">uncertain and </w:t>
      </w:r>
      <w:r w:rsidR="00865DA8" w:rsidRPr="002C31E7">
        <w:rPr>
          <w:rFonts w:asciiTheme="minorHAnsi" w:hAnsiTheme="minorHAnsi"/>
          <w:snapToGrid w:val="0"/>
          <w:lang w:val="en-GB"/>
        </w:rPr>
        <w:t xml:space="preserve">noted that treatment interruptions </w:t>
      </w:r>
      <w:r w:rsidR="00497B92" w:rsidRPr="002C31E7">
        <w:rPr>
          <w:rFonts w:asciiTheme="minorHAnsi" w:hAnsiTheme="minorHAnsi"/>
          <w:snapToGrid w:val="0"/>
          <w:lang w:val="en-GB"/>
        </w:rPr>
        <w:t>due to adverse events occurred in 34% of patients in PEDFIC 2.</w:t>
      </w:r>
    </w:p>
    <w:p w14:paraId="47537757" w14:textId="7B7E82A1" w:rsidR="008774C8" w:rsidRDefault="008774C8" w:rsidP="0075697A">
      <w:pPr>
        <w:widowControl w:val="0"/>
        <w:numPr>
          <w:ilvl w:val="1"/>
          <w:numId w:val="1"/>
        </w:numPr>
        <w:spacing w:after="120"/>
        <w:rPr>
          <w:rFonts w:asciiTheme="minorHAnsi" w:hAnsiTheme="minorHAnsi"/>
          <w:snapToGrid w:val="0"/>
          <w:lang w:val="en-GB"/>
        </w:rPr>
      </w:pPr>
      <w:bookmarkStart w:id="132" w:name="_Ref193961308"/>
      <w:r>
        <w:rPr>
          <w:rFonts w:asciiTheme="minorHAnsi" w:hAnsiTheme="minorHAnsi"/>
          <w:snapToGrid w:val="0"/>
          <w:lang w:val="en-GB"/>
        </w:rPr>
        <w:t xml:space="preserve">The PBAC noted that patients </w:t>
      </w:r>
      <w:r w:rsidR="00EA1B04">
        <w:rPr>
          <w:rFonts w:asciiTheme="minorHAnsi" w:hAnsiTheme="minorHAnsi"/>
          <w:snapToGrid w:val="0"/>
          <w:lang w:val="en-GB"/>
        </w:rPr>
        <w:t xml:space="preserve">diagnosed with PFIC as an adult and those with </w:t>
      </w:r>
      <w:r>
        <w:rPr>
          <w:rFonts w:asciiTheme="minorHAnsi" w:hAnsiTheme="minorHAnsi"/>
          <w:snapToGrid w:val="0"/>
          <w:lang w:val="en-GB"/>
        </w:rPr>
        <w:t>episodic disease were not included in the utilisation estimates. The PBAC considered that this was reasonable as no clinical evidence was provided for these patients.</w:t>
      </w:r>
    </w:p>
    <w:p w14:paraId="0533DFD6" w14:textId="4BC06A4E" w:rsidR="000125BE" w:rsidRPr="0075697A" w:rsidRDefault="00DD7EB8" w:rsidP="0075697A">
      <w:pPr>
        <w:widowControl w:val="0"/>
        <w:numPr>
          <w:ilvl w:val="1"/>
          <w:numId w:val="1"/>
        </w:numPr>
        <w:spacing w:after="120"/>
        <w:rPr>
          <w:rFonts w:asciiTheme="minorHAnsi" w:hAnsiTheme="minorHAnsi"/>
          <w:snapToGrid w:val="0"/>
          <w:lang w:val="en-GB"/>
        </w:rPr>
      </w:pPr>
      <w:bookmarkStart w:id="133" w:name="_Ref195089028"/>
      <w:r>
        <w:rPr>
          <w:rFonts w:asciiTheme="minorHAnsi" w:hAnsiTheme="minorHAnsi"/>
          <w:snapToGrid w:val="0"/>
          <w:lang w:val="en-GB"/>
        </w:rPr>
        <w:t xml:space="preserve">As </w:t>
      </w:r>
      <w:r w:rsidR="0075697A" w:rsidRPr="00D56748">
        <w:rPr>
          <w:rFonts w:asciiTheme="minorHAnsi" w:hAnsiTheme="minorHAnsi"/>
          <w:snapToGrid w:val="0"/>
          <w:lang w:val="en-GB"/>
        </w:rPr>
        <w:t xml:space="preserve">noted </w:t>
      </w:r>
      <w:r>
        <w:rPr>
          <w:rFonts w:asciiTheme="minorHAnsi" w:hAnsiTheme="minorHAnsi"/>
          <w:snapToGrid w:val="0"/>
          <w:lang w:val="en-GB"/>
        </w:rPr>
        <w:t>above,</w:t>
      </w:r>
      <w:r w:rsidR="0075697A" w:rsidRPr="00D56748">
        <w:rPr>
          <w:rFonts w:asciiTheme="minorHAnsi" w:hAnsiTheme="minorHAnsi"/>
          <w:snapToGrid w:val="0"/>
          <w:lang w:val="en-GB"/>
        </w:rPr>
        <w:t xml:space="preserve"> the resubmission proposed that </w:t>
      </w:r>
      <w:r w:rsidR="0075697A">
        <w:rPr>
          <w:rFonts w:asciiTheme="minorHAnsi" w:hAnsiTheme="minorHAnsi"/>
          <w:snapToGrid w:val="0"/>
          <w:lang w:val="en-GB"/>
        </w:rPr>
        <w:t xml:space="preserve">cost associated with </w:t>
      </w:r>
      <w:r w:rsidR="0075697A" w:rsidRPr="00D56748">
        <w:rPr>
          <w:rFonts w:asciiTheme="minorHAnsi" w:hAnsiTheme="minorHAnsi"/>
          <w:snapToGrid w:val="0"/>
          <w:lang w:val="en-GB"/>
        </w:rPr>
        <w:t>dose escalation from 40</w:t>
      </w:r>
      <w:r w:rsidR="0017081E">
        <w:rPr>
          <w:rFonts w:asciiTheme="minorHAnsi" w:hAnsiTheme="minorHAnsi"/>
          <w:snapToGrid w:val="0"/>
          <w:lang w:val="en-GB"/>
        </w:rPr>
        <w:t> mcg</w:t>
      </w:r>
      <w:r w:rsidR="0075697A" w:rsidRPr="00D56748">
        <w:rPr>
          <w:rFonts w:asciiTheme="minorHAnsi" w:hAnsiTheme="minorHAnsi"/>
          <w:snapToGrid w:val="0"/>
          <w:lang w:val="en-GB"/>
        </w:rPr>
        <w:t>/kg/day to 120</w:t>
      </w:r>
      <w:r w:rsidR="0017081E">
        <w:rPr>
          <w:rFonts w:asciiTheme="minorHAnsi" w:hAnsiTheme="minorHAnsi"/>
          <w:snapToGrid w:val="0"/>
          <w:lang w:val="en-GB"/>
        </w:rPr>
        <w:t> mcg</w:t>
      </w:r>
      <w:r w:rsidR="0075697A" w:rsidRPr="00D56748">
        <w:rPr>
          <w:rFonts w:asciiTheme="minorHAnsi" w:hAnsiTheme="minorHAnsi"/>
          <w:snapToGrid w:val="0"/>
          <w:lang w:val="en-GB"/>
        </w:rPr>
        <w:t xml:space="preserve">/kg/day would be managed through the RSA. </w:t>
      </w:r>
      <w:r w:rsidR="00226C32">
        <w:rPr>
          <w:rFonts w:asciiTheme="minorHAnsi" w:hAnsiTheme="minorHAnsi"/>
          <w:snapToGrid w:val="0"/>
          <w:lang w:val="en-GB"/>
        </w:rPr>
        <w:t>In the absence of clinical data supporting dose escalation, t</w:t>
      </w:r>
      <w:r>
        <w:rPr>
          <w:rFonts w:asciiTheme="minorHAnsi" w:hAnsiTheme="minorHAnsi"/>
          <w:snapToGrid w:val="0"/>
          <w:lang w:val="en-GB"/>
        </w:rPr>
        <w:t xml:space="preserve">he PBAC considered </w:t>
      </w:r>
      <w:r w:rsidRPr="00D03A40">
        <w:rPr>
          <w:rFonts w:asciiTheme="minorHAnsi" w:hAnsiTheme="minorHAnsi"/>
          <w:snapToGrid w:val="0"/>
          <w:lang w:val="en-GB"/>
        </w:rPr>
        <w:t>that</w:t>
      </w:r>
      <w:r w:rsidR="00226C32" w:rsidRPr="00D03A40">
        <w:rPr>
          <w:rFonts w:asciiTheme="minorHAnsi" w:hAnsiTheme="minorHAnsi"/>
          <w:snapToGrid w:val="0"/>
          <w:lang w:val="en-GB"/>
        </w:rPr>
        <w:t xml:space="preserve"> flat pricing</w:t>
      </w:r>
      <w:r w:rsidR="00226C32">
        <w:rPr>
          <w:rFonts w:asciiTheme="minorHAnsi" w:hAnsiTheme="minorHAnsi"/>
          <w:snapToGrid w:val="0"/>
          <w:lang w:val="en-GB"/>
        </w:rPr>
        <w:t xml:space="preserve"> across doses would be the most appropriate way to manage this risk. However, in the absence of flat pricing, the PBAC </w:t>
      </w:r>
      <w:r w:rsidR="00936724">
        <w:rPr>
          <w:rFonts w:asciiTheme="minorHAnsi" w:hAnsiTheme="minorHAnsi"/>
          <w:snapToGrid w:val="0"/>
          <w:lang w:val="en-GB"/>
        </w:rPr>
        <w:t xml:space="preserve">considered </w:t>
      </w:r>
      <w:r w:rsidR="00226C32">
        <w:rPr>
          <w:rFonts w:asciiTheme="minorHAnsi" w:hAnsiTheme="minorHAnsi"/>
          <w:snapToGrid w:val="0"/>
          <w:lang w:val="en-GB"/>
        </w:rPr>
        <w:t>managing this risk in the RSA</w:t>
      </w:r>
      <w:r>
        <w:rPr>
          <w:rFonts w:asciiTheme="minorHAnsi" w:hAnsiTheme="minorHAnsi"/>
          <w:snapToGrid w:val="0"/>
          <w:lang w:val="en-GB"/>
        </w:rPr>
        <w:t xml:space="preserve"> was appropriate. </w:t>
      </w:r>
      <w:r w:rsidR="0075697A" w:rsidRPr="00D56748">
        <w:rPr>
          <w:rFonts w:asciiTheme="minorHAnsi" w:hAnsiTheme="minorHAnsi"/>
          <w:snapToGrid w:val="0"/>
          <w:lang w:val="en-GB"/>
        </w:rPr>
        <w:t xml:space="preserve">The PBAC accepted that genetic testing for PFIC was inconclusive in some patients and </w:t>
      </w:r>
      <w:r w:rsidR="0075697A">
        <w:rPr>
          <w:rFonts w:asciiTheme="minorHAnsi" w:hAnsiTheme="minorHAnsi"/>
          <w:snapToGrid w:val="0"/>
          <w:lang w:val="en-GB"/>
        </w:rPr>
        <w:t xml:space="preserve">noted </w:t>
      </w:r>
      <w:r w:rsidR="0075697A" w:rsidRPr="00D56748">
        <w:rPr>
          <w:rFonts w:asciiTheme="minorHAnsi" w:hAnsiTheme="minorHAnsi"/>
          <w:snapToGrid w:val="0"/>
          <w:lang w:val="en-GB"/>
        </w:rPr>
        <w:t xml:space="preserve">that use in patients who had subtypes of disease </w:t>
      </w:r>
      <w:r w:rsidR="000852A2">
        <w:rPr>
          <w:rFonts w:asciiTheme="minorHAnsi" w:hAnsiTheme="minorHAnsi"/>
          <w:snapToGrid w:val="0"/>
          <w:lang w:val="en-GB"/>
        </w:rPr>
        <w:t xml:space="preserve">known to be non-responsive were </w:t>
      </w:r>
      <w:r>
        <w:rPr>
          <w:rFonts w:asciiTheme="minorHAnsi" w:hAnsiTheme="minorHAnsi"/>
          <w:snapToGrid w:val="0"/>
          <w:lang w:val="en-GB"/>
        </w:rPr>
        <w:t xml:space="preserve">appropriately </w:t>
      </w:r>
      <w:r w:rsidR="00883A3F">
        <w:rPr>
          <w:rFonts w:asciiTheme="minorHAnsi" w:hAnsiTheme="minorHAnsi"/>
          <w:snapToGrid w:val="0"/>
          <w:lang w:val="en-GB"/>
        </w:rPr>
        <w:t xml:space="preserve">removed from the </w:t>
      </w:r>
      <w:r w:rsidR="0075697A" w:rsidRPr="00D56748">
        <w:rPr>
          <w:rFonts w:asciiTheme="minorHAnsi" w:hAnsiTheme="minorHAnsi"/>
          <w:snapToGrid w:val="0"/>
          <w:lang w:val="en-GB"/>
        </w:rPr>
        <w:t>proposed RSA</w:t>
      </w:r>
      <w:r w:rsidR="00883A3F">
        <w:rPr>
          <w:rFonts w:asciiTheme="minorHAnsi" w:hAnsiTheme="minorHAnsi"/>
          <w:snapToGrid w:val="0"/>
          <w:lang w:val="en-GB"/>
        </w:rPr>
        <w:t xml:space="preserve"> expenditure caps</w:t>
      </w:r>
      <w:r w:rsidR="0075697A" w:rsidRPr="00D56748">
        <w:rPr>
          <w:rFonts w:asciiTheme="minorHAnsi" w:hAnsiTheme="minorHAnsi"/>
          <w:snapToGrid w:val="0"/>
          <w:lang w:val="en-GB"/>
        </w:rPr>
        <w:t>.</w:t>
      </w:r>
      <w:bookmarkEnd w:id="133"/>
      <w:r w:rsidR="0075697A" w:rsidRPr="00D56748">
        <w:rPr>
          <w:rFonts w:asciiTheme="minorHAnsi" w:hAnsiTheme="minorHAnsi"/>
          <w:snapToGrid w:val="0"/>
          <w:lang w:val="en-GB"/>
        </w:rPr>
        <w:t xml:space="preserve"> </w:t>
      </w:r>
      <w:bookmarkEnd w:id="132"/>
    </w:p>
    <w:p w14:paraId="3D1D0337" w14:textId="3934F08F" w:rsidR="000919AB" w:rsidRPr="00397345" w:rsidRDefault="00397345" w:rsidP="0039734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6B1B84">
        <w:rPr>
          <w:rFonts w:asciiTheme="minorHAnsi" w:hAnsiTheme="minorHAnsi"/>
          <w:snapToGrid w:val="0"/>
          <w:lang w:val="en-GB"/>
        </w:rPr>
        <w:t xml:space="preserve">considered that the </w:t>
      </w:r>
      <w:r w:rsidR="00CF34FB">
        <w:rPr>
          <w:rFonts w:asciiTheme="minorHAnsi" w:hAnsiTheme="minorHAnsi"/>
          <w:snapToGrid w:val="0"/>
          <w:lang w:val="en-GB"/>
        </w:rPr>
        <w:t>s</w:t>
      </w:r>
      <w:r w:rsidR="00FC7372">
        <w:rPr>
          <w:rFonts w:asciiTheme="minorHAnsi" w:hAnsiTheme="minorHAnsi"/>
          <w:snapToGrid w:val="0"/>
          <w:lang w:val="en-GB"/>
        </w:rPr>
        <w:t xml:space="preserve">ponsor should provide a revised </w:t>
      </w:r>
      <w:r w:rsidR="00E21FF8">
        <w:rPr>
          <w:rFonts w:asciiTheme="minorHAnsi" w:hAnsiTheme="minorHAnsi"/>
          <w:snapToGrid w:val="0"/>
          <w:lang w:val="en-GB"/>
        </w:rPr>
        <w:t>cost</w:t>
      </w:r>
      <w:r w:rsidR="006113C0">
        <w:rPr>
          <w:rFonts w:asciiTheme="minorHAnsi" w:hAnsiTheme="minorHAnsi"/>
          <w:snapToGrid w:val="0"/>
          <w:lang w:val="en-GB"/>
        </w:rPr>
        <w:t>-</w:t>
      </w:r>
      <w:r w:rsidR="00E21FF8">
        <w:rPr>
          <w:rFonts w:asciiTheme="minorHAnsi" w:hAnsiTheme="minorHAnsi"/>
          <w:snapToGrid w:val="0"/>
          <w:lang w:val="en-GB"/>
        </w:rPr>
        <w:t xml:space="preserve">effective </w:t>
      </w:r>
      <w:r w:rsidR="00FC7372">
        <w:rPr>
          <w:rFonts w:asciiTheme="minorHAnsi" w:hAnsiTheme="minorHAnsi"/>
          <w:snapToGrid w:val="0"/>
          <w:lang w:val="en-GB"/>
        </w:rPr>
        <w:t>price for odevixibat</w:t>
      </w:r>
      <w:r w:rsidR="00370269">
        <w:rPr>
          <w:rFonts w:asciiTheme="minorHAnsi" w:hAnsiTheme="minorHAnsi"/>
          <w:snapToGrid w:val="0"/>
          <w:lang w:val="en-GB"/>
        </w:rPr>
        <w:t>,</w:t>
      </w:r>
      <w:r w:rsidR="00FC7372">
        <w:rPr>
          <w:rFonts w:asciiTheme="minorHAnsi" w:hAnsiTheme="minorHAnsi"/>
          <w:snapToGrid w:val="0"/>
          <w:lang w:val="en-GB"/>
        </w:rPr>
        <w:t xml:space="preserve"> </w:t>
      </w:r>
      <w:r w:rsidR="00E21FF8">
        <w:rPr>
          <w:rFonts w:asciiTheme="minorHAnsi" w:hAnsiTheme="minorHAnsi"/>
          <w:snapToGrid w:val="0"/>
          <w:lang w:val="en-GB"/>
        </w:rPr>
        <w:t>as per paragraph</w:t>
      </w:r>
      <w:r w:rsidR="000852A2">
        <w:rPr>
          <w:rFonts w:asciiTheme="minorHAnsi" w:hAnsiTheme="minorHAnsi"/>
          <w:snapToGrid w:val="0"/>
          <w:lang w:val="en-GB"/>
        </w:rPr>
        <w:t xml:space="preserve"> </w:t>
      </w:r>
      <w:r w:rsidR="001A4BA6">
        <w:rPr>
          <w:rFonts w:asciiTheme="minorHAnsi" w:hAnsiTheme="minorHAnsi"/>
          <w:snapToGrid w:val="0"/>
          <w:lang w:val="en-GB"/>
        </w:rPr>
        <w:fldChar w:fldCharType="begin" w:fldLock="1"/>
      </w:r>
      <w:r w:rsidR="001A4BA6">
        <w:rPr>
          <w:rFonts w:asciiTheme="minorHAnsi" w:hAnsiTheme="minorHAnsi"/>
          <w:snapToGrid w:val="0"/>
          <w:lang w:val="en-GB"/>
        </w:rPr>
        <w:instrText xml:space="preserve"> REF _Ref195088862 \r \h </w:instrText>
      </w:r>
      <w:r w:rsidR="001A4BA6">
        <w:rPr>
          <w:rFonts w:asciiTheme="minorHAnsi" w:hAnsiTheme="minorHAnsi"/>
          <w:snapToGrid w:val="0"/>
          <w:lang w:val="en-GB"/>
        </w:rPr>
      </w:r>
      <w:r w:rsidR="001A4BA6">
        <w:rPr>
          <w:rFonts w:asciiTheme="minorHAnsi" w:hAnsiTheme="minorHAnsi"/>
          <w:snapToGrid w:val="0"/>
          <w:lang w:val="en-GB"/>
        </w:rPr>
        <w:fldChar w:fldCharType="separate"/>
      </w:r>
      <w:r w:rsidR="00E16571">
        <w:rPr>
          <w:rFonts w:asciiTheme="minorHAnsi" w:hAnsiTheme="minorHAnsi"/>
          <w:snapToGrid w:val="0"/>
          <w:lang w:val="en-GB"/>
        </w:rPr>
        <w:t>7.13</w:t>
      </w:r>
      <w:r w:rsidR="001A4BA6">
        <w:rPr>
          <w:rFonts w:asciiTheme="minorHAnsi" w:hAnsiTheme="minorHAnsi"/>
          <w:snapToGrid w:val="0"/>
          <w:lang w:val="en-GB"/>
        </w:rPr>
        <w:fldChar w:fldCharType="end"/>
      </w:r>
      <w:r w:rsidR="00D9232C">
        <w:rPr>
          <w:rFonts w:asciiTheme="minorHAnsi" w:hAnsiTheme="minorHAnsi"/>
          <w:snapToGrid w:val="0"/>
          <w:lang w:val="en-GB"/>
        </w:rPr>
        <w:t>. This price should be included in revised financial estimates</w:t>
      </w:r>
      <w:r w:rsidR="00370269">
        <w:rPr>
          <w:rFonts w:asciiTheme="minorHAnsi" w:hAnsiTheme="minorHAnsi"/>
          <w:snapToGrid w:val="0"/>
          <w:lang w:val="en-GB"/>
        </w:rPr>
        <w:t>,</w:t>
      </w:r>
      <w:r w:rsidR="00D9232C">
        <w:rPr>
          <w:rFonts w:asciiTheme="minorHAnsi" w:hAnsiTheme="minorHAnsi"/>
          <w:snapToGrid w:val="0"/>
          <w:lang w:val="en-GB"/>
        </w:rPr>
        <w:t xml:space="preserve"> </w:t>
      </w:r>
      <w:r w:rsidR="008B51FC">
        <w:rPr>
          <w:rFonts w:asciiTheme="minorHAnsi" w:hAnsiTheme="minorHAnsi"/>
          <w:snapToGrid w:val="0"/>
          <w:lang w:val="en-GB"/>
        </w:rPr>
        <w:t>as per paragraph</w:t>
      </w:r>
      <w:r w:rsidR="001A4BA6">
        <w:rPr>
          <w:rFonts w:asciiTheme="minorHAnsi" w:hAnsiTheme="minorHAnsi"/>
          <w:snapToGrid w:val="0"/>
          <w:lang w:val="en-GB"/>
        </w:rPr>
        <w:t xml:space="preserve"> </w:t>
      </w:r>
      <w:r w:rsidR="001A4BA6">
        <w:rPr>
          <w:rFonts w:asciiTheme="minorHAnsi" w:hAnsiTheme="minorHAnsi"/>
          <w:snapToGrid w:val="0"/>
          <w:lang w:val="en-GB"/>
        </w:rPr>
        <w:fldChar w:fldCharType="begin" w:fldLock="1"/>
      </w:r>
      <w:r w:rsidR="001A4BA6">
        <w:rPr>
          <w:rFonts w:asciiTheme="minorHAnsi" w:hAnsiTheme="minorHAnsi"/>
          <w:snapToGrid w:val="0"/>
          <w:lang w:val="en-GB"/>
        </w:rPr>
        <w:instrText xml:space="preserve"> REF _Ref195088885 \r \h </w:instrText>
      </w:r>
      <w:r w:rsidR="001A4BA6">
        <w:rPr>
          <w:rFonts w:asciiTheme="minorHAnsi" w:hAnsiTheme="minorHAnsi"/>
          <w:snapToGrid w:val="0"/>
          <w:lang w:val="en-GB"/>
        </w:rPr>
      </w:r>
      <w:r w:rsidR="001A4BA6">
        <w:rPr>
          <w:rFonts w:asciiTheme="minorHAnsi" w:hAnsiTheme="minorHAnsi"/>
          <w:snapToGrid w:val="0"/>
          <w:lang w:val="en-GB"/>
        </w:rPr>
        <w:fldChar w:fldCharType="separate"/>
      </w:r>
      <w:r w:rsidR="00DB3D1C">
        <w:rPr>
          <w:rFonts w:asciiTheme="minorHAnsi" w:hAnsiTheme="minorHAnsi"/>
          <w:snapToGrid w:val="0"/>
          <w:lang w:val="en-GB"/>
        </w:rPr>
        <w:t>7.15</w:t>
      </w:r>
      <w:r w:rsidR="001A4BA6">
        <w:rPr>
          <w:rFonts w:asciiTheme="minorHAnsi" w:hAnsiTheme="minorHAnsi"/>
          <w:snapToGrid w:val="0"/>
          <w:lang w:val="en-GB"/>
        </w:rPr>
        <w:fldChar w:fldCharType="end"/>
      </w:r>
      <w:r w:rsidR="00370269">
        <w:rPr>
          <w:rFonts w:asciiTheme="minorHAnsi" w:hAnsiTheme="minorHAnsi"/>
          <w:snapToGrid w:val="0"/>
          <w:lang w:val="en-GB"/>
        </w:rPr>
        <w:t>,</w:t>
      </w:r>
      <w:r w:rsidR="008B51FC">
        <w:rPr>
          <w:rFonts w:asciiTheme="minorHAnsi" w:hAnsiTheme="minorHAnsi"/>
          <w:snapToGrid w:val="0"/>
          <w:lang w:val="en-GB"/>
        </w:rPr>
        <w:t xml:space="preserve"> and </w:t>
      </w:r>
      <w:r w:rsidR="00817EC6">
        <w:rPr>
          <w:rFonts w:asciiTheme="minorHAnsi" w:hAnsiTheme="minorHAnsi"/>
          <w:snapToGrid w:val="0"/>
          <w:lang w:val="en-GB"/>
        </w:rPr>
        <w:t xml:space="preserve">a revised RSA proposal. </w:t>
      </w:r>
      <w:r w:rsidR="00817EC6" w:rsidRPr="006234B9">
        <w:rPr>
          <w:rFonts w:asciiTheme="minorHAnsi" w:hAnsiTheme="minorHAnsi"/>
          <w:snapToGrid w:val="0"/>
          <w:lang w:val="en-GB"/>
        </w:rPr>
        <w:t xml:space="preserve">The Secretariat advised </w:t>
      </w:r>
      <w:r w:rsidR="00FB75F0" w:rsidRPr="006234B9">
        <w:rPr>
          <w:rFonts w:asciiTheme="minorHAnsi" w:hAnsiTheme="minorHAnsi"/>
          <w:snapToGrid w:val="0"/>
          <w:lang w:val="en-GB"/>
        </w:rPr>
        <w:t xml:space="preserve">that a revised restriction </w:t>
      </w:r>
      <w:r w:rsidR="00A168D1" w:rsidRPr="006234B9">
        <w:rPr>
          <w:rFonts w:asciiTheme="minorHAnsi" w:hAnsiTheme="minorHAnsi"/>
          <w:snapToGrid w:val="0"/>
          <w:lang w:val="en-GB"/>
        </w:rPr>
        <w:t xml:space="preserve">would be provided to the </w:t>
      </w:r>
      <w:r w:rsidR="00CF34FB">
        <w:rPr>
          <w:rFonts w:asciiTheme="minorHAnsi" w:hAnsiTheme="minorHAnsi"/>
          <w:snapToGrid w:val="0"/>
          <w:lang w:val="en-GB"/>
        </w:rPr>
        <w:t>s</w:t>
      </w:r>
      <w:r w:rsidR="00A168D1" w:rsidRPr="006234B9">
        <w:rPr>
          <w:rFonts w:asciiTheme="minorHAnsi" w:hAnsiTheme="minorHAnsi"/>
          <w:snapToGrid w:val="0"/>
          <w:lang w:val="en-GB"/>
        </w:rPr>
        <w:t>ponsor for review</w:t>
      </w:r>
      <w:r w:rsidR="009175CB" w:rsidRPr="006234B9">
        <w:rPr>
          <w:rFonts w:asciiTheme="minorHAnsi" w:hAnsiTheme="minorHAnsi"/>
          <w:snapToGrid w:val="0"/>
          <w:lang w:val="en-GB"/>
        </w:rPr>
        <w:t>.</w:t>
      </w:r>
    </w:p>
    <w:p w14:paraId="15018557" w14:textId="77777777" w:rsidR="000D2D45" w:rsidRPr="00525B39" w:rsidRDefault="000D2D45" w:rsidP="000D2D45">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665047D" w14:textId="3EED90FD" w:rsidR="000D2D45" w:rsidRDefault="000D2D45" w:rsidP="00F828E2">
      <w:pPr>
        <w:spacing w:after="120"/>
        <w:rPr>
          <w:rFonts w:asciiTheme="minorHAnsi" w:hAnsiTheme="minorHAnsi"/>
          <w:bCs/>
          <w:snapToGrid w:val="0"/>
          <w:lang w:val="en-GB"/>
        </w:rPr>
      </w:pPr>
      <w:r w:rsidRPr="00525B39">
        <w:rPr>
          <w:rFonts w:asciiTheme="minorHAnsi" w:hAnsiTheme="minorHAnsi"/>
          <w:bCs/>
          <w:snapToGrid w:val="0"/>
          <w:lang w:val="en-GB"/>
        </w:rPr>
        <w:t xml:space="preserve">Deferred </w:t>
      </w:r>
    </w:p>
    <w:p w14:paraId="5EE7DBD4" w14:textId="77777777" w:rsidR="00D2780A" w:rsidRPr="00D2780A" w:rsidRDefault="00D2780A" w:rsidP="00D7719E">
      <w:pPr>
        <w:pStyle w:val="2-SectionHeading"/>
      </w:pPr>
      <w:r w:rsidRPr="00D2780A">
        <w:t>Context for Decision</w:t>
      </w:r>
    </w:p>
    <w:p w14:paraId="7FE9412F" w14:textId="77777777" w:rsidR="00D2780A" w:rsidRPr="00D2780A" w:rsidRDefault="00D2780A" w:rsidP="00D2780A">
      <w:pPr>
        <w:spacing w:after="120"/>
        <w:ind w:left="720"/>
        <w:rPr>
          <w:rFonts w:asciiTheme="minorHAnsi" w:hAnsiTheme="minorHAnsi"/>
          <w:bCs/>
          <w:lang w:val="en-GB"/>
        </w:rPr>
      </w:pPr>
      <w:r w:rsidRPr="00D2780A">
        <w:rPr>
          <w:rFonts w:asciiTheme="minorHAnsi" w:hAnsiTheme="minorHAnsi"/>
          <w:bCs/>
          <w:lang w:val="en-GB"/>
        </w:rPr>
        <w:t xml:space="preserve">The PBAC helps decide whether and, if so, how medicines should be subsidised through the Pharmaceutical Benefits Scheme (PBS) in Australia. It considers </w:t>
      </w:r>
      <w:r w:rsidRPr="00D2780A">
        <w:rPr>
          <w:rFonts w:asciiTheme="minorHAnsi" w:hAnsiTheme="minorHAnsi"/>
          <w:bCs/>
          <w:lang w:val="en-GB"/>
        </w:rPr>
        <w:lastRenderedPageBreak/>
        <w:t>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2769ADE" w14:textId="77777777" w:rsidR="00D2780A" w:rsidRPr="00D2780A" w:rsidRDefault="00D2780A" w:rsidP="00D7719E">
      <w:pPr>
        <w:pStyle w:val="2-SectionHeading"/>
      </w:pPr>
      <w:r w:rsidRPr="00D2780A">
        <w:t>Sponsor’s Comment</w:t>
      </w:r>
    </w:p>
    <w:p w14:paraId="1C6A1DDB" w14:textId="1552C666" w:rsidR="000D2D45" w:rsidRPr="00D7719E" w:rsidRDefault="00D2780A" w:rsidP="00D7719E">
      <w:pPr>
        <w:spacing w:after="120" w:line="276" w:lineRule="auto"/>
        <w:ind w:left="720"/>
        <w:rPr>
          <w:rFonts w:asciiTheme="minorHAnsi" w:eastAsiaTheme="minorHAnsi" w:hAnsiTheme="minorHAnsi"/>
          <w:bCs/>
          <w:szCs w:val="22"/>
          <w:lang w:eastAsia="en-US"/>
        </w:rPr>
      </w:pPr>
      <w:r w:rsidRPr="00D2780A">
        <w:rPr>
          <w:rFonts w:asciiTheme="minorHAnsi" w:eastAsiaTheme="minorHAnsi" w:hAnsiTheme="minorHAnsi"/>
          <w:bCs/>
          <w:szCs w:val="22"/>
          <w:lang w:eastAsia="en-US"/>
        </w:rPr>
        <w:t>The sponsor had no comment.</w:t>
      </w:r>
      <w:bookmarkEnd w:id="121"/>
      <w:bookmarkEnd w:id="122"/>
      <w:bookmarkEnd w:id="123"/>
    </w:p>
    <w:sectPr w:rsidR="000D2D45" w:rsidRPr="00D7719E" w:rsidSect="00B220C0">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23A2" w14:textId="77777777" w:rsidR="0035649C" w:rsidRDefault="0035649C" w:rsidP="00124A51">
      <w:r>
        <w:separator/>
      </w:r>
    </w:p>
    <w:p w14:paraId="63E4F25E" w14:textId="77777777" w:rsidR="0035649C" w:rsidRDefault="0035649C"/>
  </w:endnote>
  <w:endnote w:type="continuationSeparator" w:id="0">
    <w:p w14:paraId="772C4D37" w14:textId="77777777" w:rsidR="0035649C" w:rsidRDefault="0035649C" w:rsidP="00124A51">
      <w:r>
        <w:continuationSeparator/>
      </w:r>
    </w:p>
    <w:p w14:paraId="799B3EAC" w14:textId="77777777" w:rsidR="0035649C" w:rsidRDefault="0035649C"/>
  </w:endnote>
  <w:endnote w:type="continuationNotice" w:id="1">
    <w:p w14:paraId="1305D0CB" w14:textId="77777777" w:rsidR="0035649C" w:rsidRDefault="00356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299CB38E" w:rsidR="00D843F2" w:rsidRPr="00AD33A8" w:rsidRDefault="00DA2049" w:rsidP="006028D3">
    <w:pPr>
      <w:pStyle w:val="PageFooter"/>
    </w:pPr>
    <w:sdt>
      <w:sdtPr>
        <w:rPr>
          <w:b w:val="0"/>
          <w:bCs/>
        </w:rPr>
        <w:id w:val="1036156457"/>
        <w:docPartObj>
          <w:docPartGallery w:val="Page Numbers (Bottom of Page)"/>
          <w:docPartUnique/>
        </w:docPartObj>
      </w:sdtPr>
      <w:sdtEndPr>
        <w:rPr>
          <w:b/>
          <w:bCs w:val="0"/>
          <w:noProof/>
        </w:rPr>
      </w:sdtEndPr>
      <w:sdtContent>
        <w:r w:rsidR="00D843F2" w:rsidRPr="00AD33A8">
          <w:fldChar w:fldCharType="begin"/>
        </w:r>
        <w:r w:rsidR="00D843F2" w:rsidRPr="00AD33A8">
          <w:instrText xml:space="preserve"> PAGE   \* MERGEFORMAT </w:instrText>
        </w:r>
        <w:r w:rsidR="00D843F2" w:rsidRPr="00AD33A8">
          <w:fldChar w:fldCharType="separate"/>
        </w:r>
        <w:r w:rsidR="00D843F2" w:rsidRPr="00AD33A8">
          <w:rPr>
            <w:noProof/>
          </w:rPr>
          <w:t>2</w:t>
        </w:r>
        <w:r w:rsidR="00D843F2" w:rsidRPr="00AD33A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2E29" w14:textId="77777777" w:rsidR="0035649C" w:rsidRDefault="0035649C" w:rsidP="00124A51">
      <w:r>
        <w:separator/>
      </w:r>
    </w:p>
    <w:p w14:paraId="1166DAF3" w14:textId="77777777" w:rsidR="0035649C" w:rsidRDefault="0035649C"/>
  </w:footnote>
  <w:footnote w:type="continuationSeparator" w:id="0">
    <w:p w14:paraId="07751499" w14:textId="77777777" w:rsidR="0035649C" w:rsidRDefault="0035649C" w:rsidP="00124A51">
      <w:r>
        <w:continuationSeparator/>
      </w:r>
    </w:p>
    <w:p w14:paraId="31A3D493" w14:textId="77777777" w:rsidR="0035649C" w:rsidRDefault="0035649C"/>
  </w:footnote>
  <w:footnote w:type="continuationNotice" w:id="1">
    <w:p w14:paraId="3C4D78B5" w14:textId="77777777" w:rsidR="0035649C" w:rsidRDefault="0035649C"/>
  </w:footnote>
  <w:footnote w:id="2">
    <w:p w14:paraId="232EFCD0" w14:textId="77777777" w:rsidR="00404D38" w:rsidRPr="006C3B6D" w:rsidRDefault="00404D38" w:rsidP="00404D38">
      <w:pPr>
        <w:pStyle w:val="FootnoteText"/>
        <w:rPr>
          <w:lang w:val="en-US"/>
        </w:rPr>
      </w:pPr>
      <w:r>
        <w:rPr>
          <w:rStyle w:val="FootnoteReference"/>
        </w:rPr>
        <w:footnoteRef/>
      </w:r>
      <w:r>
        <w:t xml:space="preserve"> </w:t>
      </w:r>
      <w:r w:rsidRPr="00D56958">
        <w:t>Liver disease basics, PFIC Advocacy &amp; Resource Network, Inc. Available at: https://www.pfic.org/learn-aboutpfic-disease/liver-disease/</w:t>
      </w:r>
    </w:p>
  </w:footnote>
  <w:footnote w:id="3">
    <w:p w14:paraId="4D753EB7" w14:textId="1AFDCCDA" w:rsidR="00F3105D" w:rsidRPr="00F3105D" w:rsidRDefault="00F3105D">
      <w:pPr>
        <w:pStyle w:val="FootnoteText"/>
        <w:rPr>
          <w:lang w:val="en-US"/>
        </w:rPr>
      </w:pPr>
      <w:r>
        <w:rPr>
          <w:rStyle w:val="FootnoteReference"/>
        </w:rPr>
        <w:footnoteRef/>
      </w:r>
      <w:r>
        <w:t xml:space="preserve"> </w:t>
      </w:r>
      <w:r w:rsidRPr="00F3105D">
        <w:t>Geladari EV, Vallianou NG, Margellou E, Kounatidis D, Sevastianos V, Alexopoulou A. Benign Recurrent Intrahepatic Cholestasis: Where Are We Now? Gastroenterology Insights. 2024; 15(1):156-167. https://doi.org/10.3390/gastroent15010011</w:t>
      </w:r>
    </w:p>
  </w:footnote>
  <w:footnote w:id="4">
    <w:p w14:paraId="04747A84" w14:textId="0DBDF8C8" w:rsidR="00F3105D" w:rsidRPr="00F3105D" w:rsidRDefault="00F3105D">
      <w:pPr>
        <w:pStyle w:val="FootnoteText"/>
        <w:rPr>
          <w:lang w:val="en-US"/>
        </w:rPr>
      </w:pPr>
      <w:r>
        <w:rPr>
          <w:rStyle w:val="FootnoteReference"/>
        </w:rPr>
        <w:footnoteRef/>
      </w:r>
      <w:r>
        <w:t xml:space="preserve"> </w:t>
      </w:r>
      <w:r w:rsidRPr="00F3105D">
        <w:t>https://www.pfic.org/learn-about-pfic-disease/pfic-types-and-subtypes/</w:t>
      </w:r>
    </w:p>
  </w:footnote>
  <w:footnote w:id="5">
    <w:p w14:paraId="512CEBBE" w14:textId="1AAD6F03" w:rsidR="00FC0891" w:rsidRPr="00CE57FB" w:rsidRDefault="00FC0891">
      <w:pPr>
        <w:pStyle w:val="FootnoteText"/>
        <w:rPr>
          <w:i/>
          <w:iCs/>
        </w:rPr>
      </w:pPr>
      <w:r w:rsidRPr="00CE57FB">
        <w:rPr>
          <w:rStyle w:val="FootnoteReference"/>
          <w:i/>
          <w:iCs/>
        </w:rPr>
        <w:footnoteRef/>
      </w:r>
      <w:r w:rsidRPr="00CE57FB">
        <w:rPr>
          <w:i/>
          <w:iCs/>
        </w:rPr>
        <w:t xml:space="preserve"> NICE</w:t>
      </w:r>
      <w:r w:rsidR="00993C2C" w:rsidRPr="00CE57FB">
        <w:rPr>
          <w:i/>
          <w:iCs/>
        </w:rPr>
        <w:t>. Odevixibat for treating progressive familial intrahepatic cholestasis. Highly specialised technologies guidance</w:t>
      </w:r>
      <w:r w:rsidR="00C447CD" w:rsidRPr="00CE57FB">
        <w:rPr>
          <w:i/>
          <w:iCs/>
        </w:rPr>
        <w:t>, HST17, published 22 February 2022. Available at: https://www.nice.org.uk/guidance/hst17</w:t>
      </w:r>
    </w:p>
  </w:footnote>
  <w:footnote w:id="6">
    <w:p w14:paraId="45120193" w14:textId="5AA7F851" w:rsidR="0059237B" w:rsidRPr="00C76A2E" w:rsidRDefault="0059237B" w:rsidP="00683920">
      <w:pPr>
        <w:pStyle w:val="CommentText"/>
        <w:rPr>
          <w:rFonts w:asciiTheme="minorHAnsi" w:eastAsiaTheme="minorHAnsi" w:hAnsiTheme="minorHAnsi" w:cstheme="minorHAnsi"/>
          <w:szCs w:val="20"/>
        </w:rPr>
      </w:pPr>
      <w:r w:rsidRPr="00C76A2E">
        <w:rPr>
          <w:rStyle w:val="FootnoteReference"/>
          <w:rFonts w:asciiTheme="minorHAnsi" w:hAnsiTheme="minorHAnsi" w:cstheme="minorHAnsi"/>
          <w:szCs w:val="20"/>
        </w:rPr>
        <w:footnoteRef/>
      </w:r>
      <w:r w:rsidRPr="00C76A2E">
        <w:rPr>
          <w:rFonts w:asciiTheme="minorHAnsi" w:hAnsiTheme="minorHAnsi" w:cstheme="minorHAnsi"/>
          <w:szCs w:val="20"/>
        </w:rPr>
        <w:t xml:space="preserve"> </w:t>
      </w:r>
      <w:r w:rsidRPr="00C76A2E">
        <w:rPr>
          <w:rFonts w:asciiTheme="minorHAnsi" w:eastAsiaTheme="minorHAnsi" w:hAnsiTheme="minorHAnsi" w:cstheme="minorHAnsi"/>
          <w:szCs w:val="20"/>
        </w:rPr>
        <w:t>63.39 packs of 400</w:t>
      </w:r>
      <w:r w:rsidR="0017081E">
        <w:rPr>
          <w:rFonts w:asciiTheme="minorHAnsi" w:eastAsiaTheme="minorHAnsi" w:hAnsiTheme="minorHAnsi" w:cstheme="minorHAnsi"/>
          <w:szCs w:val="20"/>
        </w:rPr>
        <w:t> mcg</w:t>
      </w:r>
      <w:r w:rsidRPr="00C76A2E">
        <w:rPr>
          <w:rFonts w:asciiTheme="minorHAnsi" w:eastAsiaTheme="minorHAnsi" w:hAnsiTheme="minorHAnsi" w:cstheme="minorHAnsi"/>
          <w:szCs w:val="20"/>
        </w:rPr>
        <w:t xml:space="preserve"> x $5,</w:t>
      </w:r>
      <w:r w:rsidR="00FD527B" w:rsidRPr="00C76A2E">
        <w:rPr>
          <w:rFonts w:asciiTheme="minorHAnsi" w:eastAsiaTheme="minorHAnsi" w:hAnsiTheme="minorHAnsi" w:cstheme="minorHAnsi"/>
          <w:szCs w:val="20"/>
        </w:rPr>
        <w:t>070.60</w:t>
      </w:r>
    </w:p>
  </w:footnote>
  <w:footnote w:id="7">
    <w:p w14:paraId="42D1F747" w14:textId="65670D2F" w:rsidR="0059237B" w:rsidRPr="00C76A2E" w:rsidRDefault="0059237B">
      <w:pPr>
        <w:pStyle w:val="FootnoteText"/>
        <w:rPr>
          <w:rFonts w:asciiTheme="minorHAnsi" w:hAnsiTheme="minorHAnsi" w:cstheme="minorHAnsi"/>
        </w:rPr>
      </w:pPr>
      <w:r w:rsidRPr="00C76A2E">
        <w:rPr>
          <w:rFonts w:asciiTheme="minorHAnsi" w:eastAsiaTheme="minorHAnsi" w:hAnsiTheme="minorHAnsi" w:cstheme="minorHAnsi"/>
          <w:vertAlign w:val="superscript"/>
        </w:rPr>
        <w:footnoteRef/>
      </w:r>
      <w:r w:rsidRPr="00C76A2E">
        <w:rPr>
          <w:rFonts w:asciiTheme="minorHAnsi" w:eastAsiaTheme="minorHAnsi" w:hAnsiTheme="minorHAnsi" w:cstheme="minorHAnsi"/>
        </w:rPr>
        <w:t xml:space="preserve"> 63.39 packs of 1200</w:t>
      </w:r>
      <w:r w:rsidR="0017081E">
        <w:rPr>
          <w:rFonts w:asciiTheme="minorHAnsi" w:eastAsiaTheme="minorHAnsi" w:hAnsiTheme="minorHAnsi" w:cstheme="minorHAnsi"/>
        </w:rPr>
        <w:t> mcg</w:t>
      </w:r>
      <w:r w:rsidRPr="00C76A2E">
        <w:rPr>
          <w:rFonts w:asciiTheme="minorHAnsi" w:eastAsiaTheme="minorHAnsi" w:hAnsiTheme="minorHAnsi" w:cstheme="minorHAnsi"/>
        </w:rPr>
        <w:t xml:space="preserve"> x $1</w:t>
      </w:r>
      <w:r w:rsidR="00FD527B" w:rsidRPr="00C76A2E">
        <w:rPr>
          <w:rFonts w:asciiTheme="minorHAnsi" w:eastAsiaTheme="minorHAnsi" w:hAnsiTheme="minorHAnsi" w:cstheme="minorHAnsi"/>
        </w:rPr>
        <w:t>4,886.60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948D17F" w:rsidR="00D843F2" w:rsidRPr="00195452" w:rsidRDefault="009E0C25" w:rsidP="00D822E2">
    <w:pPr>
      <w:pStyle w:val="Header"/>
      <w:rPr>
        <w:rFonts w:asciiTheme="minorHAnsi" w:hAnsiTheme="minorHAnsi"/>
        <w:i w:val="0"/>
        <w:color w:val="808080"/>
      </w:rPr>
    </w:pPr>
    <w:r w:rsidRPr="009E0C25">
      <w:rPr>
        <w:rFonts w:asciiTheme="minorHAnsi" w:hAnsiTheme="minorHAnsi"/>
        <w:color w:val="808080"/>
      </w:rPr>
      <w:t xml:space="preserve">Public Summary Document </w:t>
    </w:r>
    <w:r w:rsidR="00AD33A8">
      <w:rPr>
        <w:rFonts w:asciiTheme="minorHAnsi" w:hAnsiTheme="minorHAnsi"/>
        <w:color w:val="808080"/>
      </w:rPr>
      <w:t xml:space="preserve">- </w:t>
    </w:r>
    <w:r w:rsidR="00E04572">
      <w:rPr>
        <w:rFonts w:asciiTheme="minorHAnsi" w:hAnsiTheme="minorHAnsi"/>
        <w:color w:val="808080"/>
      </w:rPr>
      <w:t>March 2025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9B0710"/>
    <w:multiLevelType w:val="hybridMultilevel"/>
    <w:tmpl w:val="38740A5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26266"/>
    <w:multiLevelType w:val="hybridMultilevel"/>
    <w:tmpl w:val="E1668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05D10"/>
    <w:multiLevelType w:val="hybridMultilevel"/>
    <w:tmpl w:val="2FDEB9B0"/>
    <w:lvl w:ilvl="0" w:tplc="E6A6012A">
      <w:start w:val="1"/>
      <w:numFmt w:val="bullet"/>
      <w:pStyle w:val="Bullet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16238C4">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5730D"/>
    <w:multiLevelType w:val="hybridMultilevel"/>
    <w:tmpl w:val="10E0C2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AF1A1B"/>
    <w:multiLevelType w:val="hybridMultilevel"/>
    <w:tmpl w:val="48E0190C"/>
    <w:lvl w:ilvl="0" w:tplc="0C090001">
      <w:start w:val="1"/>
      <w:numFmt w:val="bullet"/>
      <w:lvlText w:val=""/>
      <w:lvlJc w:val="left"/>
      <w:pPr>
        <w:ind w:left="1550" w:hanging="360"/>
      </w:pPr>
      <w:rPr>
        <w:rFonts w:ascii="Symbol" w:hAnsi="Symbol" w:hint="default"/>
      </w:rPr>
    </w:lvl>
    <w:lvl w:ilvl="1" w:tplc="0C090003" w:tentative="1">
      <w:start w:val="1"/>
      <w:numFmt w:val="bullet"/>
      <w:lvlText w:val="o"/>
      <w:lvlJc w:val="left"/>
      <w:pPr>
        <w:ind w:left="2270" w:hanging="360"/>
      </w:pPr>
      <w:rPr>
        <w:rFonts w:ascii="Courier New" w:hAnsi="Courier New" w:cs="Courier New" w:hint="default"/>
      </w:rPr>
    </w:lvl>
    <w:lvl w:ilvl="2" w:tplc="0C090005" w:tentative="1">
      <w:start w:val="1"/>
      <w:numFmt w:val="bullet"/>
      <w:lvlText w:val=""/>
      <w:lvlJc w:val="left"/>
      <w:pPr>
        <w:ind w:left="2990" w:hanging="360"/>
      </w:pPr>
      <w:rPr>
        <w:rFonts w:ascii="Wingdings" w:hAnsi="Wingdings" w:hint="default"/>
      </w:rPr>
    </w:lvl>
    <w:lvl w:ilvl="3" w:tplc="0C090001" w:tentative="1">
      <w:start w:val="1"/>
      <w:numFmt w:val="bullet"/>
      <w:lvlText w:val=""/>
      <w:lvlJc w:val="left"/>
      <w:pPr>
        <w:ind w:left="3710" w:hanging="360"/>
      </w:pPr>
      <w:rPr>
        <w:rFonts w:ascii="Symbol" w:hAnsi="Symbol" w:hint="default"/>
      </w:rPr>
    </w:lvl>
    <w:lvl w:ilvl="4" w:tplc="0C090003" w:tentative="1">
      <w:start w:val="1"/>
      <w:numFmt w:val="bullet"/>
      <w:lvlText w:val="o"/>
      <w:lvlJc w:val="left"/>
      <w:pPr>
        <w:ind w:left="4430" w:hanging="360"/>
      </w:pPr>
      <w:rPr>
        <w:rFonts w:ascii="Courier New" w:hAnsi="Courier New" w:cs="Courier New" w:hint="default"/>
      </w:rPr>
    </w:lvl>
    <w:lvl w:ilvl="5" w:tplc="0C090005" w:tentative="1">
      <w:start w:val="1"/>
      <w:numFmt w:val="bullet"/>
      <w:lvlText w:val=""/>
      <w:lvlJc w:val="left"/>
      <w:pPr>
        <w:ind w:left="5150" w:hanging="360"/>
      </w:pPr>
      <w:rPr>
        <w:rFonts w:ascii="Wingdings" w:hAnsi="Wingdings" w:hint="default"/>
      </w:rPr>
    </w:lvl>
    <w:lvl w:ilvl="6" w:tplc="0C090001" w:tentative="1">
      <w:start w:val="1"/>
      <w:numFmt w:val="bullet"/>
      <w:lvlText w:val=""/>
      <w:lvlJc w:val="left"/>
      <w:pPr>
        <w:ind w:left="5870" w:hanging="360"/>
      </w:pPr>
      <w:rPr>
        <w:rFonts w:ascii="Symbol" w:hAnsi="Symbol" w:hint="default"/>
      </w:rPr>
    </w:lvl>
    <w:lvl w:ilvl="7" w:tplc="0C090003" w:tentative="1">
      <w:start w:val="1"/>
      <w:numFmt w:val="bullet"/>
      <w:lvlText w:val="o"/>
      <w:lvlJc w:val="left"/>
      <w:pPr>
        <w:ind w:left="6590" w:hanging="360"/>
      </w:pPr>
      <w:rPr>
        <w:rFonts w:ascii="Courier New" w:hAnsi="Courier New" w:cs="Courier New" w:hint="default"/>
      </w:rPr>
    </w:lvl>
    <w:lvl w:ilvl="8" w:tplc="0C090005" w:tentative="1">
      <w:start w:val="1"/>
      <w:numFmt w:val="bullet"/>
      <w:lvlText w:val=""/>
      <w:lvlJc w:val="left"/>
      <w:pPr>
        <w:ind w:left="731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553582"/>
    <w:multiLevelType w:val="hybridMultilevel"/>
    <w:tmpl w:val="9232F4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D05BED"/>
    <w:multiLevelType w:val="hybridMultilevel"/>
    <w:tmpl w:val="D4F67A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E415A7"/>
    <w:multiLevelType w:val="hybridMultilevel"/>
    <w:tmpl w:val="A456E47A"/>
    <w:lvl w:ilvl="0" w:tplc="C55E5466">
      <w:start w:val="1"/>
      <w:numFmt w:val="lowerRoman"/>
      <w:lvlText w:val="(%1)"/>
      <w:lvlJc w:val="left"/>
      <w:pPr>
        <w:ind w:left="1080" w:hanging="72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93262"/>
    <w:multiLevelType w:val="hybridMultilevel"/>
    <w:tmpl w:val="392490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E4146F"/>
    <w:multiLevelType w:val="hybridMultilevel"/>
    <w:tmpl w:val="19145C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B4A588C"/>
    <w:multiLevelType w:val="hybridMultilevel"/>
    <w:tmpl w:val="6A78FE5A"/>
    <w:lvl w:ilvl="0" w:tplc="72A8243A">
      <w:start w:val="1"/>
      <w:numFmt w:val="bullet"/>
      <w:lvlText w:val=""/>
      <w:lvlJc w:val="left"/>
      <w:pPr>
        <w:ind w:left="720" w:hanging="360"/>
      </w:pPr>
      <w:rPr>
        <w:rFonts w:ascii="Symbol" w:hAnsi="Symbol"/>
      </w:rPr>
    </w:lvl>
    <w:lvl w:ilvl="1" w:tplc="279612AC">
      <w:start w:val="1"/>
      <w:numFmt w:val="bullet"/>
      <w:lvlText w:val=""/>
      <w:lvlJc w:val="left"/>
      <w:pPr>
        <w:ind w:left="720" w:hanging="360"/>
      </w:pPr>
      <w:rPr>
        <w:rFonts w:ascii="Symbol" w:hAnsi="Symbol"/>
      </w:rPr>
    </w:lvl>
    <w:lvl w:ilvl="2" w:tplc="971CA12E">
      <w:start w:val="1"/>
      <w:numFmt w:val="bullet"/>
      <w:lvlText w:val=""/>
      <w:lvlJc w:val="left"/>
      <w:pPr>
        <w:ind w:left="720" w:hanging="360"/>
      </w:pPr>
      <w:rPr>
        <w:rFonts w:ascii="Symbol" w:hAnsi="Symbol"/>
      </w:rPr>
    </w:lvl>
    <w:lvl w:ilvl="3" w:tplc="DC7C3238">
      <w:start w:val="1"/>
      <w:numFmt w:val="bullet"/>
      <w:lvlText w:val=""/>
      <w:lvlJc w:val="left"/>
      <w:pPr>
        <w:ind w:left="720" w:hanging="360"/>
      </w:pPr>
      <w:rPr>
        <w:rFonts w:ascii="Symbol" w:hAnsi="Symbol"/>
      </w:rPr>
    </w:lvl>
    <w:lvl w:ilvl="4" w:tplc="0EE6CA1A">
      <w:start w:val="1"/>
      <w:numFmt w:val="bullet"/>
      <w:lvlText w:val=""/>
      <w:lvlJc w:val="left"/>
      <w:pPr>
        <w:ind w:left="720" w:hanging="360"/>
      </w:pPr>
      <w:rPr>
        <w:rFonts w:ascii="Symbol" w:hAnsi="Symbol"/>
      </w:rPr>
    </w:lvl>
    <w:lvl w:ilvl="5" w:tplc="C8EA3008">
      <w:start w:val="1"/>
      <w:numFmt w:val="bullet"/>
      <w:lvlText w:val=""/>
      <w:lvlJc w:val="left"/>
      <w:pPr>
        <w:ind w:left="720" w:hanging="360"/>
      </w:pPr>
      <w:rPr>
        <w:rFonts w:ascii="Symbol" w:hAnsi="Symbol"/>
      </w:rPr>
    </w:lvl>
    <w:lvl w:ilvl="6" w:tplc="FD7C1F42">
      <w:start w:val="1"/>
      <w:numFmt w:val="bullet"/>
      <w:lvlText w:val=""/>
      <w:lvlJc w:val="left"/>
      <w:pPr>
        <w:ind w:left="720" w:hanging="360"/>
      </w:pPr>
      <w:rPr>
        <w:rFonts w:ascii="Symbol" w:hAnsi="Symbol"/>
      </w:rPr>
    </w:lvl>
    <w:lvl w:ilvl="7" w:tplc="72A6D54E">
      <w:start w:val="1"/>
      <w:numFmt w:val="bullet"/>
      <w:lvlText w:val=""/>
      <w:lvlJc w:val="left"/>
      <w:pPr>
        <w:ind w:left="720" w:hanging="360"/>
      </w:pPr>
      <w:rPr>
        <w:rFonts w:ascii="Symbol" w:hAnsi="Symbol"/>
      </w:rPr>
    </w:lvl>
    <w:lvl w:ilvl="8" w:tplc="CC241FA0">
      <w:start w:val="1"/>
      <w:numFmt w:val="bullet"/>
      <w:lvlText w:val=""/>
      <w:lvlJc w:val="left"/>
      <w:pPr>
        <w:ind w:left="720" w:hanging="360"/>
      </w:pPr>
      <w:rPr>
        <w:rFonts w:ascii="Symbol" w:hAnsi="Symbol"/>
      </w:rPr>
    </w:lvl>
  </w:abstractNum>
  <w:abstractNum w:abstractNumId="18" w15:restartNumberingAfterBreak="0">
    <w:nsid w:val="3CA67764"/>
    <w:multiLevelType w:val="hybridMultilevel"/>
    <w:tmpl w:val="71D808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0122E4A"/>
    <w:multiLevelType w:val="hybridMultilevel"/>
    <w:tmpl w:val="37BA5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376C72"/>
    <w:multiLevelType w:val="hybridMultilevel"/>
    <w:tmpl w:val="0604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D2104D"/>
    <w:multiLevelType w:val="hybridMultilevel"/>
    <w:tmpl w:val="66820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44E3A"/>
    <w:multiLevelType w:val="hybridMultilevel"/>
    <w:tmpl w:val="A5648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7C35929"/>
    <w:multiLevelType w:val="multilevel"/>
    <w:tmpl w:val="85267794"/>
    <w:lvl w:ilvl="0">
      <w:start w:val="1"/>
      <w:numFmt w:val="decimal"/>
      <w:lvlText w:val="%1"/>
      <w:lvlJc w:val="left"/>
      <w:pPr>
        <w:ind w:left="720" w:hanging="720"/>
      </w:pPr>
      <w:rPr>
        <w:rFonts w:hint="default"/>
        <w:b/>
        <w:i w:val="0"/>
        <w:iCs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0235B7"/>
    <w:multiLevelType w:val="hybridMultilevel"/>
    <w:tmpl w:val="9648BE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0AC7466"/>
    <w:multiLevelType w:val="hybridMultilevel"/>
    <w:tmpl w:val="8902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61D2CDD"/>
    <w:multiLevelType w:val="hybridMultilevel"/>
    <w:tmpl w:val="A184C9E8"/>
    <w:lvl w:ilvl="0" w:tplc="6442CDCE">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838025D"/>
    <w:multiLevelType w:val="hybridMultilevel"/>
    <w:tmpl w:val="BA806A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6F6"/>
    <w:multiLevelType w:val="hybridMultilevel"/>
    <w:tmpl w:val="FDD09A1A"/>
    <w:lvl w:ilvl="0" w:tplc="A4BAF7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4D2098"/>
    <w:multiLevelType w:val="hybridMultilevel"/>
    <w:tmpl w:val="1D86E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B979B7"/>
    <w:multiLevelType w:val="hybridMultilevel"/>
    <w:tmpl w:val="80EED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01475E"/>
    <w:multiLevelType w:val="multilevel"/>
    <w:tmpl w:val="162624C8"/>
    <w:lvl w:ilvl="0">
      <w:start w:val="1"/>
      <w:numFmt w:val="decimal"/>
      <w:lvlText w:val="%1"/>
      <w:lvlJc w:val="left"/>
      <w:pPr>
        <w:ind w:left="720" w:hanging="720"/>
      </w:pPr>
      <w:rPr>
        <w:rFonts w:hint="default"/>
        <w:b/>
        <w:i w:val="0"/>
        <w:iCs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115BF"/>
    <w:multiLevelType w:val="hybridMultilevel"/>
    <w:tmpl w:val="F00C9C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84D033C"/>
    <w:multiLevelType w:val="multilevel"/>
    <w:tmpl w:val="CC64B8BC"/>
    <w:lvl w:ilvl="0">
      <w:start w:val="1"/>
      <w:numFmt w:val="decimal"/>
      <w:pStyle w:val="2-SectionHeading"/>
      <w:lvlText w:val="%1"/>
      <w:lvlJc w:val="left"/>
      <w:pPr>
        <w:ind w:left="720" w:hanging="720"/>
      </w:pPr>
      <w:rPr>
        <w:rFonts w:hint="default"/>
        <w:b/>
        <w:i w:val="0"/>
        <w:iCs w:val="0"/>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7086"/>
    <w:multiLevelType w:val="hybridMultilevel"/>
    <w:tmpl w:val="C15A0C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C00244"/>
    <w:multiLevelType w:val="multilevel"/>
    <w:tmpl w:val="85267794"/>
    <w:lvl w:ilvl="0">
      <w:start w:val="1"/>
      <w:numFmt w:val="decimal"/>
      <w:lvlText w:val="%1"/>
      <w:lvlJc w:val="left"/>
      <w:pPr>
        <w:ind w:left="720" w:hanging="720"/>
      </w:pPr>
      <w:rPr>
        <w:rFonts w:hint="default"/>
        <w:b/>
        <w:i w:val="0"/>
        <w:iCs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8F67D8"/>
    <w:multiLevelType w:val="hybridMultilevel"/>
    <w:tmpl w:val="5E14A7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16186631">
    <w:abstractNumId w:val="40"/>
  </w:num>
  <w:num w:numId="2" w16cid:durableId="917793048">
    <w:abstractNumId w:val="22"/>
  </w:num>
  <w:num w:numId="3" w16cid:durableId="263461728">
    <w:abstractNumId w:val="0"/>
  </w:num>
  <w:num w:numId="4" w16cid:durableId="1533883230">
    <w:abstractNumId w:val="20"/>
  </w:num>
  <w:num w:numId="5" w16cid:durableId="220360847">
    <w:abstractNumId w:val="30"/>
  </w:num>
  <w:num w:numId="6" w16cid:durableId="268196418">
    <w:abstractNumId w:val="15"/>
  </w:num>
  <w:num w:numId="7" w16cid:durableId="1048839230">
    <w:abstractNumId w:val="40"/>
  </w:num>
  <w:num w:numId="8" w16cid:durableId="362289398">
    <w:abstractNumId w:val="5"/>
  </w:num>
  <w:num w:numId="9" w16cid:durableId="68844140">
    <w:abstractNumId w:val="29"/>
  </w:num>
  <w:num w:numId="10" w16cid:durableId="777914022">
    <w:abstractNumId w:val="19"/>
  </w:num>
  <w:num w:numId="11" w16cid:durableId="1059017377">
    <w:abstractNumId w:val="10"/>
  </w:num>
  <w:num w:numId="12" w16cid:durableId="383603857">
    <w:abstractNumId w:val="41"/>
  </w:num>
  <w:num w:numId="13" w16cid:durableId="219021324">
    <w:abstractNumId w:val="39"/>
  </w:num>
  <w:num w:numId="14" w16cid:durableId="1705979735">
    <w:abstractNumId w:val="25"/>
  </w:num>
  <w:num w:numId="15" w16cid:durableId="83914584">
    <w:abstractNumId w:val="23"/>
  </w:num>
  <w:num w:numId="16" w16cid:durableId="1195967577">
    <w:abstractNumId w:val="2"/>
  </w:num>
  <w:num w:numId="17" w16cid:durableId="608396995">
    <w:abstractNumId w:val="7"/>
  </w:num>
  <w:num w:numId="18" w16cid:durableId="869610211">
    <w:abstractNumId w:val="32"/>
  </w:num>
  <w:num w:numId="19" w16cid:durableId="1785686574">
    <w:abstractNumId w:val="16"/>
  </w:num>
  <w:num w:numId="20" w16cid:durableId="1362245888">
    <w:abstractNumId w:val="43"/>
  </w:num>
  <w:num w:numId="21" w16cid:durableId="36512677">
    <w:abstractNumId w:val="21"/>
  </w:num>
  <w:num w:numId="22" w16cid:durableId="1467040241">
    <w:abstractNumId w:val="6"/>
  </w:num>
  <w:num w:numId="23" w16cid:durableId="1662389543">
    <w:abstractNumId w:val="34"/>
  </w:num>
  <w:num w:numId="24" w16cid:durableId="996348152">
    <w:abstractNumId w:val="11"/>
  </w:num>
  <w:num w:numId="25" w16cid:durableId="126240624">
    <w:abstractNumId w:val="33"/>
  </w:num>
  <w:num w:numId="26" w16cid:durableId="1073355176">
    <w:abstractNumId w:val="12"/>
  </w:num>
  <w:num w:numId="27" w16cid:durableId="1884441861">
    <w:abstractNumId w:val="37"/>
  </w:num>
  <w:num w:numId="28" w16cid:durableId="1453596782">
    <w:abstractNumId w:val="17"/>
  </w:num>
  <w:num w:numId="29" w16cid:durableId="1456951552">
    <w:abstractNumId w:val="14"/>
  </w:num>
  <w:num w:numId="30" w16cid:durableId="35132166">
    <w:abstractNumId w:val="4"/>
  </w:num>
  <w:num w:numId="31" w16cid:durableId="1299846038">
    <w:abstractNumId w:val="31"/>
  </w:num>
  <w:num w:numId="32" w16cid:durableId="260844971">
    <w:abstractNumId w:val="18"/>
  </w:num>
  <w:num w:numId="33" w16cid:durableId="88587066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005167">
    <w:abstractNumId w:val="26"/>
  </w:num>
  <w:num w:numId="35" w16cid:durableId="408699874">
    <w:abstractNumId w:val="27"/>
  </w:num>
  <w:num w:numId="36" w16cid:durableId="1569418770">
    <w:abstractNumId w:val="3"/>
  </w:num>
  <w:num w:numId="37" w16cid:durableId="705176722">
    <w:abstractNumId w:val="1"/>
  </w:num>
  <w:num w:numId="38" w16cid:durableId="1926569401">
    <w:abstractNumId w:val="9"/>
  </w:num>
  <w:num w:numId="39" w16cid:durableId="1979457665">
    <w:abstractNumId w:val="13"/>
  </w:num>
  <w:num w:numId="40" w16cid:durableId="2038313566">
    <w:abstractNumId w:val="8"/>
  </w:num>
  <w:num w:numId="41" w16cid:durableId="129744317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97201">
    <w:abstractNumId w:val="36"/>
  </w:num>
  <w:num w:numId="43" w16cid:durableId="206720216">
    <w:abstractNumId w:val="42"/>
  </w:num>
  <w:num w:numId="44" w16cid:durableId="1077361999">
    <w:abstractNumId w:val="24"/>
  </w:num>
  <w:num w:numId="45" w16cid:durableId="565840045">
    <w:abstractNumId w:val="38"/>
  </w:num>
  <w:num w:numId="46" w16cid:durableId="1754468118">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26D"/>
    <w:rsid w:val="000005A9"/>
    <w:rsid w:val="00000762"/>
    <w:rsid w:val="00000790"/>
    <w:rsid w:val="0000110B"/>
    <w:rsid w:val="000015B5"/>
    <w:rsid w:val="000017ED"/>
    <w:rsid w:val="00001C21"/>
    <w:rsid w:val="00001C9C"/>
    <w:rsid w:val="00001DBA"/>
    <w:rsid w:val="00002241"/>
    <w:rsid w:val="00002C42"/>
    <w:rsid w:val="0000304F"/>
    <w:rsid w:val="00003301"/>
    <w:rsid w:val="00003499"/>
    <w:rsid w:val="00003896"/>
    <w:rsid w:val="00003949"/>
    <w:rsid w:val="000039B7"/>
    <w:rsid w:val="00003B5C"/>
    <w:rsid w:val="00003F41"/>
    <w:rsid w:val="000041A0"/>
    <w:rsid w:val="00004CFC"/>
    <w:rsid w:val="00004EFC"/>
    <w:rsid w:val="000055A6"/>
    <w:rsid w:val="000056B9"/>
    <w:rsid w:val="00005A27"/>
    <w:rsid w:val="00005C41"/>
    <w:rsid w:val="00005CDB"/>
    <w:rsid w:val="0000639A"/>
    <w:rsid w:val="0000667B"/>
    <w:rsid w:val="00006702"/>
    <w:rsid w:val="00006DA9"/>
    <w:rsid w:val="00006DE5"/>
    <w:rsid w:val="00006E9D"/>
    <w:rsid w:val="000073E1"/>
    <w:rsid w:val="00007431"/>
    <w:rsid w:val="00007442"/>
    <w:rsid w:val="000075A8"/>
    <w:rsid w:val="00007805"/>
    <w:rsid w:val="00007BA6"/>
    <w:rsid w:val="00007FAB"/>
    <w:rsid w:val="000101D4"/>
    <w:rsid w:val="00010915"/>
    <w:rsid w:val="000109D9"/>
    <w:rsid w:val="00010B66"/>
    <w:rsid w:val="00011043"/>
    <w:rsid w:val="000119D4"/>
    <w:rsid w:val="00011A60"/>
    <w:rsid w:val="00011AB9"/>
    <w:rsid w:val="00011D0A"/>
    <w:rsid w:val="00012073"/>
    <w:rsid w:val="000125BE"/>
    <w:rsid w:val="00012748"/>
    <w:rsid w:val="000128AF"/>
    <w:rsid w:val="00012927"/>
    <w:rsid w:val="0001298A"/>
    <w:rsid w:val="00013247"/>
    <w:rsid w:val="00013482"/>
    <w:rsid w:val="00014EE3"/>
    <w:rsid w:val="0001555E"/>
    <w:rsid w:val="00015886"/>
    <w:rsid w:val="00015B01"/>
    <w:rsid w:val="000162EF"/>
    <w:rsid w:val="00016458"/>
    <w:rsid w:val="000165BA"/>
    <w:rsid w:val="0001746B"/>
    <w:rsid w:val="000177AD"/>
    <w:rsid w:val="000179CB"/>
    <w:rsid w:val="000207C9"/>
    <w:rsid w:val="00020B2F"/>
    <w:rsid w:val="00020DBF"/>
    <w:rsid w:val="00020DC4"/>
    <w:rsid w:val="00020DE7"/>
    <w:rsid w:val="00020E9B"/>
    <w:rsid w:val="00021814"/>
    <w:rsid w:val="000218C4"/>
    <w:rsid w:val="00021C4F"/>
    <w:rsid w:val="0002225F"/>
    <w:rsid w:val="000224C5"/>
    <w:rsid w:val="00023763"/>
    <w:rsid w:val="00023DCF"/>
    <w:rsid w:val="000245A3"/>
    <w:rsid w:val="00024EB5"/>
    <w:rsid w:val="00024ECE"/>
    <w:rsid w:val="0002550B"/>
    <w:rsid w:val="00025739"/>
    <w:rsid w:val="0002578A"/>
    <w:rsid w:val="00026656"/>
    <w:rsid w:val="000267CF"/>
    <w:rsid w:val="000274B8"/>
    <w:rsid w:val="0002754C"/>
    <w:rsid w:val="00027578"/>
    <w:rsid w:val="00027920"/>
    <w:rsid w:val="00027A79"/>
    <w:rsid w:val="00030499"/>
    <w:rsid w:val="000304EB"/>
    <w:rsid w:val="0003065B"/>
    <w:rsid w:val="000306EF"/>
    <w:rsid w:val="00030A75"/>
    <w:rsid w:val="00030B86"/>
    <w:rsid w:val="00030E69"/>
    <w:rsid w:val="0003194D"/>
    <w:rsid w:val="00032740"/>
    <w:rsid w:val="00032858"/>
    <w:rsid w:val="00032A0C"/>
    <w:rsid w:val="00032D8B"/>
    <w:rsid w:val="00032EE6"/>
    <w:rsid w:val="00033082"/>
    <w:rsid w:val="000337C9"/>
    <w:rsid w:val="00033863"/>
    <w:rsid w:val="000339F6"/>
    <w:rsid w:val="00035939"/>
    <w:rsid w:val="000359D3"/>
    <w:rsid w:val="00035DC0"/>
    <w:rsid w:val="00035FC5"/>
    <w:rsid w:val="000363D5"/>
    <w:rsid w:val="00036444"/>
    <w:rsid w:val="0003678B"/>
    <w:rsid w:val="00036829"/>
    <w:rsid w:val="0003694D"/>
    <w:rsid w:val="0003697C"/>
    <w:rsid w:val="00037341"/>
    <w:rsid w:val="0003746A"/>
    <w:rsid w:val="0003766C"/>
    <w:rsid w:val="0003767C"/>
    <w:rsid w:val="00037731"/>
    <w:rsid w:val="00037A9D"/>
    <w:rsid w:val="00040895"/>
    <w:rsid w:val="000410A0"/>
    <w:rsid w:val="0004143B"/>
    <w:rsid w:val="0004280B"/>
    <w:rsid w:val="00042DC8"/>
    <w:rsid w:val="00043044"/>
    <w:rsid w:val="000434FF"/>
    <w:rsid w:val="000435EE"/>
    <w:rsid w:val="00043C37"/>
    <w:rsid w:val="00043E12"/>
    <w:rsid w:val="00044298"/>
    <w:rsid w:val="000444D3"/>
    <w:rsid w:val="00044800"/>
    <w:rsid w:val="00044912"/>
    <w:rsid w:val="00045017"/>
    <w:rsid w:val="00045A2B"/>
    <w:rsid w:val="00045C57"/>
    <w:rsid w:val="00046111"/>
    <w:rsid w:val="0004648B"/>
    <w:rsid w:val="000467DE"/>
    <w:rsid w:val="0004698F"/>
    <w:rsid w:val="00046C7C"/>
    <w:rsid w:val="00046D64"/>
    <w:rsid w:val="00047408"/>
    <w:rsid w:val="0004741F"/>
    <w:rsid w:val="00047881"/>
    <w:rsid w:val="00047B60"/>
    <w:rsid w:val="00047C40"/>
    <w:rsid w:val="00047F43"/>
    <w:rsid w:val="000501AF"/>
    <w:rsid w:val="0005023B"/>
    <w:rsid w:val="0005054F"/>
    <w:rsid w:val="000508C2"/>
    <w:rsid w:val="00050AAB"/>
    <w:rsid w:val="00050D26"/>
    <w:rsid w:val="00050EEE"/>
    <w:rsid w:val="0005118F"/>
    <w:rsid w:val="00051A87"/>
    <w:rsid w:val="0005204C"/>
    <w:rsid w:val="000520F0"/>
    <w:rsid w:val="00052119"/>
    <w:rsid w:val="00052204"/>
    <w:rsid w:val="00052E9D"/>
    <w:rsid w:val="0005364D"/>
    <w:rsid w:val="000539D0"/>
    <w:rsid w:val="0005439F"/>
    <w:rsid w:val="0005446B"/>
    <w:rsid w:val="00054621"/>
    <w:rsid w:val="000546D7"/>
    <w:rsid w:val="00054A8D"/>
    <w:rsid w:val="00054BD4"/>
    <w:rsid w:val="00054D31"/>
    <w:rsid w:val="00055847"/>
    <w:rsid w:val="00056ECF"/>
    <w:rsid w:val="000572B8"/>
    <w:rsid w:val="000572DF"/>
    <w:rsid w:val="0005755E"/>
    <w:rsid w:val="0005766A"/>
    <w:rsid w:val="00057E58"/>
    <w:rsid w:val="00060070"/>
    <w:rsid w:val="000604DF"/>
    <w:rsid w:val="00061239"/>
    <w:rsid w:val="000612F4"/>
    <w:rsid w:val="000613D9"/>
    <w:rsid w:val="00061665"/>
    <w:rsid w:val="00061AF8"/>
    <w:rsid w:val="00061C15"/>
    <w:rsid w:val="00062324"/>
    <w:rsid w:val="00062DCF"/>
    <w:rsid w:val="00062E5D"/>
    <w:rsid w:val="00063073"/>
    <w:rsid w:val="000636F5"/>
    <w:rsid w:val="000643FF"/>
    <w:rsid w:val="000645B2"/>
    <w:rsid w:val="00065086"/>
    <w:rsid w:val="000653B5"/>
    <w:rsid w:val="00065C0A"/>
    <w:rsid w:val="00065E26"/>
    <w:rsid w:val="00066106"/>
    <w:rsid w:val="00066360"/>
    <w:rsid w:val="000667DC"/>
    <w:rsid w:val="00066AF8"/>
    <w:rsid w:val="00067139"/>
    <w:rsid w:val="000671ED"/>
    <w:rsid w:val="00067206"/>
    <w:rsid w:val="000675AC"/>
    <w:rsid w:val="0006777E"/>
    <w:rsid w:val="000678B0"/>
    <w:rsid w:val="00067C05"/>
    <w:rsid w:val="00067F64"/>
    <w:rsid w:val="0007005D"/>
    <w:rsid w:val="00071248"/>
    <w:rsid w:val="00071284"/>
    <w:rsid w:val="000715C9"/>
    <w:rsid w:val="000716D8"/>
    <w:rsid w:val="00071975"/>
    <w:rsid w:val="000719DD"/>
    <w:rsid w:val="000720B9"/>
    <w:rsid w:val="00072BA6"/>
    <w:rsid w:val="0007344F"/>
    <w:rsid w:val="000737F7"/>
    <w:rsid w:val="00073C83"/>
    <w:rsid w:val="00074678"/>
    <w:rsid w:val="000749B1"/>
    <w:rsid w:val="00074FA7"/>
    <w:rsid w:val="00076461"/>
    <w:rsid w:val="0007672F"/>
    <w:rsid w:val="00076B54"/>
    <w:rsid w:val="00076F08"/>
    <w:rsid w:val="000774F0"/>
    <w:rsid w:val="000778B2"/>
    <w:rsid w:val="000778D8"/>
    <w:rsid w:val="00077BEA"/>
    <w:rsid w:val="00080340"/>
    <w:rsid w:val="000808A5"/>
    <w:rsid w:val="000808B8"/>
    <w:rsid w:val="00080909"/>
    <w:rsid w:val="000810E2"/>
    <w:rsid w:val="000812CA"/>
    <w:rsid w:val="00081952"/>
    <w:rsid w:val="00081E63"/>
    <w:rsid w:val="0008219C"/>
    <w:rsid w:val="0008239D"/>
    <w:rsid w:val="0008258D"/>
    <w:rsid w:val="00082D54"/>
    <w:rsid w:val="00082ED6"/>
    <w:rsid w:val="00082F73"/>
    <w:rsid w:val="00083140"/>
    <w:rsid w:val="00083616"/>
    <w:rsid w:val="0008386F"/>
    <w:rsid w:val="00083AEC"/>
    <w:rsid w:val="00083E99"/>
    <w:rsid w:val="000845CE"/>
    <w:rsid w:val="00084959"/>
    <w:rsid w:val="00084C17"/>
    <w:rsid w:val="00084F6C"/>
    <w:rsid w:val="00084FA8"/>
    <w:rsid w:val="000852A2"/>
    <w:rsid w:val="0008533E"/>
    <w:rsid w:val="000855B0"/>
    <w:rsid w:val="000856C5"/>
    <w:rsid w:val="00085C15"/>
    <w:rsid w:val="00085C31"/>
    <w:rsid w:val="00086373"/>
    <w:rsid w:val="0008639F"/>
    <w:rsid w:val="00086EC8"/>
    <w:rsid w:val="0008776F"/>
    <w:rsid w:val="000902D9"/>
    <w:rsid w:val="00090710"/>
    <w:rsid w:val="00090BBD"/>
    <w:rsid w:val="00090C43"/>
    <w:rsid w:val="00090C7E"/>
    <w:rsid w:val="00090D3C"/>
    <w:rsid w:val="00090DD9"/>
    <w:rsid w:val="00091101"/>
    <w:rsid w:val="0009112E"/>
    <w:rsid w:val="000911AC"/>
    <w:rsid w:val="00091650"/>
    <w:rsid w:val="0009173A"/>
    <w:rsid w:val="000919AB"/>
    <w:rsid w:val="00091BC8"/>
    <w:rsid w:val="0009257E"/>
    <w:rsid w:val="00092600"/>
    <w:rsid w:val="0009262B"/>
    <w:rsid w:val="00092730"/>
    <w:rsid w:val="00092BF2"/>
    <w:rsid w:val="00093122"/>
    <w:rsid w:val="00093310"/>
    <w:rsid w:val="00093483"/>
    <w:rsid w:val="0009351B"/>
    <w:rsid w:val="000935DF"/>
    <w:rsid w:val="0009399E"/>
    <w:rsid w:val="00093A07"/>
    <w:rsid w:val="00094212"/>
    <w:rsid w:val="0009445C"/>
    <w:rsid w:val="000945D9"/>
    <w:rsid w:val="00094AEC"/>
    <w:rsid w:val="00094B52"/>
    <w:rsid w:val="00095200"/>
    <w:rsid w:val="00095333"/>
    <w:rsid w:val="000957B6"/>
    <w:rsid w:val="00095A54"/>
    <w:rsid w:val="00095AB6"/>
    <w:rsid w:val="00095C1E"/>
    <w:rsid w:val="00095FE5"/>
    <w:rsid w:val="00096284"/>
    <w:rsid w:val="000969C6"/>
    <w:rsid w:val="00096DC5"/>
    <w:rsid w:val="00096EC7"/>
    <w:rsid w:val="000976A0"/>
    <w:rsid w:val="00097755"/>
    <w:rsid w:val="00097DE0"/>
    <w:rsid w:val="000A032F"/>
    <w:rsid w:val="000A0590"/>
    <w:rsid w:val="000A09A5"/>
    <w:rsid w:val="000A0C15"/>
    <w:rsid w:val="000A0C43"/>
    <w:rsid w:val="000A0E2E"/>
    <w:rsid w:val="000A1677"/>
    <w:rsid w:val="000A1730"/>
    <w:rsid w:val="000A1BC0"/>
    <w:rsid w:val="000A1C98"/>
    <w:rsid w:val="000A24AB"/>
    <w:rsid w:val="000A2503"/>
    <w:rsid w:val="000A2785"/>
    <w:rsid w:val="000A28A6"/>
    <w:rsid w:val="000A2A22"/>
    <w:rsid w:val="000A2F9E"/>
    <w:rsid w:val="000A3377"/>
    <w:rsid w:val="000A3E47"/>
    <w:rsid w:val="000A3FDD"/>
    <w:rsid w:val="000A4751"/>
    <w:rsid w:val="000A4C9D"/>
    <w:rsid w:val="000A5156"/>
    <w:rsid w:val="000A522B"/>
    <w:rsid w:val="000A52DA"/>
    <w:rsid w:val="000A570F"/>
    <w:rsid w:val="000A6039"/>
    <w:rsid w:val="000A69DE"/>
    <w:rsid w:val="000A6BC2"/>
    <w:rsid w:val="000A6D50"/>
    <w:rsid w:val="000A6F91"/>
    <w:rsid w:val="000A6F9A"/>
    <w:rsid w:val="000A7453"/>
    <w:rsid w:val="000A7630"/>
    <w:rsid w:val="000A7BF5"/>
    <w:rsid w:val="000A7D08"/>
    <w:rsid w:val="000A7FC0"/>
    <w:rsid w:val="000B0121"/>
    <w:rsid w:val="000B0670"/>
    <w:rsid w:val="000B0AC0"/>
    <w:rsid w:val="000B0B81"/>
    <w:rsid w:val="000B0E75"/>
    <w:rsid w:val="000B149D"/>
    <w:rsid w:val="000B15F5"/>
    <w:rsid w:val="000B1AB4"/>
    <w:rsid w:val="000B1AC2"/>
    <w:rsid w:val="000B1E87"/>
    <w:rsid w:val="000B276F"/>
    <w:rsid w:val="000B2AE6"/>
    <w:rsid w:val="000B2DCB"/>
    <w:rsid w:val="000B3DA5"/>
    <w:rsid w:val="000B43BC"/>
    <w:rsid w:val="000B44AC"/>
    <w:rsid w:val="000B4589"/>
    <w:rsid w:val="000B458F"/>
    <w:rsid w:val="000B4F4E"/>
    <w:rsid w:val="000B50E3"/>
    <w:rsid w:val="000B52E9"/>
    <w:rsid w:val="000B5C25"/>
    <w:rsid w:val="000B5CE0"/>
    <w:rsid w:val="000B6770"/>
    <w:rsid w:val="000B69A9"/>
    <w:rsid w:val="000B6CAC"/>
    <w:rsid w:val="000B70E6"/>
    <w:rsid w:val="000B7612"/>
    <w:rsid w:val="000B767A"/>
    <w:rsid w:val="000B77A5"/>
    <w:rsid w:val="000B78AE"/>
    <w:rsid w:val="000B7BA4"/>
    <w:rsid w:val="000C01A0"/>
    <w:rsid w:val="000C05FE"/>
    <w:rsid w:val="000C1703"/>
    <w:rsid w:val="000C17F1"/>
    <w:rsid w:val="000C182F"/>
    <w:rsid w:val="000C26A4"/>
    <w:rsid w:val="000C3125"/>
    <w:rsid w:val="000C367E"/>
    <w:rsid w:val="000C3A29"/>
    <w:rsid w:val="000C3AFC"/>
    <w:rsid w:val="000C3BB3"/>
    <w:rsid w:val="000C3DF9"/>
    <w:rsid w:val="000C40EC"/>
    <w:rsid w:val="000C4997"/>
    <w:rsid w:val="000C4CF2"/>
    <w:rsid w:val="000C56B6"/>
    <w:rsid w:val="000C6713"/>
    <w:rsid w:val="000C6D67"/>
    <w:rsid w:val="000D00A2"/>
    <w:rsid w:val="000D01B7"/>
    <w:rsid w:val="000D0DC5"/>
    <w:rsid w:val="000D0E37"/>
    <w:rsid w:val="000D144D"/>
    <w:rsid w:val="000D1697"/>
    <w:rsid w:val="000D1BFC"/>
    <w:rsid w:val="000D1D5D"/>
    <w:rsid w:val="000D21D5"/>
    <w:rsid w:val="000D281A"/>
    <w:rsid w:val="000D2848"/>
    <w:rsid w:val="000D2A6E"/>
    <w:rsid w:val="000D2D45"/>
    <w:rsid w:val="000D2E89"/>
    <w:rsid w:val="000D3231"/>
    <w:rsid w:val="000D326A"/>
    <w:rsid w:val="000D32C2"/>
    <w:rsid w:val="000D3549"/>
    <w:rsid w:val="000D35F9"/>
    <w:rsid w:val="000D39D5"/>
    <w:rsid w:val="000D42A5"/>
    <w:rsid w:val="000D51FB"/>
    <w:rsid w:val="000D54E1"/>
    <w:rsid w:val="000D6E41"/>
    <w:rsid w:val="000D7369"/>
    <w:rsid w:val="000D7EF6"/>
    <w:rsid w:val="000E0273"/>
    <w:rsid w:val="000E05AD"/>
    <w:rsid w:val="000E0640"/>
    <w:rsid w:val="000E08A3"/>
    <w:rsid w:val="000E12DA"/>
    <w:rsid w:val="000E135D"/>
    <w:rsid w:val="000E1915"/>
    <w:rsid w:val="000E1A90"/>
    <w:rsid w:val="000E1BFF"/>
    <w:rsid w:val="000E1CB5"/>
    <w:rsid w:val="000E1D0D"/>
    <w:rsid w:val="000E2138"/>
    <w:rsid w:val="000E31F2"/>
    <w:rsid w:val="000E351C"/>
    <w:rsid w:val="000E3953"/>
    <w:rsid w:val="000E3A20"/>
    <w:rsid w:val="000E3A42"/>
    <w:rsid w:val="000E4451"/>
    <w:rsid w:val="000E4A37"/>
    <w:rsid w:val="000E4AC7"/>
    <w:rsid w:val="000E4F41"/>
    <w:rsid w:val="000E52BC"/>
    <w:rsid w:val="000E56AA"/>
    <w:rsid w:val="000E57C4"/>
    <w:rsid w:val="000E5ACC"/>
    <w:rsid w:val="000E611E"/>
    <w:rsid w:val="000E6760"/>
    <w:rsid w:val="000E6776"/>
    <w:rsid w:val="000E6DC8"/>
    <w:rsid w:val="000E79EF"/>
    <w:rsid w:val="000F00BA"/>
    <w:rsid w:val="000F00FE"/>
    <w:rsid w:val="000F0300"/>
    <w:rsid w:val="000F03F7"/>
    <w:rsid w:val="000F05B8"/>
    <w:rsid w:val="000F1167"/>
    <w:rsid w:val="000F17A3"/>
    <w:rsid w:val="000F17D5"/>
    <w:rsid w:val="000F19B4"/>
    <w:rsid w:val="000F1D21"/>
    <w:rsid w:val="000F2C1D"/>
    <w:rsid w:val="000F2DD6"/>
    <w:rsid w:val="000F2F81"/>
    <w:rsid w:val="000F316A"/>
    <w:rsid w:val="000F365A"/>
    <w:rsid w:val="000F3855"/>
    <w:rsid w:val="000F3942"/>
    <w:rsid w:val="000F3C74"/>
    <w:rsid w:val="000F4070"/>
    <w:rsid w:val="000F4BB8"/>
    <w:rsid w:val="000F4C7B"/>
    <w:rsid w:val="000F4FA9"/>
    <w:rsid w:val="000F51F7"/>
    <w:rsid w:val="000F53FB"/>
    <w:rsid w:val="000F5AEE"/>
    <w:rsid w:val="000F5BA4"/>
    <w:rsid w:val="000F5EA8"/>
    <w:rsid w:val="000F66F9"/>
    <w:rsid w:val="000F6795"/>
    <w:rsid w:val="000F6DC7"/>
    <w:rsid w:val="000F7127"/>
    <w:rsid w:val="000F7363"/>
    <w:rsid w:val="000F7877"/>
    <w:rsid w:val="000F7A73"/>
    <w:rsid w:val="000F7B54"/>
    <w:rsid w:val="000F7B7B"/>
    <w:rsid w:val="001000B3"/>
    <w:rsid w:val="00100417"/>
    <w:rsid w:val="00100F8A"/>
    <w:rsid w:val="00101795"/>
    <w:rsid w:val="0010194C"/>
    <w:rsid w:val="00102205"/>
    <w:rsid w:val="00102693"/>
    <w:rsid w:val="0010297B"/>
    <w:rsid w:val="00102985"/>
    <w:rsid w:val="0010303F"/>
    <w:rsid w:val="001034B3"/>
    <w:rsid w:val="00104042"/>
    <w:rsid w:val="00104322"/>
    <w:rsid w:val="0010452E"/>
    <w:rsid w:val="00104535"/>
    <w:rsid w:val="00104574"/>
    <w:rsid w:val="00104AD3"/>
    <w:rsid w:val="0010510C"/>
    <w:rsid w:val="00105722"/>
    <w:rsid w:val="00105AE2"/>
    <w:rsid w:val="00105B41"/>
    <w:rsid w:val="00105C0D"/>
    <w:rsid w:val="001060C6"/>
    <w:rsid w:val="00106B80"/>
    <w:rsid w:val="00106C58"/>
    <w:rsid w:val="0010786E"/>
    <w:rsid w:val="00107D2C"/>
    <w:rsid w:val="00107D6F"/>
    <w:rsid w:val="0011032E"/>
    <w:rsid w:val="0011043A"/>
    <w:rsid w:val="00110548"/>
    <w:rsid w:val="00110B7E"/>
    <w:rsid w:val="00110FA2"/>
    <w:rsid w:val="001112BC"/>
    <w:rsid w:val="00111713"/>
    <w:rsid w:val="00111C34"/>
    <w:rsid w:val="00111F7B"/>
    <w:rsid w:val="0011227D"/>
    <w:rsid w:val="001128FC"/>
    <w:rsid w:val="00112BBE"/>
    <w:rsid w:val="00112F5A"/>
    <w:rsid w:val="0011311E"/>
    <w:rsid w:val="0011348B"/>
    <w:rsid w:val="00113953"/>
    <w:rsid w:val="00113BA4"/>
    <w:rsid w:val="001149AD"/>
    <w:rsid w:val="00114E09"/>
    <w:rsid w:val="001151CB"/>
    <w:rsid w:val="00115347"/>
    <w:rsid w:val="00115982"/>
    <w:rsid w:val="00115BEE"/>
    <w:rsid w:val="00116207"/>
    <w:rsid w:val="00116329"/>
    <w:rsid w:val="00116B6E"/>
    <w:rsid w:val="00116C53"/>
    <w:rsid w:val="0011714D"/>
    <w:rsid w:val="001173A2"/>
    <w:rsid w:val="001200DE"/>
    <w:rsid w:val="0012037C"/>
    <w:rsid w:val="001208CD"/>
    <w:rsid w:val="0012169E"/>
    <w:rsid w:val="00121799"/>
    <w:rsid w:val="001222FC"/>
    <w:rsid w:val="0012267B"/>
    <w:rsid w:val="001228C4"/>
    <w:rsid w:val="00122C8B"/>
    <w:rsid w:val="00123680"/>
    <w:rsid w:val="001236B2"/>
    <w:rsid w:val="00123718"/>
    <w:rsid w:val="00123902"/>
    <w:rsid w:val="00123966"/>
    <w:rsid w:val="00123CB5"/>
    <w:rsid w:val="00123FD9"/>
    <w:rsid w:val="001245B9"/>
    <w:rsid w:val="00124A51"/>
    <w:rsid w:val="00124DF5"/>
    <w:rsid w:val="001250A9"/>
    <w:rsid w:val="00125183"/>
    <w:rsid w:val="0012527A"/>
    <w:rsid w:val="00125B10"/>
    <w:rsid w:val="00125C42"/>
    <w:rsid w:val="00126621"/>
    <w:rsid w:val="00126B1D"/>
    <w:rsid w:val="00127A72"/>
    <w:rsid w:val="00127AA5"/>
    <w:rsid w:val="00127B76"/>
    <w:rsid w:val="00127CE8"/>
    <w:rsid w:val="001300B6"/>
    <w:rsid w:val="001301E9"/>
    <w:rsid w:val="001301FB"/>
    <w:rsid w:val="00130A8F"/>
    <w:rsid w:val="0013110D"/>
    <w:rsid w:val="00131407"/>
    <w:rsid w:val="00131C81"/>
    <w:rsid w:val="00131D82"/>
    <w:rsid w:val="0013241C"/>
    <w:rsid w:val="00132ADD"/>
    <w:rsid w:val="00132B22"/>
    <w:rsid w:val="00132D74"/>
    <w:rsid w:val="00133156"/>
    <w:rsid w:val="00133418"/>
    <w:rsid w:val="0013365C"/>
    <w:rsid w:val="00133C67"/>
    <w:rsid w:val="00133D36"/>
    <w:rsid w:val="00134327"/>
    <w:rsid w:val="0013446F"/>
    <w:rsid w:val="00134BB2"/>
    <w:rsid w:val="00134D13"/>
    <w:rsid w:val="001353B6"/>
    <w:rsid w:val="00135751"/>
    <w:rsid w:val="00135B62"/>
    <w:rsid w:val="00135E09"/>
    <w:rsid w:val="001360CC"/>
    <w:rsid w:val="001364E5"/>
    <w:rsid w:val="00137251"/>
    <w:rsid w:val="001372B5"/>
    <w:rsid w:val="001374EB"/>
    <w:rsid w:val="00137645"/>
    <w:rsid w:val="00137745"/>
    <w:rsid w:val="00137B48"/>
    <w:rsid w:val="0014015A"/>
    <w:rsid w:val="00140E99"/>
    <w:rsid w:val="00141050"/>
    <w:rsid w:val="001411D5"/>
    <w:rsid w:val="0014171A"/>
    <w:rsid w:val="00141B20"/>
    <w:rsid w:val="00142488"/>
    <w:rsid w:val="00142749"/>
    <w:rsid w:val="001429A5"/>
    <w:rsid w:val="0014313D"/>
    <w:rsid w:val="00143586"/>
    <w:rsid w:val="00143C24"/>
    <w:rsid w:val="00143C64"/>
    <w:rsid w:val="00143F67"/>
    <w:rsid w:val="001446EF"/>
    <w:rsid w:val="00144A6F"/>
    <w:rsid w:val="00144F47"/>
    <w:rsid w:val="00145043"/>
    <w:rsid w:val="00145234"/>
    <w:rsid w:val="001452C8"/>
    <w:rsid w:val="00145437"/>
    <w:rsid w:val="00145540"/>
    <w:rsid w:val="001456B0"/>
    <w:rsid w:val="00145C1A"/>
    <w:rsid w:val="00145E07"/>
    <w:rsid w:val="001460C0"/>
    <w:rsid w:val="00146BE4"/>
    <w:rsid w:val="00146C0C"/>
    <w:rsid w:val="00146E24"/>
    <w:rsid w:val="0014729B"/>
    <w:rsid w:val="001473E2"/>
    <w:rsid w:val="001475E4"/>
    <w:rsid w:val="0014789B"/>
    <w:rsid w:val="00151294"/>
    <w:rsid w:val="0015139A"/>
    <w:rsid w:val="0015157B"/>
    <w:rsid w:val="00151600"/>
    <w:rsid w:val="001519EF"/>
    <w:rsid w:val="00151EBD"/>
    <w:rsid w:val="001529CD"/>
    <w:rsid w:val="00152D75"/>
    <w:rsid w:val="00152E6F"/>
    <w:rsid w:val="0015312B"/>
    <w:rsid w:val="0015326A"/>
    <w:rsid w:val="001533C2"/>
    <w:rsid w:val="001539F0"/>
    <w:rsid w:val="00153A8A"/>
    <w:rsid w:val="00153C44"/>
    <w:rsid w:val="00153D1D"/>
    <w:rsid w:val="00153F9C"/>
    <w:rsid w:val="00154390"/>
    <w:rsid w:val="0015465F"/>
    <w:rsid w:val="001547AB"/>
    <w:rsid w:val="001548BC"/>
    <w:rsid w:val="001549E4"/>
    <w:rsid w:val="00154A17"/>
    <w:rsid w:val="00155013"/>
    <w:rsid w:val="001554F1"/>
    <w:rsid w:val="001559FF"/>
    <w:rsid w:val="0015643B"/>
    <w:rsid w:val="0015665B"/>
    <w:rsid w:val="001568A3"/>
    <w:rsid w:val="00156E3E"/>
    <w:rsid w:val="00156F8F"/>
    <w:rsid w:val="00157130"/>
    <w:rsid w:val="001571EA"/>
    <w:rsid w:val="001576B1"/>
    <w:rsid w:val="00157A31"/>
    <w:rsid w:val="0016047B"/>
    <w:rsid w:val="0016085A"/>
    <w:rsid w:val="00160A4C"/>
    <w:rsid w:val="00160AAE"/>
    <w:rsid w:val="00160F75"/>
    <w:rsid w:val="0016116C"/>
    <w:rsid w:val="0016161A"/>
    <w:rsid w:val="0016166D"/>
    <w:rsid w:val="00161720"/>
    <w:rsid w:val="001618DE"/>
    <w:rsid w:val="00161F9E"/>
    <w:rsid w:val="00162145"/>
    <w:rsid w:val="001623D9"/>
    <w:rsid w:val="001626BB"/>
    <w:rsid w:val="00162913"/>
    <w:rsid w:val="001630B3"/>
    <w:rsid w:val="001631C5"/>
    <w:rsid w:val="00163239"/>
    <w:rsid w:val="001633F4"/>
    <w:rsid w:val="001637BE"/>
    <w:rsid w:val="00163B04"/>
    <w:rsid w:val="00163EFF"/>
    <w:rsid w:val="00163F66"/>
    <w:rsid w:val="0016414B"/>
    <w:rsid w:val="00164661"/>
    <w:rsid w:val="0016478E"/>
    <w:rsid w:val="00164879"/>
    <w:rsid w:val="00165EC4"/>
    <w:rsid w:val="00166086"/>
    <w:rsid w:val="00166092"/>
    <w:rsid w:val="001661FB"/>
    <w:rsid w:val="001662BF"/>
    <w:rsid w:val="0016630B"/>
    <w:rsid w:val="00166BDF"/>
    <w:rsid w:val="00166CE8"/>
    <w:rsid w:val="00166CF5"/>
    <w:rsid w:val="001671A0"/>
    <w:rsid w:val="0016767F"/>
    <w:rsid w:val="00167B34"/>
    <w:rsid w:val="00167E93"/>
    <w:rsid w:val="00167F67"/>
    <w:rsid w:val="00167FE1"/>
    <w:rsid w:val="0017081E"/>
    <w:rsid w:val="00170860"/>
    <w:rsid w:val="001711E8"/>
    <w:rsid w:val="00172132"/>
    <w:rsid w:val="0017253B"/>
    <w:rsid w:val="00172DCC"/>
    <w:rsid w:val="00173565"/>
    <w:rsid w:val="00173823"/>
    <w:rsid w:val="001739F6"/>
    <w:rsid w:val="00173B07"/>
    <w:rsid w:val="00173D1C"/>
    <w:rsid w:val="00174434"/>
    <w:rsid w:val="001751FA"/>
    <w:rsid w:val="00175B1C"/>
    <w:rsid w:val="00175B6F"/>
    <w:rsid w:val="00175FA9"/>
    <w:rsid w:val="00176612"/>
    <w:rsid w:val="0017745D"/>
    <w:rsid w:val="001777F9"/>
    <w:rsid w:val="00180565"/>
    <w:rsid w:val="00180D9B"/>
    <w:rsid w:val="00181C10"/>
    <w:rsid w:val="00181D9C"/>
    <w:rsid w:val="00182251"/>
    <w:rsid w:val="00182288"/>
    <w:rsid w:val="0018271F"/>
    <w:rsid w:val="00182770"/>
    <w:rsid w:val="00182BD2"/>
    <w:rsid w:val="001837FF"/>
    <w:rsid w:val="00183883"/>
    <w:rsid w:val="00183EE9"/>
    <w:rsid w:val="001840B6"/>
    <w:rsid w:val="001846AF"/>
    <w:rsid w:val="00184B0E"/>
    <w:rsid w:val="0018502D"/>
    <w:rsid w:val="001850A6"/>
    <w:rsid w:val="001859B5"/>
    <w:rsid w:val="00185B37"/>
    <w:rsid w:val="00186B6F"/>
    <w:rsid w:val="00186D25"/>
    <w:rsid w:val="00186FA6"/>
    <w:rsid w:val="0018704B"/>
    <w:rsid w:val="001870B9"/>
    <w:rsid w:val="001871C5"/>
    <w:rsid w:val="0018752F"/>
    <w:rsid w:val="00187CA3"/>
    <w:rsid w:val="00187F2C"/>
    <w:rsid w:val="00190809"/>
    <w:rsid w:val="0019189E"/>
    <w:rsid w:val="00191956"/>
    <w:rsid w:val="00192081"/>
    <w:rsid w:val="001924A3"/>
    <w:rsid w:val="0019265E"/>
    <w:rsid w:val="0019272C"/>
    <w:rsid w:val="0019285C"/>
    <w:rsid w:val="001928EA"/>
    <w:rsid w:val="001929C3"/>
    <w:rsid w:val="00192DA8"/>
    <w:rsid w:val="00192E86"/>
    <w:rsid w:val="00193312"/>
    <w:rsid w:val="00193838"/>
    <w:rsid w:val="00194086"/>
    <w:rsid w:val="00194549"/>
    <w:rsid w:val="00194AD8"/>
    <w:rsid w:val="00194B14"/>
    <w:rsid w:val="00195222"/>
    <w:rsid w:val="00195452"/>
    <w:rsid w:val="00195893"/>
    <w:rsid w:val="0019590E"/>
    <w:rsid w:val="00195A9A"/>
    <w:rsid w:val="00195BB1"/>
    <w:rsid w:val="00195BD0"/>
    <w:rsid w:val="00196B7F"/>
    <w:rsid w:val="00196FB9"/>
    <w:rsid w:val="001971C4"/>
    <w:rsid w:val="00197424"/>
    <w:rsid w:val="001975D8"/>
    <w:rsid w:val="001975E3"/>
    <w:rsid w:val="00197639"/>
    <w:rsid w:val="00197F36"/>
    <w:rsid w:val="001A019A"/>
    <w:rsid w:val="001A01F0"/>
    <w:rsid w:val="001A0370"/>
    <w:rsid w:val="001A04A6"/>
    <w:rsid w:val="001A07EE"/>
    <w:rsid w:val="001A0B9C"/>
    <w:rsid w:val="001A0DBA"/>
    <w:rsid w:val="001A0FFC"/>
    <w:rsid w:val="001A1178"/>
    <w:rsid w:val="001A12AD"/>
    <w:rsid w:val="001A13F2"/>
    <w:rsid w:val="001A178E"/>
    <w:rsid w:val="001A1CAA"/>
    <w:rsid w:val="001A292D"/>
    <w:rsid w:val="001A31EB"/>
    <w:rsid w:val="001A41B7"/>
    <w:rsid w:val="001A43FA"/>
    <w:rsid w:val="001A47C5"/>
    <w:rsid w:val="001A4BA6"/>
    <w:rsid w:val="001A579B"/>
    <w:rsid w:val="001A59FB"/>
    <w:rsid w:val="001A5C6E"/>
    <w:rsid w:val="001A5DE2"/>
    <w:rsid w:val="001A5E9E"/>
    <w:rsid w:val="001A6354"/>
    <w:rsid w:val="001A6366"/>
    <w:rsid w:val="001A643E"/>
    <w:rsid w:val="001A6DB3"/>
    <w:rsid w:val="001A7662"/>
    <w:rsid w:val="001A7676"/>
    <w:rsid w:val="001A7916"/>
    <w:rsid w:val="001A7AE8"/>
    <w:rsid w:val="001A7F6A"/>
    <w:rsid w:val="001B088E"/>
    <w:rsid w:val="001B08A4"/>
    <w:rsid w:val="001B0E2C"/>
    <w:rsid w:val="001B171D"/>
    <w:rsid w:val="001B1A21"/>
    <w:rsid w:val="001B1F06"/>
    <w:rsid w:val="001B204E"/>
    <w:rsid w:val="001B2279"/>
    <w:rsid w:val="001B2372"/>
    <w:rsid w:val="001B3443"/>
    <w:rsid w:val="001B3939"/>
    <w:rsid w:val="001B3B5F"/>
    <w:rsid w:val="001B3C36"/>
    <w:rsid w:val="001B3D4B"/>
    <w:rsid w:val="001B40A0"/>
    <w:rsid w:val="001B493F"/>
    <w:rsid w:val="001B4D20"/>
    <w:rsid w:val="001B5177"/>
    <w:rsid w:val="001B56C4"/>
    <w:rsid w:val="001B5D8A"/>
    <w:rsid w:val="001B61E0"/>
    <w:rsid w:val="001B69BE"/>
    <w:rsid w:val="001B6DE4"/>
    <w:rsid w:val="001B6F85"/>
    <w:rsid w:val="001B6FB7"/>
    <w:rsid w:val="001B711A"/>
    <w:rsid w:val="001B7E3E"/>
    <w:rsid w:val="001B7F84"/>
    <w:rsid w:val="001C0036"/>
    <w:rsid w:val="001C0072"/>
    <w:rsid w:val="001C0454"/>
    <w:rsid w:val="001C0AB7"/>
    <w:rsid w:val="001C0BC1"/>
    <w:rsid w:val="001C18AD"/>
    <w:rsid w:val="001C1A3B"/>
    <w:rsid w:val="001C1C3C"/>
    <w:rsid w:val="001C1CA8"/>
    <w:rsid w:val="001C2028"/>
    <w:rsid w:val="001C2A9B"/>
    <w:rsid w:val="001C3296"/>
    <w:rsid w:val="001C39BD"/>
    <w:rsid w:val="001C3DD6"/>
    <w:rsid w:val="001C3F02"/>
    <w:rsid w:val="001C4299"/>
    <w:rsid w:val="001C447C"/>
    <w:rsid w:val="001C4874"/>
    <w:rsid w:val="001C49D3"/>
    <w:rsid w:val="001C573B"/>
    <w:rsid w:val="001C57C5"/>
    <w:rsid w:val="001C5EFF"/>
    <w:rsid w:val="001C5F94"/>
    <w:rsid w:val="001C6168"/>
    <w:rsid w:val="001C6294"/>
    <w:rsid w:val="001C64FB"/>
    <w:rsid w:val="001C6AE2"/>
    <w:rsid w:val="001C6E66"/>
    <w:rsid w:val="001C6ED2"/>
    <w:rsid w:val="001C787D"/>
    <w:rsid w:val="001D05B9"/>
    <w:rsid w:val="001D07F0"/>
    <w:rsid w:val="001D0854"/>
    <w:rsid w:val="001D0976"/>
    <w:rsid w:val="001D0BC3"/>
    <w:rsid w:val="001D1100"/>
    <w:rsid w:val="001D1304"/>
    <w:rsid w:val="001D1391"/>
    <w:rsid w:val="001D1C1B"/>
    <w:rsid w:val="001D25D7"/>
    <w:rsid w:val="001D2854"/>
    <w:rsid w:val="001D2C9C"/>
    <w:rsid w:val="001D2ED5"/>
    <w:rsid w:val="001D30E4"/>
    <w:rsid w:val="001D420E"/>
    <w:rsid w:val="001D46EF"/>
    <w:rsid w:val="001D4B5E"/>
    <w:rsid w:val="001D4C21"/>
    <w:rsid w:val="001D4DF8"/>
    <w:rsid w:val="001D50B2"/>
    <w:rsid w:val="001D5B47"/>
    <w:rsid w:val="001D5C77"/>
    <w:rsid w:val="001D5CB9"/>
    <w:rsid w:val="001D60F5"/>
    <w:rsid w:val="001D65E1"/>
    <w:rsid w:val="001D7001"/>
    <w:rsid w:val="001D71F4"/>
    <w:rsid w:val="001D730C"/>
    <w:rsid w:val="001D7645"/>
    <w:rsid w:val="001D77E1"/>
    <w:rsid w:val="001D790A"/>
    <w:rsid w:val="001D7EA4"/>
    <w:rsid w:val="001D7F20"/>
    <w:rsid w:val="001E0706"/>
    <w:rsid w:val="001E07A2"/>
    <w:rsid w:val="001E0982"/>
    <w:rsid w:val="001E1379"/>
    <w:rsid w:val="001E15AE"/>
    <w:rsid w:val="001E171E"/>
    <w:rsid w:val="001E1D80"/>
    <w:rsid w:val="001E1E86"/>
    <w:rsid w:val="001E20A7"/>
    <w:rsid w:val="001E238E"/>
    <w:rsid w:val="001E2483"/>
    <w:rsid w:val="001E2602"/>
    <w:rsid w:val="001E2678"/>
    <w:rsid w:val="001E2B1E"/>
    <w:rsid w:val="001E2CFF"/>
    <w:rsid w:val="001E2F24"/>
    <w:rsid w:val="001E3017"/>
    <w:rsid w:val="001E30D4"/>
    <w:rsid w:val="001E338A"/>
    <w:rsid w:val="001E34DF"/>
    <w:rsid w:val="001E3971"/>
    <w:rsid w:val="001E3AD1"/>
    <w:rsid w:val="001E3BA2"/>
    <w:rsid w:val="001E3C88"/>
    <w:rsid w:val="001E44FB"/>
    <w:rsid w:val="001E47A9"/>
    <w:rsid w:val="001E4A8D"/>
    <w:rsid w:val="001E4EA2"/>
    <w:rsid w:val="001E5266"/>
    <w:rsid w:val="001E52EB"/>
    <w:rsid w:val="001E5B75"/>
    <w:rsid w:val="001E613E"/>
    <w:rsid w:val="001E61D2"/>
    <w:rsid w:val="001E70FD"/>
    <w:rsid w:val="001E740C"/>
    <w:rsid w:val="001E7AD6"/>
    <w:rsid w:val="001F0149"/>
    <w:rsid w:val="001F0160"/>
    <w:rsid w:val="001F01D6"/>
    <w:rsid w:val="001F021D"/>
    <w:rsid w:val="001F0FB7"/>
    <w:rsid w:val="001F1235"/>
    <w:rsid w:val="001F12B9"/>
    <w:rsid w:val="001F1378"/>
    <w:rsid w:val="001F14E5"/>
    <w:rsid w:val="001F18A4"/>
    <w:rsid w:val="001F1CB3"/>
    <w:rsid w:val="001F1E25"/>
    <w:rsid w:val="001F20DD"/>
    <w:rsid w:val="001F253D"/>
    <w:rsid w:val="001F2709"/>
    <w:rsid w:val="001F2BF1"/>
    <w:rsid w:val="001F2D9D"/>
    <w:rsid w:val="001F2FC2"/>
    <w:rsid w:val="001F3584"/>
    <w:rsid w:val="001F38B5"/>
    <w:rsid w:val="001F4081"/>
    <w:rsid w:val="001F466D"/>
    <w:rsid w:val="001F4B8F"/>
    <w:rsid w:val="001F521A"/>
    <w:rsid w:val="001F5B96"/>
    <w:rsid w:val="001F5E88"/>
    <w:rsid w:val="001F6893"/>
    <w:rsid w:val="001F712E"/>
    <w:rsid w:val="001F7361"/>
    <w:rsid w:val="001F757A"/>
    <w:rsid w:val="001F75B2"/>
    <w:rsid w:val="001F78BC"/>
    <w:rsid w:val="001F7BDC"/>
    <w:rsid w:val="002011B0"/>
    <w:rsid w:val="0020178B"/>
    <w:rsid w:val="0020186E"/>
    <w:rsid w:val="002021E1"/>
    <w:rsid w:val="00202AEC"/>
    <w:rsid w:val="00202EC1"/>
    <w:rsid w:val="00203181"/>
    <w:rsid w:val="002033D2"/>
    <w:rsid w:val="00203783"/>
    <w:rsid w:val="00203794"/>
    <w:rsid w:val="0020385F"/>
    <w:rsid w:val="00204466"/>
    <w:rsid w:val="002048A3"/>
    <w:rsid w:val="002048BC"/>
    <w:rsid w:val="00204916"/>
    <w:rsid w:val="00204F0E"/>
    <w:rsid w:val="00205958"/>
    <w:rsid w:val="0020617D"/>
    <w:rsid w:val="002061CE"/>
    <w:rsid w:val="002068A0"/>
    <w:rsid w:val="00206977"/>
    <w:rsid w:val="00206C60"/>
    <w:rsid w:val="00206F6B"/>
    <w:rsid w:val="00207021"/>
    <w:rsid w:val="0020732F"/>
    <w:rsid w:val="002076EF"/>
    <w:rsid w:val="002079B8"/>
    <w:rsid w:val="00207BBA"/>
    <w:rsid w:val="00207D00"/>
    <w:rsid w:val="00207FAE"/>
    <w:rsid w:val="002105C1"/>
    <w:rsid w:val="002106A2"/>
    <w:rsid w:val="00210702"/>
    <w:rsid w:val="002113D7"/>
    <w:rsid w:val="0021161A"/>
    <w:rsid w:val="002116FD"/>
    <w:rsid w:val="00212181"/>
    <w:rsid w:val="00212374"/>
    <w:rsid w:val="00212485"/>
    <w:rsid w:val="002125BA"/>
    <w:rsid w:val="002128C8"/>
    <w:rsid w:val="00212E16"/>
    <w:rsid w:val="00213EE8"/>
    <w:rsid w:val="00213EF5"/>
    <w:rsid w:val="002142FE"/>
    <w:rsid w:val="00214327"/>
    <w:rsid w:val="002144A0"/>
    <w:rsid w:val="0021473A"/>
    <w:rsid w:val="00214F89"/>
    <w:rsid w:val="00214FD1"/>
    <w:rsid w:val="00215577"/>
    <w:rsid w:val="00215652"/>
    <w:rsid w:val="00215B75"/>
    <w:rsid w:val="00215D13"/>
    <w:rsid w:val="0021634C"/>
    <w:rsid w:val="00216376"/>
    <w:rsid w:val="00216B88"/>
    <w:rsid w:val="00216BF5"/>
    <w:rsid w:val="00216E63"/>
    <w:rsid w:val="00217444"/>
    <w:rsid w:val="002179AC"/>
    <w:rsid w:val="00217B03"/>
    <w:rsid w:val="00217D52"/>
    <w:rsid w:val="0022003F"/>
    <w:rsid w:val="002200B4"/>
    <w:rsid w:val="002202CB"/>
    <w:rsid w:val="0022037C"/>
    <w:rsid w:val="00220BE2"/>
    <w:rsid w:val="00221E23"/>
    <w:rsid w:val="00221F71"/>
    <w:rsid w:val="00222223"/>
    <w:rsid w:val="00222269"/>
    <w:rsid w:val="00222433"/>
    <w:rsid w:val="0022255E"/>
    <w:rsid w:val="00222B15"/>
    <w:rsid w:val="00222ED0"/>
    <w:rsid w:val="0022354B"/>
    <w:rsid w:val="00223B49"/>
    <w:rsid w:val="00223D5A"/>
    <w:rsid w:val="002242B9"/>
    <w:rsid w:val="00224898"/>
    <w:rsid w:val="00224DD4"/>
    <w:rsid w:val="002254A6"/>
    <w:rsid w:val="002255C2"/>
    <w:rsid w:val="00225F39"/>
    <w:rsid w:val="0022651A"/>
    <w:rsid w:val="0022658D"/>
    <w:rsid w:val="00226C32"/>
    <w:rsid w:val="00226FE8"/>
    <w:rsid w:val="0022726E"/>
    <w:rsid w:val="00227533"/>
    <w:rsid w:val="002278A0"/>
    <w:rsid w:val="00227E9E"/>
    <w:rsid w:val="002306A8"/>
    <w:rsid w:val="002306AC"/>
    <w:rsid w:val="002309CC"/>
    <w:rsid w:val="00230C15"/>
    <w:rsid w:val="00231050"/>
    <w:rsid w:val="002313BB"/>
    <w:rsid w:val="00231BA9"/>
    <w:rsid w:val="0023209F"/>
    <w:rsid w:val="002322E4"/>
    <w:rsid w:val="0023257E"/>
    <w:rsid w:val="002326D8"/>
    <w:rsid w:val="00233207"/>
    <w:rsid w:val="00233441"/>
    <w:rsid w:val="00233C01"/>
    <w:rsid w:val="002340D6"/>
    <w:rsid w:val="0023413C"/>
    <w:rsid w:val="002342B7"/>
    <w:rsid w:val="002346C9"/>
    <w:rsid w:val="002346F0"/>
    <w:rsid w:val="00234F83"/>
    <w:rsid w:val="00235156"/>
    <w:rsid w:val="0023542C"/>
    <w:rsid w:val="00235C55"/>
    <w:rsid w:val="00235C83"/>
    <w:rsid w:val="00235E48"/>
    <w:rsid w:val="0023629D"/>
    <w:rsid w:val="00236D0A"/>
    <w:rsid w:val="00236F69"/>
    <w:rsid w:val="00237087"/>
    <w:rsid w:val="00237255"/>
    <w:rsid w:val="0023734E"/>
    <w:rsid w:val="002373AA"/>
    <w:rsid w:val="002373D2"/>
    <w:rsid w:val="00237458"/>
    <w:rsid w:val="00237688"/>
    <w:rsid w:val="002377C2"/>
    <w:rsid w:val="00237C8D"/>
    <w:rsid w:val="002411EE"/>
    <w:rsid w:val="00241955"/>
    <w:rsid w:val="002419D7"/>
    <w:rsid w:val="00241C55"/>
    <w:rsid w:val="00242315"/>
    <w:rsid w:val="00242385"/>
    <w:rsid w:val="002424AF"/>
    <w:rsid w:val="00242701"/>
    <w:rsid w:val="0024285A"/>
    <w:rsid w:val="00242F26"/>
    <w:rsid w:val="00243117"/>
    <w:rsid w:val="00243152"/>
    <w:rsid w:val="002434FD"/>
    <w:rsid w:val="002439DC"/>
    <w:rsid w:val="00243CC1"/>
    <w:rsid w:val="0024404E"/>
    <w:rsid w:val="002441D2"/>
    <w:rsid w:val="00244473"/>
    <w:rsid w:val="00244BA9"/>
    <w:rsid w:val="00244DC8"/>
    <w:rsid w:val="002455F6"/>
    <w:rsid w:val="002457A3"/>
    <w:rsid w:val="002458BA"/>
    <w:rsid w:val="0024598A"/>
    <w:rsid w:val="00245CE9"/>
    <w:rsid w:val="0024634A"/>
    <w:rsid w:val="0024636C"/>
    <w:rsid w:val="0024641B"/>
    <w:rsid w:val="00247195"/>
    <w:rsid w:val="00247925"/>
    <w:rsid w:val="00247B57"/>
    <w:rsid w:val="0025007D"/>
    <w:rsid w:val="00250121"/>
    <w:rsid w:val="00250159"/>
    <w:rsid w:val="002503BF"/>
    <w:rsid w:val="00250986"/>
    <w:rsid w:val="00250E66"/>
    <w:rsid w:val="00250FDA"/>
    <w:rsid w:val="00251006"/>
    <w:rsid w:val="00251481"/>
    <w:rsid w:val="002516B3"/>
    <w:rsid w:val="00251F27"/>
    <w:rsid w:val="00251FA7"/>
    <w:rsid w:val="002522C5"/>
    <w:rsid w:val="002524D5"/>
    <w:rsid w:val="00252549"/>
    <w:rsid w:val="0025334A"/>
    <w:rsid w:val="00253663"/>
    <w:rsid w:val="00253B1D"/>
    <w:rsid w:val="00253C75"/>
    <w:rsid w:val="002541F1"/>
    <w:rsid w:val="0025455B"/>
    <w:rsid w:val="002548F0"/>
    <w:rsid w:val="00254D63"/>
    <w:rsid w:val="00254DCF"/>
    <w:rsid w:val="0025534B"/>
    <w:rsid w:val="00255537"/>
    <w:rsid w:val="0025586E"/>
    <w:rsid w:val="00255AF5"/>
    <w:rsid w:val="00255B00"/>
    <w:rsid w:val="00255BB7"/>
    <w:rsid w:val="00256352"/>
    <w:rsid w:val="00256579"/>
    <w:rsid w:val="002567C9"/>
    <w:rsid w:val="002569AD"/>
    <w:rsid w:val="002570DC"/>
    <w:rsid w:val="0025710B"/>
    <w:rsid w:val="00257541"/>
    <w:rsid w:val="00257957"/>
    <w:rsid w:val="00257A39"/>
    <w:rsid w:val="00257AC4"/>
    <w:rsid w:val="00257BBE"/>
    <w:rsid w:val="00257FE4"/>
    <w:rsid w:val="0026019C"/>
    <w:rsid w:val="00260EEB"/>
    <w:rsid w:val="00260EFB"/>
    <w:rsid w:val="00260F8B"/>
    <w:rsid w:val="00260FAE"/>
    <w:rsid w:val="002610E8"/>
    <w:rsid w:val="00261710"/>
    <w:rsid w:val="00261BF2"/>
    <w:rsid w:val="00261EE8"/>
    <w:rsid w:val="00261EEF"/>
    <w:rsid w:val="00262213"/>
    <w:rsid w:val="00262534"/>
    <w:rsid w:val="00262A1A"/>
    <w:rsid w:val="00262A87"/>
    <w:rsid w:val="00263EBC"/>
    <w:rsid w:val="00263F2A"/>
    <w:rsid w:val="0026457D"/>
    <w:rsid w:val="00264839"/>
    <w:rsid w:val="00264895"/>
    <w:rsid w:val="00264D26"/>
    <w:rsid w:val="00264D52"/>
    <w:rsid w:val="00264DF8"/>
    <w:rsid w:val="00265169"/>
    <w:rsid w:val="0026521A"/>
    <w:rsid w:val="00265350"/>
    <w:rsid w:val="00265676"/>
    <w:rsid w:val="002659AD"/>
    <w:rsid w:val="00266335"/>
    <w:rsid w:val="0026637D"/>
    <w:rsid w:val="00266835"/>
    <w:rsid w:val="00266A4A"/>
    <w:rsid w:val="0026735E"/>
    <w:rsid w:val="00267642"/>
    <w:rsid w:val="00267AEA"/>
    <w:rsid w:val="00267CA2"/>
    <w:rsid w:val="002700E6"/>
    <w:rsid w:val="002705A2"/>
    <w:rsid w:val="002705DD"/>
    <w:rsid w:val="0027085B"/>
    <w:rsid w:val="00270FC2"/>
    <w:rsid w:val="00271311"/>
    <w:rsid w:val="0027142C"/>
    <w:rsid w:val="00271F0A"/>
    <w:rsid w:val="0027257F"/>
    <w:rsid w:val="002725F0"/>
    <w:rsid w:val="002727F0"/>
    <w:rsid w:val="0027294B"/>
    <w:rsid w:val="00272FBD"/>
    <w:rsid w:val="002730D2"/>
    <w:rsid w:val="002732C8"/>
    <w:rsid w:val="00273586"/>
    <w:rsid w:val="00273EB4"/>
    <w:rsid w:val="00274002"/>
    <w:rsid w:val="00274111"/>
    <w:rsid w:val="00274170"/>
    <w:rsid w:val="0027452C"/>
    <w:rsid w:val="00274682"/>
    <w:rsid w:val="00274CDF"/>
    <w:rsid w:val="00275158"/>
    <w:rsid w:val="0027516C"/>
    <w:rsid w:val="0027578A"/>
    <w:rsid w:val="00275853"/>
    <w:rsid w:val="00275C5A"/>
    <w:rsid w:val="002768D9"/>
    <w:rsid w:val="0027699E"/>
    <w:rsid w:val="002773B8"/>
    <w:rsid w:val="0028035B"/>
    <w:rsid w:val="00280966"/>
    <w:rsid w:val="00281014"/>
    <w:rsid w:val="00281700"/>
    <w:rsid w:val="00281A41"/>
    <w:rsid w:val="00282396"/>
    <w:rsid w:val="002824EB"/>
    <w:rsid w:val="0028258B"/>
    <w:rsid w:val="00282BBC"/>
    <w:rsid w:val="00282D4B"/>
    <w:rsid w:val="002836DA"/>
    <w:rsid w:val="00283936"/>
    <w:rsid w:val="00284776"/>
    <w:rsid w:val="00284A6E"/>
    <w:rsid w:val="00284EFD"/>
    <w:rsid w:val="00285BCE"/>
    <w:rsid w:val="00286000"/>
    <w:rsid w:val="002863BA"/>
    <w:rsid w:val="0028646D"/>
    <w:rsid w:val="00286624"/>
    <w:rsid w:val="0028665D"/>
    <w:rsid w:val="00286C06"/>
    <w:rsid w:val="00286DAE"/>
    <w:rsid w:val="00287A92"/>
    <w:rsid w:val="00290166"/>
    <w:rsid w:val="002903DC"/>
    <w:rsid w:val="00290CCF"/>
    <w:rsid w:val="002913E7"/>
    <w:rsid w:val="00291A27"/>
    <w:rsid w:val="00292EEC"/>
    <w:rsid w:val="002931E2"/>
    <w:rsid w:val="00293320"/>
    <w:rsid w:val="00293B13"/>
    <w:rsid w:val="00294236"/>
    <w:rsid w:val="00294294"/>
    <w:rsid w:val="00294648"/>
    <w:rsid w:val="002946F4"/>
    <w:rsid w:val="002952E6"/>
    <w:rsid w:val="002960F2"/>
    <w:rsid w:val="0029665F"/>
    <w:rsid w:val="00296D99"/>
    <w:rsid w:val="00297051"/>
    <w:rsid w:val="002975A3"/>
    <w:rsid w:val="00297600"/>
    <w:rsid w:val="00297A16"/>
    <w:rsid w:val="00297E05"/>
    <w:rsid w:val="00297E7C"/>
    <w:rsid w:val="002A04EC"/>
    <w:rsid w:val="002A08F1"/>
    <w:rsid w:val="002A0917"/>
    <w:rsid w:val="002A125F"/>
    <w:rsid w:val="002A14AB"/>
    <w:rsid w:val="002A1F91"/>
    <w:rsid w:val="002A2300"/>
    <w:rsid w:val="002A2A5F"/>
    <w:rsid w:val="002A2ADE"/>
    <w:rsid w:val="002A2E27"/>
    <w:rsid w:val="002A2E29"/>
    <w:rsid w:val="002A2E34"/>
    <w:rsid w:val="002A2F50"/>
    <w:rsid w:val="002A37C0"/>
    <w:rsid w:val="002A38F5"/>
    <w:rsid w:val="002A4CDC"/>
    <w:rsid w:val="002A535A"/>
    <w:rsid w:val="002A6858"/>
    <w:rsid w:val="002A6C6A"/>
    <w:rsid w:val="002A7943"/>
    <w:rsid w:val="002A7ADB"/>
    <w:rsid w:val="002B0408"/>
    <w:rsid w:val="002B05A1"/>
    <w:rsid w:val="002B09A4"/>
    <w:rsid w:val="002B09B7"/>
    <w:rsid w:val="002B09C0"/>
    <w:rsid w:val="002B10EC"/>
    <w:rsid w:val="002B133A"/>
    <w:rsid w:val="002B13D0"/>
    <w:rsid w:val="002B1A2A"/>
    <w:rsid w:val="002B1C1F"/>
    <w:rsid w:val="002B2447"/>
    <w:rsid w:val="002B2CD4"/>
    <w:rsid w:val="002B2FF2"/>
    <w:rsid w:val="002B315F"/>
    <w:rsid w:val="002B3546"/>
    <w:rsid w:val="002B3866"/>
    <w:rsid w:val="002B3B1D"/>
    <w:rsid w:val="002B3C2A"/>
    <w:rsid w:val="002B3D77"/>
    <w:rsid w:val="002B41F3"/>
    <w:rsid w:val="002B4282"/>
    <w:rsid w:val="002B42E6"/>
    <w:rsid w:val="002B432F"/>
    <w:rsid w:val="002B4428"/>
    <w:rsid w:val="002B4435"/>
    <w:rsid w:val="002B4B32"/>
    <w:rsid w:val="002B5383"/>
    <w:rsid w:val="002B5C58"/>
    <w:rsid w:val="002B5D67"/>
    <w:rsid w:val="002B5E76"/>
    <w:rsid w:val="002B62B3"/>
    <w:rsid w:val="002B64F1"/>
    <w:rsid w:val="002B6754"/>
    <w:rsid w:val="002B6CCE"/>
    <w:rsid w:val="002B6CE2"/>
    <w:rsid w:val="002B7C6D"/>
    <w:rsid w:val="002C0198"/>
    <w:rsid w:val="002C03F7"/>
    <w:rsid w:val="002C177E"/>
    <w:rsid w:val="002C2493"/>
    <w:rsid w:val="002C2510"/>
    <w:rsid w:val="002C2775"/>
    <w:rsid w:val="002C27A8"/>
    <w:rsid w:val="002C27C1"/>
    <w:rsid w:val="002C2933"/>
    <w:rsid w:val="002C2CC3"/>
    <w:rsid w:val="002C31E7"/>
    <w:rsid w:val="002C36E3"/>
    <w:rsid w:val="002C37CD"/>
    <w:rsid w:val="002C3965"/>
    <w:rsid w:val="002C3A4D"/>
    <w:rsid w:val="002C49E7"/>
    <w:rsid w:val="002C4B2D"/>
    <w:rsid w:val="002C5099"/>
    <w:rsid w:val="002C50DB"/>
    <w:rsid w:val="002C5529"/>
    <w:rsid w:val="002C570D"/>
    <w:rsid w:val="002C5889"/>
    <w:rsid w:val="002C5F13"/>
    <w:rsid w:val="002C6386"/>
    <w:rsid w:val="002C662D"/>
    <w:rsid w:val="002C68CE"/>
    <w:rsid w:val="002C6947"/>
    <w:rsid w:val="002C69E1"/>
    <w:rsid w:val="002C71CE"/>
    <w:rsid w:val="002C73F1"/>
    <w:rsid w:val="002D072A"/>
    <w:rsid w:val="002D08F8"/>
    <w:rsid w:val="002D0A7B"/>
    <w:rsid w:val="002D0D2E"/>
    <w:rsid w:val="002D0E07"/>
    <w:rsid w:val="002D1067"/>
    <w:rsid w:val="002D1AB1"/>
    <w:rsid w:val="002D1BB0"/>
    <w:rsid w:val="002D22BE"/>
    <w:rsid w:val="002D28C2"/>
    <w:rsid w:val="002D2B31"/>
    <w:rsid w:val="002D2C42"/>
    <w:rsid w:val="002D3F00"/>
    <w:rsid w:val="002D423B"/>
    <w:rsid w:val="002D468A"/>
    <w:rsid w:val="002D5089"/>
    <w:rsid w:val="002D5218"/>
    <w:rsid w:val="002D5478"/>
    <w:rsid w:val="002D54E4"/>
    <w:rsid w:val="002D577C"/>
    <w:rsid w:val="002D5EE3"/>
    <w:rsid w:val="002D606B"/>
    <w:rsid w:val="002D6268"/>
    <w:rsid w:val="002D7832"/>
    <w:rsid w:val="002D7EC9"/>
    <w:rsid w:val="002E0F05"/>
    <w:rsid w:val="002E1071"/>
    <w:rsid w:val="002E15B9"/>
    <w:rsid w:val="002E197B"/>
    <w:rsid w:val="002E1AA7"/>
    <w:rsid w:val="002E2158"/>
    <w:rsid w:val="002E257D"/>
    <w:rsid w:val="002E2B76"/>
    <w:rsid w:val="002E2F59"/>
    <w:rsid w:val="002E302B"/>
    <w:rsid w:val="002E390C"/>
    <w:rsid w:val="002E43C1"/>
    <w:rsid w:val="002E43CF"/>
    <w:rsid w:val="002E4463"/>
    <w:rsid w:val="002E4484"/>
    <w:rsid w:val="002E4A42"/>
    <w:rsid w:val="002E4F02"/>
    <w:rsid w:val="002E5805"/>
    <w:rsid w:val="002E5810"/>
    <w:rsid w:val="002E5929"/>
    <w:rsid w:val="002E6835"/>
    <w:rsid w:val="002E766E"/>
    <w:rsid w:val="002E7722"/>
    <w:rsid w:val="002E77C6"/>
    <w:rsid w:val="002E7EC0"/>
    <w:rsid w:val="002F0230"/>
    <w:rsid w:val="002F07BA"/>
    <w:rsid w:val="002F0CFD"/>
    <w:rsid w:val="002F0DA9"/>
    <w:rsid w:val="002F0E9D"/>
    <w:rsid w:val="002F1014"/>
    <w:rsid w:val="002F16E4"/>
    <w:rsid w:val="002F1C46"/>
    <w:rsid w:val="002F1D5A"/>
    <w:rsid w:val="002F1E3B"/>
    <w:rsid w:val="002F3877"/>
    <w:rsid w:val="002F40C6"/>
    <w:rsid w:val="002F45BB"/>
    <w:rsid w:val="002F4764"/>
    <w:rsid w:val="002F495F"/>
    <w:rsid w:val="002F49A3"/>
    <w:rsid w:val="002F4E36"/>
    <w:rsid w:val="002F5B2B"/>
    <w:rsid w:val="002F5BA9"/>
    <w:rsid w:val="002F5EA5"/>
    <w:rsid w:val="002F6139"/>
    <w:rsid w:val="002F61E1"/>
    <w:rsid w:val="002F643C"/>
    <w:rsid w:val="002F6452"/>
    <w:rsid w:val="002F64A9"/>
    <w:rsid w:val="002F662F"/>
    <w:rsid w:val="002F69D9"/>
    <w:rsid w:val="002F6B33"/>
    <w:rsid w:val="002F6BFB"/>
    <w:rsid w:val="002F71C0"/>
    <w:rsid w:val="002F74F1"/>
    <w:rsid w:val="002F7674"/>
    <w:rsid w:val="002F773D"/>
    <w:rsid w:val="003006E1"/>
    <w:rsid w:val="0030091F"/>
    <w:rsid w:val="00300AAC"/>
    <w:rsid w:val="00301017"/>
    <w:rsid w:val="00301162"/>
    <w:rsid w:val="003011BE"/>
    <w:rsid w:val="0030155F"/>
    <w:rsid w:val="0030179A"/>
    <w:rsid w:val="003017F3"/>
    <w:rsid w:val="00301885"/>
    <w:rsid w:val="003019D9"/>
    <w:rsid w:val="00301B25"/>
    <w:rsid w:val="00301E64"/>
    <w:rsid w:val="00301EFC"/>
    <w:rsid w:val="0030211E"/>
    <w:rsid w:val="00302833"/>
    <w:rsid w:val="00302945"/>
    <w:rsid w:val="003029E8"/>
    <w:rsid w:val="00302AA4"/>
    <w:rsid w:val="00302D95"/>
    <w:rsid w:val="00303725"/>
    <w:rsid w:val="00303888"/>
    <w:rsid w:val="00303982"/>
    <w:rsid w:val="00303DF2"/>
    <w:rsid w:val="00303EAF"/>
    <w:rsid w:val="00304013"/>
    <w:rsid w:val="00304109"/>
    <w:rsid w:val="00304160"/>
    <w:rsid w:val="0030476B"/>
    <w:rsid w:val="003048F4"/>
    <w:rsid w:val="00304975"/>
    <w:rsid w:val="00304997"/>
    <w:rsid w:val="00304CAA"/>
    <w:rsid w:val="00304D07"/>
    <w:rsid w:val="00304E08"/>
    <w:rsid w:val="0030517E"/>
    <w:rsid w:val="0030587B"/>
    <w:rsid w:val="00305D3B"/>
    <w:rsid w:val="00305D84"/>
    <w:rsid w:val="00306474"/>
    <w:rsid w:val="00306B70"/>
    <w:rsid w:val="00306D98"/>
    <w:rsid w:val="00307585"/>
    <w:rsid w:val="00307735"/>
    <w:rsid w:val="0030786C"/>
    <w:rsid w:val="00307BE3"/>
    <w:rsid w:val="003100F3"/>
    <w:rsid w:val="0031019B"/>
    <w:rsid w:val="0031031A"/>
    <w:rsid w:val="00310981"/>
    <w:rsid w:val="00310E6B"/>
    <w:rsid w:val="00311D9B"/>
    <w:rsid w:val="00311F8E"/>
    <w:rsid w:val="003124D9"/>
    <w:rsid w:val="00312594"/>
    <w:rsid w:val="00312D6B"/>
    <w:rsid w:val="00313CB4"/>
    <w:rsid w:val="00313D75"/>
    <w:rsid w:val="00314BFE"/>
    <w:rsid w:val="00315443"/>
    <w:rsid w:val="00315498"/>
    <w:rsid w:val="00315564"/>
    <w:rsid w:val="00315BD2"/>
    <w:rsid w:val="00315CA1"/>
    <w:rsid w:val="00315D83"/>
    <w:rsid w:val="00316400"/>
    <w:rsid w:val="00316474"/>
    <w:rsid w:val="00316834"/>
    <w:rsid w:val="00316A24"/>
    <w:rsid w:val="0031747A"/>
    <w:rsid w:val="003174E1"/>
    <w:rsid w:val="00317646"/>
    <w:rsid w:val="00320672"/>
    <w:rsid w:val="003206F8"/>
    <w:rsid w:val="003207D4"/>
    <w:rsid w:val="003208E2"/>
    <w:rsid w:val="00320903"/>
    <w:rsid w:val="003209A1"/>
    <w:rsid w:val="00320C39"/>
    <w:rsid w:val="0032155B"/>
    <w:rsid w:val="00321595"/>
    <w:rsid w:val="00321891"/>
    <w:rsid w:val="00322107"/>
    <w:rsid w:val="00322355"/>
    <w:rsid w:val="00322846"/>
    <w:rsid w:val="00322C7B"/>
    <w:rsid w:val="0032302D"/>
    <w:rsid w:val="0032369C"/>
    <w:rsid w:val="00323B3D"/>
    <w:rsid w:val="00323DE6"/>
    <w:rsid w:val="00324075"/>
    <w:rsid w:val="00324394"/>
    <w:rsid w:val="0032478E"/>
    <w:rsid w:val="003254BF"/>
    <w:rsid w:val="00325A81"/>
    <w:rsid w:val="00325FA1"/>
    <w:rsid w:val="00326159"/>
    <w:rsid w:val="003261B6"/>
    <w:rsid w:val="003264E6"/>
    <w:rsid w:val="00326928"/>
    <w:rsid w:val="00326A4A"/>
    <w:rsid w:val="00326DA7"/>
    <w:rsid w:val="00326DFC"/>
    <w:rsid w:val="00326F73"/>
    <w:rsid w:val="003270E4"/>
    <w:rsid w:val="0032764D"/>
    <w:rsid w:val="00327F56"/>
    <w:rsid w:val="00330332"/>
    <w:rsid w:val="003304EA"/>
    <w:rsid w:val="00330699"/>
    <w:rsid w:val="003308E1"/>
    <w:rsid w:val="0033092D"/>
    <w:rsid w:val="00330A50"/>
    <w:rsid w:val="00330B7B"/>
    <w:rsid w:val="00330DAA"/>
    <w:rsid w:val="00330E08"/>
    <w:rsid w:val="00330F5C"/>
    <w:rsid w:val="00330F81"/>
    <w:rsid w:val="00331225"/>
    <w:rsid w:val="0033182D"/>
    <w:rsid w:val="00332598"/>
    <w:rsid w:val="00332898"/>
    <w:rsid w:val="00333137"/>
    <w:rsid w:val="003331BD"/>
    <w:rsid w:val="003332F8"/>
    <w:rsid w:val="0033342C"/>
    <w:rsid w:val="0033395B"/>
    <w:rsid w:val="00333CE4"/>
    <w:rsid w:val="00333CE9"/>
    <w:rsid w:val="00333F1C"/>
    <w:rsid w:val="00334796"/>
    <w:rsid w:val="0033582B"/>
    <w:rsid w:val="00335E0D"/>
    <w:rsid w:val="00336602"/>
    <w:rsid w:val="003366C9"/>
    <w:rsid w:val="00336AEB"/>
    <w:rsid w:val="00337179"/>
    <w:rsid w:val="003371B0"/>
    <w:rsid w:val="0033729A"/>
    <w:rsid w:val="0033737B"/>
    <w:rsid w:val="0033792F"/>
    <w:rsid w:val="00337A2A"/>
    <w:rsid w:val="0034022E"/>
    <w:rsid w:val="003405E7"/>
    <w:rsid w:val="00340847"/>
    <w:rsid w:val="00340DF1"/>
    <w:rsid w:val="00341A75"/>
    <w:rsid w:val="00341F98"/>
    <w:rsid w:val="00343249"/>
    <w:rsid w:val="00343283"/>
    <w:rsid w:val="003436D4"/>
    <w:rsid w:val="003438F6"/>
    <w:rsid w:val="00343C8B"/>
    <w:rsid w:val="00344D8A"/>
    <w:rsid w:val="003453A8"/>
    <w:rsid w:val="00345444"/>
    <w:rsid w:val="00346468"/>
    <w:rsid w:val="003465AC"/>
    <w:rsid w:val="00347189"/>
    <w:rsid w:val="003472F5"/>
    <w:rsid w:val="00347764"/>
    <w:rsid w:val="00350443"/>
    <w:rsid w:val="00350740"/>
    <w:rsid w:val="003517F9"/>
    <w:rsid w:val="00351ADD"/>
    <w:rsid w:val="00351BA9"/>
    <w:rsid w:val="0035350E"/>
    <w:rsid w:val="00353CA7"/>
    <w:rsid w:val="00353D81"/>
    <w:rsid w:val="00354B0E"/>
    <w:rsid w:val="00354F64"/>
    <w:rsid w:val="0035620E"/>
    <w:rsid w:val="0035649C"/>
    <w:rsid w:val="003565EE"/>
    <w:rsid w:val="00356AA2"/>
    <w:rsid w:val="00356D70"/>
    <w:rsid w:val="00357215"/>
    <w:rsid w:val="00357434"/>
    <w:rsid w:val="003575BE"/>
    <w:rsid w:val="00357DAD"/>
    <w:rsid w:val="00360345"/>
    <w:rsid w:val="00360640"/>
    <w:rsid w:val="003606AE"/>
    <w:rsid w:val="00360F1B"/>
    <w:rsid w:val="0036196F"/>
    <w:rsid w:val="00361A05"/>
    <w:rsid w:val="0036208B"/>
    <w:rsid w:val="00362387"/>
    <w:rsid w:val="0036249D"/>
    <w:rsid w:val="003624C4"/>
    <w:rsid w:val="00362972"/>
    <w:rsid w:val="00362B88"/>
    <w:rsid w:val="00362D00"/>
    <w:rsid w:val="00362D74"/>
    <w:rsid w:val="00362F1E"/>
    <w:rsid w:val="00363149"/>
    <w:rsid w:val="003634C1"/>
    <w:rsid w:val="00363719"/>
    <w:rsid w:val="00363A40"/>
    <w:rsid w:val="00363B00"/>
    <w:rsid w:val="0036421E"/>
    <w:rsid w:val="003648BD"/>
    <w:rsid w:val="00364BB7"/>
    <w:rsid w:val="003652B2"/>
    <w:rsid w:val="003654AC"/>
    <w:rsid w:val="0036608D"/>
    <w:rsid w:val="00366424"/>
    <w:rsid w:val="00366798"/>
    <w:rsid w:val="003672A4"/>
    <w:rsid w:val="00367C7F"/>
    <w:rsid w:val="003701BC"/>
    <w:rsid w:val="00370269"/>
    <w:rsid w:val="0037042B"/>
    <w:rsid w:val="003706C4"/>
    <w:rsid w:val="003710CF"/>
    <w:rsid w:val="00371521"/>
    <w:rsid w:val="00371636"/>
    <w:rsid w:val="00371673"/>
    <w:rsid w:val="00371A1C"/>
    <w:rsid w:val="00371B63"/>
    <w:rsid w:val="003721BF"/>
    <w:rsid w:val="00372338"/>
    <w:rsid w:val="003725C0"/>
    <w:rsid w:val="0037358A"/>
    <w:rsid w:val="00373A45"/>
    <w:rsid w:val="00373EBE"/>
    <w:rsid w:val="00374C12"/>
    <w:rsid w:val="003750F6"/>
    <w:rsid w:val="00375286"/>
    <w:rsid w:val="0037539E"/>
    <w:rsid w:val="003753EE"/>
    <w:rsid w:val="00375D39"/>
    <w:rsid w:val="00375E93"/>
    <w:rsid w:val="00375FBF"/>
    <w:rsid w:val="003760FC"/>
    <w:rsid w:val="00376300"/>
    <w:rsid w:val="0037642B"/>
    <w:rsid w:val="00376533"/>
    <w:rsid w:val="00376850"/>
    <w:rsid w:val="00377611"/>
    <w:rsid w:val="003777DC"/>
    <w:rsid w:val="003806E2"/>
    <w:rsid w:val="00380F90"/>
    <w:rsid w:val="0038109A"/>
    <w:rsid w:val="00381781"/>
    <w:rsid w:val="00382C57"/>
    <w:rsid w:val="00382E26"/>
    <w:rsid w:val="00382EF0"/>
    <w:rsid w:val="00383108"/>
    <w:rsid w:val="0038365C"/>
    <w:rsid w:val="0038369B"/>
    <w:rsid w:val="00383889"/>
    <w:rsid w:val="00383B78"/>
    <w:rsid w:val="00383F43"/>
    <w:rsid w:val="0038400A"/>
    <w:rsid w:val="00384482"/>
    <w:rsid w:val="00384485"/>
    <w:rsid w:val="00384501"/>
    <w:rsid w:val="0038463D"/>
    <w:rsid w:val="00384650"/>
    <w:rsid w:val="00384938"/>
    <w:rsid w:val="00384A60"/>
    <w:rsid w:val="00384B93"/>
    <w:rsid w:val="00384BE4"/>
    <w:rsid w:val="00384D2F"/>
    <w:rsid w:val="003850A7"/>
    <w:rsid w:val="0038562E"/>
    <w:rsid w:val="00385640"/>
    <w:rsid w:val="00385922"/>
    <w:rsid w:val="00385A58"/>
    <w:rsid w:val="00385A9D"/>
    <w:rsid w:val="00385C68"/>
    <w:rsid w:val="00386B5C"/>
    <w:rsid w:val="00387121"/>
    <w:rsid w:val="0038715D"/>
    <w:rsid w:val="00387B1A"/>
    <w:rsid w:val="00387C38"/>
    <w:rsid w:val="00390014"/>
    <w:rsid w:val="003902B1"/>
    <w:rsid w:val="00390440"/>
    <w:rsid w:val="003906D9"/>
    <w:rsid w:val="003909ED"/>
    <w:rsid w:val="00390D5F"/>
    <w:rsid w:val="00390E60"/>
    <w:rsid w:val="00390E7D"/>
    <w:rsid w:val="00390FE0"/>
    <w:rsid w:val="0039127A"/>
    <w:rsid w:val="0039179C"/>
    <w:rsid w:val="00391B88"/>
    <w:rsid w:val="00391FA2"/>
    <w:rsid w:val="00392E61"/>
    <w:rsid w:val="00392F43"/>
    <w:rsid w:val="00393300"/>
    <w:rsid w:val="003934F8"/>
    <w:rsid w:val="00393580"/>
    <w:rsid w:val="0039363E"/>
    <w:rsid w:val="00393CB6"/>
    <w:rsid w:val="00394A08"/>
    <w:rsid w:val="003955CA"/>
    <w:rsid w:val="00395997"/>
    <w:rsid w:val="00395DC9"/>
    <w:rsid w:val="00396416"/>
    <w:rsid w:val="003964EF"/>
    <w:rsid w:val="003965CE"/>
    <w:rsid w:val="00396896"/>
    <w:rsid w:val="00396D92"/>
    <w:rsid w:val="00396FD0"/>
    <w:rsid w:val="003971B2"/>
    <w:rsid w:val="00397345"/>
    <w:rsid w:val="00397946"/>
    <w:rsid w:val="00397D21"/>
    <w:rsid w:val="003A0824"/>
    <w:rsid w:val="003A0AF1"/>
    <w:rsid w:val="003A0DE1"/>
    <w:rsid w:val="003A1A7A"/>
    <w:rsid w:val="003A1F06"/>
    <w:rsid w:val="003A2392"/>
    <w:rsid w:val="003A2831"/>
    <w:rsid w:val="003A2CB8"/>
    <w:rsid w:val="003A3861"/>
    <w:rsid w:val="003A3C18"/>
    <w:rsid w:val="003A3CB6"/>
    <w:rsid w:val="003A3ED1"/>
    <w:rsid w:val="003A3F67"/>
    <w:rsid w:val="003A4424"/>
    <w:rsid w:val="003A4498"/>
    <w:rsid w:val="003A44DB"/>
    <w:rsid w:val="003A4C14"/>
    <w:rsid w:val="003A58EE"/>
    <w:rsid w:val="003A5A14"/>
    <w:rsid w:val="003A5A3D"/>
    <w:rsid w:val="003A6330"/>
    <w:rsid w:val="003A695D"/>
    <w:rsid w:val="003A70D6"/>
    <w:rsid w:val="003A739D"/>
    <w:rsid w:val="003A75A8"/>
    <w:rsid w:val="003A7684"/>
    <w:rsid w:val="003A7AF5"/>
    <w:rsid w:val="003B020B"/>
    <w:rsid w:val="003B04F6"/>
    <w:rsid w:val="003B078C"/>
    <w:rsid w:val="003B099E"/>
    <w:rsid w:val="003B0A00"/>
    <w:rsid w:val="003B12A9"/>
    <w:rsid w:val="003B1E7D"/>
    <w:rsid w:val="003B2606"/>
    <w:rsid w:val="003B2AC6"/>
    <w:rsid w:val="003B305A"/>
    <w:rsid w:val="003B3692"/>
    <w:rsid w:val="003B3777"/>
    <w:rsid w:val="003B3971"/>
    <w:rsid w:val="003B3B75"/>
    <w:rsid w:val="003B4464"/>
    <w:rsid w:val="003B536C"/>
    <w:rsid w:val="003B55CC"/>
    <w:rsid w:val="003B55D1"/>
    <w:rsid w:val="003B5817"/>
    <w:rsid w:val="003B5B61"/>
    <w:rsid w:val="003B5EAF"/>
    <w:rsid w:val="003B6503"/>
    <w:rsid w:val="003B659A"/>
    <w:rsid w:val="003B6685"/>
    <w:rsid w:val="003B6B12"/>
    <w:rsid w:val="003B6BC8"/>
    <w:rsid w:val="003B6C1D"/>
    <w:rsid w:val="003B6C39"/>
    <w:rsid w:val="003B7163"/>
    <w:rsid w:val="003B7351"/>
    <w:rsid w:val="003B794C"/>
    <w:rsid w:val="003B7BFB"/>
    <w:rsid w:val="003C01C6"/>
    <w:rsid w:val="003C10FC"/>
    <w:rsid w:val="003C12E3"/>
    <w:rsid w:val="003C1654"/>
    <w:rsid w:val="003C1672"/>
    <w:rsid w:val="003C174C"/>
    <w:rsid w:val="003C2103"/>
    <w:rsid w:val="003C21C3"/>
    <w:rsid w:val="003C2534"/>
    <w:rsid w:val="003C2593"/>
    <w:rsid w:val="003C2DF8"/>
    <w:rsid w:val="003C2E6A"/>
    <w:rsid w:val="003C3407"/>
    <w:rsid w:val="003C3740"/>
    <w:rsid w:val="003C40D8"/>
    <w:rsid w:val="003C43E3"/>
    <w:rsid w:val="003C45D3"/>
    <w:rsid w:val="003C4B43"/>
    <w:rsid w:val="003C551A"/>
    <w:rsid w:val="003C5542"/>
    <w:rsid w:val="003C57FE"/>
    <w:rsid w:val="003C5858"/>
    <w:rsid w:val="003C5FF9"/>
    <w:rsid w:val="003C6261"/>
    <w:rsid w:val="003C65D6"/>
    <w:rsid w:val="003C6ACF"/>
    <w:rsid w:val="003C6E78"/>
    <w:rsid w:val="003C7C15"/>
    <w:rsid w:val="003C7D19"/>
    <w:rsid w:val="003C7D2F"/>
    <w:rsid w:val="003C7D48"/>
    <w:rsid w:val="003D0BAB"/>
    <w:rsid w:val="003D0C5A"/>
    <w:rsid w:val="003D0C79"/>
    <w:rsid w:val="003D0DED"/>
    <w:rsid w:val="003D1040"/>
    <w:rsid w:val="003D13F0"/>
    <w:rsid w:val="003D1828"/>
    <w:rsid w:val="003D1A37"/>
    <w:rsid w:val="003D1AE9"/>
    <w:rsid w:val="003D1B2C"/>
    <w:rsid w:val="003D1DE4"/>
    <w:rsid w:val="003D1E9A"/>
    <w:rsid w:val="003D1F13"/>
    <w:rsid w:val="003D2422"/>
    <w:rsid w:val="003D3349"/>
    <w:rsid w:val="003D3483"/>
    <w:rsid w:val="003D37B3"/>
    <w:rsid w:val="003D37D1"/>
    <w:rsid w:val="003D3932"/>
    <w:rsid w:val="003D39A1"/>
    <w:rsid w:val="003D3FBF"/>
    <w:rsid w:val="003D401A"/>
    <w:rsid w:val="003D46DE"/>
    <w:rsid w:val="003D4A30"/>
    <w:rsid w:val="003D4B62"/>
    <w:rsid w:val="003D5175"/>
    <w:rsid w:val="003D5A1C"/>
    <w:rsid w:val="003D5C4C"/>
    <w:rsid w:val="003D6ED7"/>
    <w:rsid w:val="003D71A8"/>
    <w:rsid w:val="003D737F"/>
    <w:rsid w:val="003D7452"/>
    <w:rsid w:val="003D7551"/>
    <w:rsid w:val="003D7851"/>
    <w:rsid w:val="003D79BB"/>
    <w:rsid w:val="003D7B32"/>
    <w:rsid w:val="003D7C98"/>
    <w:rsid w:val="003D7D9D"/>
    <w:rsid w:val="003E0543"/>
    <w:rsid w:val="003E0ECE"/>
    <w:rsid w:val="003E12C6"/>
    <w:rsid w:val="003E1328"/>
    <w:rsid w:val="003E2403"/>
    <w:rsid w:val="003E2779"/>
    <w:rsid w:val="003E29FB"/>
    <w:rsid w:val="003E2C4E"/>
    <w:rsid w:val="003E2DB5"/>
    <w:rsid w:val="003E2E25"/>
    <w:rsid w:val="003E37E5"/>
    <w:rsid w:val="003E3CB0"/>
    <w:rsid w:val="003E4E75"/>
    <w:rsid w:val="003E50C1"/>
    <w:rsid w:val="003E5603"/>
    <w:rsid w:val="003E56BF"/>
    <w:rsid w:val="003E5801"/>
    <w:rsid w:val="003E58B6"/>
    <w:rsid w:val="003E5A24"/>
    <w:rsid w:val="003E622D"/>
    <w:rsid w:val="003E63AF"/>
    <w:rsid w:val="003E694D"/>
    <w:rsid w:val="003E6C4B"/>
    <w:rsid w:val="003E71C4"/>
    <w:rsid w:val="003E72BD"/>
    <w:rsid w:val="003E749E"/>
    <w:rsid w:val="003E7601"/>
    <w:rsid w:val="003F0658"/>
    <w:rsid w:val="003F0759"/>
    <w:rsid w:val="003F10F0"/>
    <w:rsid w:val="003F19A7"/>
    <w:rsid w:val="003F1B3F"/>
    <w:rsid w:val="003F1DF4"/>
    <w:rsid w:val="003F2E34"/>
    <w:rsid w:val="003F3205"/>
    <w:rsid w:val="003F3705"/>
    <w:rsid w:val="003F3FA2"/>
    <w:rsid w:val="003F4156"/>
    <w:rsid w:val="003F44ED"/>
    <w:rsid w:val="003F4622"/>
    <w:rsid w:val="003F464D"/>
    <w:rsid w:val="003F4B9E"/>
    <w:rsid w:val="003F53FF"/>
    <w:rsid w:val="003F58BF"/>
    <w:rsid w:val="003F5ADF"/>
    <w:rsid w:val="003F5F8D"/>
    <w:rsid w:val="003F633D"/>
    <w:rsid w:val="003F6907"/>
    <w:rsid w:val="003F6C25"/>
    <w:rsid w:val="003F6D08"/>
    <w:rsid w:val="003F7422"/>
    <w:rsid w:val="003F76A6"/>
    <w:rsid w:val="003F7835"/>
    <w:rsid w:val="0040013F"/>
    <w:rsid w:val="00400B29"/>
    <w:rsid w:val="00400FCA"/>
    <w:rsid w:val="00401076"/>
    <w:rsid w:val="00401591"/>
    <w:rsid w:val="004018BD"/>
    <w:rsid w:val="00401EE0"/>
    <w:rsid w:val="00402812"/>
    <w:rsid w:val="0040292F"/>
    <w:rsid w:val="00402A6D"/>
    <w:rsid w:val="00402CE1"/>
    <w:rsid w:val="00403131"/>
    <w:rsid w:val="00403849"/>
    <w:rsid w:val="00404BDF"/>
    <w:rsid w:val="00404D38"/>
    <w:rsid w:val="0040504B"/>
    <w:rsid w:val="00405882"/>
    <w:rsid w:val="004059F4"/>
    <w:rsid w:val="004060E0"/>
    <w:rsid w:val="00406EF4"/>
    <w:rsid w:val="00407468"/>
    <w:rsid w:val="004074C6"/>
    <w:rsid w:val="00407F43"/>
    <w:rsid w:val="00407FE5"/>
    <w:rsid w:val="004101B0"/>
    <w:rsid w:val="00410326"/>
    <w:rsid w:val="00410708"/>
    <w:rsid w:val="00410EC7"/>
    <w:rsid w:val="0041103A"/>
    <w:rsid w:val="00411329"/>
    <w:rsid w:val="0041187F"/>
    <w:rsid w:val="00411AE3"/>
    <w:rsid w:val="00411B39"/>
    <w:rsid w:val="00411BA3"/>
    <w:rsid w:val="00411C99"/>
    <w:rsid w:val="00411EDF"/>
    <w:rsid w:val="00412146"/>
    <w:rsid w:val="0041245A"/>
    <w:rsid w:val="0041247B"/>
    <w:rsid w:val="004127A7"/>
    <w:rsid w:val="004127AC"/>
    <w:rsid w:val="004128DA"/>
    <w:rsid w:val="00412967"/>
    <w:rsid w:val="00412F6F"/>
    <w:rsid w:val="0041303C"/>
    <w:rsid w:val="00413A1E"/>
    <w:rsid w:val="00414476"/>
    <w:rsid w:val="00414C2E"/>
    <w:rsid w:val="00414C85"/>
    <w:rsid w:val="00414D82"/>
    <w:rsid w:val="00415004"/>
    <w:rsid w:val="004151CF"/>
    <w:rsid w:val="004151E9"/>
    <w:rsid w:val="00415748"/>
    <w:rsid w:val="00415A70"/>
    <w:rsid w:val="00415CB3"/>
    <w:rsid w:val="0041621A"/>
    <w:rsid w:val="00416364"/>
    <w:rsid w:val="00416462"/>
    <w:rsid w:val="004166E7"/>
    <w:rsid w:val="004168EE"/>
    <w:rsid w:val="004169CE"/>
    <w:rsid w:val="004170B5"/>
    <w:rsid w:val="004179C8"/>
    <w:rsid w:val="00417BF2"/>
    <w:rsid w:val="00417C2F"/>
    <w:rsid w:val="00417F98"/>
    <w:rsid w:val="0042047F"/>
    <w:rsid w:val="00420AA6"/>
    <w:rsid w:val="00420B9F"/>
    <w:rsid w:val="00420D5E"/>
    <w:rsid w:val="0042192C"/>
    <w:rsid w:val="00421EF0"/>
    <w:rsid w:val="0042220C"/>
    <w:rsid w:val="00422260"/>
    <w:rsid w:val="0042234F"/>
    <w:rsid w:val="00422BBB"/>
    <w:rsid w:val="00422D3C"/>
    <w:rsid w:val="00423164"/>
    <w:rsid w:val="004232F7"/>
    <w:rsid w:val="00423A7C"/>
    <w:rsid w:val="00423EC3"/>
    <w:rsid w:val="00424069"/>
    <w:rsid w:val="0042413F"/>
    <w:rsid w:val="004244D6"/>
    <w:rsid w:val="00424719"/>
    <w:rsid w:val="00424963"/>
    <w:rsid w:val="00424FB2"/>
    <w:rsid w:val="004255C9"/>
    <w:rsid w:val="00425C28"/>
    <w:rsid w:val="00425EC3"/>
    <w:rsid w:val="004261B8"/>
    <w:rsid w:val="0042633A"/>
    <w:rsid w:val="00426382"/>
    <w:rsid w:val="004269DB"/>
    <w:rsid w:val="00426F22"/>
    <w:rsid w:val="004270A8"/>
    <w:rsid w:val="004270E0"/>
    <w:rsid w:val="0042779B"/>
    <w:rsid w:val="004279AA"/>
    <w:rsid w:val="00427BBB"/>
    <w:rsid w:val="00430D1D"/>
    <w:rsid w:val="0043120D"/>
    <w:rsid w:val="004319F8"/>
    <w:rsid w:val="00431A3A"/>
    <w:rsid w:val="00431AB3"/>
    <w:rsid w:val="00431E55"/>
    <w:rsid w:val="004321F6"/>
    <w:rsid w:val="0043269F"/>
    <w:rsid w:val="00432D6E"/>
    <w:rsid w:val="00433044"/>
    <w:rsid w:val="004330A4"/>
    <w:rsid w:val="004334F1"/>
    <w:rsid w:val="00433764"/>
    <w:rsid w:val="0043385C"/>
    <w:rsid w:val="00434088"/>
    <w:rsid w:val="004347D9"/>
    <w:rsid w:val="0043493D"/>
    <w:rsid w:val="00435057"/>
    <w:rsid w:val="004350DE"/>
    <w:rsid w:val="00435C1E"/>
    <w:rsid w:val="004361B4"/>
    <w:rsid w:val="004363B1"/>
    <w:rsid w:val="00436AE2"/>
    <w:rsid w:val="00436C5E"/>
    <w:rsid w:val="004372EC"/>
    <w:rsid w:val="0043731F"/>
    <w:rsid w:val="004374EC"/>
    <w:rsid w:val="004375B9"/>
    <w:rsid w:val="00440488"/>
    <w:rsid w:val="004409F5"/>
    <w:rsid w:val="00441562"/>
    <w:rsid w:val="0044182E"/>
    <w:rsid w:val="004418C1"/>
    <w:rsid w:val="00441B8D"/>
    <w:rsid w:val="00441ED1"/>
    <w:rsid w:val="004428D0"/>
    <w:rsid w:val="00442940"/>
    <w:rsid w:val="004429D9"/>
    <w:rsid w:val="004437FF"/>
    <w:rsid w:val="0044383F"/>
    <w:rsid w:val="00443DAC"/>
    <w:rsid w:val="00444185"/>
    <w:rsid w:val="004442A8"/>
    <w:rsid w:val="004443A7"/>
    <w:rsid w:val="004443B4"/>
    <w:rsid w:val="0044442C"/>
    <w:rsid w:val="004448BE"/>
    <w:rsid w:val="004453D2"/>
    <w:rsid w:val="00445941"/>
    <w:rsid w:val="004464EB"/>
    <w:rsid w:val="0044655A"/>
    <w:rsid w:val="0044655B"/>
    <w:rsid w:val="00446B3E"/>
    <w:rsid w:val="004470FC"/>
    <w:rsid w:val="00447749"/>
    <w:rsid w:val="00447D26"/>
    <w:rsid w:val="00447DFC"/>
    <w:rsid w:val="00450112"/>
    <w:rsid w:val="004502CD"/>
    <w:rsid w:val="004504ED"/>
    <w:rsid w:val="0045098F"/>
    <w:rsid w:val="00450A1A"/>
    <w:rsid w:val="00450CB0"/>
    <w:rsid w:val="00451022"/>
    <w:rsid w:val="00451192"/>
    <w:rsid w:val="004514A6"/>
    <w:rsid w:val="00451720"/>
    <w:rsid w:val="00451833"/>
    <w:rsid w:val="004523F6"/>
    <w:rsid w:val="00452C61"/>
    <w:rsid w:val="00454135"/>
    <w:rsid w:val="00455023"/>
    <w:rsid w:val="004553A0"/>
    <w:rsid w:val="00455D45"/>
    <w:rsid w:val="004571F0"/>
    <w:rsid w:val="00457426"/>
    <w:rsid w:val="00457663"/>
    <w:rsid w:val="00457731"/>
    <w:rsid w:val="00457B3A"/>
    <w:rsid w:val="0046016B"/>
    <w:rsid w:val="004605E3"/>
    <w:rsid w:val="004606F9"/>
    <w:rsid w:val="0046139B"/>
    <w:rsid w:val="004614AA"/>
    <w:rsid w:val="00461E46"/>
    <w:rsid w:val="004620E6"/>
    <w:rsid w:val="004623CE"/>
    <w:rsid w:val="0046259F"/>
    <w:rsid w:val="0046276C"/>
    <w:rsid w:val="00462A2C"/>
    <w:rsid w:val="00462FD5"/>
    <w:rsid w:val="004639D0"/>
    <w:rsid w:val="00463A45"/>
    <w:rsid w:val="00464480"/>
    <w:rsid w:val="0046448C"/>
    <w:rsid w:val="00464595"/>
    <w:rsid w:val="00464DB2"/>
    <w:rsid w:val="0046518F"/>
    <w:rsid w:val="004652D5"/>
    <w:rsid w:val="0046558D"/>
    <w:rsid w:val="004658B5"/>
    <w:rsid w:val="004658D8"/>
    <w:rsid w:val="004659A7"/>
    <w:rsid w:val="00465D4C"/>
    <w:rsid w:val="00465E76"/>
    <w:rsid w:val="00465F1A"/>
    <w:rsid w:val="00466183"/>
    <w:rsid w:val="00466853"/>
    <w:rsid w:val="00466ACC"/>
    <w:rsid w:val="004671F9"/>
    <w:rsid w:val="00467AE4"/>
    <w:rsid w:val="00470386"/>
    <w:rsid w:val="004706D0"/>
    <w:rsid w:val="00471170"/>
    <w:rsid w:val="00471788"/>
    <w:rsid w:val="00471991"/>
    <w:rsid w:val="004719CE"/>
    <w:rsid w:val="00471C5D"/>
    <w:rsid w:val="00471EA5"/>
    <w:rsid w:val="00472A79"/>
    <w:rsid w:val="00473E2C"/>
    <w:rsid w:val="00473F12"/>
    <w:rsid w:val="00473F19"/>
    <w:rsid w:val="00474237"/>
    <w:rsid w:val="004748EC"/>
    <w:rsid w:val="00474C08"/>
    <w:rsid w:val="00474FD5"/>
    <w:rsid w:val="00475AD5"/>
    <w:rsid w:val="00475E22"/>
    <w:rsid w:val="00476416"/>
    <w:rsid w:val="00477C3F"/>
    <w:rsid w:val="00477EE2"/>
    <w:rsid w:val="004805E7"/>
    <w:rsid w:val="0048088E"/>
    <w:rsid w:val="00480ADB"/>
    <w:rsid w:val="00480BC1"/>
    <w:rsid w:val="00480C83"/>
    <w:rsid w:val="00480F2B"/>
    <w:rsid w:val="00481387"/>
    <w:rsid w:val="004815F3"/>
    <w:rsid w:val="00482330"/>
    <w:rsid w:val="00482720"/>
    <w:rsid w:val="004829DF"/>
    <w:rsid w:val="00482A82"/>
    <w:rsid w:val="00482D96"/>
    <w:rsid w:val="0048303C"/>
    <w:rsid w:val="00483511"/>
    <w:rsid w:val="004835E7"/>
    <w:rsid w:val="004837D5"/>
    <w:rsid w:val="00483B99"/>
    <w:rsid w:val="004844B7"/>
    <w:rsid w:val="004845C6"/>
    <w:rsid w:val="00484980"/>
    <w:rsid w:val="00484A7E"/>
    <w:rsid w:val="00485264"/>
    <w:rsid w:val="004859E1"/>
    <w:rsid w:val="00485C90"/>
    <w:rsid w:val="004867E2"/>
    <w:rsid w:val="00486C73"/>
    <w:rsid w:val="00486E76"/>
    <w:rsid w:val="004876F1"/>
    <w:rsid w:val="00490B17"/>
    <w:rsid w:val="00490D3F"/>
    <w:rsid w:val="00490F89"/>
    <w:rsid w:val="0049115F"/>
    <w:rsid w:val="004912A4"/>
    <w:rsid w:val="00491470"/>
    <w:rsid w:val="00491B3A"/>
    <w:rsid w:val="00491C3B"/>
    <w:rsid w:val="00492046"/>
    <w:rsid w:val="004925B3"/>
    <w:rsid w:val="0049268D"/>
    <w:rsid w:val="004926DE"/>
    <w:rsid w:val="004928BA"/>
    <w:rsid w:val="00492CFD"/>
    <w:rsid w:val="00493533"/>
    <w:rsid w:val="00493848"/>
    <w:rsid w:val="00494207"/>
    <w:rsid w:val="0049493B"/>
    <w:rsid w:val="00494B08"/>
    <w:rsid w:val="00494B90"/>
    <w:rsid w:val="00494DD5"/>
    <w:rsid w:val="0049502B"/>
    <w:rsid w:val="0049582A"/>
    <w:rsid w:val="00495A19"/>
    <w:rsid w:val="00495C0C"/>
    <w:rsid w:val="00495D29"/>
    <w:rsid w:val="004962D2"/>
    <w:rsid w:val="00496969"/>
    <w:rsid w:val="00496B53"/>
    <w:rsid w:val="00496D7E"/>
    <w:rsid w:val="004971F6"/>
    <w:rsid w:val="004972D8"/>
    <w:rsid w:val="0049747F"/>
    <w:rsid w:val="004975A7"/>
    <w:rsid w:val="00497B92"/>
    <w:rsid w:val="00497D71"/>
    <w:rsid w:val="004A0153"/>
    <w:rsid w:val="004A031B"/>
    <w:rsid w:val="004A09EB"/>
    <w:rsid w:val="004A0DA1"/>
    <w:rsid w:val="004A0E66"/>
    <w:rsid w:val="004A11B1"/>
    <w:rsid w:val="004A13D6"/>
    <w:rsid w:val="004A1783"/>
    <w:rsid w:val="004A19F7"/>
    <w:rsid w:val="004A1CF9"/>
    <w:rsid w:val="004A2688"/>
    <w:rsid w:val="004A2775"/>
    <w:rsid w:val="004A27C9"/>
    <w:rsid w:val="004A28A9"/>
    <w:rsid w:val="004A351D"/>
    <w:rsid w:val="004A3870"/>
    <w:rsid w:val="004A3D8D"/>
    <w:rsid w:val="004A40B6"/>
    <w:rsid w:val="004A4DD9"/>
    <w:rsid w:val="004A52E9"/>
    <w:rsid w:val="004A59E6"/>
    <w:rsid w:val="004A5F38"/>
    <w:rsid w:val="004A5FBE"/>
    <w:rsid w:val="004A6040"/>
    <w:rsid w:val="004A6103"/>
    <w:rsid w:val="004A6204"/>
    <w:rsid w:val="004A6597"/>
    <w:rsid w:val="004A6DE4"/>
    <w:rsid w:val="004A7848"/>
    <w:rsid w:val="004A793B"/>
    <w:rsid w:val="004A7A6A"/>
    <w:rsid w:val="004A7AE7"/>
    <w:rsid w:val="004B0B7B"/>
    <w:rsid w:val="004B14E5"/>
    <w:rsid w:val="004B1827"/>
    <w:rsid w:val="004B1B13"/>
    <w:rsid w:val="004B1CB4"/>
    <w:rsid w:val="004B27CD"/>
    <w:rsid w:val="004B2D20"/>
    <w:rsid w:val="004B2F18"/>
    <w:rsid w:val="004B303C"/>
    <w:rsid w:val="004B34F9"/>
    <w:rsid w:val="004B3DDB"/>
    <w:rsid w:val="004B438C"/>
    <w:rsid w:val="004B44FD"/>
    <w:rsid w:val="004B4E46"/>
    <w:rsid w:val="004B51D0"/>
    <w:rsid w:val="004B5907"/>
    <w:rsid w:val="004B5A2F"/>
    <w:rsid w:val="004B5CFC"/>
    <w:rsid w:val="004B5E5B"/>
    <w:rsid w:val="004B5F02"/>
    <w:rsid w:val="004B61C9"/>
    <w:rsid w:val="004B642A"/>
    <w:rsid w:val="004B69E9"/>
    <w:rsid w:val="004B6F79"/>
    <w:rsid w:val="004B718D"/>
    <w:rsid w:val="004B72F8"/>
    <w:rsid w:val="004B774D"/>
    <w:rsid w:val="004B77D5"/>
    <w:rsid w:val="004B793A"/>
    <w:rsid w:val="004B7B23"/>
    <w:rsid w:val="004B7D3D"/>
    <w:rsid w:val="004C0238"/>
    <w:rsid w:val="004C04A8"/>
    <w:rsid w:val="004C0946"/>
    <w:rsid w:val="004C0F44"/>
    <w:rsid w:val="004C15F6"/>
    <w:rsid w:val="004C18AD"/>
    <w:rsid w:val="004C2015"/>
    <w:rsid w:val="004C2127"/>
    <w:rsid w:val="004C2472"/>
    <w:rsid w:val="004C25BF"/>
    <w:rsid w:val="004C2AC2"/>
    <w:rsid w:val="004C3419"/>
    <w:rsid w:val="004C3B02"/>
    <w:rsid w:val="004C45CC"/>
    <w:rsid w:val="004C4662"/>
    <w:rsid w:val="004C4AED"/>
    <w:rsid w:val="004C5469"/>
    <w:rsid w:val="004C5688"/>
    <w:rsid w:val="004C5ADE"/>
    <w:rsid w:val="004C6B15"/>
    <w:rsid w:val="004C6CEE"/>
    <w:rsid w:val="004C70B9"/>
    <w:rsid w:val="004C71CB"/>
    <w:rsid w:val="004C741E"/>
    <w:rsid w:val="004C758A"/>
    <w:rsid w:val="004C78E8"/>
    <w:rsid w:val="004D0934"/>
    <w:rsid w:val="004D0940"/>
    <w:rsid w:val="004D0A85"/>
    <w:rsid w:val="004D1138"/>
    <w:rsid w:val="004D2594"/>
    <w:rsid w:val="004D28AD"/>
    <w:rsid w:val="004D2C2D"/>
    <w:rsid w:val="004D3524"/>
    <w:rsid w:val="004D3591"/>
    <w:rsid w:val="004D3CEB"/>
    <w:rsid w:val="004D47CE"/>
    <w:rsid w:val="004D57B7"/>
    <w:rsid w:val="004D5F51"/>
    <w:rsid w:val="004D6412"/>
    <w:rsid w:val="004D69B5"/>
    <w:rsid w:val="004D6C82"/>
    <w:rsid w:val="004D6D44"/>
    <w:rsid w:val="004D6D53"/>
    <w:rsid w:val="004D7227"/>
    <w:rsid w:val="004D74CB"/>
    <w:rsid w:val="004D7B5E"/>
    <w:rsid w:val="004E0269"/>
    <w:rsid w:val="004E0536"/>
    <w:rsid w:val="004E0C03"/>
    <w:rsid w:val="004E0E7F"/>
    <w:rsid w:val="004E0EB8"/>
    <w:rsid w:val="004E12E1"/>
    <w:rsid w:val="004E18E9"/>
    <w:rsid w:val="004E28D4"/>
    <w:rsid w:val="004E2ADC"/>
    <w:rsid w:val="004E2D42"/>
    <w:rsid w:val="004E33CC"/>
    <w:rsid w:val="004E33E2"/>
    <w:rsid w:val="004E3E1E"/>
    <w:rsid w:val="004E3F54"/>
    <w:rsid w:val="004E43B2"/>
    <w:rsid w:val="004E49C5"/>
    <w:rsid w:val="004E49F7"/>
    <w:rsid w:val="004E4B3C"/>
    <w:rsid w:val="004E5230"/>
    <w:rsid w:val="004E5687"/>
    <w:rsid w:val="004E5F1D"/>
    <w:rsid w:val="004E600E"/>
    <w:rsid w:val="004E626C"/>
    <w:rsid w:val="004E6AC1"/>
    <w:rsid w:val="004E6CFB"/>
    <w:rsid w:val="004E6D84"/>
    <w:rsid w:val="004E6E7D"/>
    <w:rsid w:val="004E77AB"/>
    <w:rsid w:val="004E7EE5"/>
    <w:rsid w:val="004F01D8"/>
    <w:rsid w:val="004F05E7"/>
    <w:rsid w:val="004F0B3C"/>
    <w:rsid w:val="004F1594"/>
    <w:rsid w:val="004F1B06"/>
    <w:rsid w:val="004F1C05"/>
    <w:rsid w:val="004F1C40"/>
    <w:rsid w:val="004F1D02"/>
    <w:rsid w:val="004F1F97"/>
    <w:rsid w:val="004F2119"/>
    <w:rsid w:val="004F2679"/>
    <w:rsid w:val="004F276B"/>
    <w:rsid w:val="004F2F21"/>
    <w:rsid w:val="004F2F6C"/>
    <w:rsid w:val="004F30EA"/>
    <w:rsid w:val="004F3DE5"/>
    <w:rsid w:val="004F3E89"/>
    <w:rsid w:val="004F3F24"/>
    <w:rsid w:val="004F3F28"/>
    <w:rsid w:val="004F4077"/>
    <w:rsid w:val="004F4171"/>
    <w:rsid w:val="004F43B0"/>
    <w:rsid w:val="004F4A9D"/>
    <w:rsid w:val="004F52D4"/>
    <w:rsid w:val="004F621D"/>
    <w:rsid w:val="004F662C"/>
    <w:rsid w:val="004F6913"/>
    <w:rsid w:val="004F6971"/>
    <w:rsid w:val="004F6DC9"/>
    <w:rsid w:val="004F73C4"/>
    <w:rsid w:val="004F7865"/>
    <w:rsid w:val="004F7A6D"/>
    <w:rsid w:val="004F7FCB"/>
    <w:rsid w:val="00500BD9"/>
    <w:rsid w:val="005012F5"/>
    <w:rsid w:val="00501525"/>
    <w:rsid w:val="0050174E"/>
    <w:rsid w:val="00501854"/>
    <w:rsid w:val="00501D27"/>
    <w:rsid w:val="00502186"/>
    <w:rsid w:val="0050219B"/>
    <w:rsid w:val="005024D3"/>
    <w:rsid w:val="005030DA"/>
    <w:rsid w:val="005031E0"/>
    <w:rsid w:val="00503F17"/>
    <w:rsid w:val="00503F3A"/>
    <w:rsid w:val="0050457D"/>
    <w:rsid w:val="00504AE5"/>
    <w:rsid w:val="00504E1F"/>
    <w:rsid w:val="0050568E"/>
    <w:rsid w:val="005060B8"/>
    <w:rsid w:val="00506928"/>
    <w:rsid w:val="00506C96"/>
    <w:rsid w:val="00506D5E"/>
    <w:rsid w:val="00507493"/>
    <w:rsid w:val="005076BD"/>
    <w:rsid w:val="005077EF"/>
    <w:rsid w:val="00507B70"/>
    <w:rsid w:val="00507F46"/>
    <w:rsid w:val="00510843"/>
    <w:rsid w:val="00510B19"/>
    <w:rsid w:val="00511139"/>
    <w:rsid w:val="0051127A"/>
    <w:rsid w:val="0051153C"/>
    <w:rsid w:val="00511811"/>
    <w:rsid w:val="00511A13"/>
    <w:rsid w:val="00511AD5"/>
    <w:rsid w:val="00511BA1"/>
    <w:rsid w:val="00511DC7"/>
    <w:rsid w:val="00511F32"/>
    <w:rsid w:val="0051214A"/>
    <w:rsid w:val="0051285B"/>
    <w:rsid w:val="00513B3A"/>
    <w:rsid w:val="005142C5"/>
    <w:rsid w:val="0051442E"/>
    <w:rsid w:val="00514A74"/>
    <w:rsid w:val="00514AA2"/>
    <w:rsid w:val="00514C22"/>
    <w:rsid w:val="00514D6B"/>
    <w:rsid w:val="00514F1D"/>
    <w:rsid w:val="0051501B"/>
    <w:rsid w:val="005152B5"/>
    <w:rsid w:val="00515391"/>
    <w:rsid w:val="0051562D"/>
    <w:rsid w:val="00515680"/>
    <w:rsid w:val="00515886"/>
    <w:rsid w:val="00516429"/>
    <w:rsid w:val="00516D73"/>
    <w:rsid w:val="00517049"/>
    <w:rsid w:val="00517756"/>
    <w:rsid w:val="005178E3"/>
    <w:rsid w:val="00517CB4"/>
    <w:rsid w:val="005211D9"/>
    <w:rsid w:val="0052123C"/>
    <w:rsid w:val="005212F8"/>
    <w:rsid w:val="00521319"/>
    <w:rsid w:val="0052211C"/>
    <w:rsid w:val="00522415"/>
    <w:rsid w:val="005228C3"/>
    <w:rsid w:val="00522942"/>
    <w:rsid w:val="00522BC8"/>
    <w:rsid w:val="00522C42"/>
    <w:rsid w:val="00522CB9"/>
    <w:rsid w:val="005231F3"/>
    <w:rsid w:val="0052348A"/>
    <w:rsid w:val="0052383C"/>
    <w:rsid w:val="00523C28"/>
    <w:rsid w:val="00524386"/>
    <w:rsid w:val="00524781"/>
    <w:rsid w:val="0052498E"/>
    <w:rsid w:val="00524B8C"/>
    <w:rsid w:val="00524CF8"/>
    <w:rsid w:val="00525470"/>
    <w:rsid w:val="00525851"/>
    <w:rsid w:val="00525EE1"/>
    <w:rsid w:val="00526146"/>
    <w:rsid w:val="00526BF2"/>
    <w:rsid w:val="00526FFE"/>
    <w:rsid w:val="005271EC"/>
    <w:rsid w:val="00527727"/>
    <w:rsid w:val="005301B6"/>
    <w:rsid w:val="00530551"/>
    <w:rsid w:val="00530C3F"/>
    <w:rsid w:val="005311F3"/>
    <w:rsid w:val="00531420"/>
    <w:rsid w:val="0053176B"/>
    <w:rsid w:val="00531B60"/>
    <w:rsid w:val="00531F77"/>
    <w:rsid w:val="005328EC"/>
    <w:rsid w:val="00533238"/>
    <w:rsid w:val="005341B3"/>
    <w:rsid w:val="005344E7"/>
    <w:rsid w:val="00534527"/>
    <w:rsid w:val="00535A49"/>
    <w:rsid w:val="00535D6D"/>
    <w:rsid w:val="00535D94"/>
    <w:rsid w:val="00536021"/>
    <w:rsid w:val="0053603B"/>
    <w:rsid w:val="00536EF7"/>
    <w:rsid w:val="00536F42"/>
    <w:rsid w:val="00537182"/>
    <w:rsid w:val="005372ED"/>
    <w:rsid w:val="00537351"/>
    <w:rsid w:val="0053782F"/>
    <w:rsid w:val="00537D07"/>
    <w:rsid w:val="00541DFD"/>
    <w:rsid w:val="00541EDD"/>
    <w:rsid w:val="00542288"/>
    <w:rsid w:val="00542743"/>
    <w:rsid w:val="00542925"/>
    <w:rsid w:val="00542C2D"/>
    <w:rsid w:val="0054340A"/>
    <w:rsid w:val="0054371C"/>
    <w:rsid w:val="00543EA7"/>
    <w:rsid w:val="005445E9"/>
    <w:rsid w:val="00544949"/>
    <w:rsid w:val="00545209"/>
    <w:rsid w:val="005455BF"/>
    <w:rsid w:val="00545E5E"/>
    <w:rsid w:val="00546152"/>
    <w:rsid w:val="005464D5"/>
    <w:rsid w:val="005464EA"/>
    <w:rsid w:val="00547769"/>
    <w:rsid w:val="005478BD"/>
    <w:rsid w:val="005479E3"/>
    <w:rsid w:val="00547BFD"/>
    <w:rsid w:val="00547EC8"/>
    <w:rsid w:val="0055098F"/>
    <w:rsid w:val="00550A7A"/>
    <w:rsid w:val="005514B9"/>
    <w:rsid w:val="0055162E"/>
    <w:rsid w:val="005516BD"/>
    <w:rsid w:val="00551985"/>
    <w:rsid w:val="00551DC9"/>
    <w:rsid w:val="0055256F"/>
    <w:rsid w:val="00552BD3"/>
    <w:rsid w:val="005532A0"/>
    <w:rsid w:val="0055363B"/>
    <w:rsid w:val="00553BB6"/>
    <w:rsid w:val="00553E1D"/>
    <w:rsid w:val="00554C12"/>
    <w:rsid w:val="00554DEE"/>
    <w:rsid w:val="00554E00"/>
    <w:rsid w:val="00555109"/>
    <w:rsid w:val="00555258"/>
    <w:rsid w:val="005558D3"/>
    <w:rsid w:val="00555A5D"/>
    <w:rsid w:val="00555F84"/>
    <w:rsid w:val="00556B09"/>
    <w:rsid w:val="00556B35"/>
    <w:rsid w:val="00556DB6"/>
    <w:rsid w:val="00556E25"/>
    <w:rsid w:val="0055741A"/>
    <w:rsid w:val="00557567"/>
    <w:rsid w:val="0056012F"/>
    <w:rsid w:val="00560362"/>
    <w:rsid w:val="005603A0"/>
    <w:rsid w:val="00560A36"/>
    <w:rsid w:val="00560CCB"/>
    <w:rsid w:val="00560DFB"/>
    <w:rsid w:val="00560E2C"/>
    <w:rsid w:val="005611B7"/>
    <w:rsid w:val="00561649"/>
    <w:rsid w:val="0056183F"/>
    <w:rsid w:val="005618D4"/>
    <w:rsid w:val="00561B36"/>
    <w:rsid w:val="00561DF7"/>
    <w:rsid w:val="00561F5D"/>
    <w:rsid w:val="00562736"/>
    <w:rsid w:val="00562E0E"/>
    <w:rsid w:val="005630D9"/>
    <w:rsid w:val="005632B7"/>
    <w:rsid w:val="005636A8"/>
    <w:rsid w:val="005639B0"/>
    <w:rsid w:val="00563BC1"/>
    <w:rsid w:val="0056441A"/>
    <w:rsid w:val="00564867"/>
    <w:rsid w:val="005650A8"/>
    <w:rsid w:val="00565B34"/>
    <w:rsid w:val="00565C79"/>
    <w:rsid w:val="00565DF0"/>
    <w:rsid w:val="00566196"/>
    <w:rsid w:val="00566566"/>
    <w:rsid w:val="00566830"/>
    <w:rsid w:val="0056696F"/>
    <w:rsid w:val="00567094"/>
    <w:rsid w:val="005673CF"/>
    <w:rsid w:val="00567509"/>
    <w:rsid w:val="00567D94"/>
    <w:rsid w:val="00567DFE"/>
    <w:rsid w:val="00570696"/>
    <w:rsid w:val="005718D9"/>
    <w:rsid w:val="00571B84"/>
    <w:rsid w:val="00571E23"/>
    <w:rsid w:val="00571F5A"/>
    <w:rsid w:val="00572269"/>
    <w:rsid w:val="0057244A"/>
    <w:rsid w:val="005725E5"/>
    <w:rsid w:val="00572AE6"/>
    <w:rsid w:val="00572F26"/>
    <w:rsid w:val="00573042"/>
    <w:rsid w:val="005730FA"/>
    <w:rsid w:val="005738B7"/>
    <w:rsid w:val="005739B7"/>
    <w:rsid w:val="00573D88"/>
    <w:rsid w:val="00573FF5"/>
    <w:rsid w:val="00574DFE"/>
    <w:rsid w:val="005750C5"/>
    <w:rsid w:val="005752AC"/>
    <w:rsid w:val="005752DE"/>
    <w:rsid w:val="00575D60"/>
    <w:rsid w:val="00575D8D"/>
    <w:rsid w:val="005761E5"/>
    <w:rsid w:val="005763FF"/>
    <w:rsid w:val="00576972"/>
    <w:rsid w:val="00576E44"/>
    <w:rsid w:val="00577248"/>
    <w:rsid w:val="00577689"/>
    <w:rsid w:val="00577767"/>
    <w:rsid w:val="00580258"/>
    <w:rsid w:val="00580FA1"/>
    <w:rsid w:val="0058122B"/>
    <w:rsid w:val="00581E1B"/>
    <w:rsid w:val="00583335"/>
    <w:rsid w:val="00583699"/>
    <w:rsid w:val="005837AA"/>
    <w:rsid w:val="00583D57"/>
    <w:rsid w:val="00584024"/>
    <w:rsid w:val="00584240"/>
    <w:rsid w:val="0058447D"/>
    <w:rsid w:val="00584A6E"/>
    <w:rsid w:val="0058501B"/>
    <w:rsid w:val="0058562D"/>
    <w:rsid w:val="00585858"/>
    <w:rsid w:val="00585B6E"/>
    <w:rsid w:val="00585C9D"/>
    <w:rsid w:val="00585CDD"/>
    <w:rsid w:val="00586755"/>
    <w:rsid w:val="00587058"/>
    <w:rsid w:val="0058753D"/>
    <w:rsid w:val="00587560"/>
    <w:rsid w:val="0058797E"/>
    <w:rsid w:val="005901EB"/>
    <w:rsid w:val="00590804"/>
    <w:rsid w:val="0059080E"/>
    <w:rsid w:val="00590866"/>
    <w:rsid w:val="0059099E"/>
    <w:rsid w:val="005909FD"/>
    <w:rsid w:val="00591143"/>
    <w:rsid w:val="00591577"/>
    <w:rsid w:val="00591653"/>
    <w:rsid w:val="00591738"/>
    <w:rsid w:val="00591852"/>
    <w:rsid w:val="005918BC"/>
    <w:rsid w:val="00591957"/>
    <w:rsid w:val="00591BB0"/>
    <w:rsid w:val="0059237B"/>
    <w:rsid w:val="005925AC"/>
    <w:rsid w:val="005928C0"/>
    <w:rsid w:val="00592927"/>
    <w:rsid w:val="00593259"/>
    <w:rsid w:val="00593375"/>
    <w:rsid w:val="00593C4E"/>
    <w:rsid w:val="00593DBF"/>
    <w:rsid w:val="005948E3"/>
    <w:rsid w:val="00595781"/>
    <w:rsid w:val="00595AB7"/>
    <w:rsid w:val="00595CC5"/>
    <w:rsid w:val="00595E93"/>
    <w:rsid w:val="0059637C"/>
    <w:rsid w:val="00596773"/>
    <w:rsid w:val="00596876"/>
    <w:rsid w:val="005969D4"/>
    <w:rsid w:val="00597BF9"/>
    <w:rsid w:val="00597E2D"/>
    <w:rsid w:val="005A028D"/>
    <w:rsid w:val="005A0450"/>
    <w:rsid w:val="005A0525"/>
    <w:rsid w:val="005A06CF"/>
    <w:rsid w:val="005A0C11"/>
    <w:rsid w:val="005A0D68"/>
    <w:rsid w:val="005A0D8D"/>
    <w:rsid w:val="005A0E1F"/>
    <w:rsid w:val="005A124C"/>
    <w:rsid w:val="005A1475"/>
    <w:rsid w:val="005A190F"/>
    <w:rsid w:val="005A1C23"/>
    <w:rsid w:val="005A1F02"/>
    <w:rsid w:val="005A2285"/>
    <w:rsid w:val="005A2776"/>
    <w:rsid w:val="005A28BB"/>
    <w:rsid w:val="005A2E23"/>
    <w:rsid w:val="005A2EAC"/>
    <w:rsid w:val="005A2FD2"/>
    <w:rsid w:val="005A309A"/>
    <w:rsid w:val="005A36EC"/>
    <w:rsid w:val="005A373D"/>
    <w:rsid w:val="005A3FD2"/>
    <w:rsid w:val="005A4143"/>
    <w:rsid w:val="005A416C"/>
    <w:rsid w:val="005A43FF"/>
    <w:rsid w:val="005A4A42"/>
    <w:rsid w:val="005A4CD1"/>
    <w:rsid w:val="005A55EA"/>
    <w:rsid w:val="005A5650"/>
    <w:rsid w:val="005A59C9"/>
    <w:rsid w:val="005A639D"/>
    <w:rsid w:val="005A640A"/>
    <w:rsid w:val="005A6BC5"/>
    <w:rsid w:val="005A6F4F"/>
    <w:rsid w:val="005A7459"/>
    <w:rsid w:val="005A78C0"/>
    <w:rsid w:val="005A7BAA"/>
    <w:rsid w:val="005A7C6A"/>
    <w:rsid w:val="005A7FD6"/>
    <w:rsid w:val="005B025A"/>
    <w:rsid w:val="005B0B58"/>
    <w:rsid w:val="005B0DD6"/>
    <w:rsid w:val="005B0E74"/>
    <w:rsid w:val="005B1111"/>
    <w:rsid w:val="005B139B"/>
    <w:rsid w:val="005B17D2"/>
    <w:rsid w:val="005B1827"/>
    <w:rsid w:val="005B1942"/>
    <w:rsid w:val="005B27FB"/>
    <w:rsid w:val="005B40BF"/>
    <w:rsid w:val="005B4BE9"/>
    <w:rsid w:val="005B4E53"/>
    <w:rsid w:val="005B5857"/>
    <w:rsid w:val="005B5E7B"/>
    <w:rsid w:val="005B62BF"/>
    <w:rsid w:val="005B7B48"/>
    <w:rsid w:val="005B7C11"/>
    <w:rsid w:val="005B7D84"/>
    <w:rsid w:val="005C0011"/>
    <w:rsid w:val="005C0383"/>
    <w:rsid w:val="005C059D"/>
    <w:rsid w:val="005C05C8"/>
    <w:rsid w:val="005C0A98"/>
    <w:rsid w:val="005C0ED6"/>
    <w:rsid w:val="005C13CC"/>
    <w:rsid w:val="005C14CD"/>
    <w:rsid w:val="005C15E0"/>
    <w:rsid w:val="005C19C4"/>
    <w:rsid w:val="005C1AF2"/>
    <w:rsid w:val="005C1B83"/>
    <w:rsid w:val="005C1CEF"/>
    <w:rsid w:val="005C1E82"/>
    <w:rsid w:val="005C25FF"/>
    <w:rsid w:val="005C27DE"/>
    <w:rsid w:val="005C2D55"/>
    <w:rsid w:val="005C2E3C"/>
    <w:rsid w:val="005C2F2D"/>
    <w:rsid w:val="005C2FB2"/>
    <w:rsid w:val="005C346B"/>
    <w:rsid w:val="005C3541"/>
    <w:rsid w:val="005C35EB"/>
    <w:rsid w:val="005C38D5"/>
    <w:rsid w:val="005C3BD7"/>
    <w:rsid w:val="005C3E59"/>
    <w:rsid w:val="005C44CE"/>
    <w:rsid w:val="005C52F1"/>
    <w:rsid w:val="005C58E9"/>
    <w:rsid w:val="005C5ABC"/>
    <w:rsid w:val="005C5AD1"/>
    <w:rsid w:val="005C605E"/>
    <w:rsid w:val="005C7B4B"/>
    <w:rsid w:val="005D00E3"/>
    <w:rsid w:val="005D0342"/>
    <w:rsid w:val="005D044D"/>
    <w:rsid w:val="005D08E8"/>
    <w:rsid w:val="005D0A50"/>
    <w:rsid w:val="005D0ABB"/>
    <w:rsid w:val="005D0ABD"/>
    <w:rsid w:val="005D116C"/>
    <w:rsid w:val="005D18AD"/>
    <w:rsid w:val="005D1B99"/>
    <w:rsid w:val="005D1F17"/>
    <w:rsid w:val="005D243B"/>
    <w:rsid w:val="005D252F"/>
    <w:rsid w:val="005D2571"/>
    <w:rsid w:val="005D26B4"/>
    <w:rsid w:val="005D2996"/>
    <w:rsid w:val="005D2FBD"/>
    <w:rsid w:val="005D315D"/>
    <w:rsid w:val="005D4310"/>
    <w:rsid w:val="005D4827"/>
    <w:rsid w:val="005D494D"/>
    <w:rsid w:val="005D49BF"/>
    <w:rsid w:val="005D4B3A"/>
    <w:rsid w:val="005D4C22"/>
    <w:rsid w:val="005D4C84"/>
    <w:rsid w:val="005D61B9"/>
    <w:rsid w:val="005D62CB"/>
    <w:rsid w:val="005D6C6B"/>
    <w:rsid w:val="005D6D04"/>
    <w:rsid w:val="005D726A"/>
    <w:rsid w:val="005D75EE"/>
    <w:rsid w:val="005D771C"/>
    <w:rsid w:val="005D7BAE"/>
    <w:rsid w:val="005E0408"/>
    <w:rsid w:val="005E05B0"/>
    <w:rsid w:val="005E087C"/>
    <w:rsid w:val="005E0F15"/>
    <w:rsid w:val="005E1194"/>
    <w:rsid w:val="005E1995"/>
    <w:rsid w:val="005E1B40"/>
    <w:rsid w:val="005E1CB0"/>
    <w:rsid w:val="005E20C1"/>
    <w:rsid w:val="005E24A8"/>
    <w:rsid w:val="005E27A7"/>
    <w:rsid w:val="005E2B4D"/>
    <w:rsid w:val="005E2CBC"/>
    <w:rsid w:val="005E31ED"/>
    <w:rsid w:val="005E3A83"/>
    <w:rsid w:val="005E3B9B"/>
    <w:rsid w:val="005E411C"/>
    <w:rsid w:val="005E4991"/>
    <w:rsid w:val="005E4B9E"/>
    <w:rsid w:val="005E503B"/>
    <w:rsid w:val="005E5559"/>
    <w:rsid w:val="005E5F25"/>
    <w:rsid w:val="005E6434"/>
    <w:rsid w:val="005E6612"/>
    <w:rsid w:val="005E6ADF"/>
    <w:rsid w:val="005E6CBC"/>
    <w:rsid w:val="005E6CE3"/>
    <w:rsid w:val="005E6EA3"/>
    <w:rsid w:val="005E6F8C"/>
    <w:rsid w:val="005E722F"/>
    <w:rsid w:val="005E72FF"/>
    <w:rsid w:val="005E73C0"/>
    <w:rsid w:val="005E7475"/>
    <w:rsid w:val="005E7CB3"/>
    <w:rsid w:val="005E7EB3"/>
    <w:rsid w:val="005F0161"/>
    <w:rsid w:val="005F04E2"/>
    <w:rsid w:val="005F0666"/>
    <w:rsid w:val="005F07ED"/>
    <w:rsid w:val="005F089A"/>
    <w:rsid w:val="005F0B5E"/>
    <w:rsid w:val="005F0CA3"/>
    <w:rsid w:val="005F1D2E"/>
    <w:rsid w:val="005F1E93"/>
    <w:rsid w:val="005F1F68"/>
    <w:rsid w:val="005F2706"/>
    <w:rsid w:val="005F28CC"/>
    <w:rsid w:val="005F2AD1"/>
    <w:rsid w:val="005F310E"/>
    <w:rsid w:val="005F35DD"/>
    <w:rsid w:val="005F450E"/>
    <w:rsid w:val="005F53C4"/>
    <w:rsid w:val="005F5BA2"/>
    <w:rsid w:val="005F5BBA"/>
    <w:rsid w:val="005F5C0E"/>
    <w:rsid w:val="005F5CF8"/>
    <w:rsid w:val="005F6048"/>
    <w:rsid w:val="005F61A3"/>
    <w:rsid w:val="005F62DC"/>
    <w:rsid w:val="005F6814"/>
    <w:rsid w:val="005F6A8F"/>
    <w:rsid w:val="005F6B8E"/>
    <w:rsid w:val="005F6BB7"/>
    <w:rsid w:val="005F7588"/>
    <w:rsid w:val="005F791A"/>
    <w:rsid w:val="005F7A6E"/>
    <w:rsid w:val="005F7E11"/>
    <w:rsid w:val="00600470"/>
    <w:rsid w:val="006009E3"/>
    <w:rsid w:val="006013B1"/>
    <w:rsid w:val="006014BF"/>
    <w:rsid w:val="006018B9"/>
    <w:rsid w:val="00601A43"/>
    <w:rsid w:val="00601C96"/>
    <w:rsid w:val="00602649"/>
    <w:rsid w:val="006027EB"/>
    <w:rsid w:val="006028D3"/>
    <w:rsid w:val="006031B0"/>
    <w:rsid w:val="00603596"/>
    <w:rsid w:val="00603838"/>
    <w:rsid w:val="00603DB9"/>
    <w:rsid w:val="00603DD9"/>
    <w:rsid w:val="00604BC3"/>
    <w:rsid w:val="0060507D"/>
    <w:rsid w:val="00606406"/>
    <w:rsid w:val="006064A2"/>
    <w:rsid w:val="00606703"/>
    <w:rsid w:val="006067FC"/>
    <w:rsid w:val="00606FBA"/>
    <w:rsid w:val="0060732B"/>
    <w:rsid w:val="006075C1"/>
    <w:rsid w:val="00607669"/>
    <w:rsid w:val="006076F4"/>
    <w:rsid w:val="00607AFD"/>
    <w:rsid w:val="006111EC"/>
    <w:rsid w:val="006113C0"/>
    <w:rsid w:val="0061148B"/>
    <w:rsid w:val="0061154A"/>
    <w:rsid w:val="00611962"/>
    <w:rsid w:val="00611B12"/>
    <w:rsid w:val="00611E27"/>
    <w:rsid w:val="006124DF"/>
    <w:rsid w:val="006126A3"/>
    <w:rsid w:val="00612BEA"/>
    <w:rsid w:val="00612F97"/>
    <w:rsid w:val="0061341D"/>
    <w:rsid w:val="0061345D"/>
    <w:rsid w:val="0061549B"/>
    <w:rsid w:val="006154E7"/>
    <w:rsid w:val="006158F0"/>
    <w:rsid w:val="00616802"/>
    <w:rsid w:val="00616EB1"/>
    <w:rsid w:val="00616EF6"/>
    <w:rsid w:val="006170A4"/>
    <w:rsid w:val="006172E0"/>
    <w:rsid w:val="006172EE"/>
    <w:rsid w:val="006175DC"/>
    <w:rsid w:val="00617C70"/>
    <w:rsid w:val="00617E12"/>
    <w:rsid w:val="00620200"/>
    <w:rsid w:val="00620C25"/>
    <w:rsid w:val="00620D94"/>
    <w:rsid w:val="0062109A"/>
    <w:rsid w:val="006211EE"/>
    <w:rsid w:val="00621477"/>
    <w:rsid w:val="00621ADA"/>
    <w:rsid w:val="00621D8D"/>
    <w:rsid w:val="00621E95"/>
    <w:rsid w:val="00622113"/>
    <w:rsid w:val="00622200"/>
    <w:rsid w:val="00622289"/>
    <w:rsid w:val="006222B4"/>
    <w:rsid w:val="0062230D"/>
    <w:rsid w:val="006225B5"/>
    <w:rsid w:val="00622C7F"/>
    <w:rsid w:val="00622F96"/>
    <w:rsid w:val="00623261"/>
    <w:rsid w:val="006234B9"/>
    <w:rsid w:val="00623641"/>
    <w:rsid w:val="0062364F"/>
    <w:rsid w:val="00623891"/>
    <w:rsid w:val="00623F7B"/>
    <w:rsid w:val="0062407F"/>
    <w:rsid w:val="00624BD4"/>
    <w:rsid w:val="00624D32"/>
    <w:rsid w:val="00624E16"/>
    <w:rsid w:val="006250E0"/>
    <w:rsid w:val="0062527A"/>
    <w:rsid w:val="006252C8"/>
    <w:rsid w:val="006257E7"/>
    <w:rsid w:val="00625EC3"/>
    <w:rsid w:val="00626BEF"/>
    <w:rsid w:val="00626EAD"/>
    <w:rsid w:val="00626F19"/>
    <w:rsid w:val="006271B5"/>
    <w:rsid w:val="0062757F"/>
    <w:rsid w:val="00627888"/>
    <w:rsid w:val="00627C54"/>
    <w:rsid w:val="00627FD9"/>
    <w:rsid w:val="006305EE"/>
    <w:rsid w:val="0063061F"/>
    <w:rsid w:val="006314CF"/>
    <w:rsid w:val="0063158F"/>
    <w:rsid w:val="00631775"/>
    <w:rsid w:val="00631BC0"/>
    <w:rsid w:val="00631D6B"/>
    <w:rsid w:val="00631FD5"/>
    <w:rsid w:val="0063216F"/>
    <w:rsid w:val="00632183"/>
    <w:rsid w:val="00632515"/>
    <w:rsid w:val="00632524"/>
    <w:rsid w:val="0063276A"/>
    <w:rsid w:val="00632C31"/>
    <w:rsid w:val="00632D76"/>
    <w:rsid w:val="00632D92"/>
    <w:rsid w:val="006330A1"/>
    <w:rsid w:val="00633429"/>
    <w:rsid w:val="00633B94"/>
    <w:rsid w:val="00633EBE"/>
    <w:rsid w:val="0063403C"/>
    <w:rsid w:val="006340ED"/>
    <w:rsid w:val="0063437E"/>
    <w:rsid w:val="0063479F"/>
    <w:rsid w:val="00634ADF"/>
    <w:rsid w:val="00634F26"/>
    <w:rsid w:val="00634F90"/>
    <w:rsid w:val="006352F3"/>
    <w:rsid w:val="006353F0"/>
    <w:rsid w:val="006356E2"/>
    <w:rsid w:val="006357B5"/>
    <w:rsid w:val="00635956"/>
    <w:rsid w:val="00635EAE"/>
    <w:rsid w:val="00636127"/>
    <w:rsid w:val="00636491"/>
    <w:rsid w:val="006364A1"/>
    <w:rsid w:val="0063678E"/>
    <w:rsid w:val="00636D76"/>
    <w:rsid w:val="006374C0"/>
    <w:rsid w:val="00637614"/>
    <w:rsid w:val="00637A00"/>
    <w:rsid w:val="00637BFD"/>
    <w:rsid w:val="00637C5C"/>
    <w:rsid w:val="00640129"/>
    <w:rsid w:val="00640B32"/>
    <w:rsid w:val="00641492"/>
    <w:rsid w:val="0064161C"/>
    <w:rsid w:val="00641B7A"/>
    <w:rsid w:val="00641C4E"/>
    <w:rsid w:val="00641FB3"/>
    <w:rsid w:val="00642078"/>
    <w:rsid w:val="00642653"/>
    <w:rsid w:val="0064289B"/>
    <w:rsid w:val="00642AB2"/>
    <w:rsid w:val="00642C2A"/>
    <w:rsid w:val="00642FEB"/>
    <w:rsid w:val="006436B1"/>
    <w:rsid w:val="0064376C"/>
    <w:rsid w:val="00644259"/>
    <w:rsid w:val="0064434C"/>
    <w:rsid w:val="0064477F"/>
    <w:rsid w:val="006448AF"/>
    <w:rsid w:val="00646698"/>
    <w:rsid w:val="00646A80"/>
    <w:rsid w:val="00646CB7"/>
    <w:rsid w:val="00646D0E"/>
    <w:rsid w:val="006471CC"/>
    <w:rsid w:val="006472FE"/>
    <w:rsid w:val="00647A29"/>
    <w:rsid w:val="00647DB5"/>
    <w:rsid w:val="00650004"/>
    <w:rsid w:val="00650060"/>
    <w:rsid w:val="0065010B"/>
    <w:rsid w:val="006501E7"/>
    <w:rsid w:val="006503E4"/>
    <w:rsid w:val="0065079F"/>
    <w:rsid w:val="00650F9E"/>
    <w:rsid w:val="00650FF1"/>
    <w:rsid w:val="0065134C"/>
    <w:rsid w:val="006517A0"/>
    <w:rsid w:val="00651ED6"/>
    <w:rsid w:val="00651F5E"/>
    <w:rsid w:val="00652A28"/>
    <w:rsid w:val="00652A8B"/>
    <w:rsid w:val="00653440"/>
    <w:rsid w:val="0065379F"/>
    <w:rsid w:val="0065381A"/>
    <w:rsid w:val="00653AD2"/>
    <w:rsid w:val="0065404F"/>
    <w:rsid w:val="00654659"/>
    <w:rsid w:val="006546DB"/>
    <w:rsid w:val="00654C39"/>
    <w:rsid w:val="00654F2D"/>
    <w:rsid w:val="006550A1"/>
    <w:rsid w:val="006550D2"/>
    <w:rsid w:val="0065522A"/>
    <w:rsid w:val="00655353"/>
    <w:rsid w:val="0065535A"/>
    <w:rsid w:val="00655E4E"/>
    <w:rsid w:val="00656188"/>
    <w:rsid w:val="00656B20"/>
    <w:rsid w:val="00656C8B"/>
    <w:rsid w:val="00656D7F"/>
    <w:rsid w:val="0065715A"/>
    <w:rsid w:val="00657962"/>
    <w:rsid w:val="00657ACB"/>
    <w:rsid w:val="00657F25"/>
    <w:rsid w:val="006607C9"/>
    <w:rsid w:val="006610F1"/>
    <w:rsid w:val="0066168F"/>
    <w:rsid w:val="00661708"/>
    <w:rsid w:val="00661745"/>
    <w:rsid w:val="00661805"/>
    <w:rsid w:val="00661C6B"/>
    <w:rsid w:val="00662491"/>
    <w:rsid w:val="00662625"/>
    <w:rsid w:val="00662691"/>
    <w:rsid w:val="00662D3E"/>
    <w:rsid w:val="0066355F"/>
    <w:rsid w:val="006639F0"/>
    <w:rsid w:val="00664633"/>
    <w:rsid w:val="00664945"/>
    <w:rsid w:val="00664A91"/>
    <w:rsid w:val="00664C9E"/>
    <w:rsid w:val="00665450"/>
    <w:rsid w:val="0066552B"/>
    <w:rsid w:val="006656EB"/>
    <w:rsid w:val="00665A6A"/>
    <w:rsid w:val="00665D6C"/>
    <w:rsid w:val="00666B40"/>
    <w:rsid w:val="006673E3"/>
    <w:rsid w:val="00667BE3"/>
    <w:rsid w:val="006708B0"/>
    <w:rsid w:val="006708D2"/>
    <w:rsid w:val="00670A3C"/>
    <w:rsid w:val="00670A70"/>
    <w:rsid w:val="00670B4A"/>
    <w:rsid w:val="00670C97"/>
    <w:rsid w:val="00670FA8"/>
    <w:rsid w:val="00671004"/>
    <w:rsid w:val="0067147A"/>
    <w:rsid w:val="00671751"/>
    <w:rsid w:val="00671C38"/>
    <w:rsid w:val="00671F6D"/>
    <w:rsid w:val="00672646"/>
    <w:rsid w:val="006732CA"/>
    <w:rsid w:val="006737B4"/>
    <w:rsid w:val="00673D7C"/>
    <w:rsid w:val="00673EF1"/>
    <w:rsid w:val="00674168"/>
    <w:rsid w:val="00674371"/>
    <w:rsid w:val="00674494"/>
    <w:rsid w:val="006744D2"/>
    <w:rsid w:val="00674E42"/>
    <w:rsid w:val="00675157"/>
    <w:rsid w:val="00675A29"/>
    <w:rsid w:val="00676563"/>
    <w:rsid w:val="00676637"/>
    <w:rsid w:val="00676C1C"/>
    <w:rsid w:val="00676CA7"/>
    <w:rsid w:val="006772AA"/>
    <w:rsid w:val="00677AD3"/>
    <w:rsid w:val="006805AD"/>
    <w:rsid w:val="00680951"/>
    <w:rsid w:val="006813F8"/>
    <w:rsid w:val="0068140E"/>
    <w:rsid w:val="00681425"/>
    <w:rsid w:val="00681823"/>
    <w:rsid w:val="00681928"/>
    <w:rsid w:val="00681D48"/>
    <w:rsid w:val="00681DC6"/>
    <w:rsid w:val="00682112"/>
    <w:rsid w:val="0068260E"/>
    <w:rsid w:val="00682BA6"/>
    <w:rsid w:val="00683575"/>
    <w:rsid w:val="0068358F"/>
    <w:rsid w:val="00683920"/>
    <w:rsid w:val="00683F45"/>
    <w:rsid w:val="00683F46"/>
    <w:rsid w:val="00684062"/>
    <w:rsid w:val="0068417F"/>
    <w:rsid w:val="00684624"/>
    <w:rsid w:val="006851DF"/>
    <w:rsid w:val="00685229"/>
    <w:rsid w:val="00685436"/>
    <w:rsid w:val="006854C4"/>
    <w:rsid w:val="00685E96"/>
    <w:rsid w:val="00685EBC"/>
    <w:rsid w:val="00685F73"/>
    <w:rsid w:val="00686474"/>
    <w:rsid w:val="00686588"/>
    <w:rsid w:val="00686957"/>
    <w:rsid w:val="00686C69"/>
    <w:rsid w:val="006872BA"/>
    <w:rsid w:val="006900CE"/>
    <w:rsid w:val="006902EA"/>
    <w:rsid w:val="00690795"/>
    <w:rsid w:val="006909A6"/>
    <w:rsid w:val="00690EE6"/>
    <w:rsid w:val="0069105C"/>
    <w:rsid w:val="00691542"/>
    <w:rsid w:val="00691648"/>
    <w:rsid w:val="006917D7"/>
    <w:rsid w:val="006921E0"/>
    <w:rsid w:val="006922B9"/>
    <w:rsid w:val="006922F3"/>
    <w:rsid w:val="006930FC"/>
    <w:rsid w:val="0069347C"/>
    <w:rsid w:val="00693900"/>
    <w:rsid w:val="00693A5C"/>
    <w:rsid w:val="006940DA"/>
    <w:rsid w:val="0069434C"/>
    <w:rsid w:val="006943BC"/>
    <w:rsid w:val="00694B01"/>
    <w:rsid w:val="00694E6B"/>
    <w:rsid w:val="00694EB0"/>
    <w:rsid w:val="00694F44"/>
    <w:rsid w:val="0069520E"/>
    <w:rsid w:val="00695372"/>
    <w:rsid w:val="006957F2"/>
    <w:rsid w:val="006959DD"/>
    <w:rsid w:val="006965F0"/>
    <w:rsid w:val="00696EF9"/>
    <w:rsid w:val="00696F51"/>
    <w:rsid w:val="006979A5"/>
    <w:rsid w:val="00697A35"/>
    <w:rsid w:val="006A016F"/>
    <w:rsid w:val="006A0333"/>
    <w:rsid w:val="006A04A7"/>
    <w:rsid w:val="006A06B7"/>
    <w:rsid w:val="006A0DF7"/>
    <w:rsid w:val="006A0EC6"/>
    <w:rsid w:val="006A1205"/>
    <w:rsid w:val="006A12E5"/>
    <w:rsid w:val="006A19B2"/>
    <w:rsid w:val="006A23F9"/>
    <w:rsid w:val="006A262E"/>
    <w:rsid w:val="006A2973"/>
    <w:rsid w:val="006A2FBD"/>
    <w:rsid w:val="006A30B1"/>
    <w:rsid w:val="006A316A"/>
    <w:rsid w:val="006A3194"/>
    <w:rsid w:val="006A404A"/>
    <w:rsid w:val="006A4321"/>
    <w:rsid w:val="006A43D9"/>
    <w:rsid w:val="006A4483"/>
    <w:rsid w:val="006A478A"/>
    <w:rsid w:val="006A4D6D"/>
    <w:rsid w:val="006A598F"/>
    <w:rsid w:val="006A5BD3"/>
    <w:rsid w:val="006A6031"/>
    <w:rsid w:val="006A6A19"/>
    <w:rsid w:val="006A6B99"/>
    <w:rsid w:val="006A78FE"/>
    <w:rsid w:val="006A7E5F"/>
    <w:rsid w:val="006B0466"/>
    <w:rsid w:val="006B047B"/>
    <w:rsid w:val="006B08AB"/>
    <w:rsid w:val="006B0B98"/>
    <w:rsid w:val="006B1334"/>
    <w:rsid w:val="006B1480"/>
    <w:rsid w:val="006B1A4D"/>
    <w:rsid w:val="006B1B84"/>
    <w:rsid w:val="006B1E18"/>
    <w:rsid w:val="006B261B"/>
    <w:rsid w:val="006B2777"/>
    <w:rsid w:val="006B2C90"/>
    <w:rsid w:val="006B35E6"/>
    <w:rsid w:val="006B37D3"/>
    <w:rsid w:val="006B465A"/>
    <w:rsid w:val="006B4B2A"/>
    <w:rsid w:val="006B4DDE"/>
    <w:rsid w:val="006B56F2"/>
    <w:rsid w:val="006B5827"/>
    <w:rsid w:val="006B58B8"/>
    <w:rsid w:val="006B5FA1"/>
    <w:rsid w:val="006B5FA2"/>
    <w:rsid w:val="006B604E"/>
    <w:rsid w:val="006B6357"/>
    <w:rsid w:val="006B68C0"/>
    <w:rsid w:val="006B6DD0"/>
    <w:rsid w:val="006B70B4"/>
    <w:rsid w:val="006B7463"/>
    <w:rsid w:val="006B755B"/>
    <w:rsid w:val="006B77AD"/>
    <w:rsid w:val="006B7F27"/>
    <w:rsid w:val="006C01E6"/>
    <w:rsid w:val="006C0399"/>
    <w:rsid w:val="006C05EE"/>
    <w:rsid w:val="006C0791"/>
    <w:rsid w:val="006C094B"/>
    <w:rsid w:val="006C0B2D"/>
    <w:rsid w:val="006C0B4E"/>
    <w:rsid w:val="006C0D53"/>
    <w:rsid w:val="006C13E5"/>
    <w:rsid w:val="006C2A8E"/>
    <w:rsid w:val="006C3255"/>
    <w:rsid w:val="006C33A7"/>
    <w:rsid w:val="006C3606"/>
    <w:rsid w:val="006C3C82"/>
    <w:rsid w:val="006C3F26"/>
    <w:rsid w:val="006C4322"/>
    <w:rsid w:val="006C4358"/>
    <w:rsid w:val="006C4E9D"/>
    <w:rsid w:val="006C4EB6"/>
    <w:rsid w:val="006C52F8"/>
    <w:rsid w:val="006C55F4"/>
    <w:rsid w:val="006C61D1"/>
    <w:rsid w:val="006C7CDD"/>
    <w:rsid w:val="006C7FA0"/>
    <w:rsid w:val="006D014F"/>
    <w:rsid w:val="006D0D17"/>
    <w:rsid w:val="006D18D2"/>
    <w:rsid w:val="006D1E33"/>
    <w:rsid w:val="006D20A9"/>
    <w:rsid w:val="006D28A3"/>
    <w:rsid w:val="006D2B05"/>
    <w:rsid w:val="006D305B"/>
    <w:rsid w:val="006D3336"/>
    <w:rsid w:val="006D3776"/>
    <w:rsid w:val="006D3C7D"/>
    <w:rsid w:val="006D3DE3"/>
    <w:rsid w:val="006D3ED3"/>
    <w:rsid w:val="006D43B6"/>
    <w:rsid w:val="006D4424"/>
    <w:rsid w:val="006D4659"/>
    <w:rsid w:val="006D4E6C"/>
    <w:rsid w:val="006D4FD2"/>
    <w:rsid w:val="006D56C6"/>
    <w:rsid w:val="006D5D5F"/>
    <w:rsid w:val="006D5E09"/>
    <w:rsid w:val="006D5F19"/>
    <w:rsid w:val="006D6795"/>
    <w:rsid w:val="006D68FB"/>
    <w:rsid w:val="006D731D"/>
    <w:rsid w:val="006D76D1"/>
    <w:rsid w:val="006E03A0"/>
    <w:rsid w:val="006E0849"/>
    <w:rsid w:val="006E094E"/>
    <w:rsid w:val="006E0D0E"/>
    <w:rsid w:val="006E1227"/>
    <w:rsid w:val="006E23A5"/>
    <w:rsid w:val="006E2713"/>
    <w:rsid w:val="006E2868"/>
    <w:rsid w:val="006E293A"/>
    <w:rsid w:val="006E321E"/>
    <w:rsid w:val="006E34F7"/>
    <w:rsid w:val="006E38E9"/>
    <w:rsid w:val="006E3A18"/>
    <w:rsid w:val="006E3E82"/>
    <w:rsid w:val="006E41A2"/>
    <w:rsid w:val="006E46F8"/>
    <w:rsid w:val="006E47C5"/>
    <w:rsid w:val="006E4F9A"/>
    <w:rsid w:val="006E6674"/>
    <w:rsid w:val="006E74E7"/>
    <w:rsid w:val="006E7C29"/>
    <w:rsid w:val="006E7C7E"/>
    <w:rsid w:val="006E7D46"/>
    <w:rsid w:val="006E7E7E"/>
    <w:rsid w:val="006F00D0"/>
    <w:rsid w:val="006F0391"/>
    <w:rsid w:val="006F0D6A"/>
    <w:rsid w:val="006F0F57"/>
    <w:rsid w:val="006F0FDC"/>
    <w:rsid w:val="006F1015"/>
    <w:rsid w:val="006F1CDF"/>
    <w:rsid w:val="006F1E4F"/>
    <w:rsid w:val="006F1EFC"/>
    <w:rsid w:val="006F2993"/>
    <w:rsid w:val="006F306C"/>
    <w:rsid w:val="006F3251"/>
    <w:rsid w:val="006F367B"/>
    <w:rsid w:val="006F3B33"/>
    <w:rsid w:val="006F417C"/>
    <w:rsid w:val="006F4346"/>
    <w:rsid w:val="006F49AE"/>
    <w:rsid w:val="006F5B39"/>
    <w:rsid w:val="006F5FAE"/>
    <w:rsid w:val="006F63A5"/>
    <w:rsid w:val="006F6C91"/>
    <w:rsid w:val="006F6E4D"/>
    <w:rsid w:val="006F6F8C"/>
    <w:rsid w:val="006F75D0"/>
    <w:rsid w:val="006F7AD5"/>
    <w:rsid w:val="006F7BBD"/>
    <w:rsid w:val="006F7CF9"/>
    <w:rsid w:val="006F7EA6"/>
    <w:rsid w:val="0070052D"/>
    <w:rsid w:val="00700831"/>
    <w:rsid w:val="00700E66"/>
    <w:rsid w:val="0070122B"/>
    <w:rsid w:val="00701312"/>
    <w:rsid w:val="0070142B"/>
    <w:rsid w:val="00701764"/>
    <w:rsid w:val="00701C35"/>
    <w:rsid w:val="00701ED6"/>
    <w:rsid w:val="0070276E"/>
    <w:rsid w:val="00702823"/>
    <w:rsid w:val="00702A27"/>
    <w:rsid w:val="00702AAF"/>
    <w:rsid w:val="00702F8F"/>
    <w:rsid w:val="00703CC7"/>
    <w:rsid w:val="00703FDD"/>
    <w:rsid w:val="0070461E"/>
    <w:rsid w:val="00704802"/>
    <w:rsid w:val="007049EF"/>
    <w:rsid w:val="00704A61"/>
    <w:rsid w:val="00704B4E"/>
    <w:rsid w:val="00704BF9"/>
    <w:rsid w:val="00704D74"/>
    <w:rsid w:val="00704D8D"/>
    <w:rsid w:val="00704ED1"/>
    <w:rsid w:val="007050A2"/>
    <w:rsid w:val="007058D8"/>
    <w:rsid w:val="00705C83"/>
    <w:rsid w:val="00705F63"/>
    <w:rsid w:val="00705FD0"/>
    <w:rsid w:val="00706121"/>
    <w:rsid w:val="007069C7"/>
    <w:rsid w:val="007069DE"/>
    <w:rsid w:val="00706A8D"/>
    <w:rsid w:val="007078E3"/>
    <w:rsid w:val="007079FC"/>
    <w:rsid w:val="00707D16"/>
    <w:rsid w:val="00710360"/>
    <w:rsid w:val="00710D58"/>
    <w:rsid w:val="00711855"/>
    <w:rsid w:val="00711A36"/>
    <w:rsid w:val="00711E2E"/>
    <w:rsid w:val="00711E92"/>
    <w:rsid w:val="00712197"/>
    <w:rsid w:val="007122DA"/>
    <w:rsid w:val="007125D3"/>
    <w:rsid w:val="00712955"/>
    <w:rsid w:val="00712B8A"/>
    <w:rsid w:val="0071354B"/>
    <w:rsid w:val="00713567"/>
    <w:rsid w:val="007137EC"/>
    <w:rsid w:val="00713B3A"/>
    <w:rsid w:val="00713E27"/>
    <w:rsid w:val="0071418D"/>
    <w:rsid w:val="00714C26"/>
    <w:rsid w:val="00714FEB"/>
    <w:rsid w:val="0071521A"/>
    <w:rsid w:val="0071526F"/>
    <w:rsid w:val="0071529C"/>
    <w:rsid w:val="00715758"/>
    <w:rsid w:val="007158BE"/>
    <w:rsid w:val="007164D2"/>
    <w:rsid w:val="00716B75"/>
    <w:rsid w:val="00716C81"/>
    <w:rsid w:val="007170DA"/>
    <w:rsid w:val="007172AD"/>
    <w:rsid w:val="00717546"/>
    <w:rsid w:val="00717A16"/>
    <w:rsid w:val="00717BFC"/>
    <w:rsid w:val="00717F19"/>
    <w:rsid w:val="007202E8"/>
    <w:rsid w:val="00720422"/>
    <w:rsid w:val="00720582"/>
    <w:rsid w:val="0072062E"/>
    <w:rsid w:val="00720801"/>
    <w:rsid w:val="00721569"/>
    <w:rsid w:val="00721FCE"/>
    <w:rsid w:val="007222A3"/>
    <w:rsid w:val="00722B1B"/>
    <w:rsid w:val="00723E3A"/>
    <w:rsid w:val="00723E3F"/>
    <w:rsid w:val="007240DA"/>
    <w:rsid w:val="00724118"/>
    <w:rsid w:val="0072416F"/>
    <w:rsid w:val="00724254"/>
    <w:rsid w:val="00725032"/>
    <w:rsid w:val="007257E8"/>
    <w:rsid w:val="00725924"/>
    <w:rsid w:val="00725A60"/>
    <w:rsid w:val="00725CAC"/>
    <w:rsid w:val="00725FE6"/>
    <w:rsid w:val="007269A1"/>
    <w:rsid w:val="00726BD6"/>
    <w:rsid w:val="00727583"/>
    <w:rsid w:val="00727C94"/>
    <w:rsid w:val="00727E3F"/>
    <w:rsid w:val="0073009F"/>
    <w:rsid w:val="00731198"/>
    <w:rsid w:val="0073172B"/>
    <w:rsid w:val="00731B0A"/>
    <w:rsid w:val="00731D98"/>
    <w:rsid w:val="00731EAE"/>
    <w:rsid w:val="00732020"/>
    <w:rsid w:val="0073284D"/>
    <w:rsid w:val="00732BC3"/>
    <w:rsid w:val="00733073"/>
    <w:rsid w:val="007333C9"/>
    <w:rsid w:val="00733EDC"/>
    <w:rsid w:val="007342D4"/>
    <w:rsid w:val="007346B8"/>
    <w:rsid w:val="0073490C"/>
    <w:rsid w:val="00735033"/>
    <w:rsid w:val="00735328"/>
    <w:rsid w:val="007353DE"/>
    <w:rsid w:val="0073592B"/>
    <w:rsid w:val="00735B67"/>
    <w:rsid w:val="00735D88"/>
    <w:rsid w:val="007366B1"/>
    <w:rsid w:val="0073685B"/>
    <w:rsid w:val="00736A76"/>
    <w:rsid w:val="00736C1D"/>
    <w:rsid w:val="00736EDB"/>
    <w:rsid w:val="00736F1B"/>
    <w:rsid w:val="00737035"/>
    <w:rsid w:val="00737982"/>
    <w:rsid w:val="00740331"/>
    <w:rsid w:val="007409B0"/>
    <w:rsid w:val="00740CEB"/>
    <w:rsid w:val="00741037"/>
    <w:rsid w:val="00741064"/>
    <w:rsid w:val="00741434"/>
    <w:rsid w:val="007414D6"/>
    <w:rsid w:val="00741582"/>
    <w:rsid w:val="007424C5"/>
    <w:rsid w:val="00742C27"/>
    <w:rsid w:val="00742E35"/>
    <w:rsid w:val="007436BC"/>
    <w:rsid w:val="00743AE0"/>
    <w:rsid w:val="00743CD8"/>
    <w:rsid w:val="00743DC5"/>
    <w:rsid w:val="007448ED"/>
    <w:rsid w:val="007449BF"/>
    <w:rsid w:val="0074548A"/>
    <w:rsid w:val="00745EE0"/>
    <w:rsid w:val="007463FE"/>
    <w:rsid w:val="00746BC0"/>
    <w:rsid w:val="00746F35"/>
    <w:rsid w:val="00747053"/>
    <w:rsid w:val="00747428"/>
    <w:rsid w:val="00747B15"/>
    <w:rsid w:val="00747FDF"/>
    <w:rsid w:val="007510B4"/>
    <w:rsid w:val="007510E6"/>
    <w:rsid w:val="00751418"/>
    <w:rsid w:val="007516DD"/>
    <w:rsid w:val="00751B52"/>
    <w:rsid w:val="00751C4F"/>
    <w:rsid w:val="00751C7C"/>
    <w:rsid w:val="00751FB3"/>
    <w:rsid w:val="00752142"/>
    <w:rsid w:val="007523F9"/>
    <w:rsid w:val="00753000"/>
    <w:rsid w:val="00753181"/>
    <w:rsid w:val="0075357E"/>
    <w:rsid w:val="007535C8"/>
    <w:rsid w:val="007537F2"/>
    <w:rsid w:val="0075380E"/>
    <w:rsid w:val="00753B29"/>
    <w:rsid w:val="00753F16"/>
    <w:rsid w:val="007543E8"/>
    <w:rsid w:val="00754D6E"/>
    <w:rsid w:val="0075527E"/>
    <w:rsid w:val="00755458"/>
    <w:rsid w:val="007557E4"/>
    <w:rsid w:val="007558CA"/>
    <w:rsid w:val="00755ED6"/>
    <w:rsid w:val="00756003"/>
    <w:rsid w:val="00756452"/>
    <w:rsid w:val="00756521"/>
    <w:rsid w:val="00756656"/>
    <w:rsid w:val="007567E0"/>
    <w:rsid w:val="0075697A"/>
    <w:rsid w:val="007569A7"/>
    <w:rsid w:val="00756AEF"/>
    <w:rsid w:val="007572BA"/>
    <w:rsid w:val="007573E8"/>
    <w:rsid w:val="00757F8F"/>
    <w:rsid w:val="00757F98"/>
    <w:rsid w:val="0076037D"/>
    <w:rsid w:val="0076050C"/>
    <w:rsid w:val="007606DC"/>
    <w:rsid w:val="00760C4E"/>
    <w:rsid w:val="00760F9E"/>
    <w:rsid w:val="007616E6"/>
    <w:rsid w:val="00761976"/>
    <w:rsid w:val="007627BE"/>
    <w:rsid w:val="00762EB2"/>
    <w:rsid w:val="00762F6B"/>
    <w:rsid w:val="00762FFD"/>
    <w:rsid w:val="0076338C"/>
    <w:rsid w:val="007633CD"/>
    <w:rsid w:val="00763414"/>
    <w:rsid w:val="00763A33"/>
    <w:rsid w:val="00763AC1"/>
    <w:rsid w:val="00763BBF"/>
    <w:rsid w:val="007640FE"/>
    <w:rsid w:val="0076429C"/>
    <w:rsid w:val="0076453C"/>
    <w:rsid w:val="0076477C"/>
    <w:rsid w:val="0076479D"/>
    <w:rsid w:val="00764A7E"/>
    <w:rsid w:val="00764B57"/>
    <w:rsid w:val="00764C7C"/>
    <w:rsid w:val="00764F03"/>
    <w:rsid w:val="007657EC"/>
    <w:rsid w:val="00765B1A"/>
    <w:rsid w:val="00765D22"/>
    <w:rsid w:val="00765DC1"/>
    <w:rsid w:val="007661CB"/>
    <w:rsid w:val="00766314"/>
    <w:rsid w:val="0076641E"/>
    <w:rsid w:val="007670D7"/>
    <w:rsid w:val="00767904"/>
    <w:rsid w:val="007702A6"/>
    <w:rsid w:val="007703EC"/>
    <w:rsid w:val="00770696"/>
    <w:rsid w:val="00770C81"/>
    <w:rsid w:val="007713DE"/>
    <w:rsid w:val="00771660"/>
    <w:rsid w:val="00771A54"/>
    <w:rsid w:val="00772512"/>
    <w:rsid w:val="007729F4"/>
    <w:rsid w:val="007739FB"/>
    <w:rsid w:val="00773A65"/>
    <w:rsid w:val="0077426C"/>
    <w:rsid w:val="007743EB"/>
    <w:rsid w:val="0077472E"/>
    <w:rsid w:val="00775127"/>
    <w:rsid w:val="0077549E"/>
    <w:rsid w:val="00775708"/>
    <w:rsid w:val="00775C74"/>
    <w:rsid w:val="00775F6D"/>
    <w:rsid w:val="007760AF"/>
    <w:rsid w:val="00776A29"/>
    <w:rsid w:val="00776A99"/>
    <w:rsid w:val="00776CED"/>
    <w:rsid w:val="00777335"/>
    <w:rsid w:val="00781529"/>
    <w:rsid w:val="0078187D"/>
    <w:rsid w:val="00781B2D"/>
    <w:rsid w:val="00781D1A"/>
    <w:rsid w:val="007821EB"/>
    <w:rsid w:val="00782B62"/>
    <w:rsid w:val="00782CBE"/>
    <w:rsid w:val="00782CFB"/>
    <w:rsid w:val="00782FC6"/>
    <w:rsid w:val="0078310F"/>
    <w:rsid w:val="007835CB"/>
    <w:rsid w:val="007837B9"/>
    <w:rsid w:val="00783A06"/>
    <w:rsid w:val="00783C4F"/>
    <w:rsid w:val="0078430B"/>
    <w:rsid w:val="007843F2"/>
    <w:rsid w:val="007843F4"/>
    <w:rsid w:val="007846FA"/>
    <w:rsid w:val="007848A3"/>
    <w:rsid w:val="00784C36"/>
    <w:rsid w:val="00784DCF"/>
    <w:rsid w:val="00785371"/>
    <w:rsid w:val="00785608"/>
    <w:rsid w:val="0078590D"/>
    <w:rsid w:val="00785A9F"/>
    <w:rsid w:val="007862D9"/>
    <w:rsid w:val="00786CAF"/>
    <w:rsid w:val="00787158"/>
    <w:rsid w:val="00790300"/>
    <w:rsid w:val="007903F6"/>
    <w:rsid w:val="00790BF7"/>
    <w:rsid w:val="007918F7"/>
    <w:rsid w:val="00791A43"/>
    <w:rsid w:val="00791A5E"/>
    <w:rsid w:val="00791D7C"/>
    <w:rsid w:val="0079217C"/>
    <w:rsid w:val="0079222C"/>
    <w:rsid w:val="007925DF"/>
    <w:rsid w:val="00792AFE"/>
    <w:rsid w:val="00792C64"/>
    <w:rsid w:val="00793BE1"/>
    <w:rsid w:val="00793D7C"/>
    <w:rsid w:val="0079402E"/>
    <w:rsid w:val="007940AB"/>
    <w:rsid w:val="00794146"/>
    <w:rsid w:val="0079501C"/>
    <w:rsid w:val="007953C1"/>
    <w:rsid w:val="00795529"/>
    <w:rsid w:val="00795C66"/>
    <w:rsid w:val="00796082"/>
    <w:rsid w:val="007960EE"/>
    <w:rsid w:val="007962EF"/>
    <w:rsid w:val="007968B9"/>
    <w:rsid w:val="007972DC"/>
    <w:rsid w:val="00797A17"/>
    <w:rsid w:val="007A059F"/>
    <w:rsid w:val="007A0739"/>
    <w:rsid w:val="007A07DB"/>
    <w:rsid w:val="007A08AA"/>
    <w:rsid w:val="007A0A12"/>
    <w:rsid w:val="007A0BD5"/>
    <w:rsid w:val="007A0C02"/>
    <w:rsid w:val="007A0ED0"/>
    <w:rsid w:val="007A0F8F"/>
    <w:rsid w:val="007A1060"/>
    <w:rsid w:val="007A107B"/>
    <w:rsid w:val="007A132D"/>
    <w:rsid w:val="007A1345"/>
    <w:rsid w:val="007A1FA4"/>
    <w:rsid w:val="007A27DB"/>
    <w:rsid w:val="007A28A3"/>
    <w:rsid w:val="007A2DDB"/>
    <w:rsid w:val="007A2DEA"/>
    <w:rsid w:val="007A2E64"/>
    <w:rsid w:val="007A30CF"/>
    <w:rsid w:val="007A3515"/>
    <w:rsid w:val="007A3F36"/>
    <w:rsid w:val="007A42A7"/>
    <w:rsid w:val="007A440C"/>
    <w:rsid w:val="007A5537"/>
    <w:rsid w:val="007A56EB"/>
    <w:rsid w:val="007A5CD8"/>
    <w:rsid w:val="007A685B"/>
    <w:rsid w:val="007A70BA"/>
    <w:rsid w:val="007A7FFB"/>
    <w:rsid w:val="007B07DF"/>
    <w:rsid w:val="007B0D68"/>
    <w:rsid w:val="007B17B5"/>
    <w:rsid w:val="007B1BE0"/>
    <w:rsid w:val="007B1C0F"/>
    <w:rsid w:val="007B1EDE"/>
    <w:rsid w:val="007B1FBC"/>
    <w:rsid w:val="007B2512"/>
    <w:rsid w:val="007B251D"/>
    <w:rsid w:val="007B2BDF"/>
    <w:rsid w:val="007B30D9"/>
    <w:rsid w:val="007B33CA"/>
    <w:rsid w:val="007B33CC"/>
    <w:rsid w:val="007B3533"/>
    <w:rsid w:val="007B3589"/>
    <w:rsid w:val="007B35BC"/>
    <w:rsid w:val="007B365A"/>
    <w:rsid w:val="007B4F58"/>
    <w:rsid w:val="007B528D"/>
    <w:rsid w:val="007B57CB"/>
    <w:rsid w:val="007B626E"/>
    <w:rsid w:val="007B63CA"/>
    <w:rsid w:val="007B6621"/>
    <w:rsid w:val="007B66F8"/>
    <w:rsid w:val="007B67D9"/>
    <w:rsid w:val="007B690F"/>
    <w:rsid w:val="007B77D1"/>
    <w:rsid w:val="007B7927"/>
    <w:rsid w:val="007B7F24"/>
    <w:rsid w:val="007C00FC"/>
    <w:rsid w:val="007C040A"/>
    <w:rsid w:val="007C05CD"/>
    <w:rsid w:val="007C07C7"/>
    <w:rsid w:val="007C1649"/>
    <w:rsid w:val="007C17A7"/>
    <w:rsid w:val="007C18C7"/>
    <w:rsid w:val="007C1C49"/>
    <w:rsid w:val="007C1CD9"/>
    <w:rsid w:val="007C1EA0"/>
    <w:rsid w:val="007C2015"/>
    <w:rsid w:val="007C214C"/>
    <w:rsid w:val="007C21AA"/>
    <w:rsid w:val="007C2544"/>
    <w:rsid w:val="007C30EA"/>
    <w:rsid w:val="007C3159"/>
    <w:rsid w:val="007C32EF"/>
    <w:rsid w:val="007C3414"/>
    <w:rsid w:val="007C3619"/>
    <w:rsid w:val="007C361D"/>
    <w:rsid w:val="007C3869"/>
    <w:rsid w:val="007C3E6C"/>
    <w:rsid w:val="007C48A8"/>
    <w:rsid w:val="007C4B84"/>
    <w:rsid w:val="007C4E0F"/>
    <w:rsid w:val="007C4E63"/>
    <w:rsid w:val="007C5642"/>
    <w:rsid w:val="007C5D57"/>
    <w:rsid w:val="007C6160"/>
    <w:rsid w:val="007C6163"/>
    <w:rsid w:val="007C64FB"/>
    <w:rsid w:val="007C66D7"/>
    <w:rsid w:val="007C68F1"/>
    <w:rsid w:val="007C70FF"/>
    <w:rsid w:val="007C746E"/>
    <w:rsid w:val="007C757F"/>
    <w:rsid w:val="007C79EE"/>
    <w:rsid w:val="007C7C25"/>
    <w:rsid w:val="007D004F"/>
    <w:rsid w:val="007D0060"/>
    <w:rsid w:val="007D00DA"/>
    <w:rsid w:val="007D027C"/>
    <w:rsid w:val="007D035F"/>
    <w:rsid w:val="007D0536"/>
    <w:rsid w:val="007D06B2"/>
    <w:rsid w:val="007D082D"/>
    <w:rsid w:val="007D089B"/>
    <w:rsid w:val="007D0B38"/>
    <w:rsid w:val="007D0DC9"/>
    <w:rsid w:val="007D1B42"/>
    <w:rsid w:val="007D46A1"/>
    <w:rsid w:val="007D476C"/>
    <w:rsid w:val="007D47FE"/>
    <w:rsid w:val="007D49A0"/>
    <w:rsid w:val="007D4C7A"/>
    <w:rsid w:val="007D4E47"/>
    <w:rsid w:val="007D4EF0"/>
    <w:rsid w:val="007D53DF"/>
    <w:rsid w:val="007D5440"/>
    <w:rsid w:val="007D5A59"/>
    <w:rsid w:val="007D6015"/>
    <w:rsid w:val="007D649B"/>
    <w:rsid w:val="007D6509"/>
    <w:rsid w:val="007D69EB"/>
    <w:rsid w:val="007D6E6D"/>
    <w:rsid w:val="007D765E"/>
    <w:rsid w:val="007D784E"/>
    <w:rsid w:val="007D791B"/>
    <w:rsid w:val="007D7938"/>
    <w:rsid w:val="007D7DAD"/>
    <w:rsid w:val="007E0328"/>
    <w:rsid w:val="007E0479"/>
    <w:rsid w:val="007E0C3A"/>
    <w:rsid w:val="007E128F"/>
    <w:rsid w:val="007E1337"/>
    <w:rsid w:val="007E1B9A"/>
    <w:rsid w:val="007E1CF7"/>
    <w:rsid w:val="007E2020"/>
    <w:rsid w:val="007E22B1"/>
    <w:rsid w:val="007E23BE"/>
    <w:rsid w:val="007E2459"/>
    <w:rsid w:val="007E2647"/>
    <w:rsid w:val="007E2DF0"/>
    <w:rsid w:val="007E3516"/>
    <w:rsid w:val="007E4219"/>
    <w:rsid w:val="007E4EFB"/>
    <w:rsid w:val="007E5109"/>
    <w:rsid w:val="007E555E"/>
    <w:rsid w:val="007E5691"/>
    <w:rsid w:val="007E601B"/>
    <w:rsid w:val="007E677B"/>
    <w:rsid w:val="007E6B6B"/>
    <w:rsid w:val="007E6B9E"/>
    <w:rsid w:val="007E6CCB"/>
    <w:rsid w:val="007E6D39"/>
    <w:rsid w:val="007E71FE"/>
    <w:rsid w:val="007E7205"/>
    <w:rsid w:val="007E7964"/>
    <w:rsid w:val="007E7D3E"/>
    <w:rsid w:val="007F0402"/>
    <w:rsid w:val="007F0BBD"/>
    <w:rsid w:val="007F0DBC"/>
    <w:rsid w:val="007F0ED3"/>
    <w:rsid w:val="007F1017"/>
    <w:rsid w:val="007F17E2"/>
    <w:rsid w:val="007F241D"/>
    <w:rsid w:val="007F3752"/>
    <w:rsid w:val="007F3EDE"/>
    <w:rsid w:val="007F40A8"/>
    <w:rsid w:val="007F45B4"/>
    <w:rsid w:val="007F47B4"/>
    <w:rsid w:val="007F4907"/>
    <w:rsid w:val="007F4A22"/>
    <w:rsid w:val="007F4A3F"/>
    <w:rsid w:val="007F4A61"/>
    <w:rsid w:val="007F5255"/>
    <w:rsid w:val="007F56CC"/>
    <w:rsid w:val="007F61C2"/>
    <w:rsid w:val="007F637C"/>
    <w:rsid w:val="007F7131"/>
    <w:rsid w:val="007F7794"/>
    <w:rsid w:val="007F7885"/>
    <w:rsid w:val="00800D89"/>
    <w:rsid w:val="00801553"/>
    <w:rsid w:val="008015BE"/>
    <w:rsid w:val="00801774"/>
    <w:rsid w:val="00801CBA"/>
    <w:rsid w:val="00801CC7"/>
    <w:rsid w:val="00802167"/>
    <w:rsid w:val="00802258"/>
    <w:rsid w:val="0080278C"/>
    <w:rsid w:val="0080285D"/>
    <w:rsid w:val="00803072"/>
    <w:rsid w:val="008034E7"/>
    <w:rsid w:val="0080428B"/>
    <w:rsid w:val="008046D6"/>
    <w:rsid w:val="00804ABA"/>
    <w:rsid w:val="00804C7B"/>
    <w:rsid w:val="00805142"/>
    <w:rsid w:val="0080566B"/>
    <w:rsid w:val="00805934"/>
    <w:rsid w:val="00805A88"/>
    <w:rsid w:val="00805AF9"/>
    <w:rsid w:val="00805CA0"/>
    <w:rsid w:val="00805FCE"/>
    <w:rsid w:val="008065FC"/>
    <w:rsid w:val="00806758"/>
    <w:rsid w:val="008068FF"/>
    <w:rsid w:val="00807A8B"/>
    <w:rsid w:val="00807AC5"/>
    <w:rsid w:val="0081029F"/>
    <w:rsid w:val="0081056C"/>
    <w:rsid w:val="008110FE"/>
    <w:rsid w:val="00811383"/>
    <w:rsid w:val="008116C0"/>
    <w:rsid w:val="00812149"/>
    <w:rsid w:val="008121CB"/>
    <w:rsid w:val="00812B4D"/>
    <w:rsid w:val="00812C09"/>
    <w:rsid w:val="00812CAC"/>
    <w:rsid w:val="00813DA9"/>
    <w:rsid w:val="00813FC2"/>
    <w:rsid w:val="0081424E"/>
    <w:rsid w:val="0081435A"/>
    <w:rsid w:val="00814C88"/>
    <w:rsid w:val="00814DBA"/>
    <w:rsid w:val="008155D0"/>
    <w:rsid w:val="00815779"/>
    <w:rsid w:val="00815882"/>
    <w:rsid w:val="00816361"/>
    <w:rsid w:val="008163DD"/>
    <w:rsid w:val="008166EF"/>
    <w:rsid w:val="0081670D"/>
    <w:rsid w:val="00816780"/>
    <w:rsid w:val="00816C01"/>
    <w:rsid w:val="00816FA8"/>
    <w:rsid w:val="00816FEF"/>
    <w:rsid w:val="00817260"/>
    <w:rsid w:val="008172F5"/>
    <w:rsid w:val="0081778C"/>
    <w:rsid w:val="008177F2"/>
    <w:rsid w:val="00817803"/>
    <w:rsid w:val="00817EC6"/>
    <w:rsid w:val="00820426"/>
    <w:rsid w:val="0082059C"/>
    <w:rsid w:val="00820A8C"/>
    <w:rsid w:val="00820FC6"/>
    <w:rsid w:val="008215FB"/>
    <w:rsid w:val="00821AF9"/>
    <w:rsid w:val="008220CC"/>
    <w:rsid w:val="00822150"/>
    <w:rsid w:val="00822831"/>
    <w:rsid w:val="008228A6"/>
    <w:rsid w:val="00822CFF"/>
    <w:rsid w:val="00823174"/>
    <w:rsid w:val="00823A62"/>
    <w:rsid w:val="0082440D"/>
    <w:rsid w:val="00824740"/>
    <w:rsid w:val="00824CC1"/>
    <w:rsid w:val="00824CD4"/>
    <w:rsid w:val="008250C3"/>
    <w:rsid w:val="00825751"/>
    <w:rsid w:val="00825898"/>
    <w:rsid w:val="008258AD"/>
    <w:rsid w:val="008261BF"/>
    <w:rsid w:val="0082620E"/>
    <w:rsid w:val="008264EB"/>
    <w:rsid w:val="0082689A"/>
    <w:rsid w:val="008268CE"/>
    <w:rsid w:val="00826D72"/>
    <w:rsid w:val="0082735A"/>
    <w:rsid w:val="0082745C"/>
    <w:rsid w:val="00827779"/>
    <w:rsid w:val="00827C23"/>
    <w:rsid w:val="00830067"/>
    <w:rsid w:val="00830724"/>
    <w:rsid w:val="008307AF"/>
    <w:rsid w:val="00830B03"/>
    <w:rsid w:val="00830F08"/>
    <w:rsid w:val="0083120E"/>
    <w:rsid w:val="00831720"/>
    <w:rsid w:val="00832108"/>
    <w:rsid w:val="00832185"/>
    <w:rsid w:val="0083267A"/>
    <w:rsid w:val="008328FD"/>
    <w:rsid w:val="00832A5B"/>
    <w:rsid w:val="00832C4C"/>
    <w:rsid w:val="008333EC"/>
    <w:rsid w:val="00833B05"/>
    <w:rsid w:val="00833CBC"/>
    <w:rsid w:val="00833DAC"/>
    <w:rsid w:val="008347C1"/>
    <w:rsid w:val="008349A5"/>
    <w:rsid w:val="00834A26"/>
    <w:rsid w:val="00834C18"/>
    <w:rsid w:val="00834C75"/>
    <w:rsid w:val="00835784"/>
    <w:rsid w:val="0083590E"/>
    <w:rsid w:val="0083592F"/>
    <w:rsid w:val="008362B4"/>
    <w:rsid w:val="00836A8B"/>
    <w:rsid w:val="00836C73"/>
    <w:rsid w:val="00837200"/>
    <w:rsid w:val="00837693"/>
    <w:rsid w:val="00837CAF"/>
    <w:rsid w:val="00837E68"/>
    <w:rsid w:val="00840CA2"/>
    <w:rsid w:val="00841D10"/>
    <w:rsid w:val="008433A7"/>
    <w:rsid w:val="0084374F"/>
    <w:rsid w:val="0084375C"/>
    <w:rsid w:val="00844070"/>
    <w:rsid w:val="00844A22"/>
    <w:rsid w:val="0084502C"/>
    <w:rsid w:val="0084513D"/>
    <w:rsid w:val="00845242"/>
    <w:rsid w:val="00845914"/>
    <w:rsid w:val="00845962"/>
    <w:rsid w:val="00845B3A"/>
    <w:rsid w:val="008471F0"/>
    <w:rsid w:val="00847481"/>
    <w:rsid w:val="00847703"/>
    <w:rsid w:val="00847B8C"/>
    <w:rsid w:val="00847DF5"/>
    <w:rsid w:val="00850582"/>
    <w:rsid w:val="00850669"/>
    <w:rsid w:val="00850B85"/>
    <w:rsid w:val="008510E3"/>
    <w:rsid w:val="00852807"/>
    <w:rsid w:val="00852B5F"/>
    <w:rsid w:val="0085309D"/>
    <w:rsid w:val="008530C5"/>
    <w:rsid w:val="0085421C"/>
    <w:rsid w:val="00854248"/>
    <w:rsid w:val="00854643"/>
    <w:rsid w:val="00854BA2"/>
    <w:rsid w:val="00854E13"/>
    <w:rsid w:val="0085500E"/>
    <w:rsid w:val="008559A0"/>
    <w:rsid w:val="00855B9D"/>
    <w:rsid w:val="00856038"/>
    <w:rsid w:val="00856706"/>
    <w:rsid w:val="00856897"/>
    <w:rsid w:val="00856AB2"/>
    <w:rsid w:val="00856E9A"/>
    <w:rsid w:val="008572AA"/>
    <w:rsid w:val="00857315"/>
    <w:rsid w:val="00857A5A"/>
    <w:rsid w:val="00857B4F"/>
    <w:rsid w:val="00857E96"/>
    <w:rsid w:val="008605D0"/>
    <w:rsid w:val="0086075D"/>
    <w:rsid w:val="008607B8"/>
    <w:rsid w:val="00860E77"/>
    <w:rsid w:val="00860F2C"/>
    <w:rsid w:val="0086239D"/>
    <w:rsid w:val="008624E1"/>
    <w:rsid w:val="00862502"/>
    <w:rsid w:val="008625AE"/>
    <w:rsid w:val="00862B0E"/>
    <w:rsid w:val="00862C84"/>
    <w:rsid w:val="00862CC1"/>
    <w:rsid w:val="00862DA9"/>
    <w:rsid w:val="0086304D"/>
    <w:rsid w:val="008636DD"/>
    <w:rsid w:val="00863CF7"/>
    <w:rsid w:val="008642A7"/>
    <w:rsid w:val="00864C9F"/>
    <w:rsid w:val="008654EB"/>
    <w:rsid w:val="008655A1"/>
    <w:rsid w:val="00865722"/>
    <w:rsid w:val="00865ABE"/>
    <w:rsid w:val="00865DA8"/>
    <w:rsid w:val="008660D4"/>
    <w:rsid w:val="00866CBE"/>
    <w:rsid w:val="008674C9"/>
    <w:rsid w:val="00867E62"/>
    <w:rsid w:val="00870244"/>
    <w:rsid w:val="00871705"/>
    <w:rsid w:val="00871FA9"/>
    <w:rsid w:val="0087210B"/>
    <w:rsid w:val="008722C1"/>
    <w:rsid w:val="008724A4"/>
    <w:rsid w:val="008726A3"/>
    <w:rsid w:val="008728E8"/>
    <w:rsid w:val="008728E9"/>
    <w:rsid w:val="0087337C"/>
    <w:rsid w:val="0087407A"/>
    <w:rsid w:val="008740AB"/>
    <w:rsid w:val="008743CE"/>
    <w:rsid w:val="00874A42"/>
    <w:rsid w:val="00875408"/>
    <w:rsid w:val="0087542B"/>
    <w:rsid w:val="008755BB"/>
    <w:rsid w:val="008757A2"/>
    <w:rsid w:val="00875996"/>
    <w:rsid w:val="00876C00"/>
    <w:rsid w:val="008774C8"/>
    <w:rsid w:val="00877832"/>
    <w:rsid w:val="00877C2B"/>
    <w:rsid w:val="00877D1A"/>
    <w:rsid w:val="00877DE4"/>
    <w:rsid w:val="00877F2F"/>
    <w:rsid w:val="0088004A"/>
    <w:rsid w:val="008804A5"/>
    <w:rsid w:val="00880951"/>
    <w:rsid w:val="00880E96"/>
    <w:rsid w:val="00880ECA"/>
    <w:rsid w:val="008811AA"/>
    <w:rsid w:val="00882874"/>
    <w:rsid w:val="00882996"/>
    <w:rsid w:val="00882CE4"/>
    <w:rsid w:val="00882DD4"/>
    <w:rsid w:val="00882E3C"/>
    <w:rsid w:val="00882E3F"/>
    <w:rsid w:val="00883089"/>
    <w:rsid w:val="0088308A"/>
    <w:rsid w:val="0088330B"/>
    <w:rsid w:val="0088341A"/>
    <w:rsid w:val="0088348E"/>
    <w:rsid w:val="00883787"/>
    <w:rsid w:val="0088386A"/>
    <w:rsid w:val="00883A3F"/>
    <w:rsid w:val="00883DAC"/>
    <w:rsid w:val="0088410E"/>
    <w:rsid w:val="00884708"/>
    <w:rsid w:val="008847D9"/>
    <w:rsid w:val="00884B77"/>
    <w:rsid w:val="008853F2"/>
    <w:rsid w:val="008855E4"/>
    <w:rsid w:val="00885BB0"/>
    <w:rsid w:val="00885D1B"/>
    <w:rsid w:val="00885F87"/>
    <w:rsid w:val="008862E4"/>
    <w:rsid w:val="00886C08"/>
    <w:rsid w:val="00886CD2"/>
    <w:rsid w:val="008873BD"/>
    <w:rsid w:val="00887B58"/>
    <w:rsid w:val="00887E48"/>
    <w:rsid w:val="008902F2"/>
    <w:rsid w:val="00890582"/>
    <w:rsid w:val="00890862"/>
    <w:rsid w:val="00890CDE"/>
    <w:rsid w:val="00891200"/>
    <w:rsid w:val="00891299"/>
    <w:rsid w:val="008914CC"/>
    <w:rsid w:val="008917B3"/>
    <w:rsid w:val="00891B32"/>
    <w:rsid w:val="00891B7B"/>
    <w:rsid w:val="00891E6F"/>
    <w:rsid w:val="0089275D"/>
    <w:rsid w:val="00892A36"/>
    <w:rsid w:val="00892CB0"/>
    <w:rsid w:val="00892CCD"/>
    <w:rsid w:val="00892DF2"/>
    <w:rsid w:val="00892F88"/>
    <w:rsid w:val="00893239"/>
    <w:rsid w:val="008936D1"/>
    <w:rsid w:val="00893BFC"/>
    <w:rsid w:val="00893F09"/>
    <w:rsid w:val="0089420E"/>
    <w:rsid w:val="00894489"/>
    <w:rsid w:val="008948EF"/>
    <w:rsid w:val="00894CD6"/>
    <w:rsid w:val="00894FD8"/>
    <w:rsid w:val="00895138"/>
    <w:rsid w:val="008951E0"/>
    <w:rsid w:val="0089568B"/>
    <w:rsid w:val="0089579A"/>
    <w:rsid w:val="00895885"/>
    <w:rsid w:val="00896257"/>
    <w:rsid w:val="008963A5"/>
    <w:rsid w:val="008963B7"/>
    <w:rsid w:val="00896473"/>
    <w:rsid w:val="008964D4"/>
    <w:rsid w:val="00896579"/>
    <w:rsid w:val="00896ABE"/>
    <w:rsid w:val="00896D5D"/>
    <w:rsid w:val="00897305"/>
    <w:rsid w:val="00897F64"/>
    <w:rsid w:val="00897F91"/>
    <w:rsid w:val="008A00B3"/>
    <w:rsid w:val="008A0271"/>
    <w:rsid w:val="008A0981"/>
    <w:rsid w:val="008A0E61"/>
    <w:rsid w:val="008A1065"/>
    <w:rsid w:val="008A11C2"/>
    <w:rsid w:val="008A13FB"/>
    <w:rsid w:val="008A1E77"/>
    <w:rsid w:val="008A2299"/>
    <w:rsid w:val="008A245F"/>
    <w:rsid w:val="008A2C2A"/>
    <w:rsid w:val="008A3158"/>
    <w:rsid w:val="008A3363"/>
    <w:rsid w:val="008A3371"/>
    <w:rsid w:val="008A3C3E"/>
    <w:rsid w:val="008A54B5"/>
    <w:rsid w:val="008A5ADF"/>
    <w:rsid w:val="008A60FC"/>
    <w:rsid w:val="008A6B4B"/>
    <w:rsid w:val="008A6FFA"/>
    <w:rsid w:val="008A7664"/>
    <w:rsid w:val="008A78E3"/>
    <w:rsid w:val="008A79DE"/>
    <w:rsid w:val="008A7B13"/>
    <w:rsid w:val="008B05F5"/>
    <w:rsid w:val="008B10CC"/>
    <w:rsid w:val="008B1291"/>
    <w:rsid w:val="008B1757"/>
    <w:rsid w:val="008B1C24"/>
    <w:rsid w:val="008B1C33"/>
    <w:rsid w:val="008B1DA9"/>
    <w:rsid w:val="008B273E"/>
    <w:rsid w:val="008B2A39"/>
    <w:rsid w:val="008B351D"/>
    <w:rsid w:val="008B39F2"/>
    <w:rsid w:val="008B3CBC"/>
    <w:rsid w:val="008B404C"/>
    <w:rsid w:val="008B4928"/>
    <w:rsid w:val="008B4B6F"/>
    <w:rsid w:val="008B4F32"/>
    <w:rsid w:val="008B51FC"/>
    <w:rsid w:val="008B5ADA"/>
    <w:rsid w:val="008B5B4B"/>
    <w:rsid w:val="008B5B8D"/>
    <w:rsid w:val="008B6220"/>
    <w:rsid w:val="008B67D1"/>
    <w:rsid w:val="008B6886"/>
    <w:rsid w:val="008B6B42"/>
    <w:rsid w:val="008B78EF"/>
    <w:rsid w:val="008B7992"/>
    <w:rsid w:val="008B7D7E"/>
    <w:rsid w:val="008B7F91"/>
    <w:rsid w:val="008C0131"/>
    <w:rsid w:val="008C0638"/>
    <w:rsid w:val="008C0DC7"/>
    <w:rsid w:val="008C1505"/>
    <w:rsid w:val="008C1918"/>
    <w:rsid w:val="008C1A3D"/>
    <w:rsid w:val="008C2812"/>
    <w:rsid w:val="008C3037"/>
    <w:rsid w:val="008C3694"/>
    <w:rsid w:val="008C36D5"/>
    <w:rsid w:val="008C386A"/>
    <w:rsid w:val="008C3C46"/>
    <w:rsid w:val="008C4013"/>
    <w:rsid w:val="008C4270"/>
    <w:rsid w:val="008C4FD9"/>
    <w:rsid w:val="008C5102"/>
    <w:rsid w:val="008C518B"/>
    <w:rsid w:val="008C5255"/>
    <w:rsid w:val="008C5610"/>
    <w:rsid w:val="008C5739"/>
    <w:rsid w:val="008C5A65"/>
    <w:rsid w:val="008C5FFF"/>
    <w:rsid w:val="008C6A1D"/>
    <w:rsid w:val="008C6E05"/>
    <w:rsid w:val="008C7282"/>
    <w:rsid w:val="008C7544"/>
    <w:rsid w:val="008C75B4"/>
    <w:rsid w:val="008C7630"/>
    <w:rsid w:val="008C780E"/>
    <w:rsid w:val="008C797B"/>
    <w:rsid w:val="008C7E2E"/>
    <w:rsid w:val="008C7ECB"/>
    <w:rsid w:val="008D0DA7"/>
    <w:rsid w:val="008D11D9"/>
    <w:rsid w:val="008D1653"/>
    <w:rsid w:val="008D1666"/>
    <w:rsid w:val="008D1691"/>
    <w:rsid w:val="008D1735"/>
    <w:rsid w:val="008D17D2"/>
    <w:rsid w:val="008D198F"/>
    <w:rsid w:val="008D1C14"/>
    <w:rsid w:val="008D1D1C"/>
    <w:rsid w:val="008D1E01"/>
    <w:rsid w:val="008D234E"/>
    <w:rsid w:val="008D25FD"/>
    <w:rsid w:val="008D2A16"/>
    <w:rsid w:val="008D2F9E"/>
    <w:rsid w:val="008D33E3"/>
    <w:rsid w:val="008D3B86"/>
    <w:rsid w:val="008D3DED"/>
    <w:rsid w:val="008D43FD"/>
    <w:rsid w:val="008D4755"/>
    <w:rsid w:val="008D478E"/>
    <w:rsid w:val="008D4993"/>
    <w:rsid w:val="008D4BDD"/>
    <w:rsid w:val="008D4C3D"/>
    <w:rsid w:val="008D52BC"/>
    <w:rsid w:val="008D5F29"/>
    <w:rsid w:val="008D69A5"/>
    <w:rsid w:val="008D6ACF"/>
    <w:rsid w:val="008D743C"/>
    <w:rsid w:val="008D77D8"/>
    <w:rsid w:val="008D7A19"/>
    <w:rsid w:val="008D7A3A"/>
    <w:rsid w:val="008D7C9E"/>
    <w:rsid w:val="008E061A"/>
    <w:rsid w:val="008E0867"/>
    <w:rsid w:val="008E0A72"/>
    <w:rsid w:val="008E0D3C"/>
    <w:rsid w:val="008E11D5"/>
    <w:rsid w:val="008E13E5"/>
    <w:rsid w:val="008E19A7"/>
    <w:rsid w:val="008E19EC"/>
    <w:rsid w:val="008E1B9E"/>
    <w:rsid w:val="008E21CC"/>
    <w:rsid w:val="008E2402"/>
    <w:rsid w:val="008E284F"/>
    <w:rsid w:val="008E286A"/>
    <w:rsid w:val="008E30A8"/>
    <w:rsid w:val="008E3B58"/>
    <w:rsid w:val="008E4706"/>
    <w:rsid w:val="008E4A59"/>
    <w:rsid w:val="008E5493"/>
    <w:rsid w:val="008E55AB"/>
    <w:rsid w:val="008E593B"/>
    <w:rsid w:val="008E62CC"/>
    <w:rsid w:val="008E6464"/>
    <w:rsid w:val="008E6598"/>
    <w:rsid w:val="008E69C1"/>
    <w:rsid w:val="008E69E8"/>
    <w:rsid w:val="008E6BD2"/>
    <w:rsid w:val="008E6F1C"/>
    <w:rsid w:val="008E711C"/>
    <w:rsid w:val="008E76C9"/>
    <w:rsid w:val="008E77BC"/>
    <w:rsid w:val="008F0108"/>
    <w:rsid w:val="008F0929"/>
    <w:rsid w:val="008F120A"/>
    <w:rsid w:val="008F1AD1"/>
    <w:rsid w:val="008F27E0"/>
    <w:rsid w:val="008F3267"/>
    <w:rsid w:val="008F32C1"/>
    <w:rsid w:val="008F4409"/>
    <w:rsid w:val="008F45A6"/>
    <w:rsid w:val="008F48EB"/>
    <w:rsid w:val="008F49C4"/>
    <w:rsid w:val="008F4A13"/>
    <w:rsid w:val="008F4C4B"/>
    <w:rsid w:val="008F4F0B"/>
    <w:rsid w:val="008F5A7D"/>
    <w:rsid w:val="008F6D10"/>
    <w:rsid w:val="008F74BC"/>
    <w:rsid w:val="008F74CC"/>
    <w:rsid w:val="008F78EE"/>
    <w:rsid w:val="008F7EA4"/>
    <w:rsid w:val="008F7F60"/>
    <w:rsid w:val="0090028B"/>
    <w:rsid w:val="009002C2"/>
    <w:rsid w:val="009003AD"/>
    <w:rsid w:val="00900822"/>
    <w:rsid w:val="00901402"/>
    <w:rsid w:val="00901418"/>
    <w:rsid w:val="00901EF6"/>
    <w:rsid w:val="00901F11"/>
    <w:rsid w:val="00901F80"/>
    <w:rsid w:val="00902355"/>
    <w:rsid w:val="0090268E"/>
    <w:rsid w:val="00902ACB"/>
    <w:rsid w:val="00902DE0"/>
    <w:rsid w:val="00903523"/>
    <w:rsid w:val="009035FC"/>
    <w:rsid w:val="00903995"/>
    <w:rsid w:val="00903DE6"/>
    <w:rsid w:val="00904016"/>
    <w:rsid w:val="009046C4"/>
    <w:rsid w:val="00904862"/>
    <w:rsid w:val="009051D7"/>
    <w:rsid w:val="00905C85"/>
    <w:rsid w:val="00905EE0"/>
    <w:rsid w:val="00906119"/>
    <w:rsid w:val="009062A5"/>
    <w:rsid w:val="00906D6F"/>
    <w:rsid w:val="00907699"/>
    <w:rsid w:val="00910204"/>
    <w:rsid w:val="009104B5"/>
    <w:rsid w:val="009104BA"/>
    <w:rsid w:val="00910939"/>
    <w:rsid w:val="00910B4E"/>
    <w:rsid w:val="00910F33"/>
    <w:rsid w:val="00910FA7"/>
    <w:rsid w:val="00911272"/>
    <w:rsid w:val="00911339"/>
    <w:rsid w:val="009115E3"/>
    <w:rsid w:val="00911C7B"/>
    <w:rsid w:val="00911C82"/>
    <w:rsid w:val="00912108"/>
    <w:rsid w:val="009121CA"/>
    <w:rsid w:val="009127D7"/>
    <w:rsid w:val="00913041"/>
    <w:rsid w:val="009135D6"/>
    <w:rsid w:val="009138D9"/>
    <w:rsid w:val="00914BA4"/>
    <w:rsid w:val="00914C77"/>
    <w:rsid w:val="00914CCD"/>
    <w:rsid w:val="009156EA"/>
    <w:rsid w:val="00915B9E"/>
    <w:rsid w:val="00915BED"/>
    <w:rsid w:val="00915FA9"/>
    <w:rsid w:val="009167F2"/>
    <w:rsid w:val="00916E8F"/>
    <w:rsid w:val="009175CB"/>
    <w:rsid w:val="00920257"/>
    <w:rsid w:val="0092037C"/>
    <w:rsid w:val="009204C7"/>
    <w:rsid w:val="0092106D"/>
    <w:rsid w:val="00921ACB"/>
    <w:rsid w:val="00921BAA"/>
    <w:rsid w:val="00921C2B"/>
    <w:rsid w:val="00921CB2"/>
    <w:rsid w:val="00921D51"/>
    <w:rsid w:val="00921E40"/>
    <w:rsid w:val="009227FD"/>
    <w:rsid w:val="00922837"/>
    <w:rsid w:val="00922BEC"/>
    <w:rsid w:val="0092369B"/>
    <w:rsid w:val="009237E2"/>
    <w:rsid w:val="009238A1"/>
    <w:rsid w:val="00924149"/>
    <w:rsid w:val="009243EB"/>
    <w:rsid w:val="00925805"/>
    <w:rsid w:val="0092620F"/>
    <w:rsid w:val="00926C3A"/>
    <w:rsid w:val="00927456"/>
    <w:rsid w:val="00930206"/>
    <w:rsid w:val="009308A0"/>
    <w:rsid w:val="009314F3"/>
    <w:rsid w:val="00931875"/>
    <w:rsid w:val="00931BC7"/>
    <w:rsid w:val="00932863"/>
    <w:rsid w:val="00932AB3"/>
    <w:rsid w:val="00932C00"/>
    <w:rsid w:val="00933152"/>
    <w:rsid w:val="00933AAC"/>
    <w:rsid w:val="00933B24"/>
    <w:rsid w:val="00934988"/>
    <w:rsid w:val="00934A63"/>
    <w:rsid w:val="00934B4E"/>
    <w:rsid w:val="009355B1"/>
    <w:rsid w:val="009355C0"/>
    <w:rsid w:val="00935AD1"/>
    <w:rsid w:val="00935ADA"/>
    <w:rsid w:val="00935F28"/>
    <w:rsid w:val="00936040"/>
    <w:rsid w:val="009362B5"/>
    <w:rsid w:val="00936724"/>
    <w:rsid w:val="009367A1"/>
    <w:rsid w:val="0093683D"/>
    <w:rsid w:val="00937089"/>
    <w:rsid w:val="00937135"/>
    <w:rsid w:val="00937507"/>
    <w:rsid w:val="0093799D"/>
    <w:rsid w:val="00940052"/>
    <w:rsid w:val="009406C3"/>
    <w:rsid w:val="00940CB1"/>
    <w:rsid w:val="00941328"/>
    <w:rsid w:val="009414BF"/>
    <w:rsid w:val="009415AC"/>
    <w:rsid w:val="00941653"/>
    <w:rsid w:val="00941EBB"/>
    <w:rsid w:val="00941EF4"/>
    <w:rsid w:val="0094219D"/>
    <w:rsid w:val="00942398"/>
    <w:rsid w:val="00942EBC"/>
    <w:rsid w:val="009430DB"/>
    <w:rsid w:val="009430E8"/>
    <w:rsid w:val="009431EC"/>
    <w:rsid w:val="00943673"/>
    <w:rsid w:val="00944952"/>
    <w:rsid w:val="00944EAC"/>
    <w:rsid w:val="00944F8A"/>
    <w:rsid w:val="00944F8E"/>
    <w:rsid w:val="00945215"/>
    <w:rsid w:val="009459E7"/>
    <w:rsid w:val="00945B02"/>
    <w:rsid w:val="00945DC6"/>
    <w:rsid w:val="0094645F"/>
    <w:rsid w:val="0094693A"/>
    <w:rsid w:val="00946D3A"/>
    <w:rsid w:val="009471C4"/>
    <w:rsid w:val="00947628"/>
    <w:rsid w:val="00947B2B"/>
    <w:rsid w:val="00947B42"/>
    <w:rsid w:val="00947D8E"/>
    <w:rsid w:val="009507B1"/>
    <w:rsid w:val="009507F0"/>
    <w:rsid w:val="00950D10"/>
    <w:rsid w:val="009510A2"/>
    <w:rsid w:val="00951515"/>
    <w:rsid w:val="009529F7"/>
    <w:rsid w:val="00952F2D"/>
    <w:rsid w:val="00952F56"/>
    <w:rsid w:val="00953257"/>
    <w:rsid w:val="00953530"/>
    <w:rsid w:val="009539DA"/>
    <w:rsid w:val="00953A2E"/>
    <w:rsid w:val="0095444D"/>
    <w:rsid w:val="009546A6"/>
    <w:rsid w:val="0095471C"/>
    <w:rsid w:val="0095474C"/>
    <w:rsid w:val="0095498A"/>
    <w:rsid w:val="00955307"/>
    <w:rsid w:val="00955319"/>
    <w:rsid w:val="00955460"/>
    <w:rsid w:val="00955573"/>
    <w:rsid w:val="00955CBE"/>
    <w:rsid w:val="0095617B"/>
    <w:rsid w:val="0095648B"/>
    <w:rsid w:val="00957825"/>
    <w:rsid w:val="00957D92"/>
    <w:rsid w:val="00960979"/>
    <w:rsid w:val="00960C68"/>
    <w:rsid w:val="00960FE2"/>
    <w:rsid w:val="00961807"/>
    <w:rsid w:val="009619D8"/>
    <w:rsid w:val="00961DEB"/>
    <w:rsid w:val="00962CB9"/>
    <w:rsid w:val="00962D36"/>
    <w:rsid w:val="00963283"/>
    <w:rsid w:val="00963B08"/>
    <w:rsid w:val="00963B4F"/>
    <w:rsid w:val="00963EA0"/>
    <w:rsid w:val="00964018"/>
    <w:rsid w:val="00964312"/>
    <w:rsid w:val="00964873"/>
    <w:rsid w:val="0096497E"/>
    <w:rsid w:val="00964E49"/>
    <w:rsid w:val="00965405"/>
    <w:rsid w:val="00965818"/>
    <w:rsid w:val="009659D5"/>
    <w:rsid w:val="00965A51"/>
    <w:rsid w:val="00965B8A"/>
    <w:rsid w:val="00965EF3"/>
    <w:rsid w:val="00966065"/>
    <w:rsid w:val="009673A1"/>
    <w:rsid w:val="009701E2"/>
    <w:rsid w:val="009702A6"/>
    <w:rsid w:val="0097049E"/>
    <w:rsid w:val="0097071F"/>
    <w:rsid w:val="009717AC"/>
    <w:rsid w:val="009719B2"/>
    <w:rsid w:val="00971C8C"/>
    <w:rsid w:val="00971F09"/>
    <w:rsid w:val="00972091"/>
    <w:rsid w:val="00972351"/>
    <w:rsid w:val="00972628"/>
    <w:rsid w:val="00973267"/>
    <w:rsid w:val="00973580"/>
    <w:rsid w:val="00973AF6"/>
    <w:rsid w:val="00973EF7"/>
    <w:rsid w:val="009740C7"/>
    <w:rsid w:val="009744CA"/>
    <w:rsid w:val="00974DF8"/>
    <w:rsid w:val="00974E9E"/>
    <w:rsid w:val="00975134"/>
    <w:rsid w:val="009751C1"/>
    <w:rsid w:val="009754A2"/>
    <w:rsid w:val="00975B1B"/>
    <w:rsid w:val="00976C8A"/>
    <w:rsid w:val="00976F59"/>
    <w:rsid w:val="00977247"/>
    <w:rsid w:val="009773DE"/>
    <w:rsid w:val="00977B1B"/>
    <w:rsid w:val="00977C31"/>
    <w:rsid w:val="00977FF1"/>
    <w:rsid w:val="00980CC7"/>
    <w:rsid w:val="00980EDA"/>
    <w:rsid w:val="009811F1"/>
    <w:rsid w:val="00981F62"/>
    <w:rsid w:val="0098262F"/>
    <w:rsid w:val="00982F24"/>
    <w:rsid w:val="0098398C"/>
    <w:rsid w:val="00983A5F"/>
    <w:rsid w:val="00983B25"/>
    <w:rsid w:val="00983E57"/>
    <w:rsid w:val="009842EC"/>
    <w:rsid w:val="0098434F"/>
    <w:rsid w:val="0098476E"/>
    <w:rsid w:val="00984CBD"/>
    <w:rsid w:val="00985919"/>
    <w:rsid w:val="00985DE2"/>
    <w:rsid w:val="00986322"/>
    <w:rsid w:val="0098668B"/>
    <w:rsid w:val="00986723"/>
    <w:rsid w:val="0098675D"/>
    <w:rsid w:val="009869CF"/>
    <w:rsid w:val="00986C39"/>
    <w:rsid w:val="00986C3E"/>
    <w:rsid w:val="0098705E"/>
    <w:rsid w:val="00987182"/>
    <w:rsid w:val="009872E0"/>
    <w:rsid w:val="00987330"/>
    <w:rsid w:val="0098785E"/>
    <w:rsid w:val="009879EF"/>
    <w:rsid w:val="00987BA4"/>
    <w:rsid w:val="00987C41"/>
    <w:rsid w:val="0099001E"/>
    <w:rsid w:val="009902CB"/>
    <w:rsid w:val="009908CA"/>
    <w:rsid w:val="009909A9"/>
    <w:rsid w:val="00990B6F"/>
    <w:rsid w:val="00990BB6"/>
    <w:rsid w:val="00991921"/>
    <w:rsid w:val="00992003"/>
    <w:rsid w:val="009926E0"/>
    <w:rsid w:val="00992F0A"/>
    <w:rsid w:val="00993911"/>
    <w:rsid w:val="00993C2C"/>
    <w:rsid w:val="00993E04"/>
    <w:rsid w:val="00993EFF"/>
    <w:rsid w:val="0099451E"/>
    <w:rsid w:val="00994EAF"/>
    <w:rsid w:val="00995AFB"/>
    <w:rsid w:val="00995BDF"/>
    <w:rsid w:val="00995CC7"/>
    <w:rsid w:val="00995FF8"/>
    <w:rsid w:val="009961BD"/>
    <w:rsid w:val="0099628C"/>
    <w:rsid w:val="00996B1A"/>
    <w:rsid w:val="00996F70"/>
    <w:rsid w:val="009972B7"/>
    <w:rsid w:val="00997E83"/>
    <w:rsid w:val="009A0026"/>
    <w:rsid w:val="009A0856"/>
    <w:rsid w:val="009A0B5B"/>
    <w:rsid w:val="009A1014"/>
    <w:rsid w:val="009A1426"/>
    <w:rsid w:val="009A14CA"/>
    <w:rsid w:val="009A18F6"/>
    <w:rsid w:val="009A1ACE"/>
    <w:rsid w:val="009A1EA9"/>
    <w:rsid w:val="009A1F3E"/>
    <w:rsid w:val="009A2659"/>
    <w:rsid w:val="009A2DCC"/>
    <w:rsid w:val="009A36BC"/>
    <w:rsid w:val="009A3B04"/>
    <w:rsid w:val="009A3F0B"/>
    <w:rsid w:val="009A3F89"/>
    <w:rsid w:val="009A3FC7"/>
    <w:rsid w:val="009A40CF"/>
    <w:rsid w:val="009A4968"/>
    <w:rsid w:val="009A51F5"/>
    <w:rsid w:val="009A5835"/>
    <w:rsid w:val="009A5ABC"/>
    <w:rsid w:val="009A6577"/>
    <w:rsid w:val="009A69E5"/>
    <w:rsid w:val="009A6B96"/>
    <w:rsid w:val="009A6F01"/>
    <w:rsid w:val="009A7397"/>
    <w:rsid w:val="009A7F10"/>
    <w:rsid w:val="009B06AA"/>
    <w:rsid w:val="009B0CAF"/>
    <w:rsid w:val="009B0D68"/>
    <w:rsid w:val="009B119F"/>
    <w:rsid w:val="009B1354"/>
    <w:rsid w:val="009B143E"/>
    <w:rsid w:val="009B1786"/>
    <w:rsid w:val="009B1D0C"/>
    <w:rsid w:val="009B1D28"/>
    <w:rsid w:val="009B1EE6"/>
    <w:rsid w:val="009B2688"/>
    <w:rsid w:val="009B30DD"/>
    <w:rsid w:val="009B3E26"/>
    <w:rsid w:val="009B3F00"/>
    <w:rsid w:val="009B40FB"/>
    <w:rsid w:val="009B41BE"/>
    <w:rsid w:val="009B42F4"/>
    <w:rsid w:val="009B43D4"/>
    <w:rsid w:val="009B43D5"/>
    <w:rsid w:val="009B4BFB"/>
    <w:rsid w:val="009B5FA4"/>
    <w:rsid w:val="009B656C"/>
    <w:rsid w:val="009B6B98"/>
    <w:rsid w:val="009B6D2F"/>
    <w:rsid w:val="009B71FC"/>
    <w:rsid w:val="009C0A4B"/>
    <w:rsid w:val="009C0C50"/>
    <w:rsid w:val="009C1271"/>
    <w:rsid w:val="009C2D66"/>
    <w:rsid w:val="009C3393"/>
    <w:rsid w:val="009C356B"/>
    <w:rsid w:val="009C3571"/>
    <w:rsid w:val="009C3706"/>
    <w:rsid w:val="009C3A3A"/>
    <w:rsid w:val="009C3E61"/>
    <w:rsid w:val="009C3EE2"/>
    <w:rsid w:val="009C3F05"/>
    <w:rsid w:val="009C426B"/>
    <w:rsid w:val="009C4312"/>
    <w:rsid w:val="009C5885"/>
    <w:rsid w:val="009C5B9B"/>
    <w:rsid w:val="009C5DD9"/>
    <w:rsid w:val="009C6CEA"/>
    <w:rsid w:val="009C73DC"/>
    <w:rsid w:val="009C753B"/>
    <w:rsid w:val="009C771D"/>
    <w:rsid w:val="009C7B24"/>
    <w:rsid w:val="009C7B85"/>
    <w:rsid w:val="009C7DB2"/>
    <w:rsid w:val="009C7E73"/>
    <w:rsid w:val="009C7EFC"/>
    <w:rsid w:val="009D0254"/>
    <w:rsid w:val="009D05C1"/>
    <w:rsid w:val="009D09CF"/>
    <w:rsid w:val="009D1010"/>
    <w:rsid w:val="009D151F"/>
    <w:rsid w:val="009D18CA"/>
    <w:rsid w:val="009D1959"/>
    <w:rsid w:val="009D1A64"/>
    <w:rsid w:val="009D1FCA"/>
    <w:rsid w:val="009D2610"/>
    <w:rsid w:val="009D27EF"/>
    <w:rsid w:val="009D291A"/>
    <w:rsid w:val="009D2AB1"/>
    <w:rsid w:val="009D2BAB"/>
    <w:rsid w:val="009D34FD"/>
    <w:rsid w:val="009D3ABC"/>
    <w:rsid w:val="009D43AE"/>
    <w:rsid w:val="009D4CE8"/>
    <w:rsid w:val="009D5086"/>
    <w:rsid w:val="009D53C2"/>
    <w:rsid w:val="009D564D"/>
    <w:rsid w:val="009D5B91"/>
    <w:rsid w:val="009D5BF5"/>
    <w:rsid w:val="009D767B"/>
    <w:rsid w:val="009D78E6"/>
    <w:rsid w:val="009D792E"/>
    <w:rsid w:val="009E0096"/>
    <w:rsid w:val="009E04BC"/>
    <w:rsid w:val="009E0609"/>
    <w:rsid w:val="009E0C25"/>
    <w:rsid w:val="009E0DFE"/>
    <w:rsid w:val="009E133E"/>
    <w:rsid w:val="009E136F"/>
    <w:rsid w:val="009E1D95"/>
    <w:rsid w:val="009E1FF6"/>
    <w:rsid w:val="009E21FA"/>
    <w:rsid w:val="009E2A27"/>
    <w:rsid w:val="009E2D2D"/>
    <w:rsid w:val="009E31F6"/>
    <w:rsid w:val="009E3861"/>
    <w:rsid w:val="009E3EEE"/>
    <w:rsid w:val="009E4C07"/>
    <w:rsid w:val="009E5B28"/>
    <w:rsid w:val="009E6B6E"/>
    <w:rsid w:val="009E6C09"/>
    <w:rsid w:val="009E6DB2"/>
    <w:rsid w:val="009E6E94"/>
    <w:rsid w:val="009E7361"/>
    <w:rsid w:val="009E73AA"/>
    <w:rsid w:val="009E75A4"/>
    <w:rsid w:val="009E777F"/>
    <w:rsid w:val="009E7D2B"/>
    <w:rsid w:val="009E7D6A"/>
    <w:rsid w:val="009E7FA6"/>
    <w:rsid w:val="009E7FD2"/>
    <w:rsid w:val="009F0623"/>
    <w:rsid w:val="009F0A23"/>
    <w:rsid w:val="009F0DAB"/>
    <w:rsid w:val="009F17D0"/>
    <w:rsid w:val="009F26B3"/>
    <w:rsid w:val="009F28C6"/>
    <w:rsid w:val="009F2F29"/>
    <w:rsid w:val="009F31A0"/>
    <w:rsid w:val="009F4132"/>
    <w:rsid w:val="009F41EF"/>
    <w:rsid w:val="009F6120"/>
    <w:rsid w:val="009F65FE"/>
    <w:rsid w:val="009F7E99"/>
    <w:rsid w:val="00A00281"/>
    <w:rsid w:val="00A0031C"/>
    <w:rsid w:val="00A00B75"/>
    <w:rsid w:val="00A00D76"/>
    <w:rsid w:val="00A01184"/>
    <w:rsid w:val="00A0129C"/>
    <w:rsid w:val="00A01449"/>
    <w:rsid w:val="00A0167E"/>
    <w:rsid w:val="00A02344"/>
    <w:rsid w:val="00A02844"/>
    <w:rsid w:val="00A02B59"/>
    <w:rsid w:val="00A03783"/>
    <w:rsid w:val="00A037C2"/>
    <w:rsid w:val="00A0397B"/>
    <w:rsid w:val="00A03B90"/>
    <w:rsid w:val="00A03C52"/>
    <w:rsid w:val="00A03D43"/>
    <w:rsid w:val="00A04380"/>
    <w:rsid w:val="00A04786"/>
    <w:rsid w:val="00A049EB"/>
    <w:rsid w:val="00A04B33"/>
    <w:rsid w:val="00A05472"/>
    <w:rsid w:val="00A05973"/>
    <w:rsid w:val="00A05C32"/>
    <w:rsid w:val="00A05F22"/>
    <w:rsid w:val="00A0653F"/>
    <w:rsid w:val="00A06802"/>
    <w:rsid w:val="00A069D5"/>
    <w:rsid w:val="00A06A00"/>
    <w:rsid w:val="00A075C7"/>
    <w:rsid w:val="00A0770F"/>
    <w:rsid w:val="00A077F2"/>
    <w:rsid w:val="00A10405"/>
    <w:rsid w:val="00A1087E"/>
    <w:rsid w:val="00A10C1C"/>
    <w:rsid w:val="00A10E45"/>
    <w:rsid w:val="00A11CD0"/>
    <w:rsid w:val="00A11D3A"/>
    <w:rsid w:val="00A1268D"/>
    <w:rsid w:val="00A12931"/>
    <w:rsid w:val="00A12E11"/>
    <w:rsid w:val="00A12F7B"/>
    <w:rsid w:val="00A13948"/>
    <w:rsid w:val="00A13EBA"/>
    <w:rsid w:val="00A14062"/>
    <w:rsid w:val="00A14605"/>
    <w:rsid w:val="00A14C96"/>
    <w:rsid w:val="00A15245"/>
    <w:rsid w:val="00A1555B"/>
    <w:rsid w:val="00A155C5"/>
    <w:rsid w:val="00A1573E"/>
    <w:rsid w:val="00A15859"/>
    <w:rsid w:val="00A15EAC"/>
    <w:rsid w:val="00A15FE0"/>
    <w:rsid w:val="00A16100"/>
    <w:rsid w:val="00A16273"/>
    <w:rsid w:val="00A16826"/>
    <w:rsid w:val="00A168D1"/>
    <w:rsid w:val="00A16AD8"/>
    <w:rsid w:val="00A17AF8"/>
    <w:rsid w:val="00A17E06"/>
    <w:rsid w:val="00A17FB0"/>
    <w:rsid w:val="00A2021E"/>
    <w:rsid w:val="00A2062D"/>
    <w:rsid w:val="00A209CA"/>
    <w:rsid w:val="00A20AA6"/>
    <w:rsid w:val="00A20C3C"/>
    <w:rsid w:val="00A20C51"/>
    <w:rsid w:val="00A21901"/>
    <w:rsid w:val="00A21C95"/>
    <w:rsid w:val="00A21CF3"/>
    <w:rsid w:val="00A21FDB"/>
    <w:rsid w:val="00A22A06"/>
    <w:rsid w:val="00A22E19"/>
    <w:rsid w:val="00A22E5A"/>
    <w:rsid w:val="00A22E79"/>
    <w:rsid w:val="00A23120"/>
    <w:rsid w:val="00A23BBE"/>
    <w:rsid w:val="00A23D35"/>
    <w:rsid w:val="00A24221"/>
    <w:rsid w:val="00A243BE"/>
    <w:rsid w:val="00A24592"/>
    <w:rsid w:val="00A247B3"/>
    <w:rsid w:val="00A24813"/>
    <w:rsid w:val="00A257DA"/>
    <w:rsid w:val="00A25BDB"/>
    <w:rsid w:val="00A265FD"/>
    <w:rsid w:val="00A26821"/>
    <w:rsid w:val="00A26B44"/>
    <w:rsid w:val="00A27044"/>
    <w:rsid w:val="00A279E1"/>
    <w:rsid w:val="00A27AEC"/>
    <w:rsid w:val="00A3017E"/>
    <w:rsid w:val="00A303B2"/>
    <w:rsid w:val="00A309AF"/>
    <w:rsid w:val="00A316F6"/>
    <w:rsid w:val="00A320DB"/>
    <w:rsid w:val="00A3247A"/>
    <w:rsid w:val="00A32697"/>
    <w:rsid w:val="00A329EE"/>
    <w:rsid w:val="00A32ED0"/>
    <w:rsid w:val="00A33FA6"/>
    <w:rsid w:val="00A345EE"/>
    <w:rsid w:val="00A34669"/>
    <w:rsid w:val="00A34819"/>
    <w:rsid w:val="00A349EF"/>
    <w:rsid w:val="00A34B12"/>
    <w:rsid w:val="00A34DAE"/>
    <w:rsid w:val="00A352ED"/>
    <w:rsid w:val="00A352FE"/>
    <w:rsid w:val="00A3546E"/>
    <w:rsid w:val="00A3569B"/>
    <w:rsid w:val="00A357BC"/>
    <w:rsid w:val="00A35A21"/>
    <w:rsid w:val="00A35AB2"/>
    <w:rsid w:val="00A35C0C"/>
    <w:rsid w:val="00A35D16"/>
    <w:rsid w:val="00A35EE5"/>
    <w:rsid w:val="00A36344"/>
    <w:rsid w:val="00A3647D"/>
    <w:rsid w:val="00A36C6C"/>
    <w:rsid w:val="00A37196"/>
    <w:rsid w:val="00A378EB"/>
    <w:rsid w:val="00A37BCD"/>
    <w:rsid w:val="00A404A3"/>
    <w:rsid w:val="00A40548"/>
    <w:rsid w:val="00A407E3"/>
    <w:rsid w:val="00A40C2C"/>
    <w:rsid w:val="00A41689"/>
    <w:rsid w:val="00A41BA2"/>
    <w:rsid w:val="00A423EA"/>
    <w:rsid w:val="00A42592"/>
    <w:rsid w:val="00A426FE"/>
    <w:rsid w:val="00A42906"/>
    <w:rsid w:val="00A42FA7"/>
    <w:rsid w:val="00A4337E"/>
    <w:rsid w:val="00A4351D"/>
    <w:rsid w:val="00A43C59"/>
    <w:rsid w:val="00A43C65"/>
    <w:rsid w:val="00A4438A"/>
    <w:rsid w:val="00A44866"/>
    <w:rsid w:val="00A4496A"/>
    <w:rsid w:val="00A44DAD"/>
    <w:rsid w:val="00A45495"/>
    <w:rsid w:val="00A45C8E"/>
    <w:rsid w:val="00A45CC7"/>
    <w:rsid w:val="00A45F04"/>
    <w:rsid w:val="00A46499"/>
    <w:rsid w:val="00A464A0"/>
    <w:rsid w:val="00A46719"/>
    <w:rsid w:val="00A46BB9"/>
    <w:rsid w:val="00A4755A"/>
    <w:rsid w:val="00A50ECD"/>
    <w:rsid w:val="00A50F92"/>
    <w:rsid w:val="00A510DD"/>
    <w:rsid w:val="00A518F3"/>
    <w:rsid w:val="00A51E21"/>
    <w:rsid w:val="00A52729"/>
    <w:rsid w:val="00A53594"/>
    <w:rsid w:val="00A53675"/>
    <w:rsid w:val="00A53696"/>
    <w:rsid w:val="00A547FA"/>
    <w:rsid w:val="00A54B24"/>
    <w:rsid w:val="00A54C5F"/>
    <w:rsid w:val="00A55B9E"/>
    <w:rsid w:val="00A55D5D"/>
    <w:rsid w:val="00A55FBF"/>
    <w:rsid w:val="00A56284"/>
    <w:rsid w:val="00A56439"/>
    <w:rsid w:val="00A564D7"/>
    <w:rsid w:val="00A56A6D"/>
    <w:rsid w:val="00A56B6A"/>
    <w:rsid w:val="00A56DEA"/>
    <w:rsid w:val="00A56FC4"/>
    <w:rsid w:val="00A5739C"/>
    <w:rsid w:val="00A578DC"/>
    <w:rsid w:val="00A57F17"/>
    <w:rsid w:val="00A60324"/>
    <w:rsid w:val="00A60CEB"/>
    <w:rsid w:val="00A60E48"/>
    <w:rsid w:val="00A6340A"/>
    <w:rsid w:val="00A63B6B"/>
    <w:rsid w:val="00A63EDE"/>
    <w:rsid w:val="00A640E2"/>
    <w:rsid w:val="00A64897"/>
    <w:rsid w:val="00A64D65"/>
    <w:rsid w:val="00A6523C"/>
    <w:rsid w:val="00A65BE6"/>
    <w:rsid w:val="00A65DF2"/>
    <w:rsid w:val="00A65FCC"/>
    <w:rsid w:val="00A66215"/>
    <w:rsid w:val="00A666BC"/>
    <w:rsid w:val="00A6725B"/>
    <w:rsid w:val="00A67446"/>
    <w:rsid w:val="00A67569"/>
    <w:rsid w:val="00A67898"/>
    <w:rsid w:val="00A67931"/>
    <w:rsid w:val="00A70605"/>
    <w:rsid w:val="00A71188"/>
    <w:rsid w:val="00A71190"/>
    <w:rsid w:val="00A72106"/>
    <w:rsid w:val="00A72497"/>
    <w:rsid w:val="00A726A2"/>
    <w:rsid w:val="00A73009"/>
    <w:rsid w:val="00A73134"/>
    <w:rsid w:val="00A7332C"/>
    <w:rsid w:val="00A7365A"/>
    <w:rsid w:val="00A7386E"/>
    <w:rsid w:val="00A73915"/>
    <w:rsid w:val="00A73B9B"/>
    <w:rsid w:val="00A73D64"/>
    <w:rsid w:val="00A74089"/>
    <w:rsid w:val="00A7441C"/>
    <w:rsid w:val="00A74578"/>
    <w:rsid w:val="00A7496C"/>
    <w:rsid w:val="00A75068"/>
    <w:rsid w:val="00A7514C"/>
    <w:rsid w:val="00A755DB"/>
    <w:rsid w:val="00A75974"/>
    <w:rsid w:val="00A76001"/>
    <w:rsid w:val="00A760E1"/>
    <w:rsid w:val="00A766A3"/>
    <w:rsid w:val="00A76E34"/>
    <w:rsid w:val="00A7711A"/>
    <w:rsid w:val="00A7716C"/>
    <w:rsid w:val="00A77201"/>
    <w:rsid w:val="00A7757C"/>
    <w:rsid w:val="00A777B2"/>
    <w:rsid w:val="00A802D5"/>
    <w:rsid w:val="00A80802"/>
    <w:rsid w:val="00A80A71"/>
    <w:rsid w:val="00A8129F"/>
    <w:rsid w:val="00A8147D"/>
    <w:rsid w:val="00A8179F"/>
    <w:rsid w:val="00A8233D"/>
    <w:rsid w:val="00A825D4"/>
    <w:rsid w:val="00A828F6"/>
    <w:rsid w:val="00A82AF9"/>
    <w:rsid w:val="00A82B73"/>
    <w:rsid w:val="00A82BFF"/>
    <w:rsid w:val="00A82C82"/>
    <w:rsid w:val="00A82E9D"/>
    <w:rsid w:val="00A82F5A"/>
    <w:rsid w:val="00A8413B"/>
    <w:rsid w:val="00A846AB"/>
    <w:rsid w:val="00A84756"/>
    <w:rsid w:val="00A8477A"/>
    <w:rsid w:val="00A85845"/>
    <w:rsid w:val="00A85DE8"/>
    <w:rsid w:val="00A863AD"/>
    <w:rsid w:val="00A86CF7"/>
    <w:rsid w:val="00A86DFD"/>
    <w:rsid w:val="00A86E8B"/>
    <w:rsid w:val="00A87164"/>
    <w:rsid w:val="00A871A9"/>
    <w:rsid w:val="00A87FDE"/>
    <w:rsid w:val="00A90134"/>
    <w:rsid w:val="00A90C3D"/>
    <w:rsid w:val="00A91AF9"/>
    <w:rsid w:val="00A9250C"/>
    <w:rsid w:val="00A927CE"/>
    <w:rsid w:val="00A92931"/>
    <w:rsid w:val="00A92A42"/>
    <w:rsid w:val="00A92C4A"/>
    <w:rsid w:val="00A92EB2"/>
    <w:rsid w:val="00A92EF1"/>
    <w:rsid w:val="00A93072"/>
    <w:rsid w:val="00A933B3"/>
    <w:rsid w:val="00A938BD"/>
    <w:rsid w:val="00A93953"/>
    <w:rsid w:val="00A93D00"/>
    <w:rsid w:val="00A9439C"/>
    <w:rsid w:val="00A94A16"/>
    <w:rsid w:val="00A9518E"/>
    <w:rsid w:val="00A9557D"/>
    <w:rsid w:val="00A959D8"/>
    <w:rsid w:val="00A9664E"/>
    <w:rsid w:val="00A96A1D"/>
    <w:rsid w:val="00A96BFD"/>
    <w:rsid w:val="00A9703A"/>
    <w:rsid w:val="00A9794A"/>
    <w:rsid w:val="00A97EB5"/>
    <w:rsid w:val="00A97F45"/>
    <w:rsid w:val="00A97F54"/>
    <w:rsid w:val="00AA0145"/>
    <w:rsid w:val="00AA0D17"/>
    <w:rsid w:val="00AA0DCE"/>
    <w:rsid w:val="00AA113D"/>
    <w:rsid w:val="00AA1524"/>
    <w:rsid w:val="00AA18F6"/>
    <w:rsid w:val="00AA1949"/>
    <w:rsid w:val="00AA1D43"/>
    <w:rsid w:val="00AA2163"/>
    <w:rsid w:val="00AA237E"/>
    <w:rsid w:val="00AA238C"/>
    <w:rsid w:val="00AA2942"/>
    <w:rsid w:val="00AA35AB"/>
    <w:rsid w:val="00AA3B53"/>
    <w:rsid w:val="00AA3FD7"/>
    <w:rsid w:val="00AA4B75"/>
    <w:rsid w:val="00AA4CCD"/>
    <w:rsid w:val="00AA4D77"/>
    <w:rsid w:val="00AA4DCE"/>
    <w:rsid w:val="00AA4E5F"/>
    <w:rsid w:val="00AA5105"/>
    <w:rsid w:val="00AA511D"/>
    <w:rsid w:val="00AA5248"/>
    <w:rsid w:val="00AA62AD"/>
    <w:rsid w:val="00AA6906"/>
    <w:rsid w:val="00AA6B69"/>
    <w:rsid w:val="00AA6BD5"/>
    <w:rsid w:val="00AA6BD8"/>
    <w:rsid w:val="00AA6C7D"/>
    <w:rsid w:val="00AA774F"/>
    <w:rsid w:val="00AA7FD6"/>
    <w:rsid w:val="00AB00F5"/>
    <w:rsid w:val="00AB024F"/>
    <w:rsid w:val="00AB042A"/>
    <w:rsid w:val="00AB0DBC"/>
    <w:rsid w:val="00AB0EE3"/>
    <w:rsid w:val="00AB11AD"/>
    <w:rsid w:val="00AB1234"/>
    <w:rsid w:val="00AB1264"/>
    <w:rsid w:val="00AB12DD"/>
    <w:rsid w:val="00AB1522"/>
    <w:rsid w:val="00AB19EF"/>
    <w:rsid w:val="00AB1E3F"/>
    <w:rsid w:val="00AB20A3"/>
    <w:rsid w:val="00AB21A9"/>
    <w:rsid w:val="00AB227E"/>
    <w:rsid w:val="00AB2495"/>
    <w:rsid w:val="00AB2D34"/>
    <w:rsid w:val="00AB3430"/>
    <w:rsid w:val="00AB34B0"/>
    <w:rsid w:val="00AB358C"/>
    <w:rsid w:val="00AB3767"/>
    <w:rsid w:val="00AB37B9"/>
    <w:rsid w:val="00AB38A1"/>
    <w:rsid w:val="00AB3A10"/>
    <w:rsid w:val="00AB3B1F"/>
    <w:rsid w:val="00AB3CFC"/>
    <w:rsid w:val="00AB3ED3"/>
    <w:rsid w:val="00AB4078"/>
    <w:rsid w:val="00AB42AE"/>
    <w:rsid w:val="00AB430E"/>
    <w:rsid w:val="00AB43B7"/>
    <w:rsid w:val="00AB49E5"/>
    <w:rsid w:val="00AB4AD1"/>
    <w:rsid w:val="00AB4C9E"/>
    <w:rsid w:val="00AB5209"/>
    <w:rsid w:val="00AB52FA"/>
    <w:rsid w:val="00AB560B"/>
    <w:rsid w:val="00AB5A84"/>
    <w:rsid w:val="00AB5E07"/>
    <w:rsid w:val="00AB5F8A"/>
    <w:rsid w:val="00AB63E1"/>
    <w:rsid w:val="00AB6927"/>
    <w:rsid w:val="00AB6AAB"/>
    <w:rsid w:val="00AB6B91"/>
    <w:rsid w:val="00AB707C"/>
    <w:rsid w:val="00AB743F"/>
    <w:rsid w:val="00AB7CFA"/>
    <w:rsid w:val="00AC0D46"/>
    <w:rsid w:val="00AC0F7D"/>
    <w:rsid w:val="00AC13C1"/>
    <w:rsid w:val="00AC1953"/>
    <w:rsid w:val="00AC1BB8"/>
    <w:rsid w:val="00AC1CF8"/>
    <w:rsid w:val="00AC2472"/>
    <w:rsid w:val="00AC24C0"/>
    <w:rsid w:val="00AC2838"/>
    <w:rsid w:val="00AC2E22"/>
    <w:rsid w:val="00AC31B8"/>
    <w:rsid w:val="00AC35B2"/>
    <w:rsid w:val="00AC36D6"/>
    <w:rsid w:val="00AC3700"/>
    <w:rsid w:val="00AC3931"/>
    <w:rsid w:val="00AC3B45"/>
    <w:rsid w:val="00AC3CCB"/>
    <w:rsid w:val="00AC3FA4"/>
    <w:rsid w:val="00AC4370"/>
    <w:rsid w:val="00AC4925"/>
    <w:rsid w:val="00AC4C9C"/>
    <w:rsid w:val="00AC4FE1"/>
    <w:rsid w:val="00AC54B3"/>
    <w:rsid w:val="00AC5A61"/>
    <w:rsid w:val="00AC5B42"/>
    <w:rsid w:val="00AC5B48"/>
    <w:rsid w:val="00AC5E5D"/>
    <w:rsid w:val="00AC6344"/>
    <w:rsid w:val="00AC689A"/>
    <w:rsid w:val="00AC6BA2"/>
    <w:rsid w:val="00AC6C7B"/>
    <w:rsid w:val="00AC6D49"/>
    <w:rsid w:val="00AC6FFF"/>
    <w:rsid w:val="00AC72B8"/>
    <w:rsid w:val="00AC73F8"/>
    <w:rsid w:val="00AC7D5D"/>
    <w:rsid w:val="00AC7F3D"/>
    <w:rsid w:val="00AD059C"/>
    <w:rsid w:val="00AD0663"/>
    <w:rsid w:val="00AD0FC3"/>
    <w:rsid w:val="00AD11AF"/>
    <w:rsid w:val="00AD12A3"/>
    <w:rsid w:val="00AD1450"/>
    <w:rsid w:val="00AD15E8"/>
    <w:rsid w:val="00AD2024"/>
    <w:rsid w:val="00AD26AF"/>
    <w:rsid w:val="00AD2E42"/>
    <w:rsid w:val="00AD3095"/>
    <w:rsid w:val="00AD33A8"/>
    <w:rsid w:val="00AD356D"/>
    <w:rsid w:val="00AD380F"/>
    <w:rsid w:val="00AD4FAC"/>
    <w:rsid w:val="00AD5502"/>
    <w:rsid w:val="00AD6502"/>
    <w:rsid w:val="00AD663A"/>
    <w:rsid w:val="00AD695A"/>
    <w:rsid w:val="00AD6FFC"/>
    <w:rsid w:val="00AD7703"/>
    <w:rsid w:val="00AD78E1"/>
    <w:rsid w:val="00AE002A"/>
    <w:rsid w:val="00AE0695"/>
    <w:rsid w:val="00AE0830"/>
    <w:rsid w:val="00AE15E0"/>
    <w:rsid w:val="00AE17A4"/>
    <w:rsid w:val="00AE1A03"/>
    <w:rsid w:val="00AE1D72"/>
    <w:rsid w:val="00AE23FE"/>
    <w:rsid w:val="00AE24B3"/>
    <w:rsid w:val="00AE2D02"/>
    <w:rsid w:val="00AE374D"/>
    <w:rsid w:val="00AE3E7E"/>
    <w:rsid w:val="00AE3E81"/>
    <w:rsid w:val="00AE484F"/>
    <w:rsid w:val="00AE4E74"/>
    <w:rsid w:val="00AE4EF4"/>
    <w:rsid w:val="00AE51F2"/>
    <w:rsid w:val="00AE525B"/>
    <w:rsid w:val="00AE6245"/>
    <w:rsid w:val="00AE648B"/>
    <w:rsid w:val="00AE658B"/>
    <w:rsid w:val="00AE65D5"/>
    <w:rsid w:val="00AE683D"/>
    <w:rsid w:val="00AE7563"/>
    <w:rsid w:val="00AE783A"/>
    <w:rsid w:val="00AE7E53"/>
    <w:rsid w:val="00AE7F4B"/>
    <w:rsid w:val="00AF01B2"/>
    <w:rsid w:val="00AF10FD"/>
    <w:rsid w:val="00AF1259"/>
    <w:rsid w:val="00AF1315"/>
    <w:rsid w:val="00AF1458"/>
    <w:rsid w:val="00AF18C4"/>
    <w:rsid w:val="00AF19BF"/>
    <w:rsid w:val="00AF2714"/>
    <w:rsid w:val="00AF27A2"/>
    <w:rsid w:val="00AF2B7C"/>
    <w:rsid w:val="00AF2DA0"/>
    <w:rsid w:val="00AF2DC3"/>
    <w:rsid w:val="00AF2E7A"/>
    <w:rsid w:val="00AF3A8C"/>
    <w:rsid w:val="00AF4088"/>
    <w:rsid w:val="00AF46EA"/>
    <w:rsid w:val="00AF49CB"/>
    <w:rsid w:val="00AF4A2C"/>
    <w:rsid w:val="00AF4B9B"/>
    <w:rsid w:val="00AF5B20"/>
    <w:rsid w:val="00AF63DD"/>
    <w:rsid w:val="00AF63F2"/>
    <w:rsid w:val="00AF65AF"/>
    <w:rsid w:val="00AF6673"/>
    <w:rsid w:val="00AF6749"/>
    <w:rsid w:val="00AF6B0A"/>
    <w:rsid w:val="00AF73D0"/>
    <w:rsid w:val="00AF7468"/>
    <w:rsid w:val="00AF76DE"/>
    <w:rsid w:val="00AF7920"/>
    <w:rsid w:val="00AF7CBF"/>
    <w:rsid w:val="00B00626"/>
    <w:rsid w:val="00B010BB"/>
    <w:rsid w:val="00B020AA"/>
    <w:rsid w:val="00B024B5"/>
    <w:rsid w:val="00B027C9"/>
    <w:rsid w:val="00B02C88"/>
    <w:rsid w:val="00B02F1E"/>
    <w:rsid w:val="00B033E5"/>
    <w:rsid w:val="00B0390B"/>
    <w:rsid w:val="00B03A63"/>
    <w:rsid w:val="00B03FCA"/>
    <w:rsid w:val="00B041D3"/>
    <w:rsid w:val="00B04706"/>
    <w:rsid w:val="00B052CA"/>
    <w:rsid w:val="00B05929"/>
    <w:rsid w:val="00B06312"/>
    <w:rsid w:val="00B063E0"/>
    <w:rsid w:val="00B06764"/>
    <w:rsid w:val="00B06F37"/>
    <w:rsid w:val="00B070BE"/>
    <w:rsid w:val="00B072F5"/>
    <w:rsid w:val="00B0764E"/>
    <w:rsid w:val="00B0792C"/>
    <w:rsid w:val="00B079BE"/>
    <w:rsid w:val="00B07F7C"/>
    <w:rsid w:val="00B102EA"/>
    <w:rsid w:val="00B1070F"/>
    <w:rsid w:val="00B1078D"/>
    <w:rsid w:val="00B10BDC"/>
    <w:rsid w:val="00B10D40"/>
    <w:rsid w:val="00B10E52"/>
    <w:rsid w:val="00B1109E"/>
    <w:rsid w:val="00B11160"/>
    <w:rsid w:val="00B111E3"/>
    <w:rsid w:val="00B11447"/>
    <w:rsid w:val="00B11C78"/>
    <w:rsid w:val="00B12178"/>
    <w:rsid w:val="00B1269F"/>
    <w:rsid w:val="00B127FE"/>
    <w:rsid w:val="00B129A4"/>
    <w:rsid w:val="00B1340F"/>
    <w:rsid w:val="00B136E2"/>
    <w:rsid w:val="00B1377F"/>
    <w:rsid w:val="00B13AA3"/>
    <w:rsid w:val="00B141DD"/>
    <w:rsid w:val="00B149BE"/>
    <w:rsid w:val="00B14A1E"/>
    <w:rsid w:val="00B14CD5"/>
    <w:rsid w:val="00B15343"/>
    <w:rsid w:val="00B1546C"/>
    <w:rsid w:val="00B155B8"/>
    <w:rsid w:val="00B15878"/>
    <w:rsid w:val="00B16288"/>
    <w:rsid w:val="00B16D4E"/>
    <w:rsid w:val="00B16DCD"/>
    <w:rsid w:val="00B1719B"/>
    <w:rsid w:val="00B1789A"/>
    <w:rsid w:val="00B17B0A"/>
    <w:rsid w:val="00B17D8F"/>
    <w:rsid w:val="00B201A4"/>
    <w:rsid w:val="00B201D1"/>
    <w:rsid w:val="00B213A6"/>
    <w:rsid w:val="00B21597"/>
    <w:rsid w:val="00B21BFD"/>
    <w:rsid w:val="00B220C0"/>
    <w:rsid w:val="00B22301"/>
    <w:rsid w:val="00B231B5"/>
    <w:rsid w:val="00B235B0"/>
    <w:rsid w:val="00B236EB"/>
    <w:rsid w:val="00B24083"/>
    <w:rsid w:val="00B241A4"/>
    <w:rsid w:val="00B24ABE"/>
    <w:rsid w:val="00B24DF6"/>
    <w:rsid w:val="00B25DC4"/>
    <w:rsid w:val="00B25EC8"/>
    <w:rsid w:val="00B26372"/>
    <w:rsid w:val="00B26FB1"/>
    <w:rsid w:val="00B27271"/>
    <w:rsid w:val="00B27A61"/>
    <w:rsid w:val="00B27C8D"/>
    <w:rsid w:val="00B27FF0"/>
    <w:rsid w:val="00B3015A"/>
    <w:rsid w:val="00B3284B"/>
    <w:rsid w:val="00B32C3B"/>
    <w:rsid w:val="00B33934"/>
    <w:rsid w:val="00B33A24"/>
    <w:rsid w:val="00B3487A"/>
    <w:rsid w:val="00B34FE2"/>
    <w:rsid w:val="00B35166"/>
    <w:rsid w:val="00B357D8"/>
    <w:rsid w:val="00B35A28"/>
    <w:rsid w:val="00B35D59"/>
    <w:rsid w:val="00B35D72"/>
    <w:rsid w:val="00B360F4"/>
    <w:rsid w:val="00B36571"/>
    <w:rsid w:val="00B36A00"/>
    <w:rsid w:val="00B36BEA"/>
    <w:rsid w:val="00B372D1"/>
    <w:rsid w:val="00B374A8"/>
    <w:rsid w:val="00B37800"/>
    <w:rsid w:val="00B3792B"/>
    <w:rsid w:val="00B37983"/>
    <w:rsid w:val="00B37BFC"/>
    <w:rsid w:val="00B37E89"/>
    <w:rsid w:val="00B4002C"/>
    <w:rsid w:val="00B40358"/>
    <w:rsid w:val="00B40404"/>
    <w:rsid w:val="00B40DA3"/>
    <w:rsid w:val="00B414BB"/>
    <w:rsid w:val="00B41614"/>
    <w:rsid w:val="00B41914"/>
    <w:rsid w:val="00B4198B"/>
    <w:rsid w:val="00B42851"/>
    <w:rsid w:val="00B42DE1"/>
    <w:rsid w:val="00B42E1F"/>
    <w:rsid w:val="00B42F80"/>
    <w:rsid w:val="00B43001"/>
    <w:rsid w:val="00B4312D"/>
    <w:rsid w:val="00B43297"/>
    <w:rsid w:val="00B435CB"/>
    <w:rsid w:val="00B4363F"/>
    <w:rsid w:val="00B43CFD"/>
    <w:rsid w:val="00B43F5F"/>
    <w:rsid w:val="00B440C1"/>
    <w:rsid w:val="00B4453C"/>
    <w:rsid w:val="00B4457A"/>
    <w:rsid w:val="00B44AD7"/>
    <w:rsid w:val="00B44DB3"/>
    <w:rsid w:val="00B44DC0"/>
    <w:rsid w:val="00B4575D"/>
    <w:rsid w:val="00B461DD"/>
    <w:rsid w:val="00B464F7"/>
    <w:rsid w:val="00B465EC"/>
    <w:rsid w:val="00B466CC"/>
    <w:rsid w:val="00B470E6"/>
    <w:rsid w:val="00B47B69"/>
    <w:rsid w:val="00B47BCF"/>
    <w:rsid w:val="00B47C5C"/>
    <w:rsid w:val="00B502D4"/>
    <w:rsid w:val="00B50391"/>
    <w:rsid w:val="00B505C8"/>
    <w:rsid w:val="00B50C2B"/>
    <w:rsid w:val="00B50D58"/>
    <w:rsid w:val="00B50DB8"/>
    <w:rsid w:val="00B50E16"/>
    <w:rsid w:val="00B511D7"/>
    <w:rsid w:val="00B5127B"/>
    <w:rsid w:val="00B51856"/>
    <w:rsid w:val="00B51A68"/>
    <w:rsid w:val="00B51B26"/>
    <w:rsid w:val="00B52652"/>
    <w:rsid w:val="00B530F7"/>
    <w:rsid w:val="00B5327A"/>
    <w:rsid w:val="00B53654"/>
    <w:rsid w:val="00B53905"/>
    <w:rsid w:val="00B542DE"/>
    <w:rsid w:val="00B546DB"/>
    <w:rsid w:val="00B546DE"/>
    <w:rsid w:val="00B549CA"/>
    <w:rsid w:val="00B54B5B"/>
    <w:rsid w:val="00B54E6D"/>
    <w:rsid w:val="00B5562E"/>
    <w:rsid w:val="00B55824"/>
    <w:rsid w:val="00B55862"/>
    <w:rsid w:val="00B55D65"/>
    <w:rsid w:val="00B55E37"/>
    <w:rsid w:val="00B55E96"/>
    <w:rsid w:val="00B55F10"/>
    <w:rsid w:val="00B56305"/>
    <w:rsid w:val="00B56352"/>
    <w:rsid w:val="00B56E44"/>
    <w:rsid w:val="00B56F4D"/>
    <w:rsid w:val="00B57000"/>
    <w:rsid w:val="00B572A4"/>
    <w:rsid w:val="00B572E1"/>
    <w:rsid w:val="00B57589"/>
    <w:rsid w:val="00B60729"/>
    <w:rsid w:val="00B60939"/>
    <w:rsid w:val="00B60A87"/>
    <w:rsid w:val="00B60AFD"/>
    <w:rsid w:val="00B6114B"/>
    <w:rsid w:val="00B615BD"/>
    <w:rsid w:val="00B61847"/>
    <w:rsid w:val="00B62266"/>
    <w:rsid w:val="00B62715"/>
    <w:rsid w:val="00B62B0D"/>
    <w:rsid w:val="00B62E7E"/>
    <w:rsid w:val="00B64684"/>
    <w:rsid w:val="00B64FED"/>
    <w:rsid w:val="00B65073"/>
    <w:rsid w:val="00B65611"/>
    <w:rsid w:val="00B660EE"/>
    <w:rsid w:val="00B66152"/>
    <w:rsid w:val="00B6745E"/>
    <w:rsid w:val="00B67581"/>
    <w:rsid w:val="00B67755"/>
    <w:rsid w:val="00B67AD2"/>
    <w:rsid w:val="00B67D73"/>
    <w:rsid w:val="00B707C7"/>
    <w:rsid w:val="00B70B4E"/>
    <w:rsid w:val="00B70E8E"/>
    <w:rsid w:val="00B713C8"/>
    <w:rsid w:val="00B71487"/>
    <w:rsid w:val="00B718FA"/>
    <w:rsid w:val="00B71A95"/>
    <w:rsid w:val="00B71AD5"/>
    <w:rsid w:val="00B7261A"/>
    <w:rsid w:val="00B72A5D"/>
    <w:rsid w:val="00B72C87"/>
    <w:rsid w:val="00B72E72"/>
    <w:rsid w:val="00B739EB"/>
    <w:rsid w:val="00B74254"/>
    <w:rsid w:val="00B74975"/>
    <w:rsid w:val="00B74B9C"/>
    <w:rsid w:val="00B75172"/>
    <w:rsid w:val="00B7599E"/>
    <w:rsid w:val="00B76269"/>
    <w:rsid w:val="00B76648"/>
    <w:rsid w:val="00B769B5"/>
    <w:rsid w:val="00B76BAD"/>
    <w:rsid w:val="00B76C92"/>
    <w:rsid w:val="00B76E6D"/>
    <w:rsid w:val="00B77180"/>
    <w:rsid w:val="00B77F58"/>
    <w:rsid w:val="00B80320"/>
    <w:rsid w:val="00B80718"/>
    <w:rsid w:val="00B80EFD"/>
    <w:rsid w:val="00B80FFF"/>
    <w:rsid w:val="00B8124F"/>
    <w:rsid w:val="00B81259"/>
    <w:rsid w:val="00B81413"/>
    <w:rsid w:val="00B818A4"/>
    <w:rsid w:val="00B81DC5"/>
    <w:rsid w:val="00B820A7"/>
    <w:rsid w:val="00B8218C"/>
    <w:rsid w:val="00B827E0"/>
    <w:rsid w:val="00B828BE"/>
    <w:rsid w:val="00B82B1D"/>
    <w:rsid w:val="00B834BB"/>
    <w:rsid w:val="00B8363D"/>
    <w:rsid w:val="00B83739"/>
    <w:rsid w:val="00B837DA"/>
    <w:rsid w:val="00B83A2E"/>
    <w:rsid w:val="00B84117"/>
    <w:rsid w:val="00B84131"/>
    <w:rsid w:val="00B84284"/>
    <w:rsid w:val="00B844C3"/>
    <w:rsid w:val="00B85121"/>
    <w:rsid w:val="00B85523"/>
    <w:rsid w:val="00B85765"/>
    <w:rsid w:val="00B858F0"/>
    <w:rsid w:val="00B85A1D"/>
    <w:rsid w:val="00B85AA2"/>
    <w:rsid w:val="00B85BCA"/>
    <w:rsid w:val="00B85E26"/>
    <w:rsid w:val="00B8649C"/>
    <w:rsid w:val="00B866C9"/>
    <w:rsid w:val="00B8695D"/>
    <w:rsid w:val="00B874DE"/>
    <w:rsid w:val="00B87B36"/>
    <w:rsid w:val="00B87F0A"/>
    <w:rsid w:val="00B90227"/>
    <w:rsid w:val="00B9040D"/>
    <w:rsid w:val="00B90D5D"/>
    <w:rsid w:val="00B91157"/>
    <w:rsid w:val="00B91219"/>
    <w:rsid w:val="00B9184E"/>
    <w:rsid w:val="00B91C91"/>
    <w:rsid w:val="00B91D5B"/>
    <w:rsid w:val="00B92009"/>
    <w:rsid w:val="00B9204E"/>
    <w:rsid w:val="00B920D4"/>
    <w:rsid w:val="00B9227B"/>
    <w:rsid w:val="00B92980"/>
    <w:rsid w:val="00B92D0B"/>
    <w:rsid w:val="00B92F57"/>
    <w:rsid w:val="00B9353E"/>
    <w:rsid w:val="00B9398D"/>
    <w:rsid w:val="00B93A51"/>
    <w:rsid w:val="00B93B20"/>
    <w:rsid w:val="00B946CC"/>
    <w:rsid w:val="00B94758"/>
    <w:rsid w:val="00B94945"/>
    <w:rsid w:val="00B94DD6"/>
    <w:rsid w:val="00B954D2"/>
    <w:rsid w:val="00B958CA"/>
    <w:rsid w:val="00B95A1F"/>
    <w:rsid w:val="00B964A3"/>
    <w:rsid w:val="00B96724"/>
    <w:rsid w:val="00B96CEB"/>
    <w:rsid w:val="00B96FE2"/>
    <w:rsid w:val="00B972BD"/>
    <w:rsid w:val="00B97594"/>
    <w:rsid w:val="00B979AC"/>
    <w:rsid w:val="00B97B20"/>
    <w:rsid w:val="00B97E5A"/>
    <w:rsid w:val="00BA0449"/>
    <w:rsid w:val="00BA066C"/>
    <w:rsid w:val="00BA06FF"/>
    <w:rsid w:val="00BA0754"/>
    <w:rsid w:val="00BA11A9"/>
    <w:rsid w:val="00BA17BB"/>
    <w:rsid w:val="00BA2624"/>
    <w:rsid w:val="00BA322D"/>
    <w:rsid w:val="00BA3AEE"/>
    <w:rsid w:val="00BA46BD"/>
    <w:rsid w:val="00BA4863"/>
    <w:rsid w:val="00BA48ED"/>
    <w:rsid w:val="00BA48FD"/>
    <w:rsid w:val="00BA5668"/>
    <w:rsid w:val="00BA58C0"/>
    <w:rsid w:val="00BA5F74"/>
    <w:rsid w:val="00BA6316"/>
    <w:rsid w:val="00BA63FA"/>
    <w:rsid w:val="00BA6D4D"/>
    <w:rsid w:val="00BA71AB"/>
    <w:rsid w:val="00BA7391"/>
    <w:rsid w:val="00BA74C8"/>
    <w:rsid w:val="00BA7726"/>
    <w:rsid w:val="00BA7865"/>
    <w:rsid w:val="00BA7DB7"/>
    <w:rsid w:val="00BB0021"/>
    <w:rsid w:val="00BB00B3"/>
    <w:rsid w:val="00BB08F2"/>
    <w:rsid w:val="00BB0BA4"/>
    <w:rsid w:val="00BB0BDD"/>
    <w:rsid w:val="00BB0ECE"/>
    <w:rsid w:val="00BB1289"/>
    <w:rsid w:val="00BB15A4"/>
    <w:rsid w:val="00BB176C"/>
    <w:rsid w:val="00BB1AB6"/>
    <w:rsid w:val="00BB1C1E"/>
    <w:rsid w:val="00BB218F"/>
    <w:rsid w:val="00BB22EB"/>
    <w:rsid w:val="00BB2800"/>
    <w:rsid w:val="00BB284A"/>
    <w:rsid w:val="00BB2967"/>
    <w:rsid w:val="00BB2A73"/>
    <w:rsid w:val="00BB2B42"/>
    <w:rsid w:val="00BB3361"/>
    <w:rsid w:val="00BB3A45"/>
    <w:rsid w:val="00BB4044"/>
    <w:rsid w:val="00BB4ACC"/>
    <w:rsid w:val="00BB4C66"/>
    <w:rsid w:val="00BB513E"/>
    <w:rsid w:val="00BB5631"/>
    <w:rsid w:val="00BB5C76"/>
    <w:rsid w:val="00BB636B"/>
    <w:rsid w:val="00BB65DD"/>
    <w:rsid w:val="00BB6A67"/>
    <w:rsid w:val="00BB6C2F"/>
    <w:rsid w:val="00BB703E"/>
    <w:rsid w:val="00BB732D"/>
    <w:rsid w:val="00BB7405"/>
    <w:rsid w:val="00BB7A71"/>
    <w:rsid w:val="00BB7CF0"/>
    <w:rsid w:val="00BB7FB9"/>
    <w:rsid w:val="00BC0BB3"/>
    <w:rsid w:val="00BC17CD"/>
    <w:rsid w:val="00BC19A1"/>
    <w:rsid w:val="00BC1EE9"/>
    <w:rsid w:val="00BC1F96"/>
    <w:rsid w:val="00BC1FE3"/>
    <w:rsid w:val="00BC23E9"/>
    <w:rsid w:val="00BC2541"/>
    <w:rsid w:val="00BC2586"/>
    <w:rsid w:val="00BC2F60"/>
    <w:rsid w:val="00BC32FF"/>
    <w:rsid w:val="00BC3631"/>
    <w:rsid w:val="00BC3E73"/>
    <w:rsid w:val="00BC4195"/>
    <w:rsid w:val="00BC46F4"/>
    <w:rsid w:val="00BC47F9"/>
    <w:rsid w:val="00BC4DB0"/>
    <w:rsid w:val="00BC52FF"/>
    <w:rsid w:val="00BC56BD"/>
    <w:rsid w:val="00BC591F"/>
    <w:rsid w:val="00BC645F"/>
    <w:rsid w:val="00BC65A0"/>
    <w:rsid w:val="00BC6B36"/>
    <w:rsid w:val="00BC6D9E"/>
    <w:rsid w:val="00BC7007"/>
    <w:rsid w:val="00BC71B2"/>
    <w:rsid w:val="00BC759F"/>
    <w:rsid w:val="00BC7D6D"/>
    <w:rsid w:val="00BD02D9"/>
    <w:rsid w:val="00BD065D"/>
    <w:rsid w:val="00BD0A0A"/>
    <w:rsid w:val="00BD0E60"/>
    <w:rsid w:val="00BD107E"/>
    <w:rsid w:val="00BD10F9"/>
    <w:rsid w:val="00BD149F"/>
    <w:rsid w:val="00BD1B74"/>
    <w:rsid w:val="00BD1D41"/>
    <w:rsid w:val="00BD1E87"/>
    <w:rsid w:val="00BD1F66"/>
    <w:rsid w:val="00BD2108"/>
    <w:rsid w:val="00BD2753"/>
    <w:rsid w:val="00BD2B41"/>
    <w:rsid w:val="00BD3395"/>
    <w:rsid w:val="00BD3458"/>
    <w:rsid w:val="00BD4074"/>
    <w:rsid w:val="00BD4481"/>
    <w:rsid w:val="00BD46E9"/>
    <w:rsid w:val="00BD47BB"/>
    <w:rsid w:val="00BD495A"/>
    <w:rsid w:val="00BD4CDE"/>
    <w:rsid w:val="00BD54FC"/>
    <w:rsid w:val="00BD617E"/>
    <w:rsid w:val="00BD64D7"/>
    <w:rsid w:val="00BD68A3"/>
    <w:rsid w:val="00BD6938"/>
    <w:rsid w:val="00BD6BDF"/>
    <w:rsid w:val="00BD6CF3"/>
    <w:rsid w:val="00BD7010"/>
    <w:rsid w:val="00BD736E"/>
    <w:rsid w:val="00BD795A"/>
    <w:rsid w:val="00BD7ADE"/>
    <w:rsid w:val="00BD7B0F"/>
    <w:rsid w:val="00BD7F53"/>
    <w:rsid w:val="00BD7F72"/>
    <w:rsid w:val="00BE03A8"/>
    <w:rsid w:val="00BE0ECA"/>
    <w:rsid w:val="00BE1565"/>
    <w:rsid w:val="00BE1927"/>
    <w:rsid w:val="00BE20E7"/>
    <w:rsid w:val="00BE2180"/>
    <w:rsid w:val="00BE21F2"/>
    <w:rsid w:val="00BE27B1"/>
    <w:rsid w:val="00BE374E"/>
    <w:rsid w:val="00BE3E2F"/>
    <w:rsid w:val="00BE4275"/>
    <w:rsid w:val="00BE489E"/>
    <w:rsid w:val="00BE544C"/>
    <w:rsid w:val="00BE58DC"/>
    <w:rsid w:val="00BE5F20"/>
    <w:rsid w:val="00BE65C0"/>
    <w:rsid w:val="00BE69FA"/>
    <w:rsid w:val="00BE6EBE"/>
    <w:rsid w:val="00BE787B"/>
    <w:rsid w:val="00BE7CA5"/>
    <w:rsid w:val="00BE7FB1"/>
    <w:rsid w:val="00BF002F"/>
    <w:rsid w:val="00BF06AE"/>
    <w:rsid w:val="00BF0ED7"/>
    <w:rsid w:val="00BF0F95"/>
    <w:rsid w:val="00BF1086"/>
    <w:rsid w:val="00BF1359"/>
    <w:rsid w:val="00BF13EA"/>
    <w:rsid w:val="00BF19D8"/>
    <w:rsid w:val="00BF1AC3"/>
    <w:rsid w:val="00BF1CF0"/>
    <w:rsid w:val="00BF20B8"/>
    <w:rsid w:val="00BF2433"/>
    <w:rsid w:val="00BF28D9"/>
    <w:rsid w:val="00BF2E6E"/>
    <w:rsid w:val="00BF32DE"/>
    <w:rsid w:val="00BF3569"/>
    <w:rsid w:val="00BF35BC"/>
    <w:rsid w:val="00BF35FC"/>
    <w:rsid w:val="00BF36BA"/>
    <w:rsid w:val="00BF39F1"/>
    <w:rsid w:val="00BF4570"/>
    <w:rsid w:val="00BF45BE"/>
    <w:rsid w:val="00BF47AC"/>
    <w:rsid w:val="00BF4CE5"/>
    <w:rsid w:val="00BF4D41"/>
    <w:rsid w:val="00BF61C9"/>
    <w:rsid w:val="00BF6C94"/>
    <w:rsid w:val="00BF6C9F"/>
    <w:rsid w:val="00BF6E21"/>
    <w:rsid w:val="00BF7071"/>
    <w:rsid w:val="00BF7099"/>
    <w:rsid w:val="00BF7472"/>
    <w:rsid w:val="00BF76EB"/>
    <w:rsid w:val="00BF78F9"/>
    <w:rsid w:val="00BF799C"/>
    <w:rsid w:val="00C00424"/>
    <w:rsid w:val="00C008E3"/>
    <w:rsid w:val="00C00BB0"/>
    <w:rsid w:val="00C01213"/>
    <w:rsid w:val="00C01F97"/>
    <w:rsid w:val="00C028DC"/>
    <w:rsid w:val="00C02D72"/>
    <w:rsid w:val="00C0333A"/>
    <w:rsid w:val="00C0343D"/>
    <w:rsid w:val="00C03FC7"/>
    <w:rsid w:val="00C0411F"/>
    <w:rsid w:val="00C047A1"/>
    <w:rsid w:val="00C048C8"/>
    <w:rsid w:val="00C04DA5"/>
    <w:rsid w:val="00C04F0A"/>
    <w:rsid w:val="00C056EB"/>
    <w:rsid w:val="00C05C5C"/>
    <w:rsid w:val="00C06A04"/>
    <w:rsid w:val="00C06FE7"/>
    <w:rsid w:val="00C079A5"/>
    <w:rsid w:val="00C07C61"/>
    <w:rsid w:val="00C10259"/>
    <w:rsid w:val="00C10784"/>
    <w:rsid w:val="00C10829"/>
    <w:rsid w:val="00C10978"/>
    <w:rsid w:val="00C115A7"/>
    <w:rsid w:val="00C11737"/>
    <w:rsid w:val="00C1179F"/>
    <w:rsid w:val="00C11DF2"/>
    <w:rsid w:val="00C11EAB"/>
    <w:rsid w:val="00C1207A"/>
    <w:rsid w:val="00C127B9"/>
    <w:rsid w:val="00C128FA"/>
    <w:rsid w:val="00C12B8D"/>
    <w:rsid w:val="00C12C14"/>
    <w:rsid w:val="00C1379C"/>
    <w:rsid w:val="00C13F39"/>
    <w:rsid w:val="00C14748"/>
    <w:rsid w:val="00C14A11"/>
    <w:rsid w:val="00C14B30"/>
    <w:rsid w:val="00C15158"/>
    <w:rsid w:val="00C15C73"/>
    <w:rsid w:val="00C15F04"/>
    <w:rsid w:val="00C16FBB"/>
    <w:rsid w:val="00C1701A"/>
    <w:rsid w:val="00C1746E"/>
    <w:rsid w:val="00C176FA"/>
    <w:rsid w:val="00C179B3"/>
    <w:rsid w:val="00C17D9C"/>
    <w:rsid w:val="00C17E3F"/>
    <w:rsid w:val="00C200AA"/>
    <w:rsid w:val="00C2091F"/>
    <w:rsid w:val="00C20C0B"/>
    <w:rsid w:val="00C21045"/>
    <w:rsid w:val="00C21282"/>
    <w:rsid w:val="00C21F73"/>
    <w:rsid w:val="00C224DA"/>
    <w:rsid w:val="00C22862"/>
    <w:rsid w:val="00C22E2C"/>
    <w:rsid w:val="00C23750"/>
    <w:rsid w:val="00C237ED"/>
    <w:rsid w:val="00C238A4"/>
    <w:rsid w:val="00C239FC"/>
    <w:rsid w:val="00C23B1E"/>
    <w:rsid w:val="00C242CD"/>
    <w:rsid w:val="00C24632"/>
    <w:rsid w:val="00C24813"/>
    <w:rsid w:val="00C24A50"/>
    <w:rsid w:val="00C252DE"/>
    <w:rsid w:val="00C25418"/>
    <w:rsid w:val="00C2598C"/>
    <w:rsid w:val="00C25B65"/>
    <w:rsid w:val="00C25D9C"/>
    <w:rsid w:val="00C2658B"/>
    <w:rsid w:val="00C26722"/>
    <w:rsid w:val="00C268A1"/>
    <w:rsid w:val="00C26FD3"/>
    <w:rsid w:val="00C273CF"/>
    <w:rsid w:val="00C27509"/>
    <w:rsid w:val="00C2778B"/>
    <w:rsid w:val="00C27D5B"/>
    <w:rsid w:val="00C27FA2"/>
    <w:rsid w:val="00C300AE"/>
    <w:rsid w:val="00C3036C"/>
    <w:rsid w:val="00C303E0"/>
    <w:rsid w:val="00C3075D"/>
    <w:rsid w:val="00C30F66"/>
    <w:rsid w:val="00C31649"/>
    <w:rsid w:val="00C31C31"/>
    <w:rsid w:val="00C32B10"/>
    <w:rsid w:val="00C33004"/>
    <w:rsid w:val="00C33103"/>
    <w:rsid w:val="00C33A97"/>
    <w:rsid w:val="00C33ADC"/>
    <w:rsid w:val="00C33F7B"/>
    <w:rsid w:val="00C3418D"/>
    <w:rsid w:val="00C3434C"/>
    <w:rsid w:val="00C345EC"/>
    <w:rsid w:val="00C3484F"/>
    <w:rsid w:val="00C349D0"/>
    <w:rsid w:val="00C35352"/>
    <w:rsid w:val="00C3598B"/>
    <w:rsid w:val="00C35A7E"/>
    <w:rsid w:val="00C35B57"/>
    <w:rsid w:val="00C3615A"/>
    <w:rsid w:val="00C364B8"/>
    <w:rsid w:val="00C36A7F"/>
    <w:rsid w:val="00C37155"/>
    <w:rsid w:val="00C371A3"/>
    <w:rsid w:val="00C37785"/>
    <w:rsid w:val="00C379C0"/>
    <w:rsid w:val="00C37CEF"/>
    <w:rsid w:val="00C37D0E"/>
    <w:rsid w:val="00C37FE4"/>
    <w:rsid w:val="00C40385"/>
    <w:rsid w:val="00C40CC7"/>
    <w:rsid w:val="00C41010"/>
    <w:rsid w:val="00C414B4"/>
    <w:rsid w:val="00C41768"/>
    <w:rsid w:val="00C41850"/>
    <w:rsid w:val="00C4291E"/>
    <w:rsid w:val="00C42E28"/>
    <w:rsid w:val="00C43075"/>
    <w:rsid w:val="00C43997"/>
    <w:rsid w:val="00C439A0"/>
    <w:rsid w:val="00C43C83"/>
    <w:rsid w:val="00C43CAF"/>
    <w:rsid w:val="00C44259"/>
    <w:rsid w:val="00C4432D"/>
    <w:rsid w:val="00C446EF"/>
    <w:rsid w:val="00C447CD"/>
    <w:rsid w:val="00C4515C"/>
    <w:rsid w:val="00C4529E"/>
    <w:rsid w:val="00C45417"/>
    <w:rsid w:val="00C45A9B"/>
    <w:rsid w:val="00C46010"/>
    <w:rsid w:val="00C46272"/>
    <w:rsid w:val="00C46884"/>
    <w:rsid w:val="00C475AA"/>
    <w:rsid w:val="00C476F2"/>
    <w:rsid w:val="00C500AE"/>
    <w:rsid w:val="00C504F5"/>
    <w:rsid w:val="00C5054C"/>
    <w:rsid w:val="00C50645"/>
    <w:rsid w:val="00C5088E"/>
    <w:rsid w:val="00C50B1A"/>
    <w:rsid w:val="00C50DE1"/>
    <w:rsid w:val="00C50E3A"/>
    <w:rsid w:val="00C511D1"/>
    <w:rsid w:val="00C51481"/>
    <w:rsid w:val="00C518AE"/>
    <w:rsid w:val="00C51C4B"/>
    <w:rsid w:val="00C51EC1"/>
    <w:rsid w:val="00C5230B"/>
    <w:rsid w:val="00C52646"/>
    <w:rsid w:val="00C527C7"/>
    <w:rsid w:val="00C52884"/>
    <w:rsid w:val="00C52999"/>
    <w:rsid w:val="00C52A5D"/>
    <w:rsid w:val="00C52F1C"/>
    <w:rsid w:val="00C53327"/>
    <w:rsid w:val="00C53592"/>
    <w:rsid w:val="00C53C98"/>
    <w:rsid w:val="00C54AC5"/>
    <w:rsid w:val="00C5623C"/>
    <w:rsid w:val="00C565D2"/>
    <w:rsid w:val="00C56991"/>
    <w:rsid w:val="00C56AE0"/>
    <w:rsid w:val="00C56EA1"/>
    <w:rsid w:val="00C56FCF"/>
    <w:rsid w:val="00C5719A"/>
    <w:rsid w:val="00C572F6"/>
    <w:rsid w:val="00C5793A"/>
    <w:rsid w:val="00C57965"/>
    <w:rsid w:val="00C57B6C"/>
    <w:rsid w:val="00C57E8C"/>
    <w:rsid w:val="00C601E6"/>
    <w:rsid w:val="00C604F0"/>
    <w:rsid w:val="00C60AA9"/>
    <w:rsid w:val="00C60CE3"/>
    <w:rsid w:val="00C615AD"/>
    <w:rsid w:val="00C61713"/>
    <w:rsid w:val="00C61A59"/>
    <w:rsid w:val="00C61AC4"/>
    <w:rsid w:val="00C61D9E"/>
    <w:rsid w:val="00C61EAC"/>
    <w:rsid w:val="00C628A6"/>
    <w:rsid w:val="00C62DBB"/>
    <w:rsid w:val="00C63535"/>
    <w:rsid w:val="00C636A5"/>
    <w:rsid w:val="00C636E1"/>
    <w:rsid w:val="00C63941"/>
    <w:rsid w:val="00C639D7"/>
    <w:rsid w:val="00C639FB"/>
    <w:rsid w:val="00C63A6A"/>
    <w:rsid w:val="00C63B09"/>
    <w:rsid w:val="00C63F36"/>
    <w:rsid w:val="00C64344"/>
    <w:rsid w:val="00C65108"/>
    <w:rsid w:val="00C65576"/>
    <w:rsid w:val="00C657FA"/>
    <w:rsid w:val="00C65B49"/>
    <w:rsid w:val="00C66165"/>
    <w:rsid w:val="00C66170"/>
    <w:rsid w:val="00C6643C"/>
    <w:rsid w:val="00C666FF"/>
    <w:rsid w:val="00C66B86"/>
    <w:rsid w:val="00C66CA7"/>
    <w:rsid w:val="00C66E98"/>
    <w:rsid w:val="00C70115"/>
    <w:rsid w:val="00C7060A"/>
    <w:rsid w:val="00C708AE"/>
    <w:rsid w:val="00C70E38"/>
    <w:rsid w:val="00C7151A"/>
    <w:rsid w:val="00C717E3"/>
    <w:rsid w:val="00C71F60"/>
    <w:rsid w:val="00C72241"/>
    <w:rsid w:val="00C72C4B"/>
    <w:rsid w:val="00C72C4C"/>
    <w:rsid w:val="00C733AD"/>
    <w:rsid w:val="00C734F1"/>
    <w:rsid w:val="00C7443A"/>
    <w:rsid w:val="00C744D0"/>
    <w:rsid w:val="00C744EB"/>
    <w:rsid w:val="00C74941"/>
    <w:rsid w:val="00C74EC3"/>
    <w:rsid w:val="00C750C8"/>
    <w:rsid w:val="00C7560F"/>
    <w:rsid w:val="00C757F7"/>
    <w:rsid w:val="00C7599F"/>
    <w:rsid w:val="00C75C30"/>
    <w:rsid w:val="00C764EF"/>
    <w:rsid w:val="00C765BA"/>
    <w:rsid w:val="00C76A2E"/>
    <w:rsid w:val="00C775CF"/>
    <w:rsid w:val="00C77F4B"/>
    <w:rsid w:val="00C807AF"/>
    <w:rsid w:val="00C8097F"/>
    <w:rsid w:val="00C809E5"/>
    <w:rsid w:val="00C80A0E"/>
    <w:rsid w:val="00C80F3D"/>
    <w:rsid w:val="00C815E6"/>
    <w:rsid w:val="00C8181A"/>
    <w:rsid w:val="00C81934"/>
    <w:rsid w:val="00C81C8F"/>
    <w:rsid w:val="00C8213F"/>
    <w:rsid w:val="00C82188"/>
    <w:rsid w:val="00C822D1"/>
    <w:rsid w:val="00C825CF"/>
    <w:rsid w:val="00C825D6"/>
    <w:rsid w:val="00C827FA"/>
    <w:rsid w:val="00C82DFB"/>
    <w:rsid w:val="00C8303F"/>
    <w:rsid w:val="00C8305F"/>
    <w:rsid w:val="00C838EC"/>
    <w:rsid w:val="00C83ED7"/>
    <w:rsid w:val="00C84892"/>
    <w:rsid w:val="00C84E69"/>
    <w:rsid w:val="00C85154"/>
    <w:rsid w:val="00C855C2"/>
    <w:rsid w:val="00C85A3F"/>
    <w:rsid w:val="00C85A70"/>
    <w:rsid w:val="00C85ADF"/>
    <w:rsid w:val="00C862AE"/>
    <w:rsid w:val="00C86507"/>
    <w:rsid w:val="00C86C0F"/>
    <w:rsid w:val="00C86EA2"/>
    <w:rsid w:val="00C874D2"/>
    <w:rsid w:val="00C8797A"/>
    <w:rsid w:val="00C900B8"/>
    <w:rsid w:val="00C90197"/>
    <w:rsid w:val="00C90858"/>
    <w:rsid w:val="00C90C71"/>
    <w:rsid w:val="00C91375"/>
    <w:rsid w:val="00C91C2E"/>
    <w:rsid w:val="00C91FD1"/>
    <w:rsid w:val="00C92379"/>
    <w:rsid w:val="00C92ABC"/>
    <w:rsid w:val="00C92AF5"/>
    <w:rsid w:val="00C92B6B"/>
    <w:rsid w:val="00C931CF"/>
    <w:rsid w:val="00C9349D"/>
    <w:rsid w:val="00C936E6"/>
    <w:rsid w:val="00C938CF"/>
    <w:rsid w:val="00C94053"/>
    <w:rsid w:val="00C94861"/>
    <w:rsid w:val="00C95550"/>
    <w:rsid w:val="00C95FB7"/>
    <w:rsid w:val="00C96013"/>
    <w:rsid w:val="00C96123"/>
    <w:rsid w:val="00C9624D"/>
    <w:rsid w:val="00C962BA"/>
    <w:rsid w:val="00C963BE"/>
    <w:rsid w:val="00C967FC"/>
    <w:rsid w:val="00C969DA"/>
    <w:rsid w:val="00C96AC9"/>
    <w:rsid w:val="00C96F99"/>
    <w:rsid w:val="00C97674"/>
    <w:rsid w:val="00C978C3"/>
    <w:rsid w:val="00C97CDA"/>
    <w:rsid w:val="00CA0080"/>
    <w:rsid w:val="00CA00BF"/>
    <w:rsid w:val="00CA0725"/>
    <w:rsid w:val="00CA0F4E"/>
    <w:rsid w:val="00CA153F"/>
    <w:rsid w:val="00CA1C60"/>
    <w:rsid w:val="00CA1C64"/>
    <w:rsid w:val="00CA204C"/>
    <w:rsid w:val="00CA2724"/>
    <w:rsid w:val="00CA2748"/>
    <w:rsid w:val="00CA27EA"/>
    <w:rsid w:val="00CA2B81"/>
    <w:rsid w:val="00CA2C77"/>
    <w:rsid w:val="00CA2D7C"/>
    <w:rsid w:val="00CA31B0"/>
    <w:rsid w:val="00CA3832"/>
    <w:rsid w:val="00CA3B61"/>
    <w:rsid w:val="00CA40AF"/>
    <w:rsid w:val="00CA4185"/>
    <w:rsid w:val="00CA444F"/>
    <w:rsid w:val="00CA4998"/>
    <w:rsid w:val="00CA4A8C"/>
    <w:rsid w:val="00CA5245"/>
    <w:rsid w:val="00CA54DB"/>
    <w:rsid w:val="00CA5811"/>
    <w:rsid w:val="00CA629D"/>
    <w:rsid w:val="00CA6643"/>
    <w:rsid w:val="00CA6687"/>
    <w:rsid w:val="00CA6CF2"/>
    <w:rsid w:val="00CA7022"/>
    <w:rsid w:val="00CA71D6"/>
    <w:rsid w:val="00CA71F4"/>
    <w:rsid w:val="00CA7501"/>
    <w:rsid w:val="00CA7B09"/>
    <w:rsid w:val="00CB014F"/>
    <w:rsid w:val="00CB017C"/>
    <w:rsid w:val="00CB0A0F"/>
    <w:rsid w:val="00CB0A62"/>
    <w:rsid w:val="00CB104A"/>
    <w:rsid w:val="00CB12A5"/>
    <w:rsid w:val="00CB1468"/>
    <w:rsid w:val="00CB19AB"/>
    <w:rsid w:val="00CB1CAC"/>
    <w:rsid w:val="00CB2353"/>
    <w:rsid w:val="00CB2389"/>
    <w:rsid w:val="00CB2E12"/>
    <w:rsid w:val="00CB2F2A"/>
    <w:rsid w:val="00CB3438"/>
    <w:rsid w:val="00CB37B0"/>
    <w:rsid w:val="00CB3AF0"/>
    <w:rsid w:val="00CB3D63"/>
    <w:rsid w:val="00CB3FB5"/>
    <w:rsid w:val="00CB4945"/>
    <w:rsid w:val="00CB496D"/>
    <w:rsid w:val="00CB4E44"/>
    <w:rsid w:val="00CB567B"/>
    <w:rsid w:val="00CB5B1A"/>
    <w:rsid w:val="00CB60DC"/>
    <w:rsid w:val="00CB678B"/>
    <w:rsid w:val="00CB69F6"/>
    <w:rsid w:val="00CB6AB1"/>
    <w:rsid w:val="00CB6B22"/>
    <w:rsid w:val="00CB6D4E"/>
    <w:rsid w:val="00CB761E"/>
    <w:rsid w:val="00CB763A"/>
    <w:rsid w:val="00CB775C"/>
    <w:rsid w:val="00CB77DA"/>
    <w:rsid w:val="00CB7D3B"/>
    <w:rsid w:val="00CB7F5F"/>
    <w:rsid w:val="00CC0120"/>
    <w:rsid w:val="00CC06DB"/>
    <w:rsid w:val="00CC0713"/>
    <w:rsid w:val="00CC0839"/>
    <w:rsid w:val="00CC0BD1"/>
    <w:rsid w:val="00CC19CC"/>
    <w:rsid w:val="00CC1B39"/>
    <w:rsid w:val="00CC1B46"/>
    <w:rsid w:val="00CC1BB1"/>
    <w:rsid w:val="00CC1BFA"/>
    <w:rsid w:val="00CC222A"/>
    <w:rsid w:val="00CC2437"/>
    <w:rsid w:val="00CC285A"/>
    <w:rsid w:val="00CC290E"/>
    <w:rsid w:val="00CC29F3"/>
    <w:rsid w:val="00CC2C39"/>
    <w:rsid w:val="00CC2E9F"/>
    <w:rsid w:val="00CC2EC8"/>
    <w:rsid w:val="00CC302F"/>
    <w:rsid w:val="00CC3136"/>
    <w:rsid w:val="00CC346F"/>
    <w:rsid w:val="00CC35EA"/>
    <w:rsid w:val="00CC3848"/>
    <w:rsid w:val="00CC3A3C"/>
    <w:rsid w:val="00CC4084"/>
    <w:rsid w:val="00CC412E"/>
    <w:rsid w:val="00CC4553"/>
    <w:rsid w:val="00CC463C"/>
    <w:rsid w:val="00CC46A9"/>
    <w:rsid w:val="00CC4A07"/>
    <w:rsid w:val="00CC4AB8"/>
    <w:rsid w:val="00CC55FC"/>
    <w:rsid w:val="00CC5CE7"/>
    <w:rsid w:val="00CC61DA"/>
    <w:rsid w:val="00CC6355"/>
    <w:rsid w:val="00CC69F1"/>
    <w:rsid w:val="00CC6D5E"/>
    <w:rsid w:val="00CC6D90"/>
    <w:rsid w:val="00CC6DA2"/>
    <w:rsid w:val="00CC7638"/>
    <w:rsid w:val="00CC7917"/>
    <w:rsid w:val="00CD0200"/>
    <w:rsid w:val="00CD0A17"/>
    <w:rsid w:val="00CD0E3F"/>
    <w:rsid w:val="00CD1880"/>
    <w:rsid w:val="00CD18D2"/>
    <w:rsid w:val="00CD1A70"/>
    <w:rsid w:val="00CD1B28"/>
    <w:rsid w:val="00CD22D8"/>
    <w:rsid w:val="00CD2462"/>
    <w:rsid w:val="00CD29DC"/>
    <w:rsid w:val="00CD2BC6"/>
    <w:rsid w:val="00CD36BB"/>
    <w:rsid w:val="00CD3AB8"/>
    <w:rsid w:val="00CD3D95"/>
    <w:rsid w:val="00CD3F77"/>
    <w:rsid w:val="00CD45B1"/>
    <w:rsid w:val="00CD4A70"/>
    <w:rsid w:val="00CD4C09"/>
    <w:rsid w:val="00CD4E60"/>
    <w:rsid w:val="00CD4FBD"/>
    <w:rsid w:val="00CD59D0"/>
    <w:rsid w:val="00CD5FC0"/>
    <w:rsid w:val="00CD6ADC"/>
    <w:rsid w:val="00CD6C22"/>
    <w:rsid w:val="00CD70B2"/>
    <w:rsid w:val="00CD710D"/>
    <w:rsid w:val="00CD7193"/>
    <w:rsid w:val="00CD7AB6"/>
    <w:rsid w:val="00CD7B0A"/>
    <w:rsid w:val="00CD7B7C"/>
    <w:rsid w:val="00CD7C95"/>
    <w:rsid w:val="00CE00F4"/>
    <w:rsid w:val="00CE0599"/>
    <w:rsid w:val="00CE06D1"/>
    <w:rsid w:val="00CE0783"/>
    <w:rsid w:val="00CE0D8E"/>
    <w:rsid w:val="00CE1C0E"/>
    <w:rsid w:val="00CE1D31"/>
    <w:rsid w:val="00CE2174"/>
    <w:rsid w:val="00CE2620"/>
    <w:rsid w:val="00CE2770"/>
    <w:rsid w:val="00CE2B60"/>
    <w:rsid w:val="00CE2FA1"/>
    <w:rsid w:val="00CE3122"/>
    <w:rsid w:val="00CE38C8"/>
    <w:rsid w:val="00CE3EA4"/>
    <w:rsid w:val="00CE47AE"/>
    <w:rsid w:val="00CE4838"/>
    <w:rsid w:val="00CE49BD"/>
    <w:rsid w:val="00CE4C66"/>
    <w:rsid w:val="00CE524F"/>
    <w:rsid w:val="00CE57FB"/>
    <w:rsid w:val="00CE58CC"/>
    <w:rsid w:val="00CE5AD2"/>
    <w:rsid w:val="00CE6274"/>
    <w:rsid w:val="00CE6A1B"/>
    <w:rsid w:val="00CE77B6"/>
    <w:rsid w:val="00CF097D"/>
    <w:rsid w:val="00CF1120"/>
    <w:rsid w:val="00CF1267"/>
    <w:rsid w:val="00CF16FA"/>
    <w:rsid w:val="00CF1C18"/>
    <w:rsid w:val="00CF2897"/>
    <w:rsid w:val="00CF2AC7"/>
    <w:rsid w:val="00CF2B8D"/>
    <w:rsid w:val="00CF317B"/>
    <w:rsid w:val="00CF34FB"/>
    <w:rsid w:val="00CF3A1B"/>
    <w:rsid w:val="00CF3D13"/>
    <w:rsid w:val="00CF3EFB"/>
    <w:rsid w:val="00CF3FD5"/>
    <w:rsid w:val="00CF41EF"/>
    <w:rsid w:val="00CF4409"/>
    <w:rsid w:val="00CF444B"/>
    <w:rsid w:val="00CF456B"/>
    <w:rsid w:val="00CF46DD"/>
    <w:rsid w:val="00CF4B08"/>
    <w:rsid w:val="00CF4B8F"/>
    <w:rsid w:val="00CF4EA4"/>
    <w:rsid w:val="00CF4F1D"/>
    <w:rsid w:val="00CF5A22"/>
    <w:rsid w:val="00CF5C28"/>
    <w:rsid w:val="00CF615D"/>
    <w:rsid w:val="00CF64E0"/>
    <w:rsid w:val="00CF6E78"/>
    <w:rsid w:val="00CF7062"/>
    <w:rsid w:val="00CF71BD"/>
    <w:rsid w:val="00CF74A0"/>
    <w:rsid w:val="00D00436"/>
    <w:rsid w:val="00D00A1E"/>
    <w:rsid w:val="00D00BC9"/>
    <w:rsid w:val="00D00E0C"/>
    <w:rsid w:val="00D010AA"/>
    <w:rsid w:val="00D015F5"/>
    <w:rsid w:val="00D01B37"/>
    <w:rsid w:val="00D02528"/>
    <w:rsid w:val="00D0262E"/>
    <w:rsid w:val="00D027C2"/>
    <w:rsid w:val="00D030D2"/>
    <w:rsid w:val="00D03284"/>
    <w:rsid w:val="00D033A1"/>
    <w:rsid w:val="00D03679"/>
    <w:rsid w:val="00D03A40"/>
    <w:rsid w:val="00D03AB1"/>
    <w:rsid w:val="00D03ADD"/>
    <w:rsid w:val="00D03B2C"/>
    <w:rsid w:val="00D03CA2"/>
    <w:rsid w:val="00D04239"/>
    <w:rsid w:val="00D0448A"/>
    <w:rsid w:val="00D04792"/>
    <w:rsid w:val="00D047E7"/>
    <w:rsid w:val="00D04B60"/>
    <w:rsid w:val="00D05E3D"/>
    <w:rsid w:val="00D05F0D"/>
    <w:rsid w:val="00D0609B"/>
    <w:rsid w:val="00D060A6"/>
    <w:rsid w:val="00D06139"/>
    <w:rsid w:val="00D0668B"/>
    <w:rsid w:val="00D06716"/>
    <w:rsid w:val="00D06AA6"/>
    <w:rsid w:val="00D06F7F"/>
    <w:rsid w:val="00D07170"/>
    <w:rsid w:val="00D07367"/>
    <w:rsid w:val="00D075E4"/>
    <w:rsid w:val="00D077A8"/>
    <w:rsid w:val="00D07FDA"/>
    <w:rsid w:val="00D10111"/>
    <w:rsid w:val="00D101F1"/>
    <w:rsid w:val="00D1025F"/>
    <w:rsid w:val="00D10314"/>
    <w:rsid w:val="00D10D47"/>
    <w:rsid w:val="00D10D59"/>
    <w:rsid w:val="00D110BD"/>
    <w:rsid w:val="00D115A3"/>
    <w:rsid w:val="00D11BA5"/>
    <w:rsid w:val="00D1237F"/>
    <w:rsid w:val="00D12659"/>
    <w:rsid w:val="00D126D4"/>
    <w:rsid w:val="00D12DDA"/>
    <w:rsid w:val="00D132FC"/>
    <w:rsid w:val="00D135AB"/>
    <w:rsid w:val="00D13675"/>
    <w:rsid w:val="00D136F0"/>
    <w:rsid w:val="00D1374C"/>
    <w:rsid w:val="00D141E1"/>
    <w:rsid w:val="00D1432D"/>
    <w:rsid w:val="00D14879"/>
    <w:rsid w:val="00D148B9"/>
    <w:rsid w:val="00D152DD"/>
    <w:rsid w:val="00D15314"/>
    <w:rsid w:val="00D15B48"/>
    <w:rsid w:val="00D15CB5"/>
    <w:rsid w:val="00D16146"/>
    <w:rsid w:val="00D16301"/>
    <w:rsid w:val="00D1677C"/>
    <w:rsid w:val="00D17141"/>
    <w:rsid w:val="00D17684"/>
    <w:rsid w:val="00D17730"/>
    <w:rsid w:val="00D17908"/>
    <w:rsid w:val="00D17D21"/>
    <w:rsid w:val="00D17D6C"/>
    <w:rsid w:val="00D20BFB"/>
    <w:rsid w:val="00D20C66"/>
    <w:rsid w:val="00D20E32"/>
    <w:rsid w:val="00D20E60"/>
    <w:rsid w:val="00D2155B"/>
    <w:rsid w:val="00D21656"/>
    <w:rsid w:val="00D216BF"/>
    <w:rsid w:val="00D22B0A"/>
    <w:rsid w:val="00D23666"/>
    <w:rsid w:val="00D23B7B"/>
    <w:rsid w:val="00D23D11"/>
    <w:rsid w:val="00D241E3"/>
    <w:rsid w:val="00D24292"/>
    <w:rsid w:val="00D244B6"/>
    <w:rsid w:val="00D2482A"/>
    <w:rsid w:val="00D248EF"/>
    <w:rsid w:val="00D250F8"/>
    <w:rsid w:val="00D2577B"/>
    <w:rsid w:val="00D2591B"/>
    <w:rsid w:val="00D26A59"/>
    <w:rsid w:val="00D27385"/>
    <w:rsid w:val="00D2754D"/>
    <w:rsid w:val="00D27670"/>
    <w:rsid w:val="00D2780A"/>
    <w:rsid w:val="00D2780D"/>
    <w:rsid w:val="00D27B27"/>
    <w:rsid w:val="00D27CBB"/>
    <w:rsid w:val="00D3007D"/>
    <w:rsid w:val="00D30D5B"/>
    <w:rsid w:val="00D313D4"/>
    <w:rsid w:val="00D315D7"/>
    <w:rsid w:val="00D31695"/>
    <w:rsid w:val="00D31B23"/>
    <w:rsid w:val="00D31E21"/>
    <w:rsid w:val="00D322FC"/>
    <w:rsid w:val="00D32344"/>
    <w:rsid w:val="00D32CAD"/>
    <w:rsid w:val="00D32F57"/>
    <w:rsid w:val="00D3338D"/>
    <w:rsid w:val="00D334A4"/>
    <w:rsid w:val="00D33BE9"/>
    <w:rsid w:val="00D33DEA"/>
    <w:rsid w:val="00D33F93"/>
    <w:rsid w:val="00D34C6A"/>
    <w:rsid w:val="00D3578E"/>
    <w:rsid w:val="00D357FF"/>
    <w:rsid w:val="00D35FC5"/>
    <w:rsid w:val="00D36002"/>
    <w:rsid w:val="00D36A97"/>
    <w:rsid w:val="00D36CF9"/>
    <w:rsid w:val="00D36D8E"/>
    <w:rsid w:val="00D3736C"/>
    <w:rsid w:val="00D379F9"/>
    <w:rsid w:val="00D37DFB"/>
    <w:rsid w:val="00D40277"/>
    <w:rsid w:val="00D40D31"/>
    <w:rsid w:val="00D41487"/>
    <w:rsid w:val="00D424C7"/>
    <w:rsid w:val="00D426E3"/>
    <w:rsid w:val="00D42704"/>
    <w:rsid w:val="00D42828"/>
    <w:rsid w:val="00D42BB5"/>
    <w:rsid w:val="00D42E26"/>
    <w:rsid w:val="00D432D5"/>
    <w:rsid w:val="00D43B2A"/>
    <w:rsid w:val="00D43B32"/>
    <w:rsid w:val="00D43CF1"/>
    <w:rsid w:val="00D43D83"/>
    <w:rsid w:val="00D441AB"/>
    <w:rsid w:val="00D4433C"/>
    <w:rsid w:val="00D44E76"/>
    <w:rsid w:val="00D460D8"/>
    <w:rsid w:val="00D469BC"/>
    <w:rsid w:val="00D472E8"/>
    <w:rsid w:val="00D47403"/>
    <w:rsid w:val="00D47575"/>
    <w:rsid w:val="00D47580"/>
    <w:rsid w:val="00D47BCC"/>
    <w:rsid w:val="00D47D1C"/>
    <w:rsid w:val="00D501B2"/>
    <w:rsid w:val="00D5082D"/>
    <w:rsid w:val="00D5100C"/>
    <w:rsid w:val="00D51413"/>
    <w:rsid w:val="00D515B6"/>
    <w:rsid w:val="00D51614"/>
    <w:rsid w:val="00D516AA"/>
    <w:rsid w:val="00D5223B"/>
    <w:rsid w:val="00D5243B"/>
    <w:rsid w:val="00D5270E"/>
    <w:rsid w:val="00D533EC"/>
    <w:rsid w:val="00D53A6F"/>
    <w:rsid w:val="00D54111"/>
    <w:rsid w:val="00D54D82"/>
    <w:rsid w:val="00D550AA"/>
    <w:rsid w:val="00D551C1"/>
    <w:rsid w:val="00D5565C"/>
    <w:rsid w:val="00D55754"/>
    <w:rsid w:val="00D56007"/>
    <w:rsid w:val="00D56748"/>
    <w:rsid w:val="00D56958"/>
    <w:rsid w:val="00D56A95"/>
    <w:rsid w:val="00D57061"/>
    <w:rsid w:val="00D6076E"/>
    <w:rsid w:val="00D6082D"/>
    <w:rsid w:val="00D60836"/>
    <w:rsid w:val="00D60B29"/>
    <w:rsid w:val="00D60E09"/>
    <w:rsid w:val="00D62161"/>
    <w:rsid w:val="00D622A8"/>
    <w:rsid w:val="00D625F0"/>
    <w:rsid w:val="00D6260F"/>
    <w:rsid w:val="00D62AAC"/>
    <w:rsid w:val="00D62D95"/>
    <w:rsid w:val="00D63686"/>
    <w:rsid w:val="00D63723"/>
    <w:rsid w:val="00D63CF0"/>
    <w:rsid w:val="00D642B1"/>
    <w:rsid w:val="00D6482F"/>
    <w:rsid w:val="00D6572D"/>
    <w:rsid w:val="00D65923"/>
    <w:rsid w:val="00D65ADB"/>
    <w:rsid w:val="00D6604A"/>
    <w:rsid w:val="00D66180"/>
    <w:rsid w:val="00D667D6"/>
    <w:rsid w:val="00D669B2"/>
    <w:rsid w:val="00D6710C"/>
    <w:rsid w:val="00D67A6C"/>
    <w:rsid w:val="00D67D88"/>
    <w:rsid w:val="00D700EC"/>
    <w:rsid w:val="00D7011D"/>
    <w:rsid w:val="00D703B4"/>
    <w:rsid w:val="00D70AE3"/>
    <w:rsid w:val="00D70F16"/>
    <w:rsid w:val="00D70F26"/>
    <w:rsid w:val="00D70F96"/>
    <w:rsid w:val="00D71496"/>
    <w:rsid w:val="00D7182C"/>
    <w:rsid w:val="00D7240D"/>
    <w:rsid w:val="00D72617"/>
    <w:rsid w:val="00D72B94"/>
    <w:rsid w:val="00D72C06"/>
    <w:rsid w:val="00D72F57"/>
    <w:rsid w:val="00D73C1D"/>
    <w:rsid w:val="00D73C1E"/>
    <w:rsid w:val="00D74C8B"/>
    <w:rsid w:val="00D757C1"/>
    <w:rsid w:val="00D75848"/>
    <w:rsid w:val="00D75FDD"/>
    <w:rsid w:val="00D76473"/>
    <w:rsid w:val="00D7657D"/>
    <w:rsid w:val="00D76A44"/>
    <w:rsid w:val="00D76EC4"/>
    <w:rsid w:val="00D76F84"/>
    <w:rsid w:val="00D7719E"/>
    <w:rsid w:val="00D773E3"/>
    <w:rsid w:val="00D7790B"/>
    <w:rsid w:val="00D8038F"/>
    <w:rsid w:val="00D80C9E"/>
    <w:rsid w:val="00D81539"/>
    <w:rsid w:val="00D815EF"/>
    <w:rsid w:val="00D81949"/>
    <w:rsid w:val="00D81F26"/>
    <w:rsid w:val="00D822E2"/>
    <w:rsid w:val="00D82A36"/>
    <w:rsid w:val="00D836FF"/>
    <w:rsid w:val="00D83810"/>
    <w:rsid w:val="00D838C7"/>
    <w:rsid w:val="00D83C69"/>
    <w:rsid w:val="00D8418A"/>
    <w:rsid w:val="00D84328"/>
    <w:rsid w:val="00D843F2"/>
    <w:rsid w:val="00D84967"/>
    <w:rsid w:val="00D84987"/>
    <w:rsid w:val="00D84D0C"/>
    <w:rsid w:val="00D8520C"/>
    <w:rsid w:val="00D85870"/>
    <w:rsid w:val="00D85BFE"/>
    <w:rsid w:val="00D8611C"/>
    <w:rsid w:val="00D86231"/>
    <w:rsid w:val="00D868A1"/>
    <w:rsid w:val="00D86D5A"/>
    <w:rsid w:val="00D86F9A"/>
    <w:rsid w:val="00D872FC"/>
    <w:rsid w:val="00D87D2B"/>
    <w:rsid w:val="00D87F09"/>
    <w:rsid w:val="00D908F4"/>
    <w:rsid w:val="00D90DFF"/>
    <w:rsid w:val="00D912AB"/>
    <w:rsid w:val="00D9133E"/>
    <w:rsid w:val="00D91695"/>
    <w:rsid w:val="00D91923"/>
    <w:rsid w:val="00D91E2A"/>
    <w:rsid w:val="00D9232C"/>
    <w:rsid w:val="00D92628"/>
    <w:rsid w:val="00D92D9D"/>
    <w:rsid w:val="00D92EF2"/>
    <w:rsid w:val="00D93033"/>
    <w:rsid w:val="00D93718"/>
    <w:rsid w:val="00D93753"/>
    <w:rsid w:val="00D93AF8"/>
    <w:rsid w:val="00D93C6C"/>
    <w:rsid w:val="00D93F83"/>
    <w:rsid w:val="00D94329"/>
    <w:rsid w:val="00D9474A"/>
    <w:rsid w:val="00D94DCF"/>
    <w:rsid w:val="00D957FB"/>
    <w:rsid w:val="00D95ABC"/>
    <w:rsid w:val="00D95BD5"/>
    <w:rsid w:val="00D95D5E"/>
    <w:rsid w:val="00D96662"/>
    <w:rsid w:val="00D96ACD"/>
    <w:rsid w:val="00D96B06"/>
    <w:rsid w:val="00D96C65"/>
    <w:rsid w:val="00D97764"/>
    <w:rsid w:val="00D979B8"/>
    <w:rsid w:val="00D97AC1"/>
    <w:rsid w:val="00D97CF9"/>
    <w:rsid w:val="00D97FFE"/>
    <w:rsid w:val="00DA00CC"/>
    <w:rsid w:val="00DA0749"/>
    <w:rsid w:val="00DA08E1"/>
    <w:rsid w:val="00DA0B91"/>
    <w:rsid w:val="00DA0B98"/>
    <w:rsid w:val="00DA14A6"/>
    <w:rsid w:val="00DA196C"/>
    <w:rsid w:val="00DA19AD"/>
    <w:rsid w:val="00DA1A3E"/>
    <w:rsid w:val="00DA1ACE"/>
    <w:rsid w:val="00DA1B40"/>
    <w:rsid w:val="00DA1EEC"/>
    <w:rsid w:val="00DA2049"/>
    <w:rsid w:val="00DA205E"/>
    <w:rsid w:val="00DA20D9"/>
    <w:rsid w:val="00DA23CD"/>
    <w:rsid w:val="00DA2C32"/>
    <w:rsid w:val="00DA2D1C"/>
    <w:rsid w:val="00DA2EF5"/>
    <w:rsid w:val="00DA3025"/>
    <w:rsid w:val="00DA3167"/>
    <w:rsid w:val="00DA3258"/>
    <w:rsid w:val="00DA346D"/>
    <w:rsid w:val="00DA36A0"/>
    <w:rsid w:val="00DA38D4"/>
    <w:rsid w:val="00DA3F6B"/>
    <w:rsid w:val="00DA40E3"/>
    <w:rsid w:val="00DA4121"/>
    <w:rsid w:val="00DA44BB"/>
    <w:rsid w:val="00DA461C"/>
    <w:rsid w:val="00DA4783"/>
    <w:rsid w:val="00DA4DC3"/>
    <w:rsid w:val="00DA4EF5"/>
    <w:rsid w:val="00DA4F68"/>
    <w:rsid w:val="00DA5820"/>
    <w:rsid w:val="00DA5D8E"/>
    <w:rsid w:val="00DA5D91"/>
    <w:rsid w:val="00DA646D"/>
    <w:rsid w:val="00DA6B0E"/>
    <w:rsid w:val="00DA70DE"/>
    <w:rsid w:val="00DA716C"/>
    <w:rsid w:val="00DA7667"/>
    <w:rsid w:val="00DA7706"/>
    <w:rsid w:val="00DA77A5"/>
    <w:rsid w:val="00DA7D53"/>
    <w:rsid w:val="00DA7DB2"/>
    <w:rsid w:val="00DB0233"/>
    <w:rsid w:val="00DB0400"/>
    <w:rsid w:val="00DB0CC5"/>
    <w:rsid w:val="00DB0E36"/>
    <w:rsid w:val="00DB1328"/>
    <w:rsid w:val="00DB134B"/>
    <w:rsid w:val="00DB14BF"/>
    <w:rsid w:val="00DB2517"/>
    <w:rsid w:val="00DB2589"/>
    <w:rsid w:val="00DB2723"/>
    <w:rsid w:val="00DB2937"/>
    <w:rsid w:val="00DB377D"/>
    <w:rsid w:val="00DB3D18"/>
    <w:rsid w:val="00DB3D1C"/>
    <w:rsid w:val="00DB3DBF"/>
    <w:rsid w:val="00DB3DE7"/>
    <w:rsid w:val="00DB4311"/>
    <w:rsid w:val="00DB4379"/>
    <w:rsid w:val="00DB446F"/>
    <w:rsid w:val="00DB484F"/>
    <w:rsid w:val="00DB49DB"/>
    <w:rsid w:val="00DB4B84"/>
    <w:rsid w:val="00DB5239"/>
    <w:rsid w:val="00DB5C16"/>
    <w:rsid w:val="00DB5EF3"/>
    <w:rsid w:val="00DB5F37"/>
    <w:rsid w:val="00DB5F87"/>
    <w:rsid w:val="00DB6D48"/>
    <w:rsid w:val="00DB6EAB"/>
    <w:rsid w:val="00DC00B2"/>
    <w:rsid w:val="00DC04F6"/>
    <w:rsid w:val="00DC05BA"/>
    <w:rsid w:val="00DC0690"/>
    <w:rsid w:val="00DC15C2"/>
    <w:rsid w:val="00DC192E"/>
    <w:rsid w:val="00DC1AD4"/>
    <w:rsid w:val="00DC1D65"/>
    <w:rsid w:val="00DC2069"/>
    <w:rsid w:val="00DC2111"/>
    <w:rsid w:val="00DC21CA"/>
    <w:rsid w:val="00DC233A"/>
    <w:rsid w:val="00DC2615"/>
    <w:rsid w:val="00DC2626"/>
    <w:rsid w:val="00DC29A3"/>
    <w:rsid w:val="00DC2B0B"/>
    <w:rsid w:val="00DC2BE2"/>
    <w:rsid w:val="00DC2D42"/>
    <w:rsid w:val="00DC348A"/>
    <w:rsid w:val="00DC3ABC"/>
    <w:rsid w:val="00DC3C57"/>
    <w:rsid w:val="00DC411B"/>
    <w:rsid w:val="00DC44F1"/>
    <w:rsid w:val="00DC46B7"/>
    <w:rsid w:val="00DC4C04"/>
    <w:rsid w:val="00DC4C1E"/>
    <w:rsid w:val="00DC4FAC"/>
    <w:rsid w:val="00DC4FFB"/>
    <w:rsid w:val="00DC50E8"/>
    <w:rsid w:val="00DC5501"/>
    <w:rsid w:val="00DC553F"/>
    <w:rsid w:val="00DC57AD"/>
    <w:rsid w:val="00DC5DE4"/>
    <w:rsid w:val="00DC620A"/>
    <w:rsid w:val="00DC6B97"/>
    <w:rsid w:val="00DC6BD8"/>
    <w:rsid w:val="00DC6ECC"/>
    <w:rsid w:val="00DC7154"/>
    <w:rsid w:val="00DC7211"/>
    <w:rsid w:val="00DC76CB"/>
    <w:rsid w:val="00DC7E8A"/>
    <w:rsid w:val="00DD067D"/>
    <w:rsid w:val="00DD0C0A"/>
    <w:rsid w:val="00DD0C0E"/>
    <w:rsid w:val="00DD0CB6"/>
    <w:rsid w:val="00DD0F78"/>
    <w:rsid w:val="00DD0FCC"/>
    <w:rsid w:val="00DD273C"/>
    <w:rsid w:val="00DD2A09"/>
    <w:rsid w:val="00DD2CDD"/>
    <w:rsid w:val="00DD2D71"/>
    <w:rsid w:val="00DD324F"/>
    <w:rsid w:val="00DD3F28"/>
    <w:rsid w:val="00DD4009"/>
    <w:rsid w:val="00DD409B"/>
    <w:rsid w:val="00DD41EC"/>
    <w:rsid w:val="00DD4253"/>
    <w:rsid w:val="00DD43B4"/>
    <w:rsid w:val="00DD4446"/>
    <w:rsid w:val="00DD4537"/>
    <w:rsid w:val="00DD4A3A"/>
    <w:rsid w:val="00DD4E15"/>
    <w:rsid w:val="00DD53C6"/>
    <w:rsid w:val="00DD549D"/>
    <w:rsid w:val="00DD5DB8"/>
    <w:rsid w:val="00DD5E77"/>
    <w:rsid w:val="00DD60A5"/>
    <w:rsid w:val="00DD66F4"/>
    <w:rsid w:val="00DD6AF7"/>
    <w:rsid w:val="00DD6B03"/>
    <w:rsid w:val="00DD6B9B"/>
    <w:rsid w:val="00DD7078"/>
    <w:rsid w:val="00DD7089"/>
    <w:rsid w:val="00DD7602"/>
    <w:rsid w:val="00DD781F"/>
    <w:rsid w:val="00DD7996"/>
    <w:rsid w:val="00DD7C98"/>
    <w:rsid w:val="00DD7D0A"/>
    <w:rsid w:val="00DD7EB8"/>
    <w:rsid w:val="00DE0864"/>
    <w:rsid w:val="00DE0FB2"/>
    <w:rsid w:val="00DE19DA"/>
    <w:rsid w:val="00DE2304"/>
    <w:rsid w:val="00DE24D2"/>
    <w:rsid w:val="00DE284B"/>
    <w:rsid w:val="00DE2A9E"/>
    <w:rsid w:val="00DE2AB9"/>
    <w:rsid w:val="00DE3138"/>
    <w:rsid w:val="00DE34C0"/>
    <w:rsid w:val="00DE358D"/>
    <w:rsid w:val="00DE37F8"/>
    <w:rsid w:val="00DE3AAA"/>
    <w:rsid w:val="00DE4273"/>
    <w:rsid w:val="00DE4475"/>
    <w:rsid w:val="00DE4887"/>
    <w:rsid w:val="00DE4FCB"/>
    <w:rsid w:val="00DE5D07"/>
    <w:rsid w:val="00DE5E87"/>
    <w:rsid w:val="00DE6023"/>
    <w:rsid w:val="00DE63E4"/>
    <w:rsid w:val="00DE64DC"/>
    <w:rsid w:val="00DE6FF2"/>
    <w:rsid w:val="00DE7164"/>
    <w:rsid w:val="00DE72A7"/>
    <w:rsid w:val="00DE7523"/>
    <w:rsid w:val="00DE7832"/>
    <w:rsid w:val="00DE7ECF"/>
    <w:rsid w:val="00DE7F98"/>
    <w:rsid w:val="00DF0868"/>
    <w:rsid w:val="00DF1507"/>
    <w:rsid w:val="00DF1618"/>
    <w:rsid w:val="00DF18FC"/>
    <w:rsid w:val="00DF24A9"/>
    <w:rsid w:val="00DF2644"/>
    <w:rsid w:val="00DF3E97"/>
    <w:rsid w:val="00DF3EED"/>
    <w:rsid w:val="00DF3F6E"/>
    <w:rsid w:val="00DF4492"/>
    <w:rsid w:val="00DF4AAD"/>
    <w:rsid w:val="00DF4E25"/>
    <w:rsid w:val="00DF543E"/>
    <w:rsid w:val="00DF56C1"/>
    <w:rsid w:val="00DF57BE"/>
    <w:rsid w:val="00DF5906"/>
    <w:rsid w:val="00DF5AD6"/>
    <w:rsid w:val="00DF5CC9"/>
    <w:rsid w:val="00DF5D2B"/>
    <w:rsid w:val="00DF6212"/>
    <w:rsid w:val="00DF6341"/>
    <w:rsid w:val="00DF6A0C"/>
    <w:rsid w:val="00DF757F"/>
    <w:rsid w:val="00DF7853"/>
    <w:rsid w:val="00E00388"/>
    <w:rsid w:val="00E004C8"/>
    <w:rsid w:val="00E00AFB"/>
    <w:rsid w:val="00E00E64"/>
    <w:rsid w:val="00E00E8E"/>
    <w:rsid w:val="00E01005"/>
    <w:rsid w:val="00E011EB"/>
    <w:rsid w:val="00E02007"/>
    <w:rsid w:val="00E02A2E"/>
    <w:rsid w:val="00E02A94"/>
    <w:rsid w:val="00E0386C"/>
    <w:rsid w:val="00E04192"/>
    <w:rsid w:val="00E0425E"/>
    <w:rsid w:val="00E04572"/>
    <w:rsid w:val="00E04669"/>
    <w:rsid w:val="00E04822"/>
    <w:rsid w:val="00E04A10"/>
    <w:rsid w:val="00E04AB7"/>
    <w:rsid w:val="00E04DB3"/>
    <w:rsid w:val="00E05630"/>
    <w:rsid w:val="00E056D3"/>
    <w:rsid w:val="00E064BA"/>
    <w:rsid w:val="00E06DBB"/>
    <w:rsid w:val="00E06FBE"/>
    <w:rsid w:val="00E07271"/>
    <w:rsid w:val="00E07DAA"/>
    <w:rsid w:val="00E07F9C"/>
    <w:rsid w:val="00E10149"/>
    <w:rsid w:val="00E10E8B"/>
    <w:rsid w:val="00E10F90"/>
    <w:rsid w:val="00E1104C"/>
    <w:rsid w:val="00E112EF"/>
    <w:rsid w:val="00E11340"/>
    <w:rsid w:val="00E1167D"/>
    <w:rsid w:val="00E117E2"/>
    <w:rsid w:val="00E11CCC"/>
    <w:rsid w:val="00E122A1"/>
    <w:rsid w:val="00E124DD"/>
    <w:rsid w:val="00E125C6"/>
    <w:rsid w:val="00E12EC4"/>
    <w:rsid w:val="00E1366C"/>
    <w:rsid w:val="00E138D8"/>
    <w:rsid w:val="00E13B36"/>
    <w:rsid w:val="00E13E1E"/>
    <w:rsid w:val="00E13F61"/>
    <w:rsid w:val="00E14212"/>
    <w:rsid w:val="00E14B41"/>
    <w:rsid w:val="00E14C30"/>
    <w:rsid w:val="00E14CBA"/>
    <w:rsid w:val="00E15706"/>
    <w:rsid w:val="00E15CAB"/>
    <w:rsid w:val="00E15E09"/>
    <w:rsid w:val="00E15FAA"/>
    <w:rsid w:val="00E16372"/>
    <w:rsid w:val="00E16391"/>
    <w:rsid w:val="00E16571"/>
    <w:rsid w:val="00E168AB"/>
    <w:rsid w:val="00E168C2"/>
    <w:rsid w:val="00E16AD8"/>
    <w:rsid w:val="00E16DB2"/>
    <w:rsid w:val="00E1708A"/>
    <w:rsid w:val="00E17525"/>
    <w:rsid w:val="00E17B9C"/>
    <w:rsid w:val="00E17FFA"/>
    <w:rsid w:val="00E202C2"/>
    <w:rsid w:val="00E20660"/>
    <w:rsid w:val="00E206E3"/>
    <w:rsid w:val="00E209B3"/>
    <w:rsid w:val="00E20E4D"/>
    <w:rsid w:val="00E20ED6"/>
    <w:rsid w:val="00E20F2C"/>
    <w:rsid w:val="00E210BC"/>
    <w:rsid w:val="00E21358"/>
    <w:rsid w:val="00E216C8"/>
    <w:rsid w:val="00E21C33"/>
    <w:rsid w:val="00E21E41"/>
    <w:rsid w:val="00E21FF8"/>
    <w:rsid w:val="00E2204D"/>
    <w:rsid w:val="00E2249B"/>
    <w:rsid w:val="00E226D4"/>
    <w:rsid w:val="00E22746"/>
    <w:rsid w:val="00E22A0D"/>
    <w:rsid w:val="00E22F97"/>
    <w:rsid w:val="00E23171"/>
    <w:rsid w:val="00E23604"/>
    <w:rsid w:val="00E2445E"/>
    <w:rsid w:val="00E244F6"/>
    <w:rsid w:val="00E24605"/>
    <w:rsid w:val="00E2477D"/>
    <w:rsid w:val="00E25279"/>
    <w:rsid w:val="00E25692"/>
    <w:rsid w:val="00E258DB"/>
    <w:rsid w:val="00E25B9B"/>
    <w:rsid w:val="00E2647D"/>
    <w:rsid w:val="00E2694A"/>
    <w:rsid w:val="00E26E0F"/>
    <w:rsid w:val="00E274B5"/>
    <w:rsid w:val="00E2771E"/>
    <w:rsid w:val="00E30141"/>
    <w:rsid w:val="00E30347"/>
    <w:rsid w:val="00E30A5A"/>
    <w:rsid w:val="00E30D91"/>
    <w:rsid w:val="00E311EF"/>
    <w:rsid w:val="00E32180"/>
    <w:rsid w:val="00E322A8"/>
    <w:rsid w:val="00E33413"/>
    <w:rsid w:val="00E33961"/>
    <w:rsid w:val="00E33A92"/>
    <w:rsid w:val="00E33B3D"/>
    <w:rsid w:val="00E33E84"/>
    <w:rsid w:val="00E340CE"/>
    <w:rsid w:val="00E34948"/>
    <w:rsid w:val="00E34EE6"/>
    <w:rsid w:val="00E34FD4"/>
    <w:rsid w:val="00E3531C"/>
    <w:rsid w:val="00E357CC"/>
    <w:rsid w:val="00E35F16"/>
    <w:rsid w:val="00E3687E"/>
    <w:rsid w:val="00E37237"/>
    <w:rsid w:val="00E37569"/>
    <w:rsid w:val="00E3760F"/>
    <w:rsid w:val="00E37EBA"/>
    <w:rsid w:val="00E401B2"/>
    <w:rsid w:val="00E402CF"/>
    <w:rsid w:val="00E406C5"/>
    <w:rsid w:val="00E406E8"/>
    <w:rsid w:val="00E409C5"/>
    <w:rsid w:val="00E40CD5"/>
    <w:rsid w:val="00E4116E"/>
    <w:rsid w:val="00E4122A"/>
    <w:rsid w:val="00E413E7"/>
    <w:rsid w:val="00E41504"/>
    <w:rsid w:val="00E41565"/>
    <w:rsid w:val="00E41E30"/>
    <w:rsid w:val="00E41F5C"/>
    <w:rsid w:val="00E41FBE"/>
    <w:rsid w:val="00E42146"/>
    <w:rsid w:val="00E423A0"/>
    <w:rsid w:val="00E42601"/>
    <w:rsid w:val="00E426F2"/>
    <w:rsid w:val="00E4276B"/>
    <w:rsid w:val="00E429E6"/>
    <w:rsid w:val="00E42F73"/>
    <w:rsid w:val="00E43289"/>
    <w:rsid w:val="00E438D6"/>
    <w:rsid w:val="00E43D70"/>
    <w:rsid w:val="00E43FA7"/>
    <w:rsid w:val="00E440C8"/>
    <w:rsid w:val="00E446E1"/>
    <w:rsid w:val="00E44B25"/>
    <w:rsid w:val="00E44DDC"/>
    <w:rsid w:val="00E45216"/>
    <w:rsid w:val="00E45703"/>
    <w:rsid w:val="00E45B9A"/>
    <w:rsid w:val="00E45D2F"/>
    <w:rsid w:val="00E46562"/>
    <w:rsid w:val="00E466F3"/>
    <w:rsid w:val="00E46724"/>
    <w:rsid w:val="00E47087"/>
    <w:rsid w:val="00E4710C"/>
    <w:rsid w:val="00E471DE"/>
    <w:rsid w:val="00E474D0"/>
    <w:rsid w:val="00E47B2C"/>
    <w:rsid w:val="00E47C77"/>
    <w:rsid w:val="00E47E5D"/>
    <w:rsid w:val="00E47FC8"/>
    <w:rsid w:val="00E5028E"/>
    <w:rsid w:val="00E50466"/>
    <w:rsid w:val="00E50E8C"/>
    <w:rsid w:val="00E50ED4"/>
    <w:rsid w:val="00E51138"/>
    <w:rsid w:val="00E512FD"/>
    <w:rsid w:val="00E51560"/>
    <w:rsid w:val="00E51821"/>
    <w:rsid w:val="00E51AAC"/>
    <w:rsid w:val="00E52340"/>
    <w:rsid w:val="00E52396"/>
    <w:rsid w:val="00E53091"/>
    <w:rsid w:val="00E530D8"/>
    <w:rsid w:val="00E53233"/>
    <w:rsid w:val="00E535A1"/>
    <w:rsid w:val="00E53D64"/>
    <w:rsid w:val="00E53FC8"/>
    <w:rsid w:val="00E5402F"/>
    <w:rsid w:val="00E54347"/>
    <w:rsid w:val="00E54B22"/>
    <w:rsid w:val="00E54B3D"/>
    <w:rsid w:val="00E55424"/>
    <w:rsid w:val="00E55549"/>
    <w:rsid w:val="00E5561D"/>
    <w:rsid w:val="00E55915"/>
    <w:rsid w:val="00E55BB5"/>
    <w:rsid w:val="00E57324"/>
    <w:rsid w:val="00E60737"/>
    <w:rsid w:val="00E60782"/>
    <w:rsid w:val="00E611DF"/>
    <w:rsid w:val="00E61425"/>
    <w:rsid w:val="00E61E56"/>
    <w:rsid w:val="00E62DF0"/>
    <w:rsid w:val="00E62EDA"/>
    <w:rsid w:val="00E634D0"/>
    <w:rsid w:val="00E6358A"/>
    <w:rsid w:val="00E635DD"/>
    <w:rsid w:val="00E63705"/>
    <w:rsid w:val="00E64B96"/>
    <w:rsid w:val="00E64E34"/>
    <w:rsid w:val="00E6558C"/>
    <w:rsid w:val="00E65659"/>
    <w:rsid w:val="00E65763"/>
    <w:rsid w:val="00E65885"/>
    <w:rsid w:val="00E658D4"/>
    <w:rsid w:val="00E65AAB"/>
    <w:rsid w:val="00E65B13"/>
    <w:rsid w:val="00E65E79"/>
    <w:rsid w:val="00E66540"/>
    <w:rsid w:val="00E669A6"/>
    <w:rsid w:val="00E66BA2"/>
    <w:rsid w:val="00E67416"/>
    <w:rsid w:val="00E675E4"/>
    <w:rsid w:val="00E70784"/>
    <w:rsid w:val="00E70FAA"/>
    <w:rsid w:val="00E71610"/>
    <w:rsid w:val="00E717A7"/>
    <w:rsid w:val="00E718B6"/>
    <w:rsid w:val="00E71AFD"/>
    <w:rsid w:val="00E723BA"/>
    <w:rsid w:val="00E724B6"/>
    <w:rsid w:val="00E729E2"/>
    <w:rsid w:val="00E72C69"/>
    <w:rsid w:val="00E72E42"/>
    <w:rsid w:val="00E72E67"/>
    <w:rsid w:val="00E73581"/>
    <w:rsid w:val="00E73988"/>
    <w:rsid w:val="00E73BFF"/>
    <w:rsid w:val="00E73E3D"/>
    <w:rsid w:val="00E7403F"/>
    <w:rsid w:val="00E7464F"/>
    <w:rsid w:val="00E74B69"/>
    <w:rsid w:val="00E752E3"/>
    <w:rsid w:val="00E7561F"/>
    <w:rsid w:val="00E7585F"/>
    <w:rsid w:val="00E75B37"/>
    <w:rsid w:val="00E75D15"/>
    <w:rsid w:val="00E762F9"/>
    <w:rsid w:val="00E76568"/>
    <w:rsid w:val="00E77677"/>
    <w:rsid w:val="00E777AE"/>
    <w:rsid w:val="00E777E2"/>
    <w:rsid w:val="00E77B43"/>
    <w:rsid w:val="00E80002"/>
    <w:rsid w:val="00E80A92"/>
    <w:rsid w:val="00E810A5"/>
    <w:rsid w:val="00E81DBB"/>
    <w:rsid w:val="00E81EC1"/>
    <w:rsid w:val="00E82095"/>
    <w:rsid w:val="00E82193"/>
    <w:rsid w:val="00E82374"/>
    <w:rsid w:val="00E833E5"/>
    <w:rsid w:val="00E833F7"/>
    <w:rsid w:val="00E8389C"/>
    <w:rsid w:val="00E83BDF"/>
    <w:rsid w:val="00E84273"/>
    <w:rsid w:val="00E84D4A"/>
    <w:rsid w:val="00E851C3"/>
    <w:rsid w:val="00E85CE4"/>
    <w:rsid w:val="00E8604A"/>
    <w:rsid w:val="00E86B03"/>
    <w:rsid w:val="00E86DA2"/>
    <w:rsid w:val="00E86FCC"/>
    <w:rsid w:val="00E87385"/>
    <w:rsid w:val="00E875F3"/>
    <w:rsid w:val="00E87997"/>
    <w:rsid w:val="00E87A1D"/>
    <w:rsid w:val="00E900A4"/>
    <w:rsid w:val="00E9050A"/>
    <w:rsid w:val="00E9094A"/>
    <w:rsid w:val="00E90C76"/>
    <w:rsid w:val="00E90FD0"/>
    <w:rsid w:val="00E91785"/>
    <w:rsid w:val="00E918A7"/>
    <w:rsid w:val="00E91D35"/>
    <w:rsid w:val="00E91E62"/>
    <w:rsid w:val="00E926A5"/>
    <w:rsid w:val="00E92747"/>
    <w:rsid w:val="00E927A5"/>
    <w:rsid w:val="00E92802"/>
    <w:rsid w:val="00E92A4E"/>
    <w:rsid w:val="00E92E66"/>
    <w:rsid w:val="00E9324F"/>
    <w:rsid w:val="00E932C2"/>
    <w:rsid w:val="00E934F9"/>
    <w:rsid w:val="00E935DF"/>
    <w:rsid w:val="00E93BCD"/>
    <w:rsid w:val="00E9405E"/>
    <w:rsid w:val="00E94E9B"/>
    <w:rsid w:val="00E95263"/>
    <w:rsid w:val="00E95B0C"/>
    <w:rsid w:val="00E962CC"/>
    <w:rsid w:val="00E9641F"/>
    <w:rsid w:val="00E9676B"/>
    <w:rsid w:val="00E967AA"/>
    <w:rsid w:val="00E971C8"/>
    <w:rsid w:val="00E9787E"/>
    <w:rsid w:val="00E97BB6"/>
    <w:rsid w:val="00E97E35"/>
    <w:rsid w:val="00EA00E7"/>
    <w:rsid w:val="00EA08DB"/>
    <w:rsid w:val="00EA0EC5"/>
    <w:rsid w:val="00EA105F"/>
    <w:rsid w:val="00EA10E6"/>
    <w:rsid w:val="00EA13F0"/>
    <w:rsid w:val="00EA17C3"/>
    <w:rsid w:val="00EA1859"/>
    <w:rsid w:val="00EA1B04"/>
    <w:rsid w:val="00EA1C9B"/>
    <w:rsid w:val="00EA228E"/>
    <w:rsid w:val="00EA25E2"/>
    <w:rsid w:val="00EA2CAA"/>
    <w:rsid w:val="00EA3060"/>
    <w:rsid w:val="00EA3092"/>
    <w:rsid w:val="00EA3864"/>
    <w:rsid w:val="00EA397C"/>
    <w:rsid w:val="00EA39BE"/>
    <w:rsid w:val="00EA49FC"/>
    <w:rsid w:val="00EA4ECD"/>
    <w:rsid w:val="00EA4FD6"/>
    <w:rsid w:val="00EA54F6"/>
    <w:rsid w:val="00EA559E"/>
    <w:rsid w:val="00EA59A1"/>
    <w:rsid w:val="00EA5B6F"/>
    <w:rsid w:val="00EA5D2B"/>
    <w:rsid w:val="00EA61C3"/>
    <w:rsid w:val="00EA6227"/>
    <w:rsid w:val="00EA6C53"/>
    <w:rsid w:val="00EA7B7B"/>
    <w:rsid w:val="00EA7DA6"/>
    <w:rsid w:val="00EA7F1C"/>
    <w:rsid w:val="00EB0029"/>
    <w:rsid w:val="00EB1074"/>
    <w:rsid w:val="00EB15B6"/>
    <w:rsid w:val="00EB1877"/>
    <w:rsid w:val="00EB1D94"/>
    <w:rsid w:val="00EB2840"/>
    <w:rsid w:val="00EB28CB"/>
    <w:rsid w:val="00EB2A3B"/>
    <w:rsid w:val="00EB33FA"/>
    <w:rsid w:val="00EB3926"/>
    <w:rsid w:val="00EB3D06"/>
    <w:rsid w:val="00EB41D6"/>
    <w:rsid w:val="00EB4483"/>
    <w:rsid w:val="00EB4722"/>
    <w:rsid w:val="00EB4916"/>
    <w:rsid w:val="00EB4B98"/>
    <w:rsid w:val="00EB4DE3"/>
    <w:rsid w:val="00EB4E53"/>
    <w:rsid w:val="00EB52C8"/>
    <w:rsid w:val="00EB5C37"/>
    <w:rsid w:val="00EB5D86"/>
    <w:rsid w:val="00EB64AD"/>
    <w:rsid w:val="00EB6752"/>
    <w:rsid w:val="00EB6D12"/>
    <w:rsid w:val="00EB7F21"/>
    <w:rsid w:val="00EC00C9"/>
    <w:rsid w:val="00EC069C"/>
    <w:rsid w:val="00EC07EC"/>
    <w:rsid w:val="00EC0893"/>
    <w:rsid w:val="00EC0DD9"/>
    <w:rsid w:val="00EC0E68"/>
    <w:rsid w:val="00EC125A"/>
    <w:rsid w:val="00EC132D"/>
    <w:rsid w:val="00EC1456"/>
    <w:rsid w:val="00EC21DA"/>
    <w:rsid w:val="00EC2649"/>
    <w:rsid w:val="00EC31ED"/>
    <w:rsid w:val="00EC392D"/>
    <w:rsid w:val="00EC3B33"/>
    <w:rsid w:val="00EC4378"/>
    <w:rsid w:val="00EC4909"/>
    <w:rsid w:val="00EC4FCF"/>
    <w:rsid w:val="00EC510E"/>
    <w:rsid w:val="00EC523C"/>
    <w:rsid w:val="00EC5398"/>
    <w:rsid w:val="00EC55A0"/>
    <w:rsid w:val="00EC5836"/>
    <w:rsid w:val="00EC58E6"/>
    <w:rsid w:val="00EC6058"/>
    <w:rsid w:val="00EC688C"/>
    <w:rsid w:val="00EC6F17"/>
    <w:rsid w:val="00EC71F7"/>
    <w:rsid w:val="00EC76BA"/>
    <w:rsid w:val="00EC7E1D"/>
    <w:rsid w:val="00EC7F33"/>
    <w:rsid w:val="00ED08F8"/>
    <w:rsid w:val="00ED0AAB"/>
    <w:rsid w:val="00ED0CBB"/>
    <w:rsid w:val="00ED12E3"/>
    <w:rsid w:val="00ED18DD"/>
    <w:rsid w:val="00ED1C46"/>
    <w:rsid w:val="00ED2103"/>
    <w:rsid w:val="00ED2419"/>
    <w:rsid w:val="00ED2B11"/>
    <w:rsid w:val="00ED33F6"/>
    <w:rsid w:val="00ED3578"/>
    <w:rsid w:val="00ED39D4"/>
    <w:rsid w:val="00ED3BD7"/>
    <w:rsid w:val="00ED426A"/>
    <w:rsid w:val="00ED470D"/>
    <w:rsid w:val="00ED4984"/>
    <w:rsid w:val="00ED4B04"/>
    <w:rsid w:val="00ED4B8B"/>
    <w:rsid w:val="00ED4BB4"/>
    <w:rsid w:val="00ED5151"/>
    <w:rsid w:val="00ED57EA"/>
    <w:rsid w:val="00ED5B2A"/>
    <w:rsid w:val="00ED5BD4"/>
    <w:rsid w:val="00ED62D8"/>
    <w:rsid w:val="00ED6706"/>
    <w:rsid w:val="00ED6B17"/>
    <w:rsid w:val="00ED6C06"/>
    <w:rsid w:val="00ED7437"/>
    <w:rsid w:val="00ED74FB"/>
    <w:rsid w:val="00ED77F9"/>
    <w:rsid w:val="00ED77FA"/>
    <w:rsid w:val="00ED7857"/>
    <w:rsid w:val="00ED7C2F"/>
    <w:rsid w:val="00EE07D3"/>
    <w:rsid w:val="00EE0F0A"/>
    <w:rsid w:val="00EE0F49"/>
    <w:rsid w:val="00EE10C0"/>
    <w:rsid w:val="00EE15C0"/>
    <w:rsid w:val="00EE1730"/>
    <w:rsid w:val="00EE18B9"/>
    <w:rsid w:val="00EE1996"/>
    <w:rsid w:val="00EE1C01"/>
    <w:rsid w:val="00EE1FD8"/>
    <w:rsid w:val="00EE21B5"/>
    <w:rsid w:val="00EE22AF"/>
    <w:rsid w:val="00EE277F"/>
    <w:rsid w:val="00EE2CF6"/>
    <w:rsid w:val="00EE3E12"/>
    <w:rsid w:val="00EE4571"/>
    <w:rsid w:val="00EE564B"/>
    <w:rsid w:val="00EE5993"/>
    <w:rsid w:val="00EE5D4C"/>
    <w:rsid w:val="00EE64CB"/>
    <w:rsid w:val="00EE7C96"/>
    <w:rsid w:val="00EF0171"/>
    <w:rsid w:val="00EF026F"/>
    <w:rsid w:val="00EF043C"/>
    <w:rsid w:val="00EF06B0"/>
    <w:rsid w:val="00EF0F21"/>
    <w:rsid w:val="00EF1232"/>
    <w:rsid w:val="00EF1297"/>
    <w:rsid w:val="00EF1432"/>
    <w:rsid w:val="00EF1977"/>
    <w:rsid w:val="00EF1B25"/>
    <w:rsid w:val="00EF1DA0"/>
    <w:rsid w:val="00EF1F33"/>
    <w:rsid w:val="00EF210C"/>
    <w:rsid w:val="00EF317A"/>
    <w:rsid w:val="00EF3D0E"/>
    <w:rsid w:val="00EF4008"/>
    <w:rsid w:val="00EF4042"/>
    <w:rsid w:val="00EF4747"/>
    <w:rsid w:val="00EF4BF8"/>
    <w:rsid w:val="00EF4D10"/>
    <w:rsid w:val="00EF584E"/>
    <w:rsid w:val="00EF68A0"/>
    <w:rsid w:val="00EF7443"/>
    <w:rsid w:val="00EF777F"/>
    <w:rsid w:val="00F006D3"/>
    <w:rsid w:val="00F00A99"/>
    <w:rsid w:val="00F01090"/>
    <w:rsid w:val="00F012EF"/>
    <w:rsid w:val="00F01519"/>
    <w:rsid w:val="00F01740"/>
    <w:rsid w:val="00F01747"/>
    <w:rsid w:val="00F02140"/>
    <w:rsid w:val="00F02220"/>
    <w:rsid w:val="00F02253"/>
    <w:rsid w:val="00F02418"/>
    <w:rsid w:val="00F02505"/>
    <w:rsid w:val="00F026E3"/>
    <w:rsid w:val="00F027CF"/>
    <w:rsid w:val="00F02B3E"/>
    <w:rsid w:val="00F032AA"/>
    <w:rsid w:val="00F0343D"/>
    <w:rsid w:val="00F03464"/>
    <w:rsid w:val="00F034D5"/>
    <w:rsid w:val="00F03C2E"/>
    <w:rsid w:val="00F03C4C"/>
    <w:rsid w:val="00F0405C"/>
    <w:rsid w:val="00F0432B"/>
    <w:rsid w:val="00F04357"/>
    <w:rsid w:val="00F0441D"/>
    <w:rsid w:val="00F04A66"/>
    <w:rsid w:val="00F04B4B"/>
    <w:rsid w:val="00F04C22"/>
    <w:rsid w:val="00F0516C"/>
    <w:rsid w:val="00F055C9"/>
    <w:rsid w:val="00F05D46"/>
    <w:rsid w:val="00F05F1B"/>
    <w:rsid w:val="00F0664E"/>
    <w:rsid w:val="00F067A2"/>
    <w:rsid w:val="00F06D7F"/>
    <w:rsid w:val="00F06F19"/>
    <w:rsid w:val="00F07385"/>
    <w:rsid w:val="00F07B9E"/>
    <w:rsid w:val="00F109D8"/>
    <w:rsid w:val="00F10B63"/>
    <w:rsid w:val="00F10CA6"/>
    <w:rsid w:val="00F1116F"/>
    <w:rsid w:val="00F11957"/>
    <w:rsid w:val="00F11C62"/>
    <w:rsid w:val="00F11E81"/>
    <w:rsid w:val="00F12363"/>
    <w:rsid w:val="00F1242F"/>
    <w:rsid w:val="00F124E8"/>
    <w:rsid w:val="00F1251A"/>
    <w:rsid w:val="00F125A4"/>
    <w:rsid w:val="00F1263A"/>
    <w:rsid w:val="00F12BBE"/>
    <w:rsid w:val="00F12E75"/>
    <w:rsid w:val="00F139C5"/>
    <w:rsid w:val="00F14216"/>
    <w:rsid w:val="00F1432A"/>
    <w:rsid w:val="00F145C4"/>
    <w:rsid w:val="00F14C0F"/>
    <w:rsid w:val="00F153D8"/>
    <w:rsid w:val="00F158CD"/>
    <w:rsid w:val="00F159A6"/>
    <w:rsid w:val="00F15B77"/>
    <w:rsid w:val="00F15B7C"/>
    <w:rsid w:val="00F15D0E"/>
    <w:rsid w:val="00F16D8C"/>
    <w:rsid w:val="00F16E5D"/>
    <w:rsid w:val="00F173D7"/>
    <w:rsid w:val="00F174B1"/>
    <w:rsid w:val="00F17991"/>
    <w:rsid w:val="00F17E95"/>
    <w:rsid w:val="00F20A56"/>
    <w:rsid w:val="00F21236"/>
    <w:rsid w:val="00F219AA"/>
    <w:rsid w:val="00F22659"/>
    <w:rsid w:val="00F226B3"/>
    <w:rsid w:val="00F226BC"/>
    <w:rsid w:val="00F22713"/>
    <w:rsid w:val="00F232C9"/>
    <w:rsid w:val="00F239DF"/>
    <w:rsid w:val="00F23CD5"/>
    <w:rsid w:val="00F23F52"/>
    <w:rsid w:val="00F24503"/>
    <w:rsid w:val="00F24837"/>
    <w:rsid w:val="00F256F8"/>
    <w:rsid w:val="00F2575F"/>
    <w:rsid w:val="00F2581D"/>
    <w:rsid w:val="00F25903"/>
    <w:rsid w:val="00F2599D"/>
    <w:rsid w:val="00F25D38"/>
    <w:rsid w:val="00F25E99"/>
    <w:rsid w:val="00F26859"/>
    <w:rsid w:val="00F26F67"/>
    <w:rsid w:val="00F273AE"/>
    <w:rsid w:val="00F2745C"/>
    <w:rsid w:val="00F27565"/>
    <w:rsid w:val="00F27868"/>
    <w:rsid w:val="00F27A04"/>
    <w:rsid w:val="00F27FFE"/>
    <w:rsid w:val="00F3060E"/>
    <w:rsid w:val="00F30A71"/>
    <w:rsid w:val="00F30B30"/>
    <w:rsid w:val="00F30DE2"/>
    <w:rsid w:val="00F3105D"/>
    <w:rsid w:val="00F3108E"/>
    <w:rsid w:val="00F310D4"/>
    <w:rsid w:val="00F31207"/>
    <w:rsid w:val="00F31D5A"/>
    <w:rsid w:val="00F31DC9"/>
    <w:rsid w:val="00F32372"/>
    <w:rsid w:val="00F32C8B"/>
    <w:rsid w:val="00F332D3"/>
    <w:rsid w:val="00F33975"/>
    <w:rsid w:val="00F33D4A"/>
    <w:rsid w:val="00F33DE9"/>
    <w:rsid w:val="00F33EE3"/>
    <w:rsid w:val="00F34B02"/>
    <w:rsid w:val="00F356EB"/>
    <w:rsid w:val="00F35E6D"/>
    <w:rsid w:val="00F35FE1"/>
    <w:rsid w:val="00F3619A"/>
    <w:rsid w:val="00F363CD"/>
    <w:rsid w:val="00F365A0"/>
    <w:rsid w:val="00F36602"/>
    <w:rsid w:val="00F36B79"/>
    <w:rsid w:val="00F371E1"/>
    <w:rsid w:val="00F379C4"/>
    <w:rsid w:val="00F40421"/>
    <w:rsid w:val="00F40AAA"/>
    <w:rsid w:val="00F40BA7"/>
    <w:rsid w:val="00F40F20"/>
    <w:rsid w:val="00F40F9D"/>
    <w:rsid w:val="00F40FE9"/>
    <w:rsid w:val="00F41438"/>
    <w:rsid w:val="00F41ACD"/>
    <w:rsid w:val="00F41C0D"/>
    <w:rsid w:val="00F42311"/>
    <w:rsid w:val="00F423B9"/>
    <w:rsid w:val="00F433C3"/>
    <w:rsid w:val="00F43AD9"/>
    <w:rsid w:val="00F43BEC"/>
    <w:rsid w:val="00F43BFC"/>
    <w:rsid w:val="00F443CD"/>
    <w:rsid w:val="00F44636"/>
    <w:rsid w:val="00F446A9"/>
    <w:rsid w:val="00F44E95"/>
    <w:rsid w:val="00F455ED"/>
    <w:rsid w:val="00F45CC9"/>
    <w:rsid w:val="00F46CB6"/>
    <w:rsid w:val="00F4756D"/>
    <w:rsid w:val="00F47DE8"/>
    <w:rsid w:val="00F5056A"/>
    <w:rsid w:val="00F5059F"/>
    <w:rsid w:val="00F50789"/>
    <w:rsid w:val="00F5082B"/>
    <w:rsid w:val="00F50E6B"/>
    <w:rsid w:val="00F51460"/>
    <w:rsid w:val="00F51CDC"/>
    <w:rsid w:val="00F52218"/>
    <w:rsid w:val="00F52647"/>
    <w:rsid w:val="00F530BD"/>
    <w:rsid w:val="00F533E6"/>
    <w:rsid w:val="00F53A72"/>
    <w:rsid w:val="00F53F4E"/>
    <w:rsid w:val="00F53FF7"/>
    <w:rsid w:val="00F54045"/>
    <w:rsid w:val="00F542C1"/>
    <w:rsid w:val="00F54D82"/>
    <w:rsid w:val="00F550E3"/>
    <w:rsid w:val="00F550E8"/>
    <w:rsid w:val="00F55228"/>
    <w:rsid w:val="00F553C6"/>
    <w:rsid w:val="00F557B9"/>
    <w:rsid w:val="00F55C81"/>
    <w:rsid w:val="00F55E73"/>
    <w:rsid w:val="00F55EDA"/>
    <w:rsid w:val="00F56029"/>
    <w:rsid w:val="00F565CE"/>
    <w:rsid w:val="00F567E4"/>
    <w:rsid w:val="00F56C80"/>
    <w:rsid w:val="00F56E0E"/>
    <w:rsid w:val="00F5714E"/>
    <w:rsid w:val="00F57177"/>
    <w:rsid w:val="00F57195"/>
    <w:rsid w:val="00F60092"/>
    <w:rsid w:val="00F60231"/>
    <w:rsid w:val="00F60AD7"/>
    <w:rsid w:val="00F60C77"/>
    <w:rsid w:val="00F61269"/>
    <w:rsid w:val="00F613CE"/>
    <w:rsid w:val="00F61C18"/>
    <w:rsid w:val="00F61C75"/>
    <w:rsid w:val="00F61D48"/>
    <w:rsid w:val="00F620B5"/>
    <w:rsid w:val="00F62784"/>
    <w:rsid w:val="00F62867"/>
    <w:rsid w:val="00F62871"/>
    <w:rsid w:val="00F63AE2"/>
    <w:rsid w:val="00F63FAF"/>
    <w:rsid w:val="00F64348"/>
    <w:rsid w:val="00F6491B"/>
    <w:rsid w:val="00F64A9B"/>
    <w:rsid w:val="00F64F74"/>
    <w:rsid w:val="00F653D2"/>
    <w:rsid w:val="00F65EFF"/>
    <w:rsid w:val="00F65F4B"/>
    <w:rsid w:val="00F65F9E"/>
    <w:rsid w:val="00F665F3"/>
    <w:rsid w:val="00F666C3"/>
    <w:rsid w:val="00F66843"/>
    <w:rsid w:val="00F668E5"/>
    <w:rsid w:val="00F66DDF"/>
    <w:rsid w:val="00F67A69"/>
    <w:rsid w:val="00F702F3"/>
    <w:rsid w:val="00F70482"/>
    <w:rsid w:val="00F704E3"/>
    <w:rsid w:val="00F705C6"/>
    <w:rsid w:val="00F70993"/>
    <w:rsid w:val="00F70AA9"/>
    <w:rsid w:val="00F70BAD"/>
    <w:rsid w:val="00F70BFF"/>
    <w:rsid w:val="00F70C9D"/>
    <w:rsid w:val="00F70EAD"/>
    <w:rsid w:val="00F70EF3"/>
    <w:rsid w:val="00F7105E"/>
    <w:rsid w:val="00F7295B"/>
    <w:rsid w:val="00F72D06"/>
    <w:rsid w:val="00F7384C"/>
    <w:rsid w:val="00F73A02"/>
    <w:rsid w:val="00F73E08"/>
    <w:rsid w:val="00F74009"/>
    <w:rsid w:val="00F74514"/>
    <w:rsid w:val="00F74607"/>
    <w:rsid w:val="00F74B28"/>
    <w:rsid w:val="00F74CD9"/>
    <w:rsid w:val="00F75D21"/>
    <w:rsid w:val="00F77460"/>
    <w:rsid w:val="00F774C1"/>
    <w:rsid w:val="00F7754D"/>
    <w:rsid w:val="00F805B3"/>
    <w:rsid w:val="00F80A7B"/>
    <w:rsid w:val="00F80D97"/>
    <w:rsid w:val="00F80E5D"/>
    <w:rsid w:val="00F8117D"/>
    <w:rsid w:val="00F814C9"/>
    <w:rsid w:val="00F81723"/>
    <w:rsid w:val="00F81E78"/>
    <w:rsid w:val="00F822C6"/>
    <w:rsid w:val="00F827E3"/>
    <w:rsid w:val="00F828E2"/>
    <w:rsid w:val="00F83072"/>
    <w:rsid w:val="00F833D0"/>
    <w:rsid w:val="00F8341F"/>
    <w:rsid w:val="00F83916"/>
    <w:rsid w:val="00F842AD"/>
    <w:rsid w:val="00F851CE"/>
    <w:rsid w:val="00F85BAB"/>
    <w:rsid w:val="00F8607E"/>
    <w:rsid w:val="00F86AAA"/>
    <w:rsid w:val="00F87414"/>
    <w:rsid w:val="00F878EF"/>
    <w:rsid w:val="00F87963"/>
    <w:rsid w:val="00F87C15"/>
    <w:rsid w:val="00F904E6"/>
    <w:rsid w:val="00F90745"/>
    <w:rsid w:val="00F90838"/>
    <w:rsid w:val="00F90B10"/>
    <w:rsid w:val="00F90CC7"/>
    <w:rsid w:val="00F90E35"/>
    <w:rsid w:val="00F91219"/>
    <w:rsid w:val="00F913D3"/>
    <w:rsid w:val="00F91D03"/>
    <w:rsid w:val="00F920CB"/>
    <w:rsid w:val="00F92181"/>
    <w:rsid w:val="00F923E8"/>
    <w:rsid w:val="00F92444"/>
    <w:rsid w:val="00F92ACF"/>
    <w:rsid w:val="00F93053"/>
    <w:rsid w:val="00F93833"/>
    <w:rsid w:val="00F9393E"/>
    <w:rsid w:val="00F94169"/>
    <w:rsid w:val="00F94B70"/>
    <w:rsid w:val="00F94DC8"/>
    <w:rsid w:val="00F95218"/>
    <w:rsid w:val="00F95423"/>
    <w:rsid w:val="00F955D5"/>
    <w:rsid w:val="00F9563B"/>
    <w:rsid w:val="00F956BD"/>
    <w:rsid w:val="00F95B3B"/>
    <w:rsid w:val="00F95C07"/>
    <w:rsid w:val="00F95CA7"/>
    <w:rsid w:val="00F95D72"/>
    <w:rsid w:val="00F96310"/>
    <w:rsid w:val="00F963B8"/>
    <w:rsid w:val="00F964F0"/>
    <w:rsid w:val="00F966A7"/>
    <w:rsid w:val="00F966BB"/>
    <w:rsid w:val="00F966D1"/>
    <w:rsid w:val="00F96FD0"/>
    <w:rsid w:val="00F979CB"/>
    <w:rsid w:val="00F97A28"/>
    <w:rsid w:val="00F97A78"/>
    <w:rsid w:val="00F97CF1"/>
    <w:rsid w:val="00FA0B20"/>
    <w:rsid w:val="00FA1869"/>
    <w:rsid w:val="00FA24E7"/>
    <w:rsid w:val="00FA2CD9"/>
    <w:rsid w:val="00FA3165"/>
    <w:rsid w:val="00FA32DE"/>
    <w:rsid w:val="00FA3D32"/>
    <w:rsid w:val="00FA3F1C"/>
    <w:rsid w:val="00FA4672"/>
    <w:rsid w:val="00FA4A7C"/>
    <w:rsid w:val="00FA4CEA"/>
    <w:rsid w:val="00FA574E"/>
    <w:rsid w:val="00FA5EE6"/>
    <w:rsid w:val="00FA5EEE"/>
    <w:rsid w:val="00FA5F80"/>
    <w:rsid w:val="00FA620C"/>
    <w:rsid w:val="00FA6317"/>
    <w:rsid w:val="00FA671F"/>
    <w:rsid w:val="00FA6E8B"/>
    <w:rsid w:val="00FA7956"/>
    <w:rsid w:val="00FB00AC"/>
    <w:rsid w:val="00FB069B"/>
    <w:rsid w:val="00FB0824"/>
    <w:rsid w:val="00FB0AF3"/>
    <w:rsid w:val="00FB1532"/>
    <w:rsid w:val="00FB1663"/>
    <w:rsid w:val="00FB21D0"/>
    <w:rsid w:val="00FB2B55"/>
    <w:rsid w:val="00FB2FCB"/>
    <w:rsid w:val="00FB37B6"/>
    <w:rsid w:val="00FB3BCB"/>
    <w:rsid w:val="00FB3C4B"/>
    <w:rsid w:val="00FB4093"/>
    <w:rsid w:val="00FB42F8"/>
    <w:rsid w:val="00FB469B"/>
    <w:rsid w:val="00FB49D4"/>
    <w:rsid w:val="00FB4C9C"/>
    <w:rsid w:val="00FB4FE6"/>
    <w:rsid w:val="00FB5158"/>
    <w:rsid w:val="00FB5ADE"/>
    <w:rsid w:val="00FB5D98"/>
    <w:rsid w:val="00FB64A7"/>
    <w:rsid w:val="00FB6744"/>
    <w:rsid w:val="00FB6B51"/>
    <w:rsid w:val="00FB6C53"/>
    <w:rsid w:val="00FB6CBC"/>
    <w:rsid w:val="00FB75F0"/>
    <w:rsid w:val="00FB76FC"/>
    <w:rsid w:val="00FB7C55"/>
    <w:rsid w:val="00FC00FA"/>
    <w:rsid w:val="00FC028D"/>
    <w:rsid w:val="00FC0802"/>
    <w:rsid w:val="00FC0891"/>
    <w:rsid w:val="00FC0A55"/>
    <w:rsid w:val="00FC0CE7"/>
    <w:rsid w:val="00FC1074"/>
    <w:rsid w:val="00FC1742"/>
    <w:rsid w:val="00FC1884"/>
    <w:rsid w:val="00FC1B0B"/>
    <w:rsid w:val="00FC1DB3"/>
    <w:rsid w:val="00FC206C"/>
    <w:rsid w:val="00FC219B"/>
    <w:rsid w:val="00FC2F92"/>
    <w:rsid w:val="00FC32F5"/>
    <w:rsid w:val="00FC3502"/>
    <w:rsid w:val="00FC371D"/>
    <w:rsid w:val="00FC3790"/>
    <w:rsid w:val="00FC3C77"/>
    <w:rsid w:val="00FC3FD5"/>
    <w:rsid w:val="00FC4E1F"/>
    <w:rsid w:val="00FC58D7"/>
    <w:rsid w:val="00FC59FB"/>
    <w:rsid w:val="00FC5AE1"/>
    <w:rsid w:val="00FC5D9F"/>
    <w:rsid w:val="00FC5F0B"/>
    <w:rsid w:val="00FC6B0A"/>
    <w:rsid w:val="00FC6C26"/>
    <w:rsid w:val="00FC6D31"/>
    <w:rsid w:val="00FC7014"/>
    <w:rsid w:val="00FC7338"/>
    <w:rsid w:val="00FC7372"/>
    <w:rsid w:val="00FD04C5"/>
    <w:rsid w:val="00FD0D1A"/>
    <w:rsid w:val="00FD1D23"/>
    <w:rsid w:val="00FD1FE7"/>
    <w:rsid w:val="00FD2100"/>
    <w:rsid w:val="00FD2609"/>
    <w:rsid w:val="00FD2F39"/>
    <w:rsid w:val="00FD3036"/>
    <w:rsid w:val="00FD34B2"/>
    <w:rsid w:val="00FD356C"/>
    <w:rsid w:val="00FD40C0"/>
    <w:rsid w:val="00FD436C"/>
    <w:rsid w:val="00FD446D"/>
    <w:rsid w:val="00FD453A"/>
    <w:rsid w:val="00FD4773"/>
    <w:rsid w:val="00FD47B0"/>
    <w:rsid w:val="00FD48C2"/>
    <w:rsid w:val="00FD4F2C"/>
    <w:rsid w:val="00FD4F69"/>
    <w:rsid w:val="00FD4F8A"/>
    <w:rsid w:val="00FD527B"/>
    <w:rsid w:val="00FD606D"/>
    <w:rsid w:val="00FD623B"/>
    <w:rsid w:val="00FD6394"/>
    <w:rsid w:val="00FD6C46"/>
    <w:rsid w:val="00FD6E61"/>
    <w:rsid w:val="00FD6E97"/>
    <w:rsid w:val="00FD6F3C"/>
    <w:rsid w:val="00FD712D"/>
    <w:rsid w:val="00FD757E"/>
    <w:rsid w:val="00FD7779"/>
    <w:rsid w:val="00FD7FB3"/>
    <w:rsid w:val="00FE0099"/>
    <w:rsid w:val="00FE0852"/>
    <w:rsid w:val="00FE0E6C"/>
    <w:rsid w:val="00FE1CDC"/>
    <w:rsid w:val="00FE1F62"/>
    <w:rsid w:val="00FE2068"/>
    <w:rsid w:val="00FE27E7"/>
    <w:rsid w:val="00FE28A2"/>
    <w:rsid w:val="00FE30C5"/>
    <w:rsid w:val="00FE3AC1"/>
    <w:rsid w:val="00FE3E71"/>
    <w:rsid w:val="00FE41EF"/>
    <w:rsid w:val="00FE463D"/>
    <w:rsid w:val="00FE4890"/>
    <w:rsid w:val="00FE4ABA"/>
    <w:rsid w:val="00FE5846"/>
    <w:rsid w:val="00FE5B09"/>
    <w:rsid w:val="00FE632C"/>
    <w:rsid w:val="00FE70C3"/>
    <w:rsid w:val="00FE7929"/>
    <w:rsid w:val="00FE7D7F"/>
    <w:rsid w:val="00FE7E75"/>
    <w:rsid w:val="00FE7FDE"/>
    <w:rsid w:val="00FF07B9"/>
    <w:rsid w:val="00FF0A32"/>
    <w:rsid w:val="00FF0F9C"/>
    <w:rsid w:val="00FF1A8B"/>
    <w:rsid w:val="00FF1E1C"/>
    <w:rsid w:val="00FF23C3"/>
    <w:rsid w:val="00FF2AD9"/>
    <w:rsid w:val="00FF32BE"/>
    <w:rsid w:val="00FF359F"/>
    <w:rsid w:val="00FF3DCF"/>
    <w:rsid w:val="00FF4114"/>
    <w:rsid w:val="00FF4762"/>
    <w:rsid w:val="00FF492C"/>
    <w:rsid w:val="00FF4A21"/>
    <w:rsid w:val="00FF55CD"/>
    <w:rsid w:val="00FF5AA3"/>
    <w:rsid w:val="00FF5AD8"/>
    <w:rsid w:val="00FF69C2"/>
    <w:rsid w:val="00FF715E"/>
    <w:rsid w:val="00FF74E4"/>
    <w:rsid w:val="00FF769E"/>
    <w:rsid w:val="00FF78B8"/>
    <w:rsid w:val="00FF7B40"/>
    <w:rsid w:val="00FF7C29"/>
    <w:rsid w:val="00FF7C7A"/>
    <w:rsid w:val="11739D53"/>
    <w:rsid w:val="5BA555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18"/>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Bullet,- H17,Bayer Caption,IB Caption,Medical Caption,B Caption,Caption Char2 Char,Caption Char Char Char2,Caption Char1 Char Char Char1,Caption Char2 Char Char Char1 Char1,Caption Char Char1 Char Char Char1 Char1,Caption2"/>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Bullet Char,- H17 Char,Bayer Caption Char,IB Caption Char,Medical Caption Char,B Caption Char,Caption Char2 Char Char,Caption Char Char Char2 Char,Caption Char1 Char Char Char1 Char,Caption2 Char"/>
    <w:link w:val="Caption"/>
    <w:qFormat/>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L,n"/>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HealthConsult,new style,RTI AMCP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aliases w:val="Hyperlink - H39"/>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5D2FBD"/>
    <w:pPr>
      <w:framePr w:hSpace="180" w:wrap="around" w:vAnchor="text" w:hAnchor="text" w:y="1"/>
      <w:ind w:left="-23"/>
      <w:suppressOverlap/>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631FD5"/>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31FD5"/>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404D38"/>
    <w:pPr>
      <w:shd w:val="clear" w:color="auto" w:fill="FFFFFF" w:themeFill="background1"/>
      <w:spacing w:after="120"/>
      <w:ind w:left="113"/>
      <w:contextualSpacing/>
      <w:jc w:val="left"/>
    </w:pPr>
    <w:rPr>
      <w:rFonts w:ascii="Arial Narrow" w:hAnsi="Arial Narrow"/>
      <w:snapToGrid w:val="0"/>
      <w:color w:val="000000" w:themeColor="text1"/>
      <w:sz w:val="18"/>
      <w:szCs w:val="20"/>
      <w:shd w:val="clear" w:color="auto" w:fill="DBE5F1" w:themeFill="accent1" w:themeFillTint="33"/>
    </w:rPr>
  </w:style>
  <w:style w:type="character" w:customStyle="1" w:styleId="TableFigureFooterChar">
    <w:name w:val="Table/Figure Footer Char"/>
    <w:link w:val="TableFigureFooter"/>
    <w:rsid w:val="00404D38"/>
    <w:rPr>
      <w:rFonts w:ascii="Arial Narrow" w:hAnsi="Arial Narrow" w:cs="Arial"/>
      <w:snapToGrid w:val="0"/>
      <w:color w:val="000000" w:themeColor="text1"/>
      <w:sz w:val="18"/>
      <w:shd w:val="clear" w:color="auto" w:fill="FFFFFF" w:themeFill="background1"/>
    </w:rPr>
  </w:style>
  <w:style w:type="paragraph" w:styleId="FootnoteText">
    <w:name w:val="footnote text"/>
    <w:basedOn w:val="Normal"/>
    <w:link w:val="FootnoteTextChar"/>
    <w:unhideWhenUsed/>
    <w:qFormat/>
    <w:rsid w:val="00B50D58"/>
    <w:rPr>
      <w:sz w:val="20"/>
      <w:szCs w:val="20"/>
    </w:rPr>
  </w:style>
  <w:style w:type="character" w:customStyle="1" w:styleId="FootnoteTextChar">
    <w:name w:val="Footnote Text Char"/>
    <w:basedOn w:val="DefaultParagraphFont"/>
    <w:link w:val="FootnoteText"/>
    <w:rsid w:val="00B50D58"/>
    <w:rPr>
      <w:rFonts w:ascii="Calibri" w:hAnsi="Calibri" w:cs="Arial"/>
    </w:rPr>
  </w:style>
  <w:style w:type="character" w:styleId="FootnoteReference">
    <w:name w:val="footnote reference"/>
    <w:basedOn w:val="DefaultParagraphFont"/>
    <w:uiPriority w:val="99"/>
    <w:semiHidden/>
    <w:unhideWhenUsed/>
    <w:rsid w:val="00B50D58"/>
    <w:rPr>
      <w:vertAlign w:val="superscript"/>
    </w:rPr>
  </w:style>
  <w:style w:type="paragraph" w:customStyle="1" w:styleId="Bulletlist1">
    <w:name w:val="Bullet list 1"/>
    <w:basedOn w:val="Normal"/>
    <w:qFormat/>
    <w:rsid w:val="00C95FB7"/>
    <w:pPr>
      <w:keepLines/>
      <w:numPr>
        <w:numId w:val="8"/>
      </w:numPr>
      <w:spacing w:before="120" w:after="120" w:line="360" w:lineRule="auto"/>
      <w:jc w:val="left"/>
    </w:pPr>
    <w:rPr>
      <w:rFonts w:ascii="Arial" w:eastAsiaTheme="minorHAnsi" w:hAnsi="Arial"/>
      <w:sz w:val="22"/>
      <w:szCs w:val="22"/>
      <w:lang w:val="en-GB" w:eastAsia="en-US"/>
    </w:rPr>
  </w:style>
  <w:style w:type="table" w:customStyle="1" w:styleId="Submissionstandard">
    <w:name w:val="Submission standard"/>
    <w:basedOn w:val="TableNormal"/>
    <w:uiPriority w:val="99"/>
    <w:qFormat/>
    <w:rsid w:val="00221F71"/>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Open Sans" w:hAnsi="Open Sans"/>
        <w:b/>
        <w:sz w:val="20"/>
      </w:rPr>
      <w:tblPr/>
      <w:tcPr>
        <w:shd w:val="clear" w:color="auto" w:fill="BFBFBF" w:themeFill="background1" w:themeFillShade="BF"/>
      </w:tcPr>
    </w:tblStylePr>
  </w:style>
  <w:style w:type="paragraph" w:customStyle="1" w:styleId="Reporttext">
    <w:name w:val="Report text"/>
    <w:basedOn w:val="Normal"/>
    <w:link w:val="ReporttextChar"/>
    <w:qFormat/>
    <w:rsid w:val="009E133E"/>
    <w:pPr>
      <w:spacing w:after="120" w:line="380" w:lineRule="exact"/>
    </w:pPr>
    <w:rPr>
      <w:rFonts w:eastAsia="Calibri"/>
      <w:sz w:val="22"/>
      <w:szCs w:val="22"/>
      <w:lang w:val="en-GB" w:eastAsia="en-US"/>
      <w14:ligatures w14:val="standardContextual"/>
    </w:rPr>
  </w:style>
  <w:style w:type="character" w:customStyle="1" w:styleId="ReporttextChar">
    <w:name w:val="Report text Char"/>
    <w:link w:val="Reporttext"/>
    <w:rsid w:val="009E133E"/>
    <w:rPr>
      <w:rFonts w:ascii="Calibri" w:eastAsia="Calibri" w:hAnsi="Calibri" w:cs="Arial"/>
      <w:sz w:val="22"/>
      <w:szCs w:val="22"/>
      <w:lang w:val="en-GB" w:eastAsia="en-US"/>
      <w14:ligatures w14:val="standardContextual"/>
    </w:rPr>
  </w:style>
  <w:style w:type="character" w:customStyle="1" w:styleId="cf01">
    <w:name w:val="cf01"/>
    <w:basedOn w:val="DefaultParagraphFont"/>
    <w:rsid w:val="009E133E"/>
    <w:rPr>
      <w:rFonts w:ascii="Segoe UI" w:hAnsi="Segoe UI" w:cs="Segoe UI" w:hint="default"/>
      <w:sz w:val="18"/>
      <w:szCs w:val="18"/>
    </w:rPr>
  </w:style>
  <w:style w:type="character" w:styleId="UnresolvedMention">
    <w:name w:val="Unresolved Mention"/>
    <w:basedOn w:val="DefaultParagraphFont"/>
    <w:uiPriority w:val="99"/>
    <w:semiHidden/>
    <w:unhideWhenUsed/>
    <w:rsid w:val="009E133E"/>
    <w:rPr>
      <w:color w:val="605E5C"/>
      <w:shd w:val="clear" w:color="auto" w:fill="E1DFDD"/>
    </w:rPr>
  </w:style>
  <w:style w:type="character" w:customStyle="1" w:styleId="Heading1Char">
    <w:name w:val="Heading 1 Char"/>
    <w:basedOn w:val="DefaultParagraphFont"/>
    <w:link w:val="Heading1"/>
    <w:uiPriority w:val="9"/>
    <w:rsid w:val="00875408"/>
    <w:rPr>
      <w:rFonts w:ascii="Calibri" w:hAnsi="Calibri" w:cs="Arial"/>
      <w:b/>
      <w:caps/>
      <w:sz w:val="32"/>
      <w:szCs w:val="24"/>
    </w:rPr>
  </w:style>
  <w:style w:type="character" w:customStyle="1" w:styleId="Heading3Char">
    <w:name w:val="Heading 3 Char"/>
    <w:basedOn w:val="DefaultParagraphFont"/>
    <w:link w:val="Heading3"/>
    <w:rsid w:val="00875408"/>
    <w:rPr>
      <w:rFonts w:ascii="Calibri" w:hAnsi="Calibri" w:cs="Arial"/>
      <w:sz w:val="24"/>
      <w:szCs w:val="24"/>
      <w:u w:val="single"/>
    </w:rPr>
  </w:style>
  <w:style w:type="character" w:customStyle="1" w:styleId="Heading4Char">
    <w:name w:val="Heading 4 Char"/>
    <w:basedOn w:val="DefaultParagraphFont"/>
    <w:link w:val="Heading4"/>
    <w:rsid w:val="00875408"/>
    <w:rPr>
      <w:rFonts w:ascii="Calibri" w:hAnsi="Calibri" w:cs="Arial"/>
      <w:b/>
      <w:bCs/>
      <w:i/>
      <w:sz w:val="26"/>
      <w:szCs w:val="28"/>
    </w:rPr>
  </w:style>
  <w:style w:type="character" w:customStyle="1" w:styleId="Heading5Char">
    <w:name w:val="Heading 5 Char"/>
    <w:basedOn w:val="DefaultParagraphFont"/>
    <w:link w:val="Heading5"/>
    <w:rsid w:val="00875408"/>
    <w:rPr>
      <w:rFonts w:ascii="Calibri" w:hAnsi="Calibri" w:cs="Arial"/>
      <w:b/>
      <w:bCs/>
      <w:iCs/>
      <w:sz w:val="26"/>
      <w:szCs w:val="26"/>
    </w:rPr>
  </w:style>
  <w:style w:type="character" w:customStyle="1" w:styleId="Heading6Char">
    <w:name w:val="Heading 6 Char"/>
    <w:basedOn w:val="DefaultParagraphFont"/>
    <w:link w:val="Heading6"/>
    <w:rsid w:val="00875408"/>
    <w:rPr>
      <w:rFonts w:ascii="Calibri" w:hAnsi="Calibri" w:cs="Arial"/>
      <w:b/>
      <w:bCs/>
      <w:i/>
      <w:sz w:val="24"/>
      <w:szCs w:val="24"/>
    </w:rPr>
  </w:style>
  <w:style w:type="character" w:styleId="PlaceholderText">
    <w:name w:val="Placeholder Text"/>
    <w:basedOn w:val="DefaultParagraphFont"/>
    <w:uiPriority w:val="99"/>
    <w:semiHidden/>
    <w:rsid w:val="00875408"/>
    <w:rPr>
      <w:color w:val="666666"/>
    </w:rPr>
  </w:style>
  <w:style w:type="paragraph" w:customStyle="1" w:styleId="ReporttextSource">
    <w:name w:val="Report text_Source"/>
    <w:basedOn w:val="Normal"/>
    <w:link w:val="ReporttextSourceChar"/>
    <w:qFormat/>
    <w:rsid w:val="00404D38"/>
    <w:pPr>
      <w:spacing w:before="240" w:after="120" w:line="360" w:lineRule="auto"/>
    </w:pPr>
    <w:rPr>
      <w:rFonts w:asciiTheme="minorHAnsi" w:eastAsiaTheme="minorHAnsi" w:hAnsiTheme="minorHAnsi" w:cstheme="minorBidi"/>
      <w:sz w:val="22"/>
      <w:szCs w:val="22"/>
      <w:lang w:val="en-GB" w:eastAsia="en-US"/>
    </w:rPr>
  </w:style>
  <w:style w:type="character" w:customStyle="1" w:styleId="ReporttextSourceChar">
    <w:name w:val="Report text_Source Char"/>
    <w:basedOn w:val="DefaultParagraphFont"/>
    <w:link w:val="ReporttextSource"/>
    <w:rsid w:val="00404D38"/>
    <w:rPr>
      <w:rFonts w:asciiTheme="minorHAnsi" w:eastAsiaTheme="minorHAnsi" w:hAnsiTheme="minorHAnsi" w:cstheme="minorBidi"/>
      <w:sz w:val="22"/>
      <w:szCs w:val="22"/>
      <w:lang w:val="en-GB" w:eastAsia="en-US"/>
    </w:rPr>
  </w:style>
  <w:style w:type="character" w:customStyle="1" w:styleId="text-widget">
    <w:name w:val="text-widget"/>
    <w:basedOn w:val="DefaultParagraphFont"/>
    <w:rsid w:val="00824CC1"/>
  </w:style>
  <w:style w:type="character" w:customStyle="1" w:styleId="cf11">
    <w:name w:val="cf11"/>
    <w:basedOn w:val="DefaultParagraphFont"/>
    <w:rsid w:val="00824CC1"/>
    <w:rPr>
      <w:rFonts w:ascii="Segoe UI" w:hAnsi="Segoe UI" w:cs="Segoe UI" w:hint="default"/>
      <w:sz w:val="18"/>
      <w:szCs w:val="18"/>
    </w:rPr>
  </w:style>
  <w:style w:type="character" w:styleId="Mention">
    <w:name w:val="Mention"/>
    <w:basedOn w:val="DefaultParagraphFont"/>
    <w:uiPriority w:val="99"/>
    <w:unhideWhenUsed/>
    <w:rsid w:val="00824CC1"/>
    <w:rPr>
      <w:color w:val="2B579A"/>
      <w:shd w:val="clear" w:color="auto" w:fill="E1DFDD"/>
    </w:rPr>
  </w:style>
  <w:style w:type="paragraph" w:customStyle="1" w:styleId="3-SubsectionHeading">
    <w:name w:val="3-Subsection Heading"/>
    <w:basedOn w:val="Heading2"/>
    <w:next w:val="Normal"/>
    <w:link w:val="3-SubsectionHeadingChar"/>
    <w:qFormat/>
    <w:rsid w:val="008328F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328FD"/>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7486019">
      <w:bodyDiv w:val="1"/>
      <w:marLeft w:val="0"/>
      <w:marRight w:val="0"/>
      <w:marTop w:val="0"/>
      <w:marBottom w:val="0"/>
      <w:divBdr>
        <w:top w:val="none" w:sz="0" w:space="0" w:color="auto"/>
        <w:left w:val="none" w:sz="0" w:space="0" w:color="auto"/>
        <w:bottom w:val="none" w:sz="0" w:space="0" w:color="auto"/>
        <w:right w:val="none" w:sz="0" w:space="0" w:color="auto"/>
      </w:divBdr>
    </w:div>
    <w:div w:id="328993413">
      <w:bodyDiv w:val="1"/>
      <w:marLeft w:val="0"/>
      <w:marRight w:val="0"/>
      <w:marTop w:val="0"/>
      <w:marBottom w:val="0"/>
      <w:divBdr>
        <w:top w:val="none" w:sz="0" w:space="0" w:color="auto"/>
        <w:left w:val="none" w:sz="0" w:space="0" w:color="auto"/>
        <w:bottom w:val="none" w:sz="0" w:space="0" w:color="auto"/>
        <w:right w:val="none" w:sz="0" w:space="0" w:color="auto"/>
      </w:divBdr>
    </w:div>
    <w:div w:id="404569089">
      <w:bodyDiv w:val="1"/>
      <w:marLeft w:val="0"/>
      <w:marRight w:val="0"/>
      <w:marTop w:val="0"/>
      <w:marBottom w:val="0"/>
      <w:divBdr>
        <w:top w:val="none" w:sz="0" w:space="0" w:color="auto"/>
        <w:left w:val="none" w:sz="0" w:space="0" w:color="auto"/>
        <w:bottom w:val="none" w:sz="0" w:space="0" w:color="auto"/>
        <w:right w:val="none" w:sz="0" w:space="0" w:color="auto"/>
      </w:divBdr>
    </w:div>
    <w:div w:id="468210215">
      <w:bodyDiv w:val="1"/>
      <w:marLeft w:val="0"/>
      <w:marRight w:val="0"/>
      <w:marTop w:val="0"/>
      <w:marBottom w:val="0"/>
      <w:divBdr>
        <w:top w:val="none" w:sz="0" w:space="0" w:color="auto"/>
        <w:left w:val="none" w:sz="0" w:space="0" w:color="auto"/>
        <w:bottom w:val="none" w:sz="0" w:space="0" w:color="auto"/>
        <w:right w:val="none" w:sz="0" w:space="0" w:color="auto"/>
      </w:divBdr>
    </w:div>
    <w:div w:id="481316477">
      <w:bodyDiv w:val="1"/>
      <w:marLeft w:val="0"/>
      <w:marRight w:val="0"/>
      <w:marTop w:val="0"/>
      <w:marBottom w:val="0"/>
      <w:divBdr>
        <w:top w:val="none" w:sz="0" w:space="0" w:color="auto"/>
        <w:left w:val="none" w:sz="0" w:space="0" w:color="auto"/>
        <w:bottom w:val="none" w:sz="0" w:space="0" w:color="auto"/>
        <w:right w:val="none" w:sz="0" w:space="0" w:color="auto"/>
      </w:divBdr>
    </w:div>
    <w:div w:id="658969035">
      <w:bodyDiv w:val="1"/>
      <w:marLeft w:val="0"/>
      <w:marRight w:val="0"/>
      <w:marTop w:val="0"/>
      <w:marBottom w:val="0"/>
      <w:divBdr>
        <w:top w:val="none" w:sz="0" w:space="0" w:color="auto"/>
        <w:left w:val="none" w:sz="0" w:space="0" w:color="auto"/>
        <w:bottom w:val="none" w:sz="0" w:space="0" w:color="auto"/>
        <w:right w:val="none" w:sz="0" w:space="0" w:color="auto"/>
      </w:divBdr>
    </w:div>
    <w:div w:id="77667991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7085705">
      <w:bodyDiv w:val="1"/>
      <w:marLeft w:val="0"/>
      <w:marRight w:val="0"/>
      <w:marTop w:val="0"/>
      <w:marBottom w:val="0"/>
      <w:divBdr>
        <w:top w:val="none" w:sz="0" w:space="0" w:color="auto"/>
        <w:left w:val="none" w:sz="0" w:space="0" w:color="auto"/>
        <w:bottom w:val="none" w:sz="0" w:space="0" w:color="auto"/>
        <w:right w:val="none" w:sz="0" w:space="0" w:color="auto"/>
      </w:divBdr>
    </w:div>
    <w:div w:id="884365603">
      <w:bodyDiv w:val="1"/>
      <w:marLeft w:val="0"/>
      <w:marRight w:val="0"/>
      <w:marTop w:val="0"/>
      <w:marBottom w:val="0"/>
      <w:divBdr>
        <w:top w:val="none" w:sz="0" w:space="0" w:color="auto"/>
        <w:left w:val="none" w:sz="0" w:space="0" w:color="auto"/>
        <w:bottom w:val="none" w:sz="0" w:space="0" w:color="auto"/>
        <w:right w:val="none" w:sz="0" w:space="0" w:color="auto"/>
      </w:divBdr>
    </w:div>
    <w:div w:id="110461084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4005318">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83148716">
      <w:bodyDiv w:val="1"/>
      <w:marLeft w:val="0"/>
      <w:marRight w:val="0"/>
      <w:marTop w:val="0"/>
      <w:marBottom w:val="0"/>
      <w:divBdr>
        <w:top w:val="none" w:sz="0" w:space="0" w:color="auto"/>
        <w:left w:val="none" w:sz="0" w:space="0" w:color="auto"/>
        <w:bottom w:val="none" w:sz="0" w:space="0" w:color="auto"/>
        <w:right w:val="none" w:sz="0" w:space="0" w:color="auto"/>
      </w:divBdr>
    </w:div>
    <w:div w:id="1322466407">
      <w:bodyDiv w:val="1"/>
      <w:marLeft w:val="0"/>
      <w:marRight w:val="0"/>
      <w:marTop w:val="0"/>
      <w:marBottom w:val="0"/>
      <w:divBdr>
        <w:top w:val="none" w:sz="0" w:space="0" w:color="auto"/>
        <w:left w:val="none" w:sz="0" w:space="0" w:color="auto"/>
        <w:bottom w:val="none" w:sz="0" w:space="0" w:color="auto"/>
        <w:right w:val="none" w:sz="0" w:space="0" w:color="auto"/>
      </w:divBdr>
    </w:div>
    <w:div w:id="1586307136">
      <w:bodyDiv w:val="1"/>
      <w:marLeft w:val="0"/>
      <w:marRight w:val="0"/>
      <w:marTop w:val="0"/>
      <w:marBottom w:val="0"/>
      <w:divBdr>
        <w:top w:val="none" w:sz="0" w:space="0" w:color="auto"/>
        <w:left w:val="none" w:sz="0" w:space="0" w:color="auto"/>
        <w:bottom w:val="none" w:sz="0" w:space="0" w:color="auto"/>
        <w:right w:val="none" w:sz="0" w:space="0" w:color="auto"/>
      </w:divBdr>
    </w:div>
    <w:div w:id="1587573776">
      <w:bodyDiv w:val="1"/>
      <w:marLeft w:val="0"/>
      <w:marRight w:val="0"/>
      <w:marTop w:val="0"/>
      <w:marBottom w:val="0"/>
      <w:divBdr>
        <w:top w:val="none" w:sz="0" w:space="0" w:color="auto"/>
        <w:left w:val="none" w:sz="0" w:space="0" w:color="auto"/>
        <w:bottom w:val="none" w:sz="0" w:space="0" w:color="auto"/>
        <w:right w:val="none" w:sz="0" w:space="0" w:color="auto"/>
      </w:divBdr>
    </w:div>
    <w:div w:id="183383524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00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D66CC-F39A-4DA3-96CC-DD7D084EC096}">
  <ds:schemaRefs>
    <ds:schemaRef ds:uri="http://purl.org/dc/elements/1.1/"/>
    <ds:schemaRef ds:uri="http://schemas.microsoft.com/office/2006/metadata/properties"/>
    <ds:schemaRef ds:uri="7f856f8d-13b3-495a-9a4b-41f8182eda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f95629-adac-4ec1-8738-e1cec852b92b"/>
    <ds:schemaRef ds:uri="http://www.w3.org/XML/1998/namespace"/>
    <ds:schemaRef ds:uri="http://purl.org/dc/dcmitype/"/>
  </ds:schemaRefs>
</ds:datastoreItem>
</file>

<file path=customXml/itemProps2.xml><?xml version="1.0" encoding="utf-8"?>
<ds:datastoreItem xmlns:ds="http://schemas.openxmlformats.org/officeDocument/2006/customXml" ds:itemID="{296FBC7F-22CF-40FB-9452-918AC6999939}">
  <ds:schemaRefs>
    <ds:schemaRef ds:uri="http://schemas.openxmlformats.org/officeDocument/2006/bibliography"/>
  </ds:schemaRefs>
</ds:datastoreItem>
</file>

<file path=customXml/itemProps3.xml><?xml version="1.0" encoding="utf-8"?>
<ds:datastoreItem xmlns:ds="http://schemas.openxmlformats.org/officeDocument/2006/customXml" ds:itemID="{9DEBC716-C1F2-405F-8556-54982F2F7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EC179-9F66-4AA2-91C9-01AB5136910D}">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22736</Words>
  <Characters>122421</Characters>
  <Application>Microsoft Office Word</Application>
  <DocSecurity>0</DocSecurity>
  <Lines>1020</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2025-06-24T04:24:00Z</dcterms:created>
  <dcterms:modified xsi:type="dcterms:W3CDTF">2025-07-16T11:03:00Z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