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60C9A" w14:textId="77777777" w:rsidR="00455CC1" w:rsidRPr="00455CC1" w:rsidRDefault="00455CC1" w:rsidP="00455CC1">
      <w:pPr>
        <w:rPr>
          <w:rFonts w:cs="Calibri"/>
        </w:rPr>
      </w:pPr>
    </w:p>
    <w:p w14:paraId="181DB627" w14:textId="0C724908" w:rsidR="00872E8F" w:rsidRPr="00A6439B" w:rsidRDefault="00254FCB" w:rsidP="007A5C88">
      <w:pPr>
        <w:pStyle w:val="1MainTitle"/>
        <w:jc w:val="left"/>
      </w:pPr>
      <w:r>
        <w:t>5.2</w:t>
      </w:r>
      <w:r w:rsidR="00DC0064">
        <w:t>8</w:t>
      </w:r>
      <w:r w:rsidR="00872E8F" w:rsidRPr="00A6439B">
        <w:tab/>
      </w:r>
      <w:r w:rsidR="007E41CB" w:rsidRPr="007E41CB">
        <w:t>OMALIZUMAB</w:t>
      </w:r>
      <w:r w:rsidR="70971A32" w:rsidRPr="00A6439B">
        <w:t>,</w:t>
      </w:r>
      <w:r w:rsidR="00872E8F" w:rsidRPr="00A6439B">
        <w:br/>
      </w:r>
      <w:r w:rsidR="00C0351B" w:rsidRPr="00C0351B">
        <w:t>Injection 75 mg in 0.5 mL single dose pre-filled syringe</w:t>
      </w:r>
      <w:r w:rsidR="70971A32" w:rsidRPr="00A6439B">
        <w:t>,</w:t>
      </w:r>
      <w:r w:rsidR="00C0351B">
        <w:t xml:space="preserve"> </w:t>
      </w:r>
      <w:r w:rsidR="00905225">
        <w:br/>
      </w:r>
      <w:r w:rsidR="001F35F5" w:rsidRPr="001F35F5">
        <w:t>Injection 150 mg in 1 mL single dose pre-filled syringe</w:t>
      </w:r>
      <w:r w:rsidR="001F35F5">
        <w:t xml:space="preserve">, </w:t>
      </w:r>
      <w:r w:rsidR="00905225">
        <w:br/>
      </w:r>
      <w:r w:rsidR="006141AB" w:rsidRPr="006141AB">
        <w:t>Injection 300 mg in 2 mL single dose pre-filled syringe</w:t>
      </w:r>
      <w:r w:rsidR="006141AB">
        <w:t xml:space="preserve">, </w:t>
      </w:r>
      <w:r w:rsidR="00905225">
        <w:br/>
      </w:r>
      <w:r w:rsidR="00872FDB" w:rsidRPr="00872FDB">
        <w:t>Injection 75 mg in 0.5 mL single dose pre-filled pen</w:t>
      </w:r>
      <w:r w:rsidR="00872FDB">
        <w:t xml:space="preserve">, </w:t>
      </w:r>
      <w:r w:rsidR="00280147" w:rsidRPr="00280147">
        <w:t>Injection 150 mg in 1 mL single dose pre-filled pen</w:t>
      </w:r>
      <w:r w:rsidR="00280147">
        <w:t xml:space="preserve">, </w:t>
      </w:r>
      <w:r w:rsidR="00D00C3C" w:rsidRPr="00D00C3C">
        <w:t>Injection 300 mg in 2 mL single dose pre-filled pen</w:t>
      </w:r>
      <w:r w:rsidR="00F93E94">
        <w:t>,</w:t>
      </w:r>
      <w:r w:rsidR="00872E8F" w:rsidRPr="00A6439B">
        <w:br/>
      </w:r>
      <w:r w:rsidR="007C5E49" w:rsidRPr="007C5E49">
        <w:t>Xolair</w:t>
      </w:r>
      <w:r w:rsidR="70971A32" w:rsidRPr="00A6439B">
        <w:t>®,</w:t>
      </w:r>
      <w:r w:rsidR="00872E8F" w:rsidRPr="00A6439B">
        <w:br/>
      </w:r>
      <w:r w:rsidR="00C332EB" w:rsidRPr="00C332EB">
        <w:t>NOVARTIS PHARMACEUTICALS AUSTRALIA PTY LIMITED</w:t>
      </w:r>
    </w:p>
    <w:p w14:paraId="5F4D54C1" w14:textId="277149BB" w:rsidR="00E11F44" w:rsidRPr="00A6439B" w:rsidRDefault="007E490F" w:rsidP="00423283">
      <w:pPr>
        <w:pStyle w:val="2-SectionHeading"/>
        <w:spacing w:before="0"/>
        <w:rPr>
          <w:rFonts w:cstheme="minorHAnsi"/>
          <w:color w:val="FF0000"/>
        </w:rPr>
      </w:pPr>
      <w:r w:rsidRPr="007E1673">
        <w:t xml:space="preserve">Purpose of </w:t>
      </w:r>
      <w:r w:rsidR="00FA0B04" w:rsidRPr="007E1673">
        <w:t>Submission</w:t>
      </w:r>
    </w:p>
    <w:p w14:paraId="607C69DB" w14:textId="52F9CF11" w:rsidR="000741E5" w:rsidRDefault="006C6C10" w:rsidP="00423283">
      <w:pPr>
        <w:pStyle w:val="3-BodyText"/>
        <w:spacing w:before="0"/>
      </w:pPr>
      <w:r w:rsidRPr="00A6439B">
        <w:t xml:space="preserve">The Category </w:t>
      </w:r>
      <w:r w:rsidR="00A65D27">
        <w:t>4</w:t>
      </w:r>
      <w:r w:rsidRPr="00A6439B">
        <w:t xml:space="preserve"> submission </w:t>
      </w:r>
      <w:r w:rsidR="00244BEC" w:rsidRPr="00A6439B">
        <w:t>requested</w:t>
      </w:r>
      <w:r w:rsidRPr="00A6439B">
        <w:t xml:space="preserve"> </w:t>
      </w:r>
      <w:r w:rsidR="000F1B58">
        <w:t xml:space="preserve">Section 100 (Highly Specialised Drugs Program) Authority Required listings </w:t>
      </w:r>
      <w:r w:rsidR="00E7414E">
        <w:t>for</w:t>
      </w:r>
      <w:r w:rsidR="000F1B58">
        <w:t xml:space="preserve"> </w:t>
      </w:r>
      <w:r w:rsidR="00E306D2">
        <w:t xml:space="preserve">the following </w:t>
      </w:r>
      <w:r w:rsidR="00670EAA">
        <w:t>new forms of omalizumab (</w:t>
      </w:r>
      <w:r w:rsidR="00670EAA" w:rsidRPr="00AF1159">
        <w:t>Xolair®</w:t>
      </w:r>
      <w:r w:rsidR="00670EAA">
        <w:t>)</w:t>
      </w:r>
      <w:r w:rsidR="00B835DC" w:rsidRPr="00B835DC">
        <w:t>:</w:t>
      </w:r>
    </w:p>
    <w:p w14:paraId="1E2C7A03" w14:textId="4263FD32" w:rsidR="00C504A5" w:rsidRPr="00C504A5" w:rsidRDefault="00C504A5" w:rsidP="00423283">
      <w:pPr>
        <w:pStyle w:val="3-BodyText"/>
        <w:numPr>
          <w:ilvl w:val="0"/>
          <w:numId w:val="20"/>
        </w:numPr>
        <w:spacing w:before="0"/>
      </w:pPr>
      <w:r w:rsidRPr="00C504A5">
        <w:t>A new strength of 300</w:t>
      </w:r>
      <w:r w:rsidR="00250AAC">
        <w:t> </w:t>
      </w:r>
      <w:r w:rsidRPr="00C504A5">
        <w:t>mg</w:t>
      </w:r>
      <w:r w:rsidR="00BA2B3B">
        <w:t>/</w:t>
      </w:r>
      <w:r w:rsidRPr="00C504A5">
        <w:t>2</w:t>
      </w:r>
      <w:r w:rsidR="00250AAC">
        <w:t> </w:t>
      </w:r>
      <w:r w:rsidRPr="00C504A5">
        <w:t xml:space="preserve">mL injection </w:t>
      </w:r>
    </w:p>
    <w:p w14:paraId="2B518F45" w14:textId="7B765432" w:rsidR="00C504A5" w:rsidRPr="00C504A5" w:rsidRDefault="00C504A5" w:rsidP="00423283">
      <w:pPr>
        <w:pStyle w:val="3-BodyText"/>
        <w:numPr>
          <w:ilvl w:val="0"/>
          <w:numId w:val="20"/>
        </w:numPr>
        <w:spacing w:before="0"/>
      </w:pPr>
      <w:r w:rsidRPr="00C504A5">
        <w:t>New pre-filled pen (PFP) forms in 75</w:t>
      </w:r>
      <w:r w:rsidR="00101098">
        <w:t> </w:t>
      </w:r>
      <w:r w:rsidRPr="00C504A5">
        <w:t>mg</w:t>
      </w:r>
      <w:r w:rsidR="00BA2B3B">
        <w:t>/</w:t>
      </w:r>
      <w:r w:rsidRPr="00C504A5">
        <w:t>0.5</w:t>
      </w:r>
      <w:r w:rsidR="00101098">
        <w:t> </w:t>
      </w:r>
      <w:r w:rsidRPr="00C504A5">
        <w:t>mL, 150</w:t>
      </w:r>
      <w:r w:rsidR="00101098">
        <w:t> </w:t>
      </w:r>
      <w:r w:rsidRPr="00C504A5">
        <w:t>mg</w:t>
      </w:r>
      <w:r w:rsidR="00BA2B3B">
        <w:t>/</w:t>
      </w:r>
      <w:r w:rsidRPr="00C504A5">
        <w:t>mL, and 300</w:t>
      </w:r>
      <w:r w:rsidR="00101098">
        <w:t> </w:t>
      </w:r>
      <w:r w:rsidRPr="00C504A5">
        <w:t>mg</w:t>
      </w:r>
      <w:r w:rsidR="00BA2B3B">
        <w:t>/</w:t>
      </w:r>
      <w:r w:rsidRPr="00C504A5">
        <w:t>2</w:t>
      </w:r>
      <w:r w:rsidR="00101098">
        <w:t> </w:t>
      </w:r>
      <w:r w:rsidRPr="00C504A5">
        <w:t xml:space="preserve">mL strengths </w:t>
      </w:r>
    </w:p>
    <w:p w14:paraId="72F21D29" w14:textId="50BDB3BD" w:rsidR="00C504A5" w:rsidRPr="00C504A5" w:rsidRDefault="00C504A5" w:rsidP="00423283">
      <w:pPr>
        <w:pStyle w:val="3-BodyText"/>
        <w:numPr>
          <w:ilvl w:val="0"/>
          <w:numId w:val="20"/>
        </w:numPr>
        <w:spacing w:before="0"/>
      </w:pPr>
      <w:r w:rsidRPr="00C504A5">
        <w:t xml:space="preserve">New pre-filled syringe (PFS) forms with a new safety device </w:t>
      </w:r>
      <w:r w:rsidR="005E697A" w:rsidRPr="00C504A5">
        <w:t>in 75</w:t>
      </w:r>
      <w:r w:rsidR="005E697A">
        <w:t> </w:t>
      </w:r>
      <w:r w:rsidR="005E697A" w:rsidRPr="00C504A5">
        <w:t>mg</w:t>
      </w:r>
      <w:r w:rsidR="00BA2B3B">
        <w:t>/</w:t>
      </w:r>
      <w:r w:rsidR="005E697A" w:rsidRPr="00C504A5">
        <w:t>0.5</w:t>
      </w:r>
      <w:r w:rsidR="005E697A">
        <w:t> </w:t>
      </w:r>
      <w:r w:rsidR="005E697A" w:rsidRPr="00C504A5">
        <w:t>mL, 150</w:t>
      </w:r>
      <w:r w:rsidR="005E697A">
        <w:t> </w:t>
      </w:r>
      <w:r w:rsidR="005E697A" w:rsidRPr="00C504A5">
        <w:t>mg</w:t>
      </w:r>
      <w:r w:rsidR="00BA2B3B">
        <w:t>/</w:t>
      </w:r>
      <w:r w:rsidR="005E697A" w:rsidRPr="00C504A5">
        <w:t>mL, and 300</w:t>
      </w:r>
      <w:r w:rsidR="005E697A">
        <w:t> </w:t>
      </w:r>
      <w:r w:rsidR="005E697A" w:rsidRPr="00C504A5">
        <w:t>mg</w:t>
      </w:r>
      <w:r w:rsidR="00BA2B3B">
        <w:t>/</w:t>
      </w:r>
      <w:r w:rsidR="005E697A" w:rsidRPr="00C504A5">
        <w:t>2</w:t>
      </w:r>
      <w:r w:rsidR="005E697A">
        <w:t> </w:t>
      </w:r>
      <w:r w:rsidR="005E697A" w:rsidRPr="00C504A5">
        <w:t xml:space="preserve">mL strengths </w:t>
      </w:r>
      <w:r w:rsidRPr="00C504A5">
        <w:t xml:space="preserve">to replace the currently </w:t>
      </w:r>
      <w:r w:rsidR="00A25CC0">
        <w:t>PBS-</w:t>
      </w:r>
      <w:r w:rsidRPr="00C504A5">
        <w:t>listed PFS forms.</w:t>
      </w:r>
    </w:p>
    <w:p w14:paraId="440E22C8" w14:textId="132FFDDE" w:rsidR="00CA2307" w:rsidRPr="00CA2307" w:rsidRDefault="00405711" w:rsidP="00423283">
      <w:pPr>
        <w:pStyle w:val="3-BodyText"/>
        <w:spacing w:before="0"/>
        <w:rPr>
          <w:rFonts w:cstheme="minorHAnsi"/>
        </w:rPr>
      </w:pPr>
      <w:r>
        <w:rPr>
          <w:rFonts w:cstheme="minorHAnsi"/>
          <w:szCs w:val="24"/>
        </w:rPr>
        <w:t xml:space="preserve">The submission requested listing the new </w:t>
      </w:r>
      <w:r w:rsidR="00F110E8" w:rsidRPr="00C504A5">
        <w:t>75</w:t>
      </w:r>
      <w:r w:rsidR="00F110E8">
        <w:t> </w:t>
      </w:r>
      <w:r w:rsidR="00F110E8" w:rsidRPr="00C504A5">
        <w:t>mg</w:t>
      </w:r>
      <w:r w:rsidR="00105610">
        <w:t>/</w:t>
      </w:r>
      <w:r w:rsidR="00F110E8" w:rsidRPr="00C504A5">
        <w:t>0.5</w:t>
      </w:r>
      <w:r w:rsidR="00F110E8">
        <w:t> </w:t>
      </w:r>
      <w:r w:rsidR="00F110E8" w:rsidRPr="00C504A5">
        <w:t>mL, 150</w:t>
      </w:r>
      <w:r w:rsidR="00F110E8">
        <w:t> </w:t>
      </w:r>
      <w:r w:rsidR="00F110E8" w:rsidRPr="00C504A5">
        <w:t>mg</w:t>
      </w:r>
      <w:r w:rsidR="00105610">
        <w:t>/</w:t>
      </w:r>
      <w:r w:rsidR="00F110E8" w:rsidRPr="00C504A5">
        <w:t>mL</w:t>
      </w:r>
      <w:r w:rsidR="00754233">
        <w:t xml:space="preserve">, </w:t>
      </w:r>
      <w:r w:rsidR="00754233" w:rsidRPr="00C504A5">
        <w:t>300</w:t>
      </w:r>
      <w:r w:rsidR="00754233">
        <w:t> </w:t>
      </w:r>
      <w:r w:rsidR="00754233" w:rsidRPr="00C504A5">
        <w:t>mg</w:t>
      </w:r>
      <w:r w:rsidR="00754233">
        <w:t>/</w:t>
      </w:r>
      <w:r w:rsidR="00754233" w:rsidRPr="00C504A5">
        <w:t>2</w:t>
      </w:r>
      <w:r w:rsidR="00754233">
        <w:t> </w:t>
      </w:r>
      <w:r w:rsidR="00754233" w:rsidRPr="00C504A5">
        <w:t>mL</w:t>
      </w:r>
      <w:r w:rsidR="00F110E8">
        <w:rPr>
          <w:rFonts w:cstheme="minorHAnsi"/>
          <w:szCs w:val="24"/>
        </w:rPr>
        <w:t xml:space="preserve"> </w:t>
      </w:r>
      <w:r>
        <w:rPr>
          <w:rFonts w:cstheme="minorHAnsi"/>
          <w:szCs w:val="24"/>
        </w:rPr>
        <w:t>P</w:t>
      </w:r>
      <w:r w:rsidR="009346F3">
        <w:rPr>
          <w:rFonts w:cstheme="minorHAnsi"/>
          <w:szCs w:val="24"/>
        </w:rPr>
        <w:t xml:space="preserve">FP and PFS forms under </w:t>
      </w:r>
      <w:r w:rsidR="00C35FF5" w:rsidRPr="00C25B4B">
        <w:t>the same circumstances as the existing listings</w:t>
      </w:r>
      <w:r w:rsidR="00C35FF5">
        <w:rPr>
          <w:rFonts w:cstheme="minorHAnsi"/>
          <w:szCs w:val="24"/>
        </w:rPr>
        <w:t xml:space="preserve"> for the treatment of</w:t>
      </w:r>
      <w:r w:rsidR="00697FFE">
        <w:rPr>
          <w:rFonts w:cstheme="minorHAnsi"/>
          <w:szCs w:val="24"/>
        </w:rPr>
        <w:t>:</w:t>
      </w:r>
      <w:r w:rsidR="00C35FF5">
        <w:rPr>
          <w:rFonts w:cstheme="minorHAnsi"/>
          <w:szCs w:val="24"/>
        </w:rPr>
        <w:t xml:space="preserve"> </w:t>
      </w:r>
    </w:p>
    <w:p w14:paraId="40D2A76A" w14:textId="229A1BA0" w:rsidR="00CA2307" w:rsidRPr="00CA2307" w:rsidRDefault="00CA2307" w:rsidP="00423283">
      <w:pPr>
        <w:pStyle w:val="3-BodyText"/>
        <w:numPr>
          <w:ilvl w:val="0"/>
          <w:numId w:val="29"/>
        </w:numPr>
        <w:spacing w:before="0"/>
        <w:rPr>
          <w:rFonts w:cstheme="minorHAnsi"/>
        </w:rPr>
      </w:pPr>
      <w:r>
        <w:rPr>
          <w:rFonts w:cstheme="minorHAnsi"/>
          <w:szCs w:val="24"/>
        </w:rPr>
        <w:t>U</w:t>
      </w:r>
      <w:r w:rsidR="00954E11" w:rsidRPr="000E4CF4">
        <w:rPr>
          <w:rFonts w:cstheme="minorHAnsi"/>
          <w:szCs w:val="24"/>
        </w:rPr>
        <w:t>ncontrolled severe asthma</w:t>
      </w:r>
      <w:r w:rsidR="00AA2A4C">
        <w:rPr>
          <w:rFonts w:cstheme="minorHAnsi"/>
          <w:szCs w:val="24"/>
        </w:rPr>
        <w:t xml:space="preserve"> </w:t>
      </w:r>
      <w:r w:rsidR="002F51D3">
        <w:rPr>
          <w:rFonts w:cstheme="minorHAnsi"/>
          <w:szCs w:val="24"/>
        </w:rPr>
        <w:t xml:space="preserve">(USA) </w:t>
      </w:r>
      <w:r w:rsidR="00AA2A4C" w:rsidRPr="00CC59CE">
        <w:rPr>
          <w:szCs w:val="24"/>
        </w:rPr>
        <w:t>in patients aged 12 years or older</w:t>
      </w:r>
    </w:p>
    <w:p w14:paraId="1CAACB4D" w14:textId="62A8C642" w:rsidR="00CA2307" w:rsidRPr="00CA2307" w:rsidRDefault="00CA2307" w:rsidP="00423283">
      <w:pPr>
        <w:pStyle w:val="3-BodyText"/>
        <w:numPr>
          <w:ilvl w:val="0"/>
          <w:numId w:val="29"/>
        </w:numPr>
        <w:spacing w:before="0"/>
        <w:rPr>
          <w:rFonts w:cstheme="minorHAnsi"/>
        </w:rPr>
      </w:pPr>
      <w:r>
        <w:rPr>
          <w:rFonts w:cstheme="minorHAnsi"/>
          <w:szCs w:val="24"/>
        </w:rPr>
        <w:t>U</w:t>
      </w:r>
      <w:r w:rsidR="001776A0" w:rsidRPr="00DC61B2">
        <w:rPr>
          <w:rFonts w:cstheme="minorHAnsi"/>
          <w:szCs w:val="24"/>
        </w:rPr>
        <w:t>ncontrolled severe allergic asthma</w:t>
      </w:r>
      <w:r w:rsidR="00186479">
        <w:rPr>
          <w:rFonts w:cstheme="minorHAnsi"/>
          <w:szCs w:val="24"/>
        </w:rPr>
        <w:t xml:space="preserve"> </w:t>
      </w:r>
      <w:r w:rsidR="00586DC0" w:rsidRPr="00586DC0">
        <w:rPr>
          <w:rFonts w:cstheme="minorHAnsi"/>
          <w:szCs w:val="24"/>
        </w:rPr>
        <w:t>(USAA</w:t>
      </w:r>
      <w:r w:rsidR="00586DC0">
        <w:rPr>
          <w:rFonts w:cstheme="minorHAnsi"/>
          <w:szCs w:val="24"/>
        </w:rPr>
        <w:t xml:space="preserve">) </w:t>
      </w:r>
      <w:r w:rsidR="00186479" w:rsidRPr="00CC59CE">
        <w:rPr>
          <w:szCs w:val="24"/>
        </w:rPr>
        <w:t>in patients aged 6 to 12 years</w:t>
      </w:r>
    </w:p>
    <w:p w14:paraId="5D8C1D9F" w14:textId="4E6D78E3" w:rsidR="00CA2307" w:rsidRPr="00CA2307" w:rsidRDefault="00CA2307" w:rsidP="00423283">
      <w:pPr>
        <w:pStyle w:val="3-BodyText"/>
        <w:numPr>
          <w:ilvl w:val="0"/>
          <w:numId w:val="29"/>
        </w:numPr>
        <w:spacing w:before="0"/>
        <w:rPr>
          <w:rFonts w:cstheme="minorHAnsi"/>
        </w:rPr>
      </w:pPr>
      <w:r>
        <w:t>S</w:t>
      </w:r>
      <w:r w:rsidR="000C731F" w:rsidRPr="007C171A">
        <w:t>evere chronic spontaneous urticaria</w:t>
      </w:r>
      <w:r w:rsidR="00E87982">
        <w:t xml:space="preserve"> </w:t>
      </w:r>
      <w:r w:rsidR="00E87982" w:rsidRPr="00C504A5">
        <w:t>(CSU)</w:t>
      </w:r>
    </w:p>
    <w:p w14:paraId="6D7C690B" w14:textId="08BE52C3" w:rsidR="00061839" w:rsidRPr="004D46EB" w:rsidRDefault="00364FD9" w:rsidP="00423283">
      <w:pPr>
        <w:pStyle w:val="3-BodyText"/>
        <w:numPr>
          <w:ilvl w:val="0"/>
          <w:numId w:val="0"/>
        </w:numPr>
        <w:spacing w:before="0"/>
        <w:ind w:left="720"/>
        <w:rPr>
          <w:rFonts w:cstheme="minorHAnsi"/>
          <w:szCs w:val="24"/>
        </w:rPr>
      </w:pPr>
      <w:r w:rsidRPr="004D46EB">
        <w:rPr>
          <w:rFonts w:cstheme="minorHAnsi"/>
        </w:rPr>
        <w:t xml:space="preserve">However, </w:t>
      </w:r>
      <w:r w:rsidR="009E77BB" w:rsidRPr="004D46EB">
        <w:rPr>
          <w:rFonts w:cstheme="minorHAnsi"/>
        </w:rPr>
        <w:t xml:space="preserve">the </w:t>
      </w:r>
      <w:r w:rsidR="00E87982" w:rsidRPr="004D46EB">
        <w:t>300 mg</w:t>
      </w:r>
      <w:r w:rsidR="00105610" w:rsidRPr="004D46EB">
        <w:t>/</w:t>
      </w:r>
      <w:r w:rsidR="00E87982" w:rsidRPr="004D46EB">
        <w:t xml:space="preserve">2 mL </w:t>
      </w:r>
      <w:r w:rsidR="0012757C" w:rsidRPr="004D46EB">
        <w:t xml:space="preserve">PFS and </w:t>
      </w:r>
      <w:r w:rsidR="0012757C" w:rsidRPr="004D46EB">
        <w:rPr>
          <w:rFonts w:cstheme="minorHAnsi"/>
          <w:szCs w:val="24"/>
        </w:rPr>
        <w:t xml:space="preserve">all strengths of PFP </w:t>
      </w:r>
      <w:r w:rsidRPr="004D46EB">
        <w:rPr>
          <w:rFonts w:cstheme="minorHAnsi"/>
          <w:szCs w:val="24"/>
        </w:rPr>
        <w:t xml:space="preserve">were not </w:t>
      </w:r>
      <w:r w:rsidR="00B50097" w:rsidRPr="004D46EB">
        <w:rPr>
          <w:rFonts w:cstheme="minorHAnsi"/>
          <w:szCs w:val="24"/>
        </w:rPr>
        <w:t xml:space="preserve">requested </w:t>
      </w:r>
      <w:r w:rsidR="00E87982" w:rsidRPr="004D46EB">
        <w:rPr>
          <w:rFonts w:cstheme="minorHAnsi"/>
          <w:szCs w:val="24"/>
        </w:rPr>
        <w:t xml:space="preserve">for </w:t>
      </w:r>
      <w:r w:rsidR="00B50097" w:rsidRPr="004D46EB">
        <w:rPr>
          <w:rFonts w:cstheme="minorHAnsi"/>
          <w:szCs w:val="24"/>
        </w:rPr>
        <w:t xml:space="preserve">listing in </w:t>
      </w:r>
      <w:r w:rsidR="00360087" w:rsidRPr="004D46EB">
        <w:rPr>
          <w:rFonts w:cstheme="minorHAnsi"/>
          <w:szCs w:val="24"/>
        </w:rPr>
        <w:t>USAA</w:t>
      </w:r>
      <w:r w:rsidR="00CD4280" w:rsidRPr="004D46EB">
        <w:rPr>
          <w:rFonts w:cstheme="minorHAnsi"/>
          <w:szCs w:val="24"/>
        </w:rPr>
        <w:t>,</w:t>
      </w:r>
      <w:r w:rsidR="002E73AF" w:rsidRPr="004D46EB">
        <w:rPr>
          <w:rFonts w:cstheme="minorHAnsi"/>
          <w:szCs w:val="24"/>
        </w:rPr>
        <w:t xml:space="preserve"> as these forms </w:t>
      </w:r>
      <w:r w:rsidR="00A4140E" w:rsidRPr="004D46EB">
        <w:rPr>
          <w:rFonts w:cstheme="minorHAnsi"/>
          <w:szCs w:val="24"/>
        </w:rPr>
        <w:t xml:space="preserve">are not intended for use in patients </w:t>
      </w:r>
      <w:r w:rsidR="00061839" w:rsidRPr="004D46EB">
        <w:rPr>
          <w:rFonts w:cstheme="minorHAnsi"/>
          <w:szCs w:val="24"/>
        </w:rPr>
        <w:t>under 12 years of age</w:t>
      </w:r>
      <w:r w:rsidR="000C5D1A" w:rsidRPr="004D46EB">
        <w:rPr>
          <w:rFonts w:cstheme="minorHAnsi"/>
          <w:szCs w:val="24"/>
        </w:rPr>
        <w:t>.</w:t>
      </w:r>
    </w:p>
    <w:p w14:paraId="6D96FEB6" w14:textId="320F56E7" w:rsidR="00DC732A" w:rsidRPr="004D46EB" w:rsidRDefault="44853359" w:rsidP="00423283">
      <w:pPr>
        <w:pStyle w:val="3-BodyText"/>
        <w:spacing w:before="0"/>
      </w:pPr>
      <w:r w:rsidRPr="79900132">
        <w:lastRenderedPageBreak/>
        <w:t xml:space="preserve">Listing </w:t>
      </w:r>
      <w:r w:rsidR="6DA94C69" w:rsidRPr="79900132">
        <w:t xml:space="preserve">was requested </w:t>
      </w:r>
      <w:proofErr w:type="gramStart"/>
      <w:r w:rsidR="6DA94C69" w:rsidRPr="79900132">
        <w:t>on the basis of</w:t>
      </w:r>
      <w:proofErr w:type="gramEnd"/>
      <w:r w:rsidR="6DA94C69" w:rsidRPr="79900132">
        <w:t xml:space="preserve"> a cost-minimisation </w:t>
      </w:r>
      <w:r w:rsidR="67887CBB" w:rsidRPr="79900132">
        <w:t xml:space="preserve">approach </w:t>
      </w:r>
      <w:r w:rsidR="6DA94C69" w:rsidRPr="79900132">
        <w:t xml:space="preserve">versus </w:t>
      </w:r>
      <w:r w:rsidR="20C7DA54" w:rsidRPr="79900132">
        <w:t xml:space="preserve">the existing 150 mg/mL PFS of omalizumab. </w:t>
      </w:r>
    </w:p>
    <w:p w14:paraId="3D1D4320" w14:textId="77777777" w:rsidR="007E490F" w:rsidRPr="00A6439B" w:rsidRDefault="007E490F" w:rsidP="00423283">
      <w:pPr>
        <w:pStyle w:val="2-SectionHeading"/>
        <w:numPr>
          <w:ilvl w:val="0"/>
          <w:numId w:val="3"/>
        </w:numPr>
        <w:spacing w:before="0"/>
      </w:pPr>
      <w:r w:rsidRPr="00A6439B">
        <w:t xml:space="preserve">Background </w:t>
      </w:r>
    </w:p>
    <w:p w14:paraId="66A51362" w14:textId="14C8ACB7" w:rsidR="00B63251" w:rsidRPr="00CC59CE" w:rsidRDefault="19414031" w:rsidP="00423283">
      <w:pPr>
        <w:pStyle w:val="3-BodyText"/>
        <w:spacing w:before="0"/>
      </w:pPr>
      <w:r w:rsidRPr="79900132">
        <w:t>Omalizumab 75 mg</w:t>
      </w:r>
      <w:r w:rsidR="4CD34D0A" w:rsidRPr="79900132">
        <w:t>/</w:t>
      </w:r>
      <w:r w:rsidRPr="79900132">
        <w:t>0.5 mL PFS</w:t>
      </w:r>
      <w:r w:rsidR="69AB0778" w:rsidRPr="79900132">
        <w:t xml:space="preserve"> </w:t>
      </w:r>
      <w:r w:rsidR="28B11F8C" w:rsidRPr="79900132">
        <w:t xml:space="preserve">is </w:t>
      </w:r>
      <w:r w:rsidR="33BCEAAC" w:rsidRPr="79900132">
        <w:t xml:space="preserve">currently </w:t>
      </w:r>
      <w:r w:rsidR="28B11F8C" w:rsidRPr="79900132">
        <w:t xml:space="preserve">listed </w:t>
      </w:r>
      <w:r w:rsidR="28B11F8C" w:rsidRPr="79900132">
        <w:rPr>
          <w:color w:val="000000" w:themeColor="text1"/>
        </w:rPr>
        <w:t xml:space="preserve">on the PBS for </w:t>
      </w:r>
      <w:r w:rsidR="16A63C9F" w:rsidRPr="79900132">
        <w:rPr>
          <w:color w:val="000000" w:themeColor="text1"/>
        </w:rPr>
        <w:t xml:space="preserve">the </w:t>
      </w:r>
      <w:r w:rsidR="06985463" w:rsidRPr="79900132">
        <w:rPr>
          <w:color w:val="000000" w:themeColor="text1"/>
        </w:rPr>
        <w:t xml:space="preserve">initial </w:t>
      </w:r>
      <w:r w:rsidR="1757D307" w:rsidRPr="79900132">
        <w:rPr>
          <w:color w:val="000000" w:themeColor="text1"/>
        </w:rPr>
        <w:t xml:space="preserve">treatment of </w:t>
      </w:r>
      <w:r w:rsidR="0EB75F4A" w:rsidRPr="79900132">
        <w:rPr>
          <w:color w:val="000000" w:themeColor="text1"/>
        </w:rPr>
        <w:t xml:space="preserve">USA and USAA </w:t>
      </w:r>
      <w:r w:rsidR="0710AA90" w:rsidRPr="79900132">
        <w:rPr>
          <w:color w:val="000000" w:themeColor="text1"/>
        </w:rPr>
        <w:t xml:space="preserve">as </w:t>
      </w:r>
      <w:r w:rsidR="0710AA90" w:rsidRPr="79900132">
        <w:t>Section 100 (Highly Specialised Drugs Program) Authority Required (Written),</w:t>
      </w:r>
      <w:r w:rsidR="0710AA90" w:rsidRPr="79900132">
        <w:rPr>
          <w:color w:val="000000" w:themeColor="text1"/>
        </w:rPr>
        <w:t xml:space="preserve"> </w:t>
      </w:r>
      <w:r w:rsidR="6A7618E3" w:rsidRPr="79900132">
        <w:t xml:space="preserve">and </w:t>
      </w:r>
      <w:r w:rsidR="0710AA90" w:rsidRPr="79900132">
        <w:t xml:space="preserve">for continuing treatment and balance of supply </w:t>
      </w:r>
      <w:r w:rsidR="4319AAA1" w:rsidRPr="79900132">
        <w:t xml:space="preserve">as </w:t>
      </w:r>
      <w:r w:rsidR="6A7618E3" w:rsidRPr="79900132">
        <w:t>Authority Required (Telephone/Online)</w:t>
      </w:r>
      <w:r w:rsidR="4319AAA1" w:rsidRPr="79900132">
        <w:t>.</w:t>
      </w:r>
      <w:r w:rsidR="6A7618E3" w:rsidRPr="79900132">
        <w:t xml:space="preserve"> </w:t>
      </w:r>
    </w:p>
    <w:p w14:paraId="63155E60" w14:textId="5241267D" w:rsidR="00A63D18" w:rsidRPr="00445047" w:rsidRDefault="69AB0778" w:rsidP="00423283">
      <w:pPr>
        <w:pStyle w:val="3-BodyText"/>
        <w:spacing w:before="0"/>
      </w:pPr>
      <w:r w:rsidRPr="79900132">
        <w:t>Omalizumab 150 mg</w:t>
      </w:r>
      <w:r w:rsidR="4319AAA1" w:rsidRPr="79900132">
        <w:t>/</w:t>
      </w:r>
      <w:r w:rsidRPr="79900132">
        <w:t xml:space="preserve">mL PFS is </w:t>
      </w:r>
      <w:r w:rsidRPr="79900132">
        <w:rPr>
          <w:color w:val="000000" w:themeColor="text1"/>
        </w:rPr>
        <w:t xml:space="preserve">listed on the PBS </w:t>
      </w:r>
      <w:r w:rsidR="3A150F07" w:rsidRPr="79900132">
        <w:rPr>
          <w:color w:val="000000" w:themeColor="text1"/>
        </w:rPr>
        <w:t xml:space="preserve">for the initial </w:t>
      </w:r>
      <w:r w:rsidR="75E81BA4" w:rsidRPr="79900132">
        <w:rPr>
          <w:color w:val="000000" w:themeColor="text1"/>
        </w:rPr>
        <w:t xml:space="preserve">treatment of </w:t>
      </w:r>
      <w:r w:rsidR="45B15313" w:rsidRPr="79900132">
        <w:rPr>
          <w:color w:val="000000" w:themeColor="text1"/>
        </w:rPr>
        <w:t xml:space="preserve">USA </w:t>
      </w:r>
      <w:r w:rsidR="3A150F07" w:rsidRPr="79900132">
        <w:t xml:space="preserve">and </w:t>
      </w:r>
      <w:r w:rsidR="45B15313" w:rsidRPr="79900132">
        <w:t xml:space="preserve">USAA </w:t>
      </w:r>
      <w:r w:rsidR="3A150F07" w:rsidRPr="79900132">
        <w:rPr>
          <w:color w:val="000000" w:themeColor="text1"/>
        </w:rPr>
        <w:t xml:space="preserve">as </w:t>
      </w:r>
      <w:r w:rsidR="3A150F07" w:rsidRPr="79900132">
        <w:t>Section 100 (Highly Specialised Drugs Program) Authority Required (Written),</w:t>
      </w:r>
      <w:r w:rsidR="3A150F07" w:rsidRPr="79900132">
        <w:rPr>
          <w:color w:val="000000" w:themeColor="text1"/>
        </w:rPr>
        <w:t xml:space="preserve"> </w:t>
      </w:r>
      <w:r w:rsidR="3A150F07" w:rsidRPr="79900132">
        <w:t>and for continuing treatment and balance of supply as Authority Required (Telephone/Online). Additionally, 150 mg/mL PFS is listed for the initial and continuing treatment of severe CSU as Authority Required (Written) and Authority Required (Telephone/Online), respectively.</w:t>
      </w:r>
    </w:p>
    <w:p w14:paraId="33C2C319" w14:textId="66DF215F" w:rsidR="007E490F" w:rsidRPr="00A6439B" w:rsidRDefault="007E490F" w:rsidP="00423283">
      <w:pPr>
        <w:pStyle w:val="4-SubsectionHeading"/>
        <w:spacing w:before="0"/>
      </w:pPr>
      <w:r w:rsidRPr="00691A2C">
        <w:t>Registration</w:t>
      </w:r>
      <w:r w:rsidRPr="00A6439B">
        <w:t xml:space="preserve"> status</w:t>
      </w:r>
    </w:p>
    <w:p w14:paraId="63424DA1" w14:textId="25FA6DCF" w:rsidR="00906C30" w:rsidRDefault="00A6477C" w:rsidP="00D56EF4">
      <w:pPr>
        <w:pStyle w:val="3-BodyText"/>
        <w:spacing w:before="0"/>
      </w:pPr>
      <w:r w:rsidRPr="00A6477C">
        <w:t>The new PFS and PFP forms, including the 300</w:t>
      </w:r>
      <w:r w:rsidR="00F22F4C">
        <w:t> </w:t>
      </w:r>
      <w:r w:rsidRPr="00A6477C">
        <w:t>mg</w:t>
      </w:r>
      <w:r w:rsidR="00F22F4C">
        <w:t>/</w:t>
      </w:r>
      <w:r w:rsidRPr="00A6477C">
        <w:t>2</w:t>
      </w:r>
      <w:r w:rsidR="00F22F4C">
        <w:t> </w:t>
      </w:r>
      <w:r w:rsidRPr="00A6477C">
        <w:t xml:space="preserve">mL strength, were </w:t>
      </w:r>
      <w:r w:rsidR="00D74FB0" w:rsidRPr="00D74FB0">
        <w:t xml:space="preserve">registered </w:t>
      </w:r>
      <w:r w:rsidR="00447BB4">
        <w:t>on</w:t>
      </w:r>
      <w:r w:rsidR="00D74FB0" w:rsidRPr="00D74FB0">
        <w:t xml:space="preserve"> the Australian Register of Therapeutic Goods (ARTG) </w:t>
      </w:r>
      <w:r w:rsidR="00862DB7" w:rsidRPr="00862DB7">
        <w:t xml:space="preserve">on </w:t>
      </w:r>
      <w:r w:rsidR="00862DB7">
        <w:t xml:space="preserve">4 </w:t>
      </w:r>
      <w:r w:rsidR="00862DB7" w:rsidRPr="00862DB7">
        <w:t>September 2024</w:t>
      </w:r>
      <w:r w:rsidR="00862DB7">
        <w:t xml:space="preserve">. </w:t>
      </w:r>
    </w:p>
    <w:p w14:paraId="402D7977" w14:textId="79CA4FF0" w:rsidR="00561F0C" w:rsidRPr="00531CB6" w:rsidRDefault="00561F0C" w:rsidP="00423283">
      <w:pPr>
        <w:pStyle w:val="3-BodyText"/>
        <w:spacing w:before="0"/>
      </w:pPr>
      <w:r w:rsidRPr="00531CB6">
        <w:t xml:space="preserve">Omalizumab is </w:t>
      </w:r>
      <w:r w:rsidR="00B60963" w:rsidRPr="00531CB6">
        <w:t>TGA-</w:t>
      </w:r>
      <w:r w:rsidRPr="00531CB6">
        <w:t xml:space="preserve">approved for the following indications: </w:t>
      </w:r>
    </w:p>
    <w:p w14:paraId="0D771E50" w14:textId="1B1F56DF" w:rsidR="006914BA" w:rsidRPr="00531CB6" w:rsidRDefault="52F4A34B" w:rsidP="00423283">
      <w:pPr>
        <w:pStyle w:val="ListParagraph"/>
        <w:numPr>
          <w:ilvl w:val="0"/>
          <w:numId w:val="54"/>
        </w:numPr>
        <w:spacing w:before="0"/>
      </w:pPr>
      <w:r w:rsidRPr="79900132">
        <w:t xml:space="preserve">Allergic </w:t>
      </w:r>
      <w:r w:rsidR="54B3CBD2" w:rsidRPr="79900132">
        <w:t>a</w:t>
      </w:r>
      <w:r w:rsidRPr="79900132">
        <w:t xml:space="preserve">sthma (6 to &lt; 12 years): </w:t>
      </w:r>
      <w:r w:rsidR="4660045B" w:rsidRPr="79900132">
        <w:t xml:space="preserve">add-on therapy </w:t>
      </w:r>
      <w:r w:rsidRPr="79900132">
        <w:t xml:space="preserve">for </w:t>
      </w:r>
      <w:r w:rsidR="4660045B" w:rsidRPr="79900132">
        <w:t xml:space="preserve">severe allergic asthma </w:t>
      </w:r>
      <w:r w:rsidR="385DCC69" w:rsidRPr="79900132">
        <w:t xml:space="preserve">with </w:t>
      </w:r>
      <w:r w:rsidR="4660045B" w:rsidRPr="79900132">
        <w:t>documented exacerbations despite daily high</w:t>
      </w:r>
      <w:r w:rsidR="385DCC69" w:rsidRPr="79900132">
        <w:t>-</w:t>
      </w:r>
      <w:r w:rsidR="4660045B" w:rsidRPr="79900132">
        <w:t>dose inhaled corticosteroids</w:t>
      </w:r>
      <w:r w:rsidR="435A0957" w:rsidRPr="79900132">
        <w:t xml:space="preserve"> </w:t>
      </w:r>
      <w:r w:rsidR="54B3CBD2" w:rsidRPr="79900132">
        <w:t xml:space="preserve">and </w:t>
      </w:r>
      <w:r w:rsidR="27313CD5" w:rsidRPr="79900132">
        <w:t xml:space="preserve">corresponding </w:t>
      </w:r>
      <w:r w:rsidR="4660045B" w:rsidRPr="79900132">
        <w:t>immunoglobulin E (IgE) levels</w:t>
      </w:r>
      <w:r w:rsidR="7FA69950" w:rsidRPr="79900132">
        <w:t xml:space="preserve"> to the recommended dose range in the TGA approved </w:t>
      </w:r>
      <w:r w:rsidR="5780BC93" w:rsidRPr="79900132">
        <w:t>P</w:t>
      </w:r>
      <w:r w:rsidR="7FA69950" w:rsidRPr="79900132">
        <w:t xml:space="preserve">roduction </w:t>
      </w:r>
      <w:r w:rsidR="5780BC93" w:rsidRPr="79900132">
        <w:t>I</w:t>
      </w:r>
      <w:r w:rsidR="7FA69950" w:rsidRPr="79900132">
        <w:t>nformation (PI).</w:t>
      </w:r>
    </w:p>
    <w:p w14:paraId="419D3134" w14:textId="18DCC1D2" w:rsidR="00921ACE" w:rsidRPr="00531CB6" w:rsidRDefault="5EF6BFB2" w:rsidP="00423283">
      <w:pPr>
        <w:pStyle w:val="ListParagraph"/>
        <w:numPr>
          <w:ilvl w:val="0"/>
          <w:numId w:val="54"/>
        </w:numPr>
        <w:spacing w:before="0"/>
      </w:pPr>
      <w:r w:rsidRPr="79900132">
        <w:t xml:space="preserve">Allergic </w:t>
      </w:r>
      <w:r w:rsidR="6F00A9F8" w:rsidRPr="79900132">
        <w:t>a</w:t>
      </w:r>
      <w:r w:rsidRPr="79900132">
        <w:t xml:space="preserve">sthma </w:t>
      </w:r>
      <w:r w:rsidR="315BD2B9" w:rsidRPr="79900132">
        <w:t xml:space="preserve">(≥12 years): </w:t>
      </w:r>
      <w:r w:rsidR="4660045B" w:rsidRPr="79900132">
        <w:t xml:space="preserve">management </w:t>
      </w:r>
      <w:r w:rsidR="51D0B1A1" w:rsidRPr="79900132">
        <w:t xml:space="preserve">of </w:t>
      </w:r>
      <w:r w:rsidR="4660045B" w:rsidRPr="79900132">
        <w:t>moderate to severe allergic asthma</w:t>
      </w:r>
      <w:r w:rsidR="51D0B1A1" w:rsidRPr="79900132">
        <w:t xml:space="preserve"> in patients already </w:t>
      </w:r>
      <w:r w:rsidR="6F00A9F8" w:rsidRPr="79900132">
        <w:t xml:space="preserve">on </w:t>
      </w:r>
      <w:r w:rsidR="4660045B" w:rsidRPr="79900132">
        <w:t>inhaled corticosteroids</w:t>
      </w:r>
      <w:r w:rsidR="439357B2" w:rsidRPr="79900132">
        <w:t xml:space="preserve"> with </w:t>
      </w:r>
      <w:r w:rsidR="6985C0D9" w:rsidRPr="79900132">
        <w:t>corresponding IgE levels to the recommended dose range in the PI.</w:t>
      </w:r>
    </w:p>
    <w:p w14:paraId="538945A9" w14:textId="1BEA3F25" w:rsidR="00881B72" w:rsidRPr="00531CB6" w:rsidRDefault="68F5E140" w:rsidP="00423283">
      <w:pPr>
        <w:pStyle w:val="ListParagraph"/>
        <w:numPr>
          <w:ilvl w:val="0"/>
          <w:numId w:val="54"/>
        </w:numPr>
        <w:spacing w:before="0"/>
      </w:pPr>
      <w:r w:rsidRPr="79900132">
        <w:t>Chronic rhinosinusitis with nasal polyps (CRSwNP</w:t>
      </w:r>
      <w:r w:rsidR="4856A530" w:rsidRPr="79900132">
        <w:t xml:space="preserve">): </w:t>
      </w:r>
      <w:r w:rsidR="725CD4C9" w:rsidRPr="79900132">
        <w:t>add-on therapy fo</w:t>
      </w:r>
      <w:r w:rsidR="20990AA4" w:rsidRPr="79900132">
        <w:t xml:space="preserve">r severe CRSwNP in </w:t>
      </w:r>
      <w:r w:rsidR="725CD4C9" w:rsidRPr="79900132">
        <w:t xml:space="preserve">adults (≥18 years) </w:t>
      </w:r>
      <w:r w:rsidR="1F1FBF54" w:rsidRPr="79900132">
        <w:t xml:space="preserve">with inadequate response to intranasal corticosteroids. </w:t>
      </w:r>
    </w:p>
    <w:p w14:paraId="5F007FF2" w14:textId="5D98122C" w:rsidR="005D61F2" w:rsidRDefault="008A3FB4" w:rsidP="00423283">
      <w:pPr>
        <w:pStyle w:val="ListParagraph"/>
        <w:numPr>
          <w:ilvl w:val="0"/>
          <w:numId w:val="54"/>
        </w:numPr>
        <w:spacing w:before="0"/>
      </w:pPr>
      <w:r>
        <w:t xml:space="preserve">CSU: for adults and adolescents (≥12 years) who remain symptomatic despite H1 antihistamine treatment. </w:t>
      </w:r>
    </w:p>
    <w:p w14:paraId="5EB9B0F5" w14:textId="5ED31D74" w:rsidR="0011661C" w:rsidRPr="0011661C" w:rsidRDefault="41CFA965" w:rsidP="00423283">
      <w:pPr>
        <w:pStyle w:val="3-BodyText"/>
        <w:spacing w:before="0"/>
      </w:pPr>
      <w:bookmarkStart w:id="0" w:name="_Ref189656466"/>
      <w:r w:rsidRPr="79900132">
        <w:t>The recommended doses for asthma indications are determined based on body weight (kg) and baseline IgE levels (IU/mL), ranging from 75</w:t>
      </w:r>
      <w:r w:rsidR="5612CF14" w:rsidRPr="79900132">
        <w:t> m</w:t>
      </w:r>
      <w:r w:rsidRPr="79900132">
        <w:t>g to 750</w:t>
      </w:r>
      <w:r w:rsidR="5612CF14" w:rsidRPr="79900132">
        <w:t> </w:t>
      </w:r>
      <w:r w:rsidRPr="79900132">
        <w:t xml:space="preserve">mg, to be administered subcutaneously every two or four weeks. The recommended dose for CSU is </w:t>
      </w:r>
      <w:r w:rsidR="5612CF14" w:rsidRPr="79900132">
        <w:t>150</w:t>
      </w:r>
      <w:r w:rsidR="144612DD" w:rsidRPr="79900132">
        <w:t> </w:t>
      </w:r>
      <w:r w:rsidR="5612CF14" w:rsidRPr="79900132">
        <w:t xml:space="preserve">mg or </w:t>
      </w:r>
      <w:r w:rsidRPr="79900132">
        <w:t>300</w:t>
      </w:r>
      <w:r w:rsidR="5612CF14" w:rsidRPr="79900132">
        <w:t> </w:t>
      </w:r>
      <w:r w:rsidRPr="79900132">
        <w:t>mg by subcutaneous injection every four weeks.</w:t>
      </w:r>
      <w:bookmarkEnd w:id="0"/>
    </w:p>
    <w:p w14:paraId="0094486E" w14:textId="7CCD1B23" w:rsidR="007E490F" w:rsidRPr="00A6439B" w:rsidRDefault="2D1D90D9" w:rsidP="00423283">
      <w:pPr>
        <w:pStyle w:val="4-SubsectionHeading"/>
        <w:spacing w:before="0"/>
      </w:pPr>
      <w:r w:rsidRPr="79900132">
        <w:t xml:space="preserve">Previous PBAC consideration </w:t>
      </w:r>
    </w:p>
    <w:p w14:paraId="07D3D012" w14:textId="2B78870A" w:rsidR="00127266" w:rsidRDefault="0063227F" w:rsidP="00423283">
      <w:pPr>
        <w:pStyle w:val="3-BodyText"/>
        <w:spacing w:before="0"/>
        <w:rPr>
          <w:iCs/>
        </w:rPr>
      </w:pPr>
      <w:r w:rsidRPr="00EE76FD">
        <w:rPr>
          <w:iCs/>
        </w:rPr>
        <w:t xml:space="preserve">The </w:t>
      </w:r>
      <w:r w:rsidR="00C871D6" w:rsidRPr="00EE76FD">
        <w:rPr>
          <w:iCs/>
        </w:rPr>
        <w:t>300 mg</w:t>
      </w:r>
      <w:r w:rsidRPr="00EE76FD">
        <w:rPr>
          <w:iCs/>
        </w:rPr>
        <w:t xml:space="preserve"> strength and PFP form</w:t>
      </w:r>
      <w:r w:rsidR="00140155">
        <w:rPr>
          <w:iCs/>
        </w:rPr>
        <w:t>s</w:t>
      </w:r>
      <w:r w:rsidRPr="00EE76FD">
        <w:rPr>
          <w:iCs/>
        </w:rPr>
        <w:t xml:space="preserve"> of omalizumab </w:t>
      </w:r>
      <w:r w:rsidR="007E490F" w:rsidRPr="00EE76FD">
        <w:rPr>
          <w:iCs/>
        </w:rPr>
        <w:t>ha</w:t>
      </w:r>
      <w:r w:rsidRPr="00EE76FD">
        <w:rPr>
          <w:iCs/>
        </w:rPr>
        <w:t>ve</w:t>
      </w:r>
      <w:r w:rsidR="007E490F" w:rsidRPr="00EE76FD">
        <w:rPr>
          <w:iCs/>
        </w:rPr>
        <w:t xml:space="preserve"> not been considered by the PBAC previously.</w:t>
      </w:r>
    </w:p>
    <w:p w14:paraId="755D9D99" w14:textId="6C7B2A8F" w:rsidR="001C1B42" w:rsidRDefault="003239B9" w:rsidP="00423283">
      <w:pPr>
        <w:pStyle w:val="3-BodyText"/>
        <w:spacing w:before="0"/>
        <w:rPr>
          <w:iCs/>
        </w:rPr>
      </w:pPr>
      <w:r>
        <w:rPr>
          <w:iCs/>
        </w:rPr>
        <w:lastRenderedPageBreak/>
        <w:t xml:space="preserve">Omalizumab </w:t>
      </w:r>
      <w:r w:rsidRPr="003239B9">
        <w:rPr>
          <w:iCs/>
        </w:rPr>
        <w:t>was initially recommended by the PBAC for the treatment of severe allergic asthma in patients aged 12 years and older at its November 2010 meeting. Subsequently, the PBAC recommend</w:t>
      </w:r>
      <w:r w:rsidR="00383320">
        <w:rPr>
          <w:iCs/>
        </w:rPr>
        <w:t>ed omalizumab</w:t>
      </w:r>
      <w:r w:rsidRPr="003239B9">
        <w:rPr>
          <w:iCs/>
        </w:rPr>
        <w:t xml:space="preserve"> </w:t>
      </w:r>
      <w:r w:rsidR="006E7C0C">
        <w:rPr>
          <w:iCs/>
        </w:rPr>
        <w:t xml:space="preserve">for </w:t>
      </w:r>
      <w:r w:rsidR="0072748E">
        <w:rPr>
          <w:iCs/>
        </w:rPr>
        <w:t xml:space="preserve">paediatric </w:t>
      </w:r>
      <w:r w:rsidRPr="003239B9">
        <w:rPr>
          <w:iCs/>
        </w:rPr>
        <w:t xml:space="preserve">patients </w:t>
      </w:r>
      <w:r w:rsidR="0072748E">
        <w:rPr>
          <w:iCs/>
        </w:rPr>
        <w:t>(</w:t>
      </w:r>
      <w:r w:rsidR="0072748E" w:rsidRPr="00531CB6">
        <w:t xml:space="preserve">6 to &lt; 12 years) </w:t>
      </w:r>
      <w:r w:rsidR="00137C3B" w:rsidRPr="00137C3B">
        <w:t xml:space="preserve">on a cost-effectiveness basis </w:t>
      </w:r>
      <w:r w:rsidR="00BD6B72" w:rsidRPr="00BD6B72">
        <w:t>compared to</w:t>
      </w:r>
      <w:r w:rsidR="00137C3B" w:rsidRPr="00137C3B">
        <w:t xml:space="preserve"> placebo plus optimi</w:t>
      </w:r>
      <w:r w:rsidR="00106A6E">
        <w:t>s</w:t>
      </w:r>
      <w:r w:rsidR="00137C3B" w:rsidRPr="00137C3B">
        <w:t>ed asthma therapy</w:t>
      </w:r>
      <w:r w:rsidR="00106A6E">
        <w:t xml:space="preserve"> </w:t>
      </w:r>
      <w:r w:rsidRPr="003239B9">
        <w:rPr>
          <w:iCs/>
        </w:rPr>
        <w:t>in July 2016</w:t>
      </w:r>
      <w:r w:rsidR="001A098A">
        <w:rPr>
          <w:iCs/>
        </w:rPr>
        <w:t xml:space="preserve"> (</w:t>
      </w:r>
      <w:r w:rsidR="007035E9">
        <w:rPr>
          <w:iCs/>
        </w:rPr>
        <w:t xml:space="preserve">paragraph 7.1, USAA </w:t>
      </w:r>
      <w:r w:rsidR="001A098A" w:rsidRPr="00B32999">
        <w:rPr>
          <w:rFonts w:cstheme="minorHAnsi"/>
          <w:snapToGrid w:val="0"/>
          <w:color w:val="000000" w:themeColor="text1"/>
        </w:rPr>
        <w:t>Public Summary Document (PSD),</w:t>
      </w:r>
      <w:r w:rsidR="007035E9">
        <w:rPr>
          <w:iCs/>
        </w:rPr>
        <w:t xml:space="preserve"> </w:t>
      </w:r>
      <w:r w:rsidR="00A62910">
        <w:rPr>
          <w:iCs/>
        </w:rPr>
        <w:t xml:space="preserve">July 2016 </w:t>
      </w:r>
      <w:r w:rsidR="007035E9">
        <w:rPr>
          <w:iCs/>
        </w:rPr>
        <w:t>PBAC meeting).</w:t>
      </w:r>
    </w:p>
    <w:p w14:paraId="6E39764A" w14:textId="2B09107C" w:rsidR="00E224C9" w:rsidRDefault="4B032D68" w:rsidP="00423283">
      <w:pPr>
        <w:pStyle w:val="3-BodyText"/>
        <w:spacing w:before="0"/>
      </w:pPr>
      <w:r w:rsidRPr="79900132">
        <w:t>T</w:t>
      </w:r>
      <w:r w:rsidR="7CE99C5C" w:rsidRPr="79900132">
        <w:t xml:space="preserve">he treatment for uncontrolled chronic idiopathic urticaria (now referred to as CSU) was recommended </w:t>
      </w:r>
      <w:r w:rsidR="2B19EBF7" w:rsidRPr="79900132">
        <w:t>on a cost-minimisation basis to c</w:t>
      </w:r>
      <w:r w:rsidR="7D9865F1" w:rsidRPr="79900132">
        <w:t>i</w:t>
      </w:r>
      <w:r w:rsidR="2B19EBF7" w:rsidRPr="79900132">
        <w:t xml:space="preserve">closporin </w:t>
      </w:r>
      <w:r w:rsidR="7CE99C5C" w:rsidRPr="79900132">
        <w:t>at the November 2015 PBAC meeting</w:t>
      </w:r>
      <w:r w:rsidR="7D9865F1" w:rsidRPr="79900132">
        <w:t xml:space="preserve">, and the equi-effective doses were </w:t>
      </w:r>
      <w:r w:rsidR="16F5471A" w:rsidRPr="79900132">
        <w:t xml:space="preserve">revised to </w:t>
      </w:r>
      <w:r w:rsidR="7D9865F1" w:rsidRPr="79900132">
        <w:t xml:space="preserve">omalizumab 300 mg and ciclosporin </w:t>
      </w:r>
      <w:r w:rsidR="16F5471A" w:rsidRPr="79900132">
        <w:t>4</w:t>
      </w:r>
      <w:r w:rsidR="7D9865F1" w:rsidRPr="79900132">
        <w:t> mg/kg</w:t>
      </w:r>
      <w:r w:rsidR="201DF03F" w:rsidRPr="79900132">
        <w:t xml:space="preserve"> </w:t>
      </w:r>
      <w:r w:rsidR="4D71C77A" w:rsidRPr="79900132">
        <w:t xml:space="preserve">at the November 2016 PBAC Meeting </w:t>
      </w:r>
      <w:r w:rsidR="201DF03F" w:rsidRPr="79900132">
        <w:t xml:space="preserve">(paragraph </w:t>
      </w:r>
      <w:r w:rsidR="64599719" w:rsidRPr="79900132">
        <w:t>5</w:t>
      </w:r>
      <w:r w:rsidR="201DF03F" w:rsidRPr="79900132">
        <w:t xml:space="preserve">.1, </w:t>
      </w:r>
      <w:r w:rsidR="286AE21D" w:rsidRPr="79900132">
        <w:t>CSU PSD, November 201</w:t>
      </w:r>
      <w:r w:rsidR="4D71C77A" w:rsidRPr="79900132">
        <w:t>6</w:t>
      </w:r>
      <w:r w:rsidR="286AE21D" w:rsidRPr="79900132">
        <w:t xml:space="preserve"> PBAC meeting)</w:t>
      </w:r>
      <w:r w:rsidR="7D9865F1" w:rsidRPr="79900132">
        <w:t>.</w:t>
      </w:r>
    </w:p>
    <w:p w14:paraId="274753E3" w14:textId="3CE3ACE4" w:rsidR="00677C5A" w:rsidRPr="00127266" w:rsidRDefault="00751894" w:rsidP="00423283">
      <w:pPr>
        <w:pStyle w:val="3-BodyText"/>
        <w:spacing w:before="0"/>
        <w:rPr>
          <w:iCs/>
        </w:rPr>
      </w:pPr>
      <w:r>
        <w:rPr>
          <w:iCs/>
        </w:rPr>
        <w:t xml:space="preserve">At its </w:t>
      </w:r>
      <w:r w:rsidR="00564AD8" w:rsidRPr="00564AD8">
        <w:rPr>
          <w:iCs/>
        </w:rPr>
        <w:t>March 2014</w:t>
      </w:r>
      <w:r w:rsidR="006D3258">
        <w:rPr>
          <w:iCs/>
        </w:rPr>
        <w:t xml:space="preserve"> meeting</w:t>
      </w:r>
      <w:r w:rsidR="00C11B0F">
        <w:rPr>
          <w:iCs/>
        </w:rPr>
        <w:t xml:space="preserve">, </w:t>
      </w:r>
      <w:r w:rsidR="00F16D15" w:rsidRPr="001E3BD8">
        <w:rPr>
          <w:iCs/>
        </w:rPr>
        <w:t xml:space="preserve">the PBAC recommended listing </w:t>
      </w:r>
      <w:r w:rsidR="00714218">
        <w:rPr>
          <w:iCs/>
        </w:rPr>
        <w:t xml:space="preserve">the </w:t>
      </w:r>
      <w:r w:rsidR="00842555" w:rsidRPr="001E3BD8">
        <w:rPr>
          <w:iCs/>
        </w:rPr>
        <w:t>75 mg</w:t>
      </w:r>
      <w:r w:rsidR="00E65F36">
        <w:rPr>
          <w:iCs/>
        </w:rPr>
        <w:t>/</w:t>
      </w:r>
      <w:r w:rsidR="00842555" w:rsidRPr="001E3BD8">
        <w:rPr>
          <w:iCs/>
        </w:rPr>
        <w:t>0.5 mL and 150 mg</w:t>
      </w:r>
      <w:r w:rsidR="00E65F36">
        <w:rPr>
          <w:iCs/>
        </w:rPr>
        <w:t>/</w:t>
      </w:r>
      <w:r w:rsidR="00842555" w:rsidRPr="001E3BD8">
        <w:rPr>
          <w:iCs/>
        </w:rPr>
        <w:t>mL PFS forms</w:t>
      </w:r>
      <w:r w:rsidR="00714218">
        <w:rPr>
          <w:iCs/>
        </w:rPr>
        <w:t xml:space="preserve"> of omalizumab</w:t>
      </w:r>
      <w:r w:rsidR="00842555" w:rsidRPr="001E3BD8">
        <w:rPr>
          <w:iCs/>
        </w:rPr>
        <w:t xml:space="preserve"> </w:t>
      </w:r>
      <w:r w:rsidR="008A6C70">
        <w:rPr>
          <w:iCs/>
        </w:rPr>
        <w:t xml:space="preserve">under </w:t>
      </w:r>
      <w:r w:rsidR="0099209C" w:rsidRPr="001E3BD8">
        <w:rPr>
          <w:iCs/>
        </w:rPr>
        <w:t>Section 100 (Highly Specialised Drugs Program) Authority Required</w:t>
      </w:r>
      <w:r w:rsidR="001A7A90" w:rsidRPr="001E3BD8">
        <w:rPr>
          <w:iCs/>
        </w:rPr>
        <w:t xml:space="preserve"> listings for </w:t>
      </w:r>
      <w:r w:rsidR="00647219">
        <w:rPr>
          <w:iCs/>
        </w:rPr>
        <w:t>USAA</w:t>
      </w:r>
      <w:r w:rsidR="001A7A90" w:rsidRPr="001E3BD8">
        <w:rPr>
          <w:iCs/>
        </w:rPr>
        <w:t xml:space="preserve">, </w:t>
      </w:r>
      <w:r w:rsidR="00A95A34">
        <w:rPr>
          <w:iCs/>
        </w:rPr>
        <w:t>i</w:t>
      </w:r>
      <w:r w:rsidR="00A95A34" w:rsidRPr="00A95A34">
        <w:rPr>
          <w:iCs/>
        </w:rPr>
        <w:t>n addition to the existing 150</w:t>
      </w:r>
      <w:r w:rsidR="00A95A34">
        <w:rPr>
          <w:iCs/>
        </w:rPr>
        <w:t> </w:t>
      </w:r>
      <w:r w:rsidR="00A95A34" w:rsidRPr="00A95A34">
        <w:rPr>
          <w:iCs/>
        </w:rPr>
        <w:t xml:space="preserve">mg powder for subcutaneous injection, which was delisted on </w:t>
      </w:r>
      <w:r w:rsidR="00A95A34">
        <w:rPr>
          <w:iCs/>
        </w:rPr>
        <w:t xml:space="preserve">1 </w:t>
      </w:r>
      <w:r w:rsidR="00A95A34" w:rsidRPr="00A95A34">
        <w:rPr>
          <w:iCs/>
        </w:rPr>
        <w:t>December 2014.</w:t>
      </w:r>
    </w:p>
    <w:p w14:paraId="7E45B231" w14:textId="131DA683" w:rsidR="00905225" w:rsidRDefault="04E5F0AB" w:rsidP="00423283">
      <w:pPr>
        <w:pStyle w:val="3-BodyText"/>
        <w:spacing w:before="0"/>
        <w:rPr>
          <w:iCs/>
        </w:rPr>
      </w:pPr>
      <w:r w:rsidRPr="003B436C">
        <w:rPr>
          <w:iCs/>
        </w:rPr>
        <w:t>A separate Category 2 submission to request a Section 100 (Highly Specialised Drugs Program) Authority Required listing of omalizumab (Xolair®) for the treatment of patients with CRSwNP will be considered at the May 2025 PBAC meeting. The requested listing for the CRSwNP indication includes the new strength of 300</w:t>
      </w:r>
      <w:r w:rsidR="12CADE8D" w:rsidRPr="003B436C">
        <w:rPr>
          <w:iCs/>
        </w:rPr>
        <w:t> </w:t>
      </w:r>
      <w:r w:rsidRPr="003B436C">
        <w:rPr>
          <w:iCs/>
        </w:rPr>
        <w:t>mg</w:t>
      </w:r>
      <w:r w:rsidR="004B127D" w:rsidRPr="003B436C">
        <w:rPr>
          <w:iCs/>
        </w:rPr>
        <w:t>/</w:t>
      </w:r>
      <w:r w:rsidR="12CADE8D" w:rsidRPr="003B436C">
        <w:rPr>
          <w:iCs/>
        </w:rPr>
        <w:t>2 mL</w:t>
      </w:r>
      <w:r w:rsidR="50BCDC08" w:rsidRPr="003B436C">
        <w:rPr>
          <w:iCs/>
        </w:rPr>
        <w:t xml:space="preserve"> and</w:t>
      </w:r>
      <w:r w:rsidR="58952F25" w:rsidRPr="003B436C">
        <w:rPr>
          <w:iCs/>
        </w:rPr>
        <w:t xml:space="preserve"> </w:t>
      </w:r>
      <w:r w:rsidRPr="003B436C">
        <w:rPr>
          <w:iCs/>
        </w:rPr>
        <w:t>the new PFS and PFP forms</w:t>
      </w:r>
      <w:r w:rsidR="00E442B5" w:rsidRPr="003B436C">
        <w:rPr>
          <w:iCs/>
        </w:rPr>
        <w:t>.</w:t>
      </w:r>
    </w:p>
    <w:p w14:paraId="7389B3EC" w14:textId="77777777" w:rsidR="00905225" w:rsidRDefault="00905225">
      <w:pPr>
        <w:jc w:val="left"/>
        <w:rPr>
          <w:rFonts w:asciiTheme="minorHAnsi" w:eastAsiaTheme="minorHAnsi" w:hAnsiTheme="minorHAnsi" w:cstheme="minorBidi"/>
          <w:iCs/>
          <w:szCs w:val="22"/>
        </w:rPr>
      </w:pPr>
      <w:r>
        <w:rPr>
          <w:iCs/>
        </w:rPr>
        <w:br w:type="page"/>
      </w:r>
    </w:p>
    <w:p w14:paraId="1B8790B6" w14:textId="71E1CB6B" w:rsidR="00964A9F" w:rsidRPr="00A6439B" w:rsidRDefault="00964A9F" w:rsidP="00423283">
      <w:pPr>
        <w:pStyle w:val="2-SectionHeading"/>
        <w:spacing w:before="0"/>
      </w:pPr>
      <w:r w:rsidRPr="00A6439B">
        <w:lastRenderedPageBreak/>
        <w:t xml:space="preserve">Requested listing </w:t>
      </w:r>
    </w:p>
    <w:p w14:paraId="049D23DC" w14:textId="218790F4" w:rsidR="00685E64" w:rsidRPr="00685E64" w:rsidRDefault="00685E64" w:rsidP="00423283">
      <w:pPr>
        <w:pStyle w:val="3-BodyText"/>
        <w:spacing w:before="0"/>
      </w:pPr>
      <w:r w:rsidRPr="00150AE4">
        <w:fldChar w:fldCharType="begin" w:fldLock="1"/>
      </w:r>
      <w:r w:rsidRPr="00150AE4">
        <w:instrText xml:space="preserve"> REF _Ref189579818 \h </w:instrText>
      </w:r>
      <w:r w:rsidR="00150AE4" w:rsidRPr="00150AE4">
        <w:instrText xml:space="preserve"> \* MERGEFORMAT </w:instrText>
      </w:r>
      <w:r w:rsidRPr="00150AE4">
        <w:fldChar w:fldCharType="separate"/>
      </w:r>
      <w:r w:rsidR="00A90A08" w:rsidRPr="003B436C">
        <w:t xml:space="preserve">Table </w:t>
      </w:r>
      <w:r w:rsidR="00A90A08" w:rsidRPr="003B436C">
        <w:rPr>
          <w:noProof/>
        </w:rPr>
        <w:t>1</w:t>
      </w:r>
      <w:r w:rsidRPr="00150AE4">
        <w:fldChar w:fldCharType="end"/>
      </w:r>
      <w:r w:rsidRPr="00150AE4">
        <w:t xml:space="preserve"> </w:t>
      </w:r>
      <w:r w:rsidRPr="00685E64">
        <w:t xml:space="preserve">provides a summary of the requested listings for each form and strength of </w:t>
      </w:r>
      <w:r w:rsidR="00853950">
        <w:t xml:space="preserve">omalizumab </w:t>
      </w:r>
      <w:r w:rsidRPr="00685E64">
        <w:t>in the submission for the current PBS indications and treatment phases.</w:t>
      </w:r>
    </w:p>
    <w:p w14:paraId="69680966" w14:textId="16129A14" w:rsidR="00FF020E" w:rsidRPr="00A90A08" w:rsidRDefault="006016FE" w:rsidP="000D6F11">
      <w:pPr>
        <w:pStyle w:val="Caption"/>
        <w:keepNext/>
        <w:keepLines/>
        <w:rPr>
          <w:szCs w:val="20"/>
        </w:rPr>
      </w:pPr>
      <w:bookmarkStart w:id="1" w:name="_Ref189579818"/>
      <w:r w:rsidRPr="00A90A08">
        <w:rPr>
          <w:szCs w:val="20"/>
        </w:rPr>
        <w:t xml:space="preserve">Table </w:t>
      </w:r>
      <w:r w:rsidRPr="00A90A08">
        <w:rPr>
          <w:szCs w:val="20"/>
        </w:rPr>
        <w:fldChar w:fldCharType="begin" w:fldLock="1"/>
      </w:r>
      <w:r w:rsidRPr="00A90A08">
        <w:rPr>
          <w:szCs w:val="20"/>
        </w:rPr>
        <w:instrText xml:space="preserve"> SEQ Table \* ARABIC </w:instrText>
      </w:r>
      <w:r w:rsidRPr="00A90A08">
        <w:rPr>
          <w:szCs w:val="20"/>
        </w:rPr>
        <w:fldChar w:fldCharType="separate"/>
      </w:r>
      <w:r w:rsidR="00D740EC" w:rsidRPr="00A90A08">
        <w:rPr>
          <w:noProof/>
          <w:szCs w:val="20"/>
        </w:rPr>
        <w:t>1</w:t>
      </w:r>
      <w:r w:rsidRPr="00A90A08">
        <w:rPr>
          <w:szCs w:val="20"/>
        </w:rPr>
        <w:fldChar w:fldCharType="end"/>
      </w:r>
      <w:bookmarkEnd w:id="1"/>
      <w:r w:rsidRPr="00A90A08">
        <w:rPr>
          <w:szCs w:val="20"/>
        </w:rPr>
        <w:t xml:space="preserve">: </w:t>
      </w:r>
      <w:r w:rsidR="00BB7FD3" w:rsidRPr="00A90A08">
        <w:rPr>
          <w:szCs w:val="20"/>
        </w:rPr>
        <w:t xml:space="preserve">Summary of </w:t>
      </w:r>
      <w:r w:rsidR="00A56A99" w:rsidRPr="00A90A08">
        <w:rPr>
          <w:bCs/>
          <w:szCs w:val="20"/>
        </w:rPr>
        <w:t xml:space="preserve">the requested listings for each form of omalizumab </w:t>
      </w:r>
    </w:p>
    <w:tbl>
      <w:tblPr>
        <w:tblStyle w:val="TableGrid"/>
        <w:tblW w:w="5000" w:type="pct"/>
        <w:tblLayout w:type="fixed"/>
        <w:tblLook w:val="04A0" w:firstRow="1" w:lastRow="0" w:firstColumn="1" w:lastColumn="0" w:noHBand="0" w:noVBand="1"/>
        <w:tblCaption w:val="Table 1: Summary of the requested listings for each form of omalizumab "/>
      </w:tblPr>
      <w:tblGrid>
        <w:gridCol w:w="1270"/>
        <w:gridCol w:w="1134"/>
        <w:gridCol w:w="1102"/>
        <w:gridCol w:w="1102"/>
        <w:gridCol w:w="1102"/>
        <w:gridCol w:w="1102"/>
        <w:gridCol w:w="1102"/>
        <w:gridCol w:w="1102"/>
      </w:tblGrid>
      <w:tr w:rsidR="004911BC" w:rsidRPr="00CB4F73" w14:paraId="67ABE9A0" w14:textId="77777777" w:rsidTr="00066B92">
        <w:tc>
          <w:tcPr>
            <w:tcW w:w="1333" w:type="pct"/>
            <w:gridSpan w:val="2"/>
            <w:vAlign w:val="center"/>
          </w:tcPr>
          <w:p w14:paraId="79E808E0" w14:textId="77777777" w:rsidR="004911BC" w:rsidRPr="00CB4F73" w:rsidRDefault="004911BC" w:rsidP="000D6F11">
            <w:pPr>
              <w:keepNext/>
              <w:keepLines/>
              <w:jc w:val="left"/>
              <w:rPr>
                <w:rFonts w:ascii="Arial Narrow" w:hAnsi="Arial Narrow" w:cs="Arial"/>
                <w:iCs/>
                <w:sz w:val="20"/>
                <w:szCs w:val="20"/>
              </w:rPr>
            </w:pPr>
          </w:p>
        </w:tc>
        <w:tc>
          <w:tcPr>
            <w:tcW w:w="1222" w:type="pct"/>
            <w:gridSpan w:val="2"/>
            <w:shd w:val="clear" w:color="auto" w:fill="F2F2F2" w:themeFill="background1" w:themeFillShade="F2"/>
            <w:vAlign w:val="center"/>
          </w:tcPr>
          <w:p w14:paraId="55A96D10" w14:textId="77777777" w:rsidR="004911BC" w:rsidRPr="00CB4F73" w:rsidRDefault="004911BC" w:rsidP="009F4382">
            <w:pPr>
              <w:keepNext/>
              <w:keepLines/>
              <w:jc w:val="center"/>
              <w:rPr>
                <w:rFonts w:ascii="Arial Narrow" w:hAnsi="Arial Narrow" w:cs="Arial"/>
                <w:b/>
                <w:bCs/>
                <w:iCs/>
                <w:sz w:val="20"/>
                <w:szCs w:val="20"/>
              </w:rPr>
            </w:pPr>
            <w:r w:rsidRPr="00CB4F73">
              <w:rPr>
                <w:rFonts w:ascii="Arial Narrow" w:hAnsi="Arial Narrow" w:cs="Arial"/>
                <w:b/>
                <w:bCs/>
                <w:iCs/>
                <w:sz w:val="20"/>
                <w:szCs w:val="20"/>
              </w:rPr>
              <w:t>75 mg/0.5 mL</w:t>
            </w:r>
          </w:p>
        </w:tc>
        <w:tc>
          <w:tcPr>
            <w:tcW w:w="1222" w:type="pct"/>
            <w:gridSpan w:val="2"/>
            <w:shd w:val="clear" w:color="auto" w:fill="F2F2F2" w:themeFill="background1" w:themeFillShade="F2"/>
            <w:vAlign w:val="center"/>
          </w:tcPr>
          <w:p w14:paraId="5FC9EA09" w14:textId="2E297673" w:rsidR="004911BC" w:rsidRPr="00CB4F73" w:rsidRDefault="004911BC" w:rsidP="009F4382">
            <w:pPr>
              <w:keepNext/>
              <w:keepLines/>
              <w:jc w:val="center"/>
              <w:rPr>
                <w:rFonts w:ascii="Arial Narrow" w:hAnsi="Arial Narrow" w:cs="Arial"/>
                <w:b/>
                <w:bCs/>
                <w:iCs/>
                <w:sz w:val="20"/>
                <w:szCs w:val="20"/>
              </w:rPr>
            </w:pPr>
            <w:r w:rsidRPr="00CB4F73">
              <w:rPr>
                <w:rFonts w:ascii="Arial Narrow" w:hAnsi="Arial Narrow" w:cs="Arial"/>
                <w:b/>
                <w:bCs/>
                <w:iCs/>
                <w:sz w:val="20"/>
                <w:szCs w:val="20"/>
              </w:rPr>
              <w:t>150 mg/mL</w:t>
            </w:r>
          </w:p>
        </w:tc>
        <w:tc>
          <w:tcPr>
            <w:tcW w:w="1222" w:type="pct"/>
            <w:gridSpan w:val="2"/>
            <w:shd w:val="clear" w:color="auto" w:fill="F2F2F2" w:themeFill="background1" w:themeFillShade="F2"/>
            <w:vAlign w:val="center"/>
          </w:tcPr>
          <w:p w14:paraId="60243256" w14:textId="77777777" w:rsidR="004911BC" w:rsidRPr="00CB4F73" w:rsidRDefault="004911BC" w:rsidP="009F4382">
            <w:pPr>
              <w:keepNext/>
              <w:keepLines/>
              <w:jc w:val="center"/>
              <w:rPr>
                <w:rFonts w:ascii="Arial Narrow" w:hAnsi="Arial Narrow" w:cs="Arial"/>
                <w:b/>
                <w:bCs/>
                <w:iCs/>
                <w:sz w:val="20"/>
                <w:szCs w:val="20"/>
              </w:rPr>
            </w:pPr>
            <w:r w:rsidRPr="00CB4F73">
              <w:rPr>
                <w:rFonts w:ascii="Arial Narrow" w:hAnsi="Arial Narrow" w:cs="Arial"/>
                <w:b/>
                <w:bCs/>
                <w:iCs/>
                <w:sz w:val="20"/>
                <w:szCs w:val="20"/>
              </w:rPr>
              <w:t>300 mg/2 mL</w:t>
            </w:r>
          </w:p>
        </w:tc>
      </w:tr>
      <w:tr w:rsidR="00487978" w:rsidRPr="00CB4F73" w14:paraId="0C1ACA19" w14:textId="77777777" w:rsidTr="00066B92">
        <w:tc>
          <w:tcPr>
            <w:tcW w:w="704" w:type="pct"/>
            <w:shd w:val="clear" w:color="auto" w:fill="F2F2F2" w:themeFill="background1" w:themeFillShade="F2"/>
            <w:vAlign w:val="center"/>
          </w:tcPr>
          <w:p w14:paraId="492E9DE7" w14:textId="29EF1A75" w:rsidR="00487978" w:rsidRPr="00CB4F73" w:rsidRDefault="00A60C6C" w:rsidP="000D6F11">
            <w:pPr>
              <w:keepNext/>
              <w:keepLines/>
              <w:jc w:val="left"/>
              <w:rPr>
                <w:rFonts w:ascii="Arial Narrow" w:hAnsi="Arial Narrow" w:cs="Arial"/>
                <w:b/>
                <w:bCs/>
                <w:iCs/>
                <w:sz w:val="20"/>
                <w:szCs w:val="20"/>
              </w:rPr>
            </w:pPr>
            <w:r w:rsidRPr="00CB4F73">
              <w:rPr>
                <w:rFonts w:ascii="Arial Narrow" w:hAnsi="Arial Narrow" w:cs="Arial"/>
                <w:b/>
                <w:bCs/>
                <w:iCs/>
                <w:sz w:val="20"/>
                <w:szCs w:val="20"/>
              </w:rPr>
              <w:t>Indication</w:t>
            </w:r>
          </w:p>
        </w:tc>
        <w:tc>
          <w:tcPr>
            <w:tcW w:w="629" w:type="pct"/>
            <w:shd w:val="clear" w:color="auto" w:fill="F2F2F2" w:themeFill="background1" w:themeFillShade="F2"/>
            <w:vAlign w:val="center"/>
          </w:tcPr>
          <w:p w14:paraId="1C6C8DA6" w14:textId="6C7BB3BE" w:rsidR="00487978" w:rsidRPr="00CB4F73" w:rsidRDefault="00A60C6C" w:rsidP="000D6F11">
            <w:pPr>
              <w:keepNext/>
              <w:keepLines/>
              <w:jc w:val="left"/>
              <w:rPr>
                <w:rFonts w:ascii="Arial Narrow" w:hAnsi="Arial Narrow" w:cs="Arial"/>
                <w:b/>
                <w:bCs/>
                <w:iCs/>
                <w:sz w:val="20"/>
                <w:szCs w:val="20"/>
              </w:rPr>
            </w:pPr>
            <w:r w:rsidRPr="00CB4F73">
              <w:rPr>
                <w:rFonts w:ascii="Arial Narrow" w:hAnsi="Arial Narrow" w:cs="Arial"/>
                <w:b/>
                <w:bCs/>
                <w:iCs/>
                <w:sz w:val="20"/>
                <w:szCs w:val="20"/>
              </w:rPr>
              <w:t xml:space="preserve">Treatment phase </w:t>
            </w:r>
          </w:p>
        </w:tc>
        <w:tc>
          <w:tcPr>
            <w:tcW w:w="611" w:type="pct"/>
            <w:shd w:val="clear" w:color="auto" w:fill="F2F2F2" w:themeFill="background1" w:themeFillShade="F2"/>
            <w:vAlign w:val="center"/>
          </w:tcPr>
          <w:p w14:paraId="0B82CDE8" w14:textId="77777777" w:rsidR="00487978" w:rsidRPr="00CB4F73" w:rsidRDefault="00487978" w:rsidP="009F4382">
            <w:pPr>
              <w:keepNext/>
              <w:keepLines/>
              <w:jc w:val="center"/>
              <w:rPr>
                <w:rFonts w:ascii="Arial Narrow" w:hAnsi="Arial Narrow" w:cs="Arial"/>
                <w:b/>
                <w:bCs/>
                <w:iCs/>
                <w:sz w:val="20"/>
                <w:szCs w:val="20"/>
              </w:rPr>
            </w:pPr>
            <w:r w:rsidRPr="00CB4F73">
              <w:rPr>
                <w:rFonts w:ascii="Arial Narrow" w:hAnsi="Arial Narrow" w:cs="Arial"/>
                <w:b/>
                <w:bCs/>
                <w:iCs/>
                <w:sz w:val="20"/>
                <w:szCs w:val="20"/>
              </w:rPr>
              <w:t>PFS</w:t>
            </w:r>
          </w:p>
        </w:tc>
        <w:tc>
          <w:tcPr>
            <w:tcW w:w="611" w:type="pct"/>
            <w:shd w:val="clear" w:color="auto" w:fill="F2F2F2" w:themeFill="background1" w:themeFillShade="F2"/>
            <w:vAlign w:val="center"/>
          </w:tcPr>
          <w:p w14:paraId="34220464" w14:textId="77777777" w:rsidR="00487978" w:rsidRPr="00CB4F73" w:rsidRDefault="00487978" w:rsidP="009F4382">
            <w:pPr>
              <w:keepNext/>
              <w:keepLines/>
              <w:jc w:val="center"/>
              <w:rPr>
                <w:rFonts w:ascii="Arial Narrow" w:hAnsi="Arial Narrow" w:cs="Arial"/>
                <w:b/>
                <w:bCs/>
                <w:iCs/>
                <w:sz w:val="20"/>
                <w:szCs w:val="20"/>
              </w:rPr>
            </w:pPr>
            <w:r w:rsidRPr="00CB4F73">
              <w:rPr>
                <w:rFonts w:ascii="Arial Narrow" w:hAnsi="Arial Narrow" w:cs="Arial"/>
                <w:b/>
                <w:bCs/>
                <w:iCs/>
                <w:sz w:val="20"/>
                <w:szCs w:val="20"/>
              </w:rPr>
              <w:t>PFP</w:t>
            </w:r>
          </w:p>
        </w:tc>
        <w:tc>
          <w:tcPr>
            <w:tcW w:w="611" w:type="pct"/>
            <w:shd w:val="clear" w:color="auto" w:fill="F2F2F2" w:themeFill="background1" w:themeFillShade="F2"/>
            <w:vAlign w:val="center"/>
          </w:tcPr>
          <w:p w14:paraId="180F3245" w14:textId="77777777" w:rsidR="00487978" w:rsidRPr="00CB4F73" w:rsidRDefault="00487978" w:rsidP="009F4382">
            <w:pPr>
              <w:keepNext/>
              <w:keepLines/>
              <w:jc w:val="center"/>
              <w:rPr>
                <w:rFonts w:ascii="Arial Narrow" w:hAnsi="Arial Narrow" w:cs="Arial"/>
                <w:b/>
                <w:bCs/>
                <w:iCs/>
                <w:sz w:val="20"/>
                <w:szCs w:val="20"/>
              </w:rPr>
            </w:pPr>
            <w:r w:rsidRPr="00CB4F73">
              <w:rPr>
                <w:rFonts w:ascii="Arial Narrow" w:hAnsi="Arial Narrow" w:cs="Arial"/>
                <w:b/>
                <w:bCs/>
                <w:iCs/>
                <w:sz w:val="20"/>
                <w:szCs w:val="20"/>
              </w:rPr>
              <w:t>PFS</w:t>
            </w:r>
          </w:p>
        </w:tc>
        <w:tc>
          <w:tcPr>
            <w:tcW w:w="611" w:type="pct"/>
            <w:shd w:val="clear" w:color="auto" w:fill="F2F2F2" w:themeFill="background1" w:themeFillShade="F2"/>
            <w:vAlign w:val="center"/>
          </w:tcPr>
          <w:p w14:paraId="1A082E8D" w14:textId="77777777" w:rsidR="00487978" w:rsidRPr="00CB4F73" w:rsidRDefault="00487978" w:rsidP="009F4382">
            <w:pPr>
              <w:keepNext/>
              <w:keepLines/>
              <w:jc w:val="center"/>
              <w:rPr>
                <w:rFonts w:ascii="Arial Narrow" w:hAnsi="Arial Narrow" w:cs="Arial"/>
                <w:b/>
                <w:bCs/>
                <w:iCs/>
                <w:sz w:val="20"/>
                <w:szCs w:val="20"/>
              </w:rPr>
            </w:pPr>
            <w:r w:rsidRPr="00CB4F73">
              <w:rPr>
                <w:rFonts w:ascii="Arial Narrow" w:hAnsi="Arial Narrow" w:cs="Arial"/>
                <w:b/>
                <w:bCs/>
                <w:iCs/>
                <w:sz w:val="20"/>
                <w:szCs w:val="20"/>
              </w:rPr>
              <w:t>PFP</w:t>
            </w:r>
          </w:p>
        </w:tc>
        <w:tc>
          <w:tcPr>
            <w:tcW w:w="611" w:type="pct"/>
            <w:shd w:val="clear" w:color="auto" w:fill="F2F2F2" w:themeFill="background1" w:themeFillShade="F2"/>
            <w:vAlign w:val="center"/>
          </w:tcPr>
          <w:p w14:paraId="46EE9484" w14:textId="77777777" w:rsidR="00487978" w:rsidRPr="00CB4F73" w:rsidRDefault="00487978" w:rsidP="009F4382">
            <w:pPr>
              <w:keepNext/>
              <w:keepLines/>
              <w:jc w:val="center"/>
              <w:rPr>
                <w:rFonts w:ascii="Arial Narrow" w:hAnsi="Arial Narrow" w:cs="Arial"/>
                <w:b/>
                <w:bCs/>
                <w:iCs/>
                <w:sz w:val="20"/>
                <w:szCs w:val="20"/>
              </w:rPr>
            </w:pPr>
            <w:r w:rsidRPr="00CB4F73">
              <w:rPr>
                <w:rFonts w:ascii="Arial Narrow" w:hAnsi="Arial Narrow" w:cs="Arial"/>
                <w:b/>
                <w:bCs/>
                <w:iCs/>
                <w:sz w:val="20"/>
                <w:szCs w:val="20"/>
              </w:rPr>
              <w:t>PFS</w:t>
            </w:r>
          </w:p>
        </w:tc>
        <w:tc>
          <w:tcPr>
            <w:tcW w:w="611" w:type="pct"/>
            <w:shd w:val="clear" w:color="auto" w:fill="F2F2F2" w:themeFill="background1" w:themeFillShade="F2"/>
            <w:vAlign w:val="center"/>
          </w:tcPr>
          <w:p w14:paraId="49C455C2" w14:textId="77777777" w:rsidR="00487978" w:rsidRPr="00CB4F73" w:rsidRDefault="00487978" w:rsidP="009F4382">
            <w:pPr>
              <w:keepNext/>
              <w:keepLines/>
              <w:jc w:val="center"/>
              <w:rPr>
                <w:rFonts w:ascii="Arial Narrow" w:hAnsi="Arial Narrow" w:cs="Arial"/>
                <w:b/>
                <w:bCs/>
                <w:iCs/>
                <w:sz w:val="20"/>
                <w:szCs w:val="20"/>
              </w:rPr>
            </w:pPr>
            <w:r w:rsidRPr="00CB4F73">
              <w:rPr>
                <w:rFonts w:ascii="Arial Narrow" w:hAnsi="Arial Narrow" w:cs="Arial"/>
                <w:b/>
                <w:bCs/>
                <w:iCs/>
                <w:sz w:val="20"/>
                <w:szCs w:val="20"/>
              </w:rPr>
              <w:t>PFP</w:t>
            </w:r>
          </w:p>
        </w:tc>
      </w:tr>
      <w:tr w:rsidR="00487978" w:rsidRPr="00CB4F73" w14:paraId="56D783D4" w14:textId="77777777" w:rsidTr="00066B92">
        <w:trPr>
          <w:trHeight w:val="119"/>
        </w:trPr>
        <w:tc>
          <w:tcPr>
            <w:tcW w:w="704" w:type="pct"/>
            <w:vMerge w:val="restart"/>
            <w:shd w:val="clear" w:color="auto" w:fill="F2F2F2" w:themeFill="background1" w:themeFillShade="F2"/>
          </w:tcPr>
          <w:p w14:paraId="7AC7D3A8" w14:textId="77777777" w:rsidR="00487978" w:rsidRPr="00CB4F73" w:rsidRDefault="00487978" w:rsidP="000D6F11">
            <w:pPr>
              <w:keepNext/>
              <w:keepLines/>
              <w:jc w:val="left"/>
              <w:rPr>
                <w:rFonts w:ascii="Arial Narrow" w:hAnsi="Arial Narrow" w:cs="Arial"/>
                <w:b/>
                <w:bCs/>
                <w:iCs/>
                <w:sz w:val="20"/>
                <w:szCs w:val="20"/>
              </w:rPr>
            </w:pPr>
            <w:r w:rsidRPr="00CB4F73">
              <w:rPr>
                <w:rFonts w:ascii="Arial Narrow" w:hAnsi="Arial Narrow" w:cs="Arial"/>
                <w:b/>
                <w:bCs/>
                <w:iCs/>
                <w:sz w:val="20"/>
                <w:szCs w:val="20"/>
              </w:rPr>
              <w:t>Uncontrolled Severe Asthma</w:t>
            </w:r>
          </w:p>
        </w:tc>
        <w:tc>
          <w:tcPr>
            <w:tcW w:w="629" w:type="pct"/>
            <w:shd w:val="clear" w:color="auto" w:fill="F2F2F2" w:themeFill="background1" w:themeFillShade="F2"/>
          </w:tcPr>
          <w:p w14:paraId="5F0FC52C" w14:textId="77777777" w:rsidR="00487978" w:rsidRPr="00CB4F73" w:rsidRDefault="00487978" w:rsidP="000D6F11">
            <w:pPr>
              <w:keepNext/>
              <w:keepLines/>
              <w:jc w:val="left"/>
              <w:rPr>
                <w:rFonts w:ascii="Arial Narrow" w:hAnsi="Arial Narrow" w:cs="Arial"/>
                <w:b/>
                <w:bCs/>
                <w:iCs/>
                <w:sz w:val="20"/>
                <w:szCs w:val="20"/>
              </w:rPr>
            </w:pPr>
            <w:r w:rsidRPr="00CB4F73">
              <w:rPr>
                <w:rFonts w:ascii="Arial Narrow" w:hAnsi="Arial Narrow" w:cs="Arial"/>
                <w:b/>
                <w:bCs/>
                <w:iCs/>
                <w:sz w:val="20"/>
                <w:szCs w:val="20"/>
              </w:rPr>
              <w:t xml:space="preserve">Initial </w:t>
            </w:r>
          </w:p>
        </w:tc>
        <w:tc>
          <w:tcPr>
            <w:tcW w:w="611" w:type="pct"/>
          </w:tcPr>
          <w:p w14:paraId="7B0C0D9C"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Written</w:t>
            </w:r>
          </w:p>
        </w:tc>
        <w:tc>
          <w:tcPr>
            <w:tcW w:w="611" w:type="pct"/>
          </w:tcPr>
          <w:p w14:paraId="187317B4"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Written</w:t>
            </w:r>
          </w:p>
        </w:tc>
        <w:tc>
          <w:tcPr>
            <w:tcW w:w="611" w:type="pct"/>
          </w:tcPr>
          <w:p w14:paraId="12611BF3"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Written</w:t>
            </w:r>
          </w:p>
        </w:tc>
        <w:tc>
          <w:tcPr>
            <w:tcW w:w="611" w:type="pct"/>
          </w:tcPr>
          <w:p w14:paraId="3279FEA9"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Written</w:t>
            </w:r>
          </w:p>
        </w:tc>
        <w:tc>
          <w:tcPr>
            <w:tcW w:w="611" w:type="pct"/>
          </w:tcPr>
          <w:p w14:paraId="0D2B7AE1"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Written</w:t>
            </w:r>
          </w:p>
        </w:tc>
        <w:tc>
          <w:tcPr>
            <w:tcW w:w="611" w:type="pct"/>
          </w:tcPr>
          <w:p w14:paraId="5815C947"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Written</w:t>
            </w:r>
          </w:p>
        </w:tc>
      </w:tr>
      <w:tr w:rsidR="00487978" w:rsidRPr="00CB4F73" w14:paraId="65FB1FD4" w14:textId="77777777" w:rsidTr="00066B92">
        <w:trPr>
          <w:trHeight w:val="119"/>
        </w:trPr>
        <w:tc>
          <w:tcPr>
            <w:tcW w:w="704" w:type="pct"/>
            <w:vMerge/>
            <w:shd w:val="clear" w:color="auto" w:fill="F2F2F2" w:themeFill="background1" w:themeFillShade="F2"/>
          </w:tcPr>
          <w:p w14:paraId="24E95075" w14:textId="77777777" w:rsidR="00487978" w:rsidRPr="00CB4F73" w:rsidRDefault="00487978" w:rsidP="000D6F11">
            <w:pPr>
              <w:keepNext/>
              <w:keepLines/>
              <w:jc w:val="left"/>
              <w:rPr>
                <w:rFonts w:ascii="Arial Narrow" w:hAnsi="Arial Narrow" w:cs="Arial"/>
                <w:b/>
                <w:bCs/>
                <w:iCs/>
                <w:sz w:val="20"/>
                <w:szCs w:val="20"/>
              </w:rPr>
            </w:pPr>
          </w:p>
        </w:tc>
        <w:tc>
          <w:tcPr>
            <w:tcW w:w="629" w:type="pct"/>
            <w:shd w:val="clear" w:color="auto" w:fill="F2F2F2" w:themeFill="background1" w:themeFillShade="F2"/>
          </w:tcPr>
          <w:p w14:paraId="25C05652" w14:textId="77777777" w:rsidR="00487978" w:rsidRPr="00CB4F73" w:rsidRDefault="00487978" w:rsidP="000D6F11">
            <w:pPr>
              <w:keepNext/>
              <w:keepLines/>
              <w:jc w:val="left"/>
              <w:rPr>
                <w:rFonts w:ascii="Arial Narrow" w:hAnsi="Arial Narrow" w:cs="Arial"/>
                <w:b/>
                <w:bCs/>
                <w:iCs/>
                <w:sz w:val="20"/>
                <w:szCs w:val="20"/>
              </w:rPr>
            </w:pPr>
            <w:r w:rsidRPr="00CB4F73">
              <w:rPr>
                <w:rFonts w:ascii="Arial Narrow" w:hAnsi="Arial Narrow" w:cs="Arial"/>
                <w:b/>
                <w:bCs/>
                <w:iCs/>
                <w:sz w:val="20"/>
                <w:szCs w:val="20"/>
              </w:rPr>
              <w:t>Continuing</w:t>
            </w:r>
          </w:p>
        </w:tc>
        <w:tc>
          <w:tcPr>
            <w:tcW w:w="611" w:type="pct"/>
          </w:tcPr>
          <w:p w14:paraId="5EBC5C02"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Telephone/Online</w:t>
            </w:r>
          </w:p>
        </w:tc>
        <w:tc>
          <w:tcPr>
            <w:tcW w:w="611" w:type="pct"/>
          </w:tcPr>
          <w:p w14:paraId="7B2298DB"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Telephone/Online</w:t>
            </w:r>
          </w:p>
        </w:tc>
        <w:tc>
          <w:tcPr>
            <w:tcW w:w="611" w:type="pct"/>
          </w:tcPr>
          <w:p w14:paraId="794F0B7B"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Telephone/Online</w:t>
            </w:r>
          </w:p>
        </w:tc>
        <w:tc>
          <w:tcPr>
            <w:tcW w:w="611" w:type="pct"/>
          </w:tcPr>
          <w:p w14:paraId="68786CAF"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Telephone/Online</w:t>
            </w:r>
          </w:p>
        </w:tc>
        <w:tc>
          <w:tcPr>
            <w:tcW w:w="611" w:type="pct"/>
          </w:tcPr>
          <w:p w14:paraId="6EEE7147"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Telephone/Online</w:t>
            </w:r>
          </w:p>
        </w:tc>
        <w:tc>
          <w:tcPr>
            <w:tcW w:w="611" w:type="pct"/>
          </w:tcPr>
          <w:p w14:paraId="4C7CACB9"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Telephone/Online</w:t>
            </w:r>
          </w:p>
        </w:tc>
      </w:tr>
      <w:tr w:rsidR="00487978" w:rsidRPr="00CB4F73" w14:paraId="008F7830" w14:textId="77777777" w:rsidTr="00066B92">
        <w:trPr>
          <w:trHeight w:val="119"/>
        </w:trPr>
        <w:tc>
          <w:tcPr>
            <w:tcW w:w="704" w:type="pct"/>
            <w:vMerge/>
            <w:shd w:val="clear" w:color="auto" w:fill="F2F2F2" w:themeFill="background1" w:themeFillShade="F2"/>
          </w:tcPr>
          <w:p w14:paraId="6E00F40F" w14:textId="77777777" w:rsidR="00487978" w:rsidRPr="00CB4F73" w:rsidRDefault="00487978" w:rsidP="000D6F11">
            <w:pPr>
              <w:keepNext/>
              <w:keepLines/>
              <w:jc w:val="left"/>
              <w:rPr>
                <w:rFonts w:ascii="Arial Narrow" w:hAnsi="Arial Narrow" w:cs="Arial"/>
                <w:b/>
                <w:bCs/>
                <w:iCs/>
                <w:sz w:val="20"/>
                <w:szCs w:val="20"/>
              </w:rPr>
            </w:pPr>
          </w:p>
        </w:tc>
        <w:tc>
          <w:tcPr>
            <w:tcW w:w="629" w:type="pct"/>
            <w:shd w:val="clear" w:color="auto" w:fill="F2F2F2" w:themeFill="background1" w:themeFillShade="F2"/>
          </w:tcPr>
          <w:p w14:paraId="359FE0CE" w14:textId="77777777" w:rsidR="00487978" w:rsidRPr="00CB4F73" w:rsidRDefault="00487978" w:rsidP="000D6F11">
            <w:pPr>
              <w:keepNext/>
              <w:keepLines/>
              <w:jc w:val="left"/>
              <w:rPr>
                <w:rFonts w:ascii="Arial Narrow" w:hAnsi="Arial Narrow" w:cs="Arial"/>
                <w:b/>
                <w:bCs/>
                <w:iCs/>
                <w:sz w:val="20"/>
                <w:szCs w:val="20"/>
              </w:rPr>
            </w:pPr>
            <w:r w:rsidRPr="00CB4F73">
              <w:rPr>
                <w:rFonts w:ascii="Arial Narrow" w:hAnsi="Arial Narrow" w:cs="Arial"/>
                <w:b/>
                <w:bCs/>
                <w:iCs/>
                <w:sz w:val="20"/>
                <w:szCs w:val="20"/>
              </w:rPr>
              <w:t xml:space="preserve">Balance of supply </w:t>
            </w:r>
          </w:p>
        </w:tc>
        <w:tc>
          <w:tcPr>
            <w:tcW w:w="611" w:type="pct"/>
          </w:tcPr>
          <w:p w14:paraId="51801454"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Telephone/Online</w:t>
            </w:r>
          </w:p>
        </w:tc>
        <w:tc>
          <w:tcPr>
            <w:tcW w:w="611" w:type="pct"/>
          </w:tcPr>
          <w:p w14:paraId="3998BE05"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Telephone/Online</w:t>
            </w:r>
          </w:p>
        </w:tc>
        <w:tc>
          <w:tcPr>
            <w:tcW w:w="611" w:type="pct"/>
          </w:tcPr>
          <w:p w14:paraId="33BEA80C"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Telephone/Online</w:t>
            </w:r>
          </w:p>
        </w:tc>
        <w:tc>
          <w:tcPr>
            <w:tcW w:w="611" w:type="pct"/>
          </w:tcPr>
          <w:p w14:paraId="3441B338"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Telephone/Online</w:t>
            </w:r>
          </w:p>
        </w:tc>
        <w:tc>
          <w:tcPr>
            <w:tcW w:w="611" w:type="pct"/>
          </w:tcPr>
          <w:p w14:paraId="57854389"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Telephone/Online</w:t>
            </w:r>
          </w:p>
        </w:tc>
        <w:tc>
          <w:tcPr>
            <w:tcW w:w="611" w:type="pct"/>
          </w:tcPr>
          <w:p w14:paraId="2E7CB098"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Telephone/Online</w:t>
            </w:r>
          </w:p>
        </w:tc>
      </w:tr>
      <w:tr w:rsidR="00487978" w:rsidRPr="00CB4F73" w14:paraId="21BD7BF1" w14:textId="77777777" w:rsidTr="00066B92">
        <w:trPr>
          <w:trHeight w:val="178"/>
        </w:trPr>
        <w:tc>
          <w:tcPr>
            <w:tcW w:w="704" w:type="pct"/>
            <w:vMerge w:val="restart"/>
            <w:shd w:val="clear" w:color="auto" w:fill="F2F2F2" w:themeFill="background1" w:themeFillShade="F2"/>
          </w:tcPr>
          <w:p w14:paraId="1B02690F" w14:textId="77777777" w:rsidR="00487978" w:rsidRPr="00CB4F73" w:rsidRDefault="00487978" w:rsidP="000D6F11">
            <w:pPr>
              <w:keepNext/>
              <w:keepLines/>
              <w:jc w:val="left"/>
              <w:rPr>
                <w:rFonts w:ascii="Arial Narrow" w:hAnsi="Arial Narrow" w:cs="Arial"/>
                <w:b/>
                <w:bCs/>
                <w:iCs/>
                <w:sz w:val="20"/>
                <w:szCs w:val="20"/>
              </w:rPr>
            </w:pPr>
            <w:r w:rsidRPr="00CB4F73">
              <w:rPr>
                <w:rFonts w:ascii="Arial Narrow" w:hAnsi="Arial Narrow" w:cs="Arial"/>
                <w:b/>
                <w:bCs/>
                <w:iCs/>
                <w:sz w:val="20"/>
                <w:szCs w:val="20"/>
              </w:rPr>
              <w:t>Uncontrolled severe allergic asthma</w:t>
            </w:r>
          </w:p>
        </w:tc>
        <w:tc>
          <w:tcPr>
            <w:tcW w:w="629" w:type="pct"/>
            <w:shd w:val="clear" w:color="auto" w:fill="F2F2F2" w:themeFill="background1" w:themeFillShade="F2"/>
          </w:tcPr>
          <w:p w14:paraId="468530F4" w14:textId="77777777" w:rsidR="00487978" w:rsidRPr="00CB4F73" w:rsidRDefault="00487978" w:rsidP="000D6F11">
            <w:pPr>
              <w:keepNext/>
              <w:keepLines/>
              <w:jc w:val="left"/>
              <w:rPr>
                <w:rFonts w:ascii="Arial Narrow" w:hAnsi="Arial Narrow" w:cs="Arial"/>
                <w:b/>
                <w:bCs/>
                <w:iCs/>
                <w:sz w:val="20"/>
                <w:szCs w:val="20"/>
              </w:rPr>
            </w:pPr>
            <w:r w:rsidRPr="00CB4F73">
              <w:rPr>
                <w:rFonts w:ascii="Arial Narrow" w:hAnsi="Arial Narrow" w:cs="Arial"/>
                <w:b/>
                <w:bCs/>
                <w:iCs/>
                <w:sz w:val="20"/>
                <w:szCs w:val="20"/>
              </w:rPr>
              <w:t xml:space="preserve">Initial </w:t>
            </w:r>
          </w:p>
        </w:tc>
        <w:tc>
          <w:tcPr>
            <w:tcW w:w="611" w:type="pct"/>
          </w:tcPr>
          <w:p w14:paraId="7EB3D113"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Written</w:t>
            </w:r>
          </w:p>
        </w:tc>
        <w:tc>
          <w:tcPr>
            <w:tcW w:w="611" w:type="pct"/>
          </w:tcPr>
          <w:p w14:paraId="5368B28C"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NR</w:t>
            </w:r>
          </w:p>
        </w:tc>
        <w:tc>
          <w:tcPr>
            <w:tcW w:w="611" w:type="pct"/>
          </w:tcPr>
          <w:p w14:paraId="72968D62"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Written</w:t>
            </w:r>
          </w:p>
        </w:tc>
        <w:tc>
          <w:tcPr>
            <w:tcW w:w="611" w:type="pct"/>
          </w:tcPr>
          <w:p w14:paraId="14BAD15B"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NR</w:t>
            </w:r>
          </w:p>
        </w:tc>
        <w:tc>
          <w:tcPr>
            <w:tcW w:w="611" w:type="pct"/>
          </w:tcPr>
          <w:p w14:paraId="5DFE4123"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NR</w:t>
            </w:r>
          </w:p>
        </w:tc>
        <w:tc>
          <w:tcPr>
            <w:tcW w:w="611" w:type="pct"/>
          </w:tcPr>
          <w:p w14:paraId="7E15B494"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NR</w:t>
            </w:r>
          </w:p>
        </w:tc>
      </w:tr>
      <w:tr w:rsidR="00487978" w:rsidRPr="00CB4F73" w14:paraId="17F1ECCD" w14:textId="77777777" w:rsidTr="00066B92">
        <w:trPr>
          <w:trHeight w:val="176"/>
        </w:trPr>
        <w:tc>
          <w:tcPr>
            <w:tcW w:w="704" w:type="pct"/>
            <w:vMerge/>
            <w:shd w:val="clear" w:color="auto" w:fill="F2F2F2" w:themeFill="background1" w:themeFillShade="F2"/>
          </w:tcPr>
          <w:p w14:paraId="7D488EDC" w14:textId="77777777" w:rsidR="00487978" w:rsidRPr="00CB4F73" w:rsidRDefault="00487978" w:rsidP="000D6F11">
            <w:pPr>
              <w:keepNext/>
              <w:keepLines/>
              <w:jc w:val="left"/>
              <w:rPr>
                <w:rFonts w:ascii="Arial Narrow" w:hAnsi="Arial Narrow" w:cs="Arial"/>
                <w:b/>
                <w:bCs/>
                <w:iCs/>
                <w:sz w:val="20"/>
                <w:szCs w:val="20"/>
              </w:rPr>
            </w:pPr>
          </w:p>
        </w:tc>
        <w:tc>
          <w:tcPr>
            <w:tcW w:w="629" w:type="pct"/>
            <w:shd w:val="clear" w:color="auto" w:fill="F2F2F2" w:themeFill="background1" w:themeFillShade="F2"/>
          </w:tcPr>
          <w:p w14:paraId="639D849B" w14:textId="77777777" w:rsidR="00487978" w:rsidRPr="00CB4F73" w:rsidRDefault="00487978" w:rsidP="000D6F11">
            <w:pPr>
              <w:keepNext/>
              <w:keepLines/>
              <w:jc w:val="left"/>
              <w:rPr>
                <w:rFonts w:ascii="Arial Narrow" w:hAnsi="Arial Narrow" w:cs="Arial"/>
                <w:b/>
                <w:bCs/>
                <w:iCs/>
                <w:sz w:val="20"/>
                <w:szCs w:val="20"/>
              </w:rPr>
            </w:pPr>
            <w:r w:rsidRPr="00CB4F73">
              <w:rPr>
                <w:rFonts w:ascii="Arial Narrow" w:hAnsi="Arial Narrow" w:cs="Arial"/>
                <w:b/>
                <w:bCs/>
                <w:iCs/>
                <w:sz w:val="20"/>
                <w:szCs w:val="20"/>
              </w:rPr>
              <w:t>Continuing</w:t>
            </w:r>
          </w:p>
        </w:tc>
        <w:tc>
          <w:tcPr>
            <w:tcW w:w="611" w:type="pct"/>
          </w:tcPr>
          <w:p w14:paraId="2CF523B9"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Telephone/Online</w:t>
            </w:r>
          </w:p>
        </w:tc>
        <w:tc>
          <w:tcPr>
            <w:tcW w:w="611" w:type="pct"/>
          </w:tcPr>
          <w:p w14:paraId="53683BE2"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NR</w:t>
            </w:r>
          </w:p>
        </w:tc>
        <w:tc>
          <w:tcPr>
            <w:tcW w:w="611" w:type="pct"/>
          </w:tcPr>
          <w:p w14:paraId="60CE3879"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Telephone/Online</w:t>
            </w:r>
          </w:p>
        </w:tc>
        <w:tc>
          <w:tcPr>
            <w:tcW w:w="611" w:type="pct"/>
          </w:tcPr>
          <w:p w14:paraId="62595EF5"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NR</w:t>
            </w:r>
          </w:p>
        </w:tc>
        <w:tc>
          <w:tcPr>
            <w:tcW w:w="611" w:type="pct"/>
          </w:tcPr>
          <w:p w14:paraId="199CD784"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NR</w:t>
            </w:r>
          </w:p>
        </w:tc>
        <w:tc>
          <w:tcPr>
            <w:tcW w:w="611" w:type="pct"/>
          </w:tcPr>
          <w:p w14:paraId="310495C1"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NR</w:t>
            </w:r>
          </w:p>
        </w:tc>
      </w:tr>
      <w:tr w:rsidR="00487978" w:rsidRPr="00CB4F73" w14:paraId="64D706A3" w14:textId="77777777" w:rsidTr="00066B92">
        <w:trPr>
          <w:trHeight w:val="176"/>
        </w:trPr>
        <w:tc>
          <w:tcPr>
            <w:tcW w:w="704" w:type="pct"/>
            <w:vMerge/>
            <w:shd w:val="clear" w:color="auto" w:fill="F2F2F2" w:themeFill="background1" w:themeFillShade="F2"/>
          </w:tcPr>
          <w:p w14:paraId="3716263A" w14:textId="77777777" w:rsidR="00487978" w:rsidRPr="00CB4F73" w:rsidRDefault="00487978" w:rsidP="000D6F11">
            <w:pPr>
              <w:keepNext/>
              <w:keepLines/>
              <w:jc w:val="left"/>
              <w:rPr>
                <w:rFonts w:ascii="Arial Narrow" w:hAnsi="Arial Narrow" w:cs="Arial"/>
                <w:b/>
                <w:bCs/>
                <w:iCs/>
                <w:sz w:val="20"/>
                <w:szCs w:val="20"/>
              </w:rPr>
            </w:pPr>
          </w:p>
        </w:tc>
        <w:tc>
          <w:tcPr>
            <w:tcW w:w="629" w:type="pct"/>
            <w:shd w:val="clear" w:color="auto" w:fill="F2F2F2" w:themeFill="background1" w:themeFillShade="F2"/>
          </w:tcPr>
          <w:p w14:paraId="67C549EC" w14:textId="77777777" w:rsidR="00487978" w:rsidRPr="00CB4F73" w:rsidRDefault="00487978" w:rsidP="000D6F11">
            <w:pPr>
              <w:keepNext/>
              <w:keepLines/>
              <w:jc w:val="left"/>
              <w:rPr>
                <w:rFonts w:ascii="Arial Narrow" w:hAnsi="Arial Narrow" w:cs="Arial"/>
                <w:b/>
                <w:bCs/>
                <w:iCs/>
                <w:sz w:val="20"/>
                <w:szCs w:val="20"/>
              </w:rPr>
            </w:pPr>
            <w:r w:rsidRPr="00CB4F73">
              <w:rPr>
                <w:rFonts w:ascii="Arial Narrow" w:hAnsi="Arial Narrow" w:cs="Arial"/>
                <w:b/>
                <w:bCs/>
                <w:iCs/>
                <w:sz w:val="20"/>
                <w:szCs w:val="20"/>
              </w:rPr>
              <w:t xml:space="preserve">Balance of supply </w:t>
            </w:r>
          </w:p>
        </w:tc>
        <w:tc>
          <w:tcPr>
            <w:tcW w:w="611" w:type="pct"/>
          </w:tcPr>
          <w:p w14:paraId="16B1CE2F"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Telephone/Online</w:t>
            </w:r>
          </w:p>
        </w:tc>
        <w:tc>
          <w:tcPr>
            <w:tcW w:w="611" w:type="pct"/>
          </w:tcPr>
          <w:p w14:paraId="3E3FA6AF"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NR</w:t>
            </w:r>
          </w:p>
        </w:tc>
        <w:tc>
          <w:tcPr>
            <w:tcW w:w="611" w:type="pct"/>
          </w:tcPr>
          <w:p w14:paraId="2AEA5799"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Telephone/Online</w:t>
            </w:r>
          </w:p>
        </w:tc>
        <w:tc>
          <w:tcPr>
            <w:tcW w:w="611" w:type="pct"/>
          </w:tcPr>
          <w:p w14:paraId="7B2F621E"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NR</w:t>
            </w:r>
          </w:p>
        </w:tc>
        <w:tc>
          <w:tcPr>
            <w:tcW w:w="611" w:type="pct"/>
          </w:tcPr>
          <w:p w14:paraId="63D41B6C"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NR</w:t>
            </w:r>
          </w:p>
        </w:tc>
        <w:tc>
          <w:tcPr>
            <w:tcW w:w="611" w:type="pct"/>
          </w:tcPr>
          <w:p w14:paraId="5B2CE842"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NR</w:t>
            </w:r>
          </w:p>
        </w:tc>
      </w:tr>
      <w:tr w:rsidR="00487978" w:rsidRPr="00CB4F73" w14:paraId="15BC0746" w14:textId="77777777" w:rsidTr="00066B92">
        <w:trPr>
          <w:trHeight w:val="265"/>
        </w:trPr>
        <w:tc>
          <w:tcPr>
            <w:tcW w:w="704" w:type="pct"/>
            <w:vMerge w:val="restart"/>
            <w:shd w:val="clear" w:color="auto" w:fill="F2F2F2" w:themeFill="background1" w:themeFillShade="F2"/>
          </w:tcPr>
          <w:p w14:paraId="2826932D" w14:textId="77777777" w:rsidR="00487978" w:rsidRPr="00CB4F73" w:rsidRDefault="00487978" w:rsidP="000D6F11">
            <w:pPr>
              <w:keepNext/>
              <w:keepLines/>
              <w:jc w:val="left"/>
              <w:rPr>
                <w:rFonts w:ascii="Arial Narrow" w:hAnsi="Arial Narrow" w:cs="Arial"/>
                <w:b/>
                <w:bCs/>
                <w:iCs/>
                <w:sz w:val="20"/>
                <w:szCs w:val="20"/>
              </w:rPr>
            </w:pPr>
            <w:r w:rsidRPr="00CB4F73">
              <w:rPr>
                <w:rFonts w:ascii="Arial Narrow" w:hAnsi="Arial Narrow" w:cs="Arial"/>
                <w:b/>
                <w:bCs/>
                <w:iCs/>
                <w:sz w:val="20"/>
                <w:szCs w:val="20"/>
              </w:rPr>
              <w:t>Chronic severe spontaneous urticaria</w:t>
            </w:r>
          </w:p>
        </w:tc>
        <w:tc>
          <w:tcPr>
            <w:tcW w:w="629" w:type="pct"/>
            <w:shd w:val="clear" w:color="auto" w:fill="F2F2F2" w:themeFill="background1" w:themeFillShade="F2"/>
          </w:tcPr>
          <w:p w14:paraId="6AE8F7C4" w14:textId="77777777" w:rsidR="00487978" w:rsidRPr="00CB4F73" w:rsidRDefault="00487978" w:rsidP="000D6F11">
            <w:pPr>
              <w:keepNext/>
              <w:keepLines/>
              <w:jc w:val="left"/>
              <w:rPr>
                <w:rFonts w:ascii="Arial Narrow" w:hAnsi="Arial Narrow" w:cs="Arial"/>
                <w:b/>
                <w:bCs/>
                <w:iCs/>
                <w:sz w:val="20"/>
                <w:szCs w:val="20"/>
              </w:rPr>
            </w:pPr>
            <w:r w:rsidRPr="00CB4F73">
              <w:rPr>
                <w:rFonts w:ascii="Arial Narrow" w:hAnsi="Arial Narrow" w:cs="Arial"/>
                <w:b/>
                <w:bCs/>
                <w:iCs/>
                <w:sz w:val="20"/>
                <w:szCs w:val="20"/>
              </w:rPr>
              <w:t xml:space="preserve">Initial </w:t>
            </w:r>
          </w:p>
        </w:tc>
        <w:tc>
          <w:tcPr>
            <w:tcW w:w="611" w:type="pct"/>
          </w:tcPr>
          <w:p w14:paraId="067612EB"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NR</w:t>
            </w:r>
          </w:p>
        </w:tc>
        <w:tc>
          <w:tcPr>
            <w:tcW w:w="611" w:type="pct"/>
          </w:tcPr>
          <w:p w14:paraId="7AC06675"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NR</w:t>
            </w:r>
          </w:p>
        </w:tc>
        <w:tc>
          <w:tcPr>
            <w:tcW w:w="611" w:type="pct"/>
          </w:tcPr>
          <w:p w14:paraId="42279356"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Written</w:t>
            </w:r>
          </w:p>
        </w:tc>
        <w:tc>
          <w:tcPr>
            <w:tcW w:w="611" w:type="pct"/>
          </w:tcPr>
          <w:p w14:paraId="034C1566"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Written</w:t>
            </w:r>
          </w:p>
        </w:tc>
        <w:tc>
          <w:tcPr>
            <w:tcW w:w="611" w:type="pct"/>
          </w:tcPr>
          <w:p w14:paraId="18DDA4A7"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Written</w:t>
            </w:r>
          </w:p>
        </w:tc>
        <w:tc>
          <w:tcPr>
            <w:tcW w:w="611" w:type="pct"/>
          </w:tcPr>
          <w:p w14:paraId="0A024FCC"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Written</w:t>
            </w:r>
          </w:p>
        </w:tc>
      </w:tr>
      <w:tr w:rsidR="00487978" w:rsidRPr="00CB4F73" w14:paraId="74F73BE6" w14:textId="77777777" w:rsidTr="00066B92">
        <w:trPr>
          <w:trHeight w:val="265"/>
        </w:trPr>
        <w:tc>
          <w:tcPr>
            <w:tcW w:w="704" w:type="pct"/>
            <w:vMerge/>
            <w:shd w:val="clear" w:color="auto" w:fill="F2F2F2" w:themeFill="background1" w:themeFillShade="F2"/>
          </w:tcPr>
          <w:p w14:paraId="696FCAD0" w14:textId="77777777" w:rsidR="00487978" w:rsidRPr="00CB4F73" w:rsidRDefault="00487978" w:rsidP="000D6F11">
            <w:pPr>
              <w:keepNext/>
              <w:keepLines/>
              <w:jc w:val="left"/>
              <w:rPr>
                <w:rFonts w:ascii="Arial Narrow" w:hAnsi="Arial Narrow" w:cs="Arial"/>
                <w:b/>
                <w:bCs/>
                <w:iCs/>
                <w:sz w:val="20"/>
                <w:szCs w:val="20"/>
              </w:rPr>
            </w:pPr>
          </w:p>
        </w:tc>
        <w:tc>
          <w:tcPr>
            <w:tcW w:w="629" w:type="pct"/>
            <w:shd w:val="clear" w:color="auto" w:fill="F2F2F2" w:themeFill="background1" w:themeFillShade="F2"/>
          </w:tcPr>
          <w:p w14:paraId="00C48B39" w14:textId="77777777" w:rsidR="00487978" w:rsidRPr="00CB4F73" w:rsidRDefault="00487978" w:rsidP="000D6F11">
            <w:pPr>
              <w:keepNext/>
              <w:keepLines/>
              <w:jc w:val="left"/>
              <w:rPr>
                <w:rFonts w:ascii="Arial Narrow" w:hAnsi="Arial Narrow" w:cs="Arial"/>
                <w:b/>
                <w:bCs/>
                <w:iCs/>
                <w:sz w:val="20"/>
                <w:szCs w:val="20"/>
              </w:rPr>
            </w:pPr>
            <w:r w:rsidRPr="00CB4F73">
              <w:rPr>
                <w:rFonts w:ascii="Arial Narrow" w:hAnsi="Arial Narrow" w:cs="Arial"/>
                <w:b/>
                <w:bCs/>
                <w:iCs/>
                <w:sz w:val="20"/>
                <w:szCs w:val="20"/>
              </w:rPr>
              <w:t>Continuing</w:t>
            </w:r>
          </w:p>
        </w:tc>
        <w:tc>
          <w:tcPr>
            <w:tcW w:w="611" w:type="pct"/>
          </w:tcPr>
          <w:p w14:paraId="0F1DAE46"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NR</w:t>
            </w:r>
          </w:p>
        </w:tc>
        <w:tc>
          <w:tcPr>
            <w:tcW w:w="611" w:type="pct"/>
          </w:tcPr>
          <w:p w14:paraId="00B37F7D"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NR</w:t>
            </w:r>
          </w:p>
        </w:tc>
        <w:tc>
          <w:tcPr>
            <w:tcW w:w="611" w:type="pct"/>
          </w:tcPr>
          <w:p w14:paraId="012E850A"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Telephone/Online</w:t>
            </w:r>
          </w:p>
        </w:tc>
        <w:tc>
          <w:tcPr>
            <w:tcW w:w="611" w:type="pct"/>
          </w:tcPr>
          <w:p w14:paraId="70B28951"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Telephone/Online</w:t>
            </w:r>
          </w:p>
        </w:tc>
        <w:tc>
          <w:tcPr>
            <w:tcW w:w="611" w:type="pct"/>
          </w:tcPr>
          <w:p w14:paraId="0C4ACA5C"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Telephone/Online</w:t>
            </w:r>
          </w:p>
        </w:tc>
        <w:tc>
          <w:tcPr>
            <w:tcW w:w="611" w:type="pct"/>
          </w:tcPr>
          <w:p w14:paraId="2C41D78E" w14:textId="77777777" w:rsidR="00487978" w:rsidRPr="00CB4F73" w:rsidRDefault="00487978" w:rsidP="000D6F11">
            <w:pPr>
              <w:keepNext/>
              <w:keepLines/>
              <w:jc w:val="left"/>
              <w:rPr>
                <w:rFonts w:ascii="Arial Narrow" w:hAnsi="Arial Narrow" w:cs="Arial"/>
                <w:iCs/>
                <w:sz w:val="20"/>
                <w:szCs w:val="20"/>
              </w:rPr>
            </w:pPr>
            <w:r w:rsidRPr="00CB4F73">
              <w:rPr>
                <w:rFonts w:ascii="Arial Narrow" w:hAnsi="Arial Narrow" w:cs="Arial"/>
                <w:iCs/>
                <w:sz w:val="20"/>
                <w:szCs w:val="20"/>
              </w:rPr>
              <w:t>Telephone/Online</w:t>
            </w:r>
          </w:p>
        </w:tc>
      </w:tr>
    </w:tbl>
    <w:p w14:paraId="0FC22398" w14:textId="12D6FE67" w:rsidR="0028419C" w:rsidRPr="003B436C" w:rsidRDefault="0028419C" w:rsidP="000D6F11">
      <w:pPr>
        <w:keepNext/>
        <w:keepLines/>
        <w:rPr>
          <w:rFonts w:ascii="Arial Narrow" w:hAnsi="Arial Narrow"/>
          <w:iCs/>
          <w:sz w:val="18"/>
          <w:szCs w:val="18"/>
        </w:rPr>
      </w:pPr>
      <w:r w:rsidRPr="003B436C">
        <w:rPr>
          <w:rFonts w:ascii="Arial Narrow" w:hAnsi="Arial Narrow"/>
          <w:iCs/>
          <w:sz w:val="18"/>
          <w:szCs w:val="18"/>
        </w:rPr>
        <w:t xml:space="preserve">Source: compiled by the Secretariat during evaluation </w:t>
      </w:r>
    </w:p>
    <w:p w14:paraId="25DC481A" w14:textId="79F99362" w:rsidR="0028419C" w:rsidRPr="003B436C" w:rsidRDefault="0028419C" w:rsidP="000D6F11">
      <w:pPr>
        <w:keepNext/>
        <w:keepLines/>
        <w:rPr>
          <w:rFonts w:ascii="Arial Narrow" w:hAnsi="Arial Narrow"/>
          <w:iCs/>
          <w:sz w:val="18"/>
          <w:szCs w:val="18"/>
        </w:rPr>
      </w:pPr>
      <w:r w:rsidRPr="003B436C">
        <w:rPr>
          <w:rFonts w:ascii="Arial Narrow" w:hAnsi="Arial Narrow"/>
          <w:iCs/>
          <w:sz w:val="18"/>
          <w:szCs w:val="18"/>
        </w:rPr>
        <w:t xml:space="preserve">Abbreviations; PFS = pre-filled syringe; </w:t>
      </w:r>
      <w:r w:rsidR="00EC59D8" w:rsidRPr="003B436C">
        <w:rPr>
          <w:rFonts w:ascii="Arial Narrow" w:hAnsi="Arial Narrow"/>
          <w:iCs/>
          <w:sz w:val="18"/>
          <w:szCs w:val="18"/>
        </w:rPr>
        <w:t xml:space="preserve">PFP = pre-filled pen; NR = not requested in the submission </w:t>
      </w:r>
    </w:p>
    <w:p w14:paraId="39BAE79B" w14:textId="74070C6D" w:rsidR="00853950" w:rsidRDefault="00A755FD" w:rsidP="00A90A08">
      <w:pPr>
        <w:pStyle w:val="3-BodyText"/>
      </w:pPr>
      <w:r w:rsidRPr="00A755FD">
        <w:t xml:space="preserve">As the submission requested the same restrictions as the current listings for the existing PFS form, except for the maximum quantity </w:t>
      </w:r>
      <w:r>
        <w:t>of</w:t>
      </w:r>
      <w:r w:rsidRPr="00A755FD">
        <w:t xml:space="preserve"> the 300</w:t>
      </w:r>
      <w:r>
        <w:t> </w:t>
      </w:r>
      <w:r w:rsidRPr="00A755FD">
        <w:t>mg/2</w:t>
      </w:r>
      <w:r>
        <w:t> </w:t>
      </w:r>
      <w:r w:rsidRPr="00A755FD">
        <w:t xml:space="preserve">mL strength for </w:t>
      </w:r>
      <w:r w:rsidR="00946C03" w:rsidRPr="00946C03">
        <w:t>CSU</w:t>
      </w:r>
      <w:r w:rsidRPr="00A755FD">
        <w:t>, the full restrictions have not been reproduced. An abridged version of the requested listings is presented below:</w:t>
      </w:r>
    </w:p>
    <w:p w14:paraId="16C41C55" w14:textId="59F116C0" w:rsidR="00964A9F" w:rsidRPr="00D47039" w:rsidRDefault="00964A9F" w:rsidP="00423283">
      <w:pPr>
        <w:spacing w:after="120"/>
        <w:rPr>
          <w:rFonts w:asciiTheme="minorHAnsi" w:hAnsiTheme="minorHAnsi" w:cstheme="minorHAnsi"/>
        </w:rPr>
      </w:pPr>
      <w:r w:rsidRPr="00D47039">
        <w:rPr>
          <w:rFonts w:asciiTheme="minorHAnsi" w:hAnsiTheme="minorHAnsi" w:cstheme="minorHAnsi"/>
        </w:rPr>
        <w:t>Add new medicinal product pack as follows:</w:t>
      </w:r>
    </w:p>
    <w:p w14:paraId="52B25F03" w14:textId="44A35EE7" w:rsidR="008D39FD" w:rsidRPr="00905225" w:rsidRDefault="008D39FD" w:rsidP="00905225">
      <w:pPr>
        <w:pStyle w:val="4-SubsectionHeading"/>
      </w:pPr>
      <w:r w:rsidRPr="00905225">
        <w:t xml:space="preserve">Uncontrolled </w:t>
      </w:r>
      <w:r w:rsidR="00946C03" w:rsidRPr="00905225">
        <w:t>s</w:t>
      </w:r>
      <w:r w:rsidRPr="00905225">
        <w:t xml:space="preserve">evere </w:t>
      </w:r>
      <w:r w:rsidR="00946C03" w:rsidRPr="00905225">
        <w:t>a</w:t>
      </w:r>
      <w:r w:rsidRPr="00905225">
        <w:t>sthma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w:tblDescription w:val="Indication: uncontrolled severe asthma &#10;Treatment phase: initial treatment"/>
      </w:tblPr>
      <w:tblGrid>
        <w:gridCol w:w="1271"/>
        <w:gridCol w:w="3260"/>
        <w:gridCol w:w="1276"/>
        <w:gridCol w:w="803"/>
        <w:gridCol w:w="803"/>
        <w:gridCol w:w="804"/>
        <w:gridCol w:w="799"/>
      </w:tblGrid>
      <w:tr w:rsidR="00AA24E9" w:rsidRPr="001B63F3" w14:paraId="090EC971" w14:textId="77777777" w:rsidTr="79900132">
        <w:trPr>
          <w:cantSplit/>
          <w:trHeight w:val="20"/>
        </w:trPr>
        <w:tc>
          <w:tcPr>
            <w:tcW w:w="4531" w:type="dxa"/>
            <w:gridSpan w:val="2"/>
            <w:vAlign w:val="center"/>
          </w:tcPr>
          <w:p w14:paraId="6811159C" w14:textId="77777777" w:rsidR="00AA24E9" w:rsidRPr="001B63F3" w:rsidRDefault="00AA24E9" w:rsidP="00B602E7">
            <w:pPr>
              <w:keepLines/>
              <w:rPr>
                <w:rFonts w:ascii="Arial Narrow" w:hAnsi="Arial Narrow" w:cs="Arial"/>
                <w:b/>
                <w:bCs/>
                <w:sz w:val="20"/>
                <w:szCs w:val="20"/>
              </w:rPr>
            </w:pPr>
            <w:r w:rsidRPr="001B63F3">
              <w:rPr>
                <w:rFonts w:ascii="Arial Narrow" w:hAnsi="Arial Narrow" w:cs="Arial"/>
                <w:b/>
                <w:bCs/>
                <w:sz w:val="20"/>
                <w:szCs w:val="20"/>
              </w:rPr>
              <w:t>MEDICINAL PRODUCT</w:t>
            </w:r>
          </w:p>
          <w:p w14:paraId="72770312" w14:textId="77777777" w:rsidR="00AA24E9" w:rsidRPr="001B63F3" w:rsidRDefault="00AA24E9" w:rsidP="00B602E7">
            <w:pPr>
              <w:keepLines/>
              <w:rPr>
                <w:rFonts w:ascii="Arial Narrow" w:hAnsi="Arial Narrow" w:cs="Arial"/>
                <w:b/>
                <w:sz w:val="20"/>
                <w:szCs w:val="20"/>
              </w:rPr>
            </w:pPr>
            <w:r w:rsidRPr="001B63F3">
              <w:rPr>
                <w:rFonts w:ascii="Arial Narrow" w:hAnsi="Arial Narrow" w:cs="Arial"/>
                <w:b/>
                <w:bCs/>
                <w:sz w:val="20"/>
                <w:szCs w:val="20"/>
              </w:rPr>
              <w:t>medicinal product pack</w:t>
            </w:r>
          </w:p>
        </w:tc>
        <w:tc>
          <w:tcPr>
            <w:tcW w:w="1276" w:type="dxa"/>
            <w:vAlign w:val="center"/>
          </w:tcPr>
          <w:p w14:paraId="5ABDBDFA" w14:textId="77777777" w:rsidR="00AA24E9" w:rsidRPr="001B63F3" w:rsidRDefault="00AA24E9" w:rsidP="00B602E7">
            <w:pPr>
              <w:keepLines/>
              <w:jc w:val="center"/>
              <w:rPr>
                <w:rFonts w:ascii="Arial Narrow" w:hAnsi="Arial Narrow" w:cs="Arial"/>
                <w:b/>
                <w:sz w:val="20"/>
                <w:szCs w:val="20"/>
              </w:rPr>
            </w:pPr>
            <w:r w:rsidRPr="001B63F3">
              <w:rPr>
                <w:rFonts w:ascii="Arial Narrow" w:hAnsi="Arial Narrow" w:cs="Arial"/>
                <w:b/>
                <w:sz w:val="20"/>
                <w:szCs w:val="20"/>
              </w:rPr>
              <w:t>PBS item code</w:t>
            </w:r>
          </w:p>
        </w:tc>
        <w:tc>
          <w:tcPr>
            <w:tcW w:w="803" w:type="dxa"/>
            <w:vAlign w:val="center"/>
          </w:tcPr>
          <w:p w14:paraId="3C2E0426" w14:textId="77777777" w:rsidR="00AA24E9" w:rsidRPr="001B63F3" w:rsidRDefault="00AA24E9" w:rsidP="00B602E7">
            <w:pPr>
              <w:keepLines/>
              <w:jc w:val="center"/>
              <w:rPr>
                <w:rFonts w:ascii="Arial Narrow" w:hAnsi="Arial Narrow" w:cs="Arial"/>
                <w:b/>
                <w:sz w:val="20"/>
                <w:szCs w:val="20"/>
              </w:rPr>
            </w:pPr>
            <w:r w:rsidRPr="001B63F3">
              <w:rPr>
                <w:rFonts w:ascii="Arial Narrow" w:hAnsi="Arial Narrow" w:cs="Arial"/>
                <w:b/>
                <w:sz w:val="20"/>
                <w:szCs w:val="20"/>
              </w:rPr>
              <w:t>Max. qty packs</w:t>
            </w:r>
          </w:p>
        </w:tc>
        <w:tc>
          <w:tcPr>
            <w:tcW w:w="803" w:type="dxa"/>
            <w:vAlign w:val="center"/>
          </w:tcPr>
          <w:p w14:paraId="4C6207F6" w14:textId="77777777" w:rsidR="00AA24E9" w:rsidRPr="001B63F3" w:rsidRDefault="00AA24E9" w:rsidP="00B602E7">
            <w:pPr>
              <w:keepLines/>
              <w:jc w:val="center"/>
              <w:rPr>
                <w:rFonts w:ascii="Arial Narrow" w:hAnsi="Arial Narrow" w:cs="Arial"/>
                <w:b/>
                <w:sz w:val="20"/>
                <w:szCs w:val="20"/>
              </w:rPr>
            </w:pPr>
            <w:r w:rsidRPr="001B63F3">
              <w:rPr>
                <w:rFonts w:ascii="Arial Narrow" w:hAnsi="Arial Narrow" w:cs="Arial"/>
                <w:b/>
                <w:sz w:val="20"/>
                <w:szCs w:val="20"/>
              </w:rPr>
              <w:t>Max. qty units</w:t>
            </w:r>
          </w:p>
        </w:tc>
        <w:tc>
          <w:tcPr>
            <w:tcW w:w="804" w:type="dxa"/>
            <w:vAlign w:val="center"/>
          </w:tcPr>
          <w:p w14:paraId="67D84042" w14:textId="6F1AB5B0" w:rsidR="00AA24E9" w:rsidRPr="001B63F3" w:rsidRDefault="18EE8782" w:rsidP="79900132">
            <w:pPr>
              <w:keepLines/>
              <w:jc w:val="center"/>
              <w:rPr>
                <w:rFonts w:ascii="Arial Narrow" w:hAnsi="Arial Narrow" w:cs="Arial"/>
                <w:b/>
                <w:bCs/>
                <w:sz w:val="20"/>
                <w:szCs w:val="20"/>
              </w:rPr>
            </w:pPr>
            <w:proofErr w:type="gramStart"/>
            <w:r w:rsidRPr="001B63F3">
              <w:rPr>
                <w:rFonts w:ascii="Arial Narrow" w:hAnsi="Arial Narrow" w:cs="Arial"/>
                <w:b/>
                <w:bCs/>
                <w:sz w:val="20"/>
                <w:szCs w:val="20"/>
              </w:rPr>
              <w:t>№.of</w:t>
            </w:r>
            <w:proofErr w:type="gramEnd"/>
          </w:p>
          <w:p w14:paraId="6E260049" w14:textId="01D4A165" w:rsidR="00AA24E9" w:rsidRPr="001B63F3" w:rsidRDefault="18EE8782" w:rsidP="79900132">
            <w:pPr>
              <w:keepLines/>
              <w:jc w:val="center"/>
              <w:rPr>
                <w:rFonts w:ascii="Arial Narrow" w:hAnsi="Arial Narrow" w:cs="Arial"/>
                <w:b/>
                <w:bCs/>
                <w:sz w:val="20"/>
                <w:szCs w:val="20"/>
              </w:rPr>
            </w:pPr>
            <w:r w:rsidRPr="001B63F3">
              <w:rPr>
                <w:rFonts w:ascii="Arial Narrow" w:hAnsi="Arial Narrow" w:cs="Arial"/>
                <w:b/>
                <w:bCs/>
                <w:sz w:val="20"/>
                <w:szCs w:val="20"/>
              </w:rPr>
              <w:t>Rpts</w:t>
            </w:r>
          </w:p>
        </w:tc>
        <w:tc>
          <w:tcPr>
            <w:tcW w:w="799" w:type="dxa"/>
            <w:vAlign w:val="center"/>
          </w:tcPr>
          <w:p w14:paraId="42E5E854" w14:textId="77777777" w:rsidR="00AA24E9" w:rsidRPr="001B63F3" w:rsidRDefault="00AA24E9" w:rsidP="00B602E7">
            <w:pPr>
              <w:keepLines/>
              <w:rPr>
                <w:rFonts w:ascii="Arial Narrow" w:hAnsi="Arial Narrow" w:cs="Arial"/>
                <w:b/>
                <w:sz w:val="20"/>
                <w:szCs w:val="20"/>
                <w:lang w:val="fr-FR"/>
              </w:rPr>
            </w:pPr>
            <w:r w:rsidRPr="001B63F3">
              <w:rPr>
                <w:rFonts w:ascii="Arial Narrow" w:hAnsi="Arial Narrow" w:cs="Arial"/>
                <w:b/>
                <w:sz w:val="20"/>
                <w:szCs w:val="20"/>
              </w:rPr>
              <w:t>Available brands</w:t>
            </w:r>
          </w:p>
        </w:tc>
      </w:tr>
      <w:tr w:rsidR="00AA24E9" w:rsidRPr="001B63F3" w14:paraId="5A19CA65" w14:textId="77777777" w:rsidTr="79900132">
        <w:trPr>
          <w:cantSplit/>
          <w:trHeight w:val="20"/>
        </w:trPr>
        <w:tc>
          <w:tcPr>
            <w:tcW w:w="9016" w:type="dxa"/>
            <w:gridSpan w:val="7"/>
            <w:vAlign w:val="center"/>
          </w:tcPr>
          <w:p w14:paraId="1752AF3F" w14:textId="4E68A191" w:rsidR="00AA24E9" w:rsidRPr="001B63F3" w:rsidRDefault="00587910" w:rsidP="00B602E7">
            <w:pPr>
              <w:keepLines/>
              <w:rPr>
                <w:rFonts w:ascii="Arial Narrow" w:hAnsi="Arial Narrow" w:cs="Arial"/>
                <w:sz w:val="20"/>
                <w:szCs w:val="20"/>
              </w:rPr>
            </w:pPr>
            <w:r w:rsidRPr="001B63F3">
              <w:rPr>
                <w:rFonts w:ascii="Arial Narrow" w:hAnsi="Arial Narrow" w:cs="Arial"/>
                <w:sz w:val="20"/>
                <w:szCs w:val="20"/>
              </w:rPr>
              <w:t>OMALIZUMAB</w:t>
            </w:r>
          </w:p>
        </w:tc>
      </w:tr>
      <w:tr w:rsidR="002D460B" w:rsidRPr="001B63F3" w14:paraId="1B827B8B" w14:textId="77777777" w:rsidTr="79900132">
        <w:trPr>
          <w:cantSplit/>
          <w:trHeight w:val="20"/>
        </w:trPr>
        <w:tc>
          <w:tcPr>
            <w:tcW w:w="4531" w:type="dxa"/>
            <w:gridSpan w:val="2"/>
            <w:vAlign w:val="center"/>
          </w:tcPr>
          <w:p w14:paraId="0C321955" w14:textId="4416FE68" w:rsidR="002D460B" w:rsidRPr="001B63F3" w:rsidRDefault="002D460B" w:rsidP="002D460B">
            <w:pPr>
              <w:keepLines/>
              <w:rPr>
                <w:rFonts w:ascii="Arial Narrow" w:hAnsi="Arial Narrow" w:cs="Arial"/>
                <w:sz w:val="20"/>
                <w:szCs w:val="20"/>
              </w:rPr>
            </w:pPr>
            <w:r w:rsidRPr="001B63F3">
              <w:rPr>
                <w:rFonts w:ascii="Arial Narrow" w:hAnsi="Arial Narrow" w:cs="Arial"/>
                <w:sz w:val="20"/>
                <w:szCs w:val="20"/>
              </w:rPr>
              <w:t>omalizumab 75 mg/0.5 mL injection, 0.5 mL syringe</w:t>
            </w:r>
          </w:p>
        </w:tc>
        <w:tc>
          <w:tcPr>
            <w:tcW w:w="1276" w:type="dxa"/>
          </w:tcPr>
          <w:p w14:paraId="79027D2F" w14:textId="678E88E1" w:rsidR="002D460B" w:rsidRPr="001B63F3" w:rsidRDefault="002D460B" w:rsidP="00AB467B">
            <w:pPr>
              <w:keepLines/>
              <w:jc w:val="center"/>
              <w:rPr>
                <w:rFonts w:ascii="Arial Narrow" w:hAnsi="Arial Narrow" w:cs="Arial"/>
                <w:sz w:val="20"/>
                <w:szCs w:val="20"/>
              </w:rPr>
            </w:pPr>
            <w:r w:rsidRPr="001B63F3">
              <w:rPr>
                <w:rFonts w:ascii="Arial Narrow" w:hAnsi="Arial Narrow" w:cs="Arial"/>
                <w:sz w:val="20"/>
                <w:szCs w:val="20"/>
              </w:rPr>
              <w:t>10110D/ P</w:t>
            </w:r>
            <w:r w:rsidR="00B859DE" w:rsidRPr="001B63F3">
              <w:rPr>
                <w:rFonts w:ascii="Arial Narrow" w:hAnsi="Arial Narrow" w:cs="Arial"/>
                <w:sz w:val="20"/>
                <w:szCs w:val="20"/>
              </w:rPr>
              <w:t>ublic</w:t>
            </w:r>
          </w:p>
        </w:tc>
        <w:tc>
          <w:tcPr>
            <w:tcW w:w="803" w:type="dxa"/>
          </w:tcPr>
          <w:p w14:paraId="6F8973D3" w14:textId="42080B76" w:rsidR="002D460B" w:rsidRPr="001B63F3" w:rsidRDefault="002D460B" w:rsidP="00AB467B">
            <w:pPr>
              <w:keepLines/>
              <w:jc w:val="center"/>
              <w:rPr>
                <w:rFonts w:ascii="Arial Narrow" w:hAnsi="Arial Narrow" w:cs="Arial"/>
                <w:sz w:val="20"/>
                <w:szCs w:val="20"/>
              </w:rPr>
            </w:pPr>
            <w:r w:rsidRPr="001B63F3">
              <w:rPr>
                <w:rFonts w:ascii="Arial Narrow" w:hAnsi="Arial Narrow" w:cs="Arial"/>
                <w:sz w:val="20"/>
                <w:szCs w:val="20"/>
              </w:rPr>
              <w:t>1</w:t>
            </w:r>
          </w:p>
        </w:tc>
        <w:tc>
          <w:tcPr>
            <w:tcW w:w="803" w:type="dxa"/>
          </w:tcPr>
          <w:p w14:paraId="072D5A52" w14:textId="49AC7D11" w:rsidR="002D460B" w:rsidRPr="001B63F3" w:rsidRDefault="002D460B" w:rsidP="00AB467B">
            <w:pPr>
              <w:keepLines/>
              <w:jc w:val="center"/>
              <w:rPr>
                <w:rFonts w:ascii="Arial Narrow" w:hAnsi="Arial Narrow" w:cs="Arial"/>
                <w:sz w:val="20"/>
                <w:szCs w:val="20"/>
              </w:rPr>
            </w:pPr>
            <w:r w:rsidRPr="001B63F3">
              <w:rPr>
                <w:rFonts w:ascii="Arial Narrow" w:hAnsi="Arial Narrow" w:cs="Arial"/>
                <w:sz w:val="20"/>
                <w:szCs w:val="20"/>
              </w:rPr>
              <w:t>1</w:t>
            </w:r>
          </w:p>
        </w:tc>
        <w:tc>
          <w:tcPr>
            <w:tcW w:w="804" w:type="dxa"/>
          </w:tcPr>
          <w:p w14:paraId="71EEA838" w14:textId="7946CEC9" w:rsidR="002D460B" w:rsidRPr="001B63F3" w:rsidRDefault="002D460B" w:rsidP="00AB467B">
            <w:pPr>
              <w:keepLines/>
              <w:jc w:val="center"/>
              <w:rPr>
                <w:rFonts w:ascii="Arial Narrow" w:hAnsi="Arial Narrow" w:cs="Arial"/>
                <w:sz w:val="20"/>
                <w:szCs w:val="20"/>
              </w:rPr>
            </w:pPr>
            <w:r w:rsidRPr="001B63F3">
              <w:rPr>
                <w:rFonts w:ascii="Arial Narrow" w:hAnsi="Arial Narrow" w:cs="Arial"/>
                <w:sz w:val="20"/>
                <w:szCs w:val="20"/>
              </w:rPr>
              <w:t>7</w:t>
            </w:r>
          </w:p>
        </w:tc>
        <w:tc>
          <w:tcPr>
            <w:tcW w:w="799" w:type="dxa"/>
            <w:vMerge w:val="restart"/>
            <w:vAlign w:val="center"/>
          </w:tcPr>
          <w:p w14:paraId="6BB86187" w14:textId="4C47705C" w:rsidR="002D460B" w:rsidRPr="001B63F3" w:rsidRDefault="002D460B" w:rsidP="00AB467B">
            <w:pPr>
              <w:keepLines/>
              <w:jc w:val="center"/>
              <w:rPr>
                <w:rFonts w:ascii="Arial Narrow" w:hAnsi="Arial Narrow" w:cs="Arial"/>
                <w:sz w:val="20"/>
                <w:szCs w:val="20"/>
              </w:rPr>
            </w:pPr>
            <w:r w:rsidRPr="001B63F3">
              <w:rPr>
                <w:rFonts w:ascii="Arial Narrow" w:hAnsi="Arial Narrow" w:cs="Arial"/>
                <w:sz w:val="20"/>
                <w:szCs w:val="20"/>
              </w:rPr>
              <w:t>Xolair</w:t>
            </w:r>
          </w:p>
        </w:tc>
      </w:tr>
      <w:tr w:rsidR="004E3732" w:rsidRPr="001B63F3" w14:paraId="0447A316" w14:textId="77777777" w:rsidTr="79900132">
        <w:trPr>
          <w:cantSplit/>
          <w:trHeight w:val="20"/>
        </w:trPr>
        <w:tc>
          <w:tcPr>
            <w:tcW w:w="4531" w:type="dxa"/>
            <w:gridSpan w:val="2"/>
            <w:vAlign w:val="center"/>
          </w:tcPr>
          <w:p w14:paraId="77CA54F1" w14:textId="1352DCEB" w:rsidR="004E3732" w:rsidRPr="001B63F3" w:rsidRDefault="004E3732" w:rsidP="004E3732">
            <w:pPr>
              <w:keepLines/>
              <w:rPr>
                <w:rFonts w:ascii="Arial Narrow" w:hAnsi="Arial Narrow" w:cs="Arial"/>
                <w:sz w:val="20"/>
                <w:szCs w:val="20"/>
              </w:rPr>
            </w:pPr>
            <w:r w:rsidRPr="001B63F3">
              <w:rPr>
                <w:rFonts w:ascii="Arial Narrow" w:hAnsi="Arial Narrow" w:cs="Arial"/>
                <w:sz w:val="20"/>
                <w:szCs w:val="20"/>
              </w:rPr>
              <w:t>omalizumab 75 mg/0.5 mL injection, 0.5 mL syringe</w:t>
            </w:r>
          </w:p>
        </w:tc>
        <w:tc>
          <w:tcPr>
            <w:tcW w:w="1276" w:type="dxa"/>
          </w:tcPr>
          <w:p w14:paraId="28298C66" w14:textId="0E4315D1" w:rsidR="004E3732" w:rsidRPr="001B63F3" w:rsidRDefault="004E3732" w:rsidP="00AB467B">
            <w:pPr>
              <w:keepLines/>
              <w:jc w:val="center"/>
              <w:rPr>
                <w:rFonts w:ascii="Arial Narrow" w:hAnsi="Arial Narrow" w:cs="Arial"/>
                <w:sz w:val="20"/>
                <w:szCs w:val="20"/>
              </w:rPr>
            </w:pPr>
            <w:r w:rsidRPr="001B63F3">
              <w:rPr>
                <w:rFonts w:ascii="Arial Narrow" w:hAnsi="Arial Narrow" w:cs="Arial"/>
                <w:sz w:val="20"/>
                <w:szCs w:val="20"/>
              </w:rPr>
              <w:t>10118M/ P</w:t>
            </w:r>
            <w:r w:rsidR="00B859DE" w:rsidRPr="001B63F3">
              <w:rPr>
                <w:rFonts w:ascii="Arial Narrow" w:hAnsi="Arial Narrow" w:cs="Arial"/>
                <w:sz w:val="20"/>
                <w:szCs w:val="20"/>
              </w:rPr>
              <w:t>rivate</w:t>
            </w:r>
          </w:p>
        </w:tc>
        <w:tc>
          <w:tcPr>
            <w:tcW w:w="803" w:type="dxa"/>
          </w:tcPr>
          <w:p w14:paraId="5CFBFFCB" w14:textId="23C36E09" w:rsidR="004E3732" w:rsidRPr="001B63F3" w:rsidRDefault="004E3732" w:rsidP="00AB467B">
            <w:pPr>
              <w:keepLines/>
              <w:jc w:val="center"/>
              <w:rPr>
                <w:rFonts w:ascii="Arial Narrow" w:hAnsi="Arial Narrow" w:cs="Arial"/>
                <w:sz w:val="20"/>
                <w:szCs w:val="20"/>
              </w:rPr>
            </w:pPr>
            <w:r w:rsidRPr="001B63F3">
              <w:rPr>
                <w:rFonts w:ascii="Arial Narrow" w:hAnsi="Arial Narrow" w:cs="Arial"/>
                <w:sz w:val="20"/>
                <w:szCs w:val="20"/>
              </w:rPr>
              <w:t>1</w:t>
            </w:r>
          </w:p>
        </w:tc>
        <w:tc>
          <w:tcPr>
            <w:tcW w:w="803" w:type="dxa"/>
          </w:tcPr>
          <w:p w14:paraId="4A90E750" w14:textId="1B6107D8" w:rsidR="004E3732" w:rsidRPr="001B63F3" w:rsidRDefault="004E3732" w:rsidP="00AB467B">
            <w:pPr>
              <w:keepLines/>
              <w:jc w:val="center"/>
              <w:rPr>
                <w:rFonts w:ascii="Arial Narrow" w:hAnsi="Arial Narrow" w:cs="Arial"/>
                <w:sz w:val="20"/>
                <w:szCs w:val="20"/>
              </w:rPr>
            </w:pPr>
            <w:r w:rsidRPr="001B63F3">
              <w:rPr>
                <w:rFonts w:ascii="Arial Narrow" w:hAnsi="Arial Narrow" w:cs="Arial"/>
                <w:sz w:val="20"/>
                <w:szCs w:val="20"/>
              </w:rPr>
              <w:t>1</w:t>
            </w:r>
          </w:p>
        </w:tc>
        <w:tc>
          <w:tcPr>
            <w:tcW w:w="804" w:type="dxa"/>
          </w:tcPr>
          <w:p w14:paraId="3406B65D" w14:textId="7476A243" w:rsidR="004E3732" w:rsidRPr="001B63F3" w:rsidRDefault="004E3732" w:rsidP="00AB467B">
            <w:pPr>
              <w:keepLines/>
              <w:jc w:val="center"/>
              <w:rPr>
                <w:rFonts w:ascii="Arial Narrow" w:hAnsi="Arial Narrow" w:cs="Arial"/>
                <w:sz w:val="20"/>
                <w:szCs w:val="20"/>
              </w:rPr>
            </w:pPr>
            <w:r w:rsidRPr="001B63F3">
              <w:rPr>
                <w:rFonts w:ascii="Arial Narrow" w:hAnsi="Arial Narrow" w:cs="Arial"/>
                <w:sz w:val="20"/>
                <w:szCs w:val="20"/>
              </w:rPr>
              <w:t>7</w:t>
            </w:r>
          </w:p>
        </w:tc>
        <w:tc>
          <w:tcPr>
            <w:tcW w:w="799" w:type="dxa"/>
            <w:vMerge/>
            <w:vAlign w:val="center"/>
          </w:tcPr>
          <w:p w14:paraId="008EE083" w14:textId="77777777" w:rsidR="004E3732" w:rsidRPr="001B63F3" w:rsidRDefault="004E3732" w:rsidP="004E3732">
            <w:pPr>
              <w:keepLines/>
              <w:rPr>
                <w:rFonts w:ascii="Arial Narrow" w:hAnsi="Arial Narrow" w:cs="Arial"/>
                <w:sz w:val="20"/>
                <w:szCs w:val="20"/>
              </w:rPr>
            </w:pPr>
          </w:p>
        </w:tc>
      </w:tr>
      <w:tr w:rsidR="00F47920" w:rsidRPr="001B63F3" w14:paraId="28F8C744" w14:textId="77777777" w:rsidTr="79900132">
        <w:trPr>
          <w:cantSplit/>
          <w:trHeight w:val="20"/>
        </w:trPr>
        <w:tc>
          <w:tcPr>
            <w:tcW w:w="4531" w:type="dxa"/>
            <w:gridSpan w:val="2"/>
            <w:vAlign w:val="center"/>
          </w:tcPr>
          <w:p w14:paraId="2A765B9C" w14:textId="04D9F2B4" w:rsidR="00F47920" w:rsidRPr="001B63F3" w:rsidRDefault="00F47920" w:rsidP="00F47920">
            <w:pPr>
              <w:keepLines/>
              <w:rPr>
                <w:rFonts w:ascii="Arial Narrow" w:hAnsi="Arial Narrow" w:cs="Arial"/>
                <w:sz w:val="20"/>
                <w:szCs w:val="20"/>
              </w:rPr>
            </w:pPr>
            <w:r w:rsidRPr="001B63F3">
              <w:rPr>
                <w:rFonts w:ascii="Arial Narrow" w:hAnsi="Arial Narrow" w:cs="Arial"/>
                <w:sz w:val="20"/>
                <w:szCs w:val="20"/>
              </w:rPr>
              <w:t>omalizumab 75 mg/0.5 mL injection, 0.5 mL pen device</w:t>
            </w:r>
          </w:p>
        </w:tc>
        <w:tc>
          <w:tcPr>
            <w:tcW w:w="1276" w:type="dxa"/>
            <w:vAlign w:val="center"/>
          </w:tcPr>
          <w:p w14:paraId="19A53E20" w14:textId="66A128C5" w:rsidR="00F47920" w:rsidRPr="001B63F3" w:rsidRDefault="00F47920" w:rsidP="00AB467B">
            <w:pPr>
              <w:keepLines/>
              <w:jc w:val="center"/>
              <w:rPr>
                <w:rFonts w:ascii="Arial Narrow" w:hAnsi="Arial Narrow" w:cs="Arial"/>
                <w:iCs/>
                <w:sz w:val="20"/>
                <w:szCs w:val="20"/>
              </w:rPr>
            </w:pPr>
            <w:r w:rsidRPr="001B63F3">
              <w:rPr>
                <w:rFonts w:ascii="Arial Narrow" w:hAnsi="Arial Narrow" w:cs="Arial"/>
                <w:iCs/>
                <w:sz w:val="20"/>
                <w:szCs w:val="20"/>
              </w:rPr>
              <w:t>NEW</w:t>
            </w:r>
            <w:r w:rsidR="00D903D5" w:rsidRPr="001B63F3">
              <w:rPr>
                <w:rFonts w:ascii="Arial Narrow" w:hAnsi="Arial Narrow" w:cs="Arial"/>
                <w:iCs/>
                <w:sz w:val="20"/>
                <w:szCs w:val="20"/>
              </w:rPr>
              <w:t>/</w:t>
            </w:r>
            <w:r w:rsidR="00DA1845" w:rsidRPr="001B63F3">
              <w:rPr>
                <w:rFonts w:ascii="Arial Narrow" w:hAnsi="Arial Narrow" w:cs="Arial"/>
                <w:iCs/>
                <w:sz w:val="20"/>
                <w:szCs w:val="20"/>
              </w:rPr>
              <w:t xml:space="preserve"> Public</w:t>
            </w:r>
          </w:p>
        </w:tc>
        <w:tc>
          <w:tcPr>
            <w:tcW w:w="803" w:type="dxa"/>
          </w:tcPr>
          <w:p w14:paraId="734D0BEB" w14:textId="13C37C29"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1</w:t>
            </w:r>
          </w:p>
        </w:tc>
        <w:tc>
          <w:tcPr>
            <w:tcW w:w="803" w:type="dxa"/>
          </w:tcPr>
          <w:p w14:paraId="6DCF1C59" w14:textId="4D7EDEE6"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1</w:t>
            </w:r>
          </w:p>
        </w:tc>
        <w:tc>
          <w:tcPr>
            <w:tcW w:w="804" w:type="dxa"/>
          </w:tcPr>
          <w:p w14:paraId="3D7F646A" w14:textId="173A0BA1"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7</w:t>
            </w:r>
          </w:p>
        </w:tc>
        <w:tc>
          <w:tcPr>
            <w:tcW w:w="799" w:type="dxa"/>
            <w:vMerge/>
            <w:vAlign w:val="center"/>
          </w:tcPr>
          <w:p w14:paraId="5B3C0781" w14:textId="3E040973" w:rsidR="00F47920" w:rsidRPr="001B63F3" w:rsidRDefault="00F47920" w:rsidP="00F47920">
            <w:pPr>
              <w:keepLines/>
              <w:rPr>
                <w:rFonts w:ascii="Arial Narrow" w:hAnsi="Arial Narrow" w:cs="Arial"/>
                <w:sz w:val="20"/>
                <w:szCs w:val="20"/>
              </w:rPr>
            </w:pPr>
          </w:p>
        </w:tc>
      </w:tr>
      <w:tr w:rsidR="00F47920" w:rsidRPr="001B63F3" w14:paraId="44FCE6FE" w14:textId="77777777" w:rsidTr="79900132">
        <w:trPr>
          <w:cantSplit/>
          <w:trHeight w:val="20"/>
        </w:trPr>
        <w:tc>
          <w:tcPr>
            <w:tcW w:w="4531" w:type="dxa"/>
            <w:gridSpan w:val="2"/>
            <w:vAlign w:val="center"/>
          </w:tcPr>
          <w:p w14:paraId="6B0148A7" w14:textId="5238F40B" w:rsidR="00F47920" w:rsidRPr="001B63F3" w:rsidRDefault="00F47920" w:rsidP="00F47920">
            <w:pPr>
              <w:keepLines/>
              <w:rPr>
                <w:rFonts w:ascii="Arial Narrow" w:hAnsi="Arial Narrow" w:cs="Arial"/>
                <w:sz w:val="20"/>
                <w:szCs w:val="20"/>
              </w:rPr>
            </w:pPr>
            <w:r w:rsidRPr="001B63F3">
              <w:rPr>
                <w:rFonts w:ascii="Arial Narrow" w:hAnsi="Arial Narrow" w:cs="Arial"/>
                <w:sz w:val="20"/>
                <w:szCs w:val="20"/>
              </w:rPr>
              <w:t>omalizumab 75 mg/0.5 mL injection, 0.5 mL pen device</w:t>
            </w:r>
          </w:p>
        </w:tc>
        <w:tc>
          <w:tcPr>
            <w:tcW w:w="1276" w:type="dxa"/>
            <w:vAlign w:val="center"/>
          </w:tcPr>
          <w:p w14:paraId="2B4D1D6A" w14:textId="1CF01BF7" w:rsidR="00F47920" w:rsidRPr="001B63F3" w:rsidRDefault="00F47920" w:rsidP="00AB467B">
            <w:pPr>
              <w:keepLines/>
              <w:jc w:val="center"/>
              <w:rPr>
                <w:rFonts w:ascii="Arial Narrow" w:hAnsi="Arial Narrow" w:cs="Arial"/>
                <w:iCs/>
                <w:sz w:val="20"/>
                <w:szCs w:val="20"/>
              </w:rPr>
            </w:pPr>
            <w:r w:rsidRPr="001B63F3">
              <w:rPr>
                <w:rFonts w:ascii="Arial Narrow" w:hAnsi="Arial Narrow" w:cs="Arial"/>
                <w:iCs/>
                <w:sz w:val="20"/>
                <w:szCs w:val="20"/>
              </w:rPr>
              <w:t>NEW</w:t>
            </w:r>
            <w:r w:rsidR="00DA1845" w:rsidRPr="001B63F3">
              <w:rPr>
                <w:rFonts w:ascii="Arial Narrow" w:hAnsi="Arial Narrow" w:cs="Arial"/>
                <w:iCs/>
                <w:sz w:val="20"/>
                <w:szCs w:val="20"/>
              </w:rPr>
              <w:t>/ Private</w:t>
            </w:r>
          </w:p>
        </w:tc>
        <w:tc>
          <w:tcPr>
            <w:tcW w:w="803" w:type="dxa"/>
          </w:tcPr>
          <w:p w14:paraId="486E30F7" w14:textId="28DCCC72"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1</w:t>
            </w:r>
          </w:p>
        </w:tc>
        <w:tc>
          <w:tcPr>
            <w:tcW w:w="803" w:type="dxa"/>
          </w:tcPr>
          <w:p w14:paraId="46595C2E" w14:textId="399C0AA8"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1</w:t>
            </w:r>
          </w:p>
        </w:tc>
        <w:tc>
          <w:tcPr>
            <w:tcW w:w="804" w:type="dxa"/>
          </w:tcPr>
          <w:p w14:paraId="6D32327D" w14:textId="32518F52"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7</w:t>
            </w:r>
          </w:p>
        </w:tc>
        <w:tc>
          <w:tcPr>
            <w:tcW w:w="799" w:type="dxa"/>
            <w:vMerge/>
            <w:vAlign w:val="center"/>
          </w:tcPr>
          <w:p w14:paraId="39C7E730" w14:textId="3BEB657B" w:rsidR="00F47920" w:rsidRPr="001B63F3" w:rsidRDefault="00F47920" w:rsidP="00F47920">
            <w:pPr>
              <w:keepLines/>
              <w:rPr>
                <w:rFonts w:ascii="Arial Narrow" w:hAnsi="Arial Narrow" w:cs="Arial"/>
                <w:sz w:val="20"/>
                <w:szCs w:val="20"/>
              </w:rPr>
            </w:pPr>
          </w:p>
        </w:tc>
      </w:tr>
      <w:tr w:rsidR="00F47920" w:rsidRPr="001B63F3" w14:paraId="55D5656C" w14:textId="77777777" w:rsidTr="79900132">
        <w:trPr>
          <w:cantSplit/>
          <w:trHeight w:val="20"/>
        </w:trPr>
        <w:tc>
          <w:tcPr>
            <w:tcW w:w="4531" w:type="dxa"/>
            <w:gridSpan w:val="2"/>
            <w:vAlign w:val="center"/>
          </w:tcPr>
          <w:p w14:paraId="3E5D2697" w14:textId="6DF724EE" w:rsidR="00F47920" w:rsidRPr="001B63F3" w:rsidRDefault="00F47920" w:rsidP="00F47920">
            <w:pPr>
              <w:keepLines/>
              <w:rPr>
                <w:rFonts w:ascii="Arial Narrow" w:hAnsi="Arial Narrow" w:cs="Arial"/>
                <w:sz w:val="20"/>
                <w:szCs w:val="20"/>
              </w:rPr>
            </w:pPr>
            <w:r w:rsidRPr="001B63F3">
              <w:rPr>
                <w:rFonts w:ascii="Arial Narrow" w:hAnsi="Arial Narrow" w:cs="Arial"/>
                <w:sz w:val="20"/>
                <w:szCs w:val="20"/>
              </w:rPr>
              <w:t>omalizumab 150 mg/mL injection, 1 mL syringe</w:t>
            </w:r>
          </w:p>
        </w:tc>
        <w:tc>
          <w:tcPr>
            <w:tcW w:w="1276" w:type="dxa"/>
            <w:vAlign w:val="center"/>
          </w:tcPr>
          <w:p w14:paraId="169E4D1E" w14:textId="496998BB" w:rsidR="00F47920" w:rsidRPr="001B63F3" w:rsidRDefault="00A867D0" w:rsidP="00AB467B">
            <w:pPr>
              <w:keepLines/>
              <w:jc w:val="center"/>
              <w:rPr>
                <w:rFonts w:ascii="Arial Narrow" w:hAnsi="Arial Narrow" w:cs="Arial"/>
                <w:sz w:val="20"/>
                <w:szCs w:val="20"/>
              </w:rPr>
            </w:pPr>
            <w:r w:rsidRPr="001B63F3">
              <w:rPr>
                <w:rFonts w:ascii="Arial Narrow" w:hAnsi="Arial Narrow" w:cs="Arial"/>
                <w:sz w:val="20"/>
                <w:szCs w:val="20"/>
              </w:rPr>
              <w:t>10109C/ P</w:t>
            </w:r>
            <w:r w:rsidR="00B859DE" w:rsidRPr="001B63F3">
              <w:rPr>
                <w:rFonts w:ascii="Arial Narrow" w:hAnsi="Arial Narrow" w:cs="Arial"/>
                <w:sz w:val="20"/>
                <w:szCs w:val="20"/>
              </w:rPr>
              <w:t>ublic</w:t>
            </w:r>
          </w:p>
        </w:tc>
        <w:tc>
          <w:tcPr>
            <w:tcW w:w="803" w:type="dxa"/>
          </w:tcPr>
          <w:p w14:paraId="52013EB4" w14:textId="7DF410C8"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1</w:t>
            </w:r>
          </w:p>
        </w:tc>
        <w:tc>
          <w:tcPr>
            <w:tcW w:w="803" w:type="dxa"/>
          </w:tcPr>
          <w:p w14:paraId="14CF722F" w14:textId="1734BA40"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1</w:t>
            </w:r>
          </w:p>
        </w:tc>
        <w:tc>
          <w:tcPr>
            <w:tcW w:w="804" w:type="dxa"/>
          </w:tcPr>
          <w:p w14:paraId="755C3309" w14:textId="5CD9EAD0"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7</w:t>
            </w:r>
          </w:p>
        </w:tc>
        <w:tc>
          <w:tcPr>
            <w:tcW w:w="799" w:type="dxa"/>
            <w:vMerge/>
            <w:vAlign w:val="center"/>
          </w:tcPr>
          <w:p w14:paraId="6D1EE8C9" w14:textId="77777777" w:rsidR="00F47920" w:rsidRPr="001B63F3" w:rsidRDefault="00F47920" w:rsidP="00F47920">
            <w:pPr>
              <w:keepLines/>
              <w:rPr>
                <w:rFonts w:ascii="Arial Narrow" w:hAnsi="Arial Narrow" w:cs="Arial"/>
                <w:sz w:val="20"/>
                <w:szCs w:val="20"/>
              </w:rPr>
            </w:pPr>
          </w:p>
        </w:tc>
      </w:tr>
      <w:tr w:rsidR="00F47920" w:rsidRPr="001B63F3" w14:paraId="62C11996" w14:textId="77777777" w:rsidTr="79900132">
        <w:trPr>
          <w:cantSplit/>
          <w:trHeight w:val="20"/>
        </w:trPr>
        <w:tc>
          <w:tcPr>
            <w:tcW w:w="4531" w:type="dxa"/>
            <w:gridSpan w:val="2"/>
            <w:vAlign w:val="center"/>
          </w:tcPr>
          <w:p w14:paraId="2F3670BC" w14:textId="6B0FCFD2" w:rsidR="00F47920" w:rsidRPr="001B63F3" w:rsidRDefault="00F47920" w:rsidP="00F47920">
            <w:pPr>
              <w:keepLines/>
              <w:rPr>
                <w:rFonts w:ascii="Arial Narrow" w:hAnsi="Arial Narrow" w:cs="Arial"/>
                <w:sz w:val="20"/>
                <w:szCs w:val="20"/>
              </w:rPr>
            </w:pPr>
            <w:r w:rsidRPr="001B63F3">
              <w:rPr>
                <w:rFonts w:ascii="Arial Narrow" w:hAnsi="Arial Narrow" w:cs="Arial"/>
                <w:sz w:val="20"/>
                <w:szCs w:val="20"/>
              </w:rPr>
              <w:t>omalizumab 150 mg/mL injection, 1 mL syringe</w:t>
            </w:r>
          </w:p>
        </w:tc>
        <w:tc>
          <w:tcPr>
            <w:tcW w:w="1276" w:type="dxa"/>
            <w:vAlign w:val="center"/>
          </w:tcPr>
          <w:p w14:paraId="568F99F6" w14:textId="5E80CA57" w:rsidR="00F47920" w:rsidRPr="001B63F3" w:rsidRDefault="00FB1090" w:rsidP="00AB467B">
            <w:pPr>
              <w:keepLines/>
              <w:jc w:val="center"/>
              <w:rPr>
                <w:rFonts w:ascii="Arial Narrow" w:hAnsi="Arial Narrow" w:cs="Arial"/>
                <w:sz w:val="20"/>
                <w:szCs w:val="20"/>
              </w:rPr>
            </w:pPr>
            <w:r w:rsidRPr="001B63F3">
              <w:rPr>
                <w:rFonts w:ascii="Arial Narrow" w:hAnsi="Arial Narrow" w:cs="Arial"/>
                <w:sz w:val="20"/>
                <w:szCs w:val="20"/>
              </w:rPr>
              <w:t>10122R/ P</w:t>
            </w:r>
            <w:r w:rsidR="00B859DE" w:rsidRPr="001B63F3">
              <w:rPr>
                <w:rFonts w:ascii="Arial Narrow" w:hAnsi="Arial Narrow" w:cs="Arial"/>
                <w:sz w:val="20"/>
                <w:szCs w:val="20"/>
              </w:rPr>
              <w:t>rivate</w:t>
            </w:r>
          </w:p>
        </w:tc>
        <w:tc>
          <w:tcPr>
            <w:tcW w:w="803" w:type="dxa"/>
          </w:tcPr>
          <w:p w14:paraId="5E125F03" w14:textId="2F1204EE"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1</w:t>
            </w:r>
          </w:p>
        </w:tc>
        <w:tc>
          <w:tcPr>
            <w:tcW w:w="803" w:type="dxa"/>
          </w:tcPr>
          <w:p w14:paraId="01D3DE78" w14:textId="6153F05B"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1</w:t>
            </w:r>
          </w:p>
        </w:tc>
        <w:tc>
          <w:tcPr>
            <w:tcW w:w="804" w:type="dxa"/>
          </w:tcPr>
          <w:p w14:paraId="380A560B" w14:textId="6C38C15A"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7</w:t>
            </w:r>
          </w:p>
        </w:tc>
        <w:tc>
          <w:tcPr>
            <w:tcW w:w="799" w:type="dxa"/>
            <w:vMerge/>
            <w:vAlign w:val="center"/>
          </w:tcPr>
          <w:p w14:paraId="7F93C387" w14:textId="77777777" w:rsidR="00F47920" w:rsidRPr="001B63F3" w:rsidRDefault="00F47920" w:rsidP="00F47920">
            <w:pPr>
              <w:keepLines/>
              <w:rPr>
                <w:rFonts w:ascii="Arial Narrow" w:hAnsi="Arial Narrow" w:cs="Arial"/>
                <w:sz w:val="20"/>
                <w:szCs w:val="20"/>
              </w:rPr>
            </w:pPr>
          </w:p>
        </w:tc>
      </w:tr>
      <w:tr w:rsidR="00F47920" w:rsidRPr="001B63F3" w14:paraId="79496064" w14:textId="77777777" w:rsidTr="79900132">
        <w:trPr>
          <w:cantSplit/>
          <w:trHeight w:val="20"/>
        </w:trPr>
        <w:tc>
          <w:tcPr>
            <w:tcW w:w="4531" w:type="dxa"/>
            <w:gridSpan w:val="2"/>
            <w:vAlign w:val="center"/>
          </w:tcPr>
          <w:p w14:paraId="24FF7FF6" w14:textId="0B636B71" w:rsidR="00F47920" w:rsidRPr="001B63F3" w:rsidRDefault="00F47920" w:rsidP="00F47920">
            <w:pPr>
              <w:keepLines/>
              <w:rPr>
                <w:rFonts w:ascii="Arial Narrow" w:hAnsi="Arial Narrow" w:cs="Arial"/>
                <w:sz w:val="20"/>
                <w:szCs w:val="20"/>
              </w:rPr>
            </w:pPr>
            <w:r w:rsidRPr="001B63F3">
              <w:rPr>
                <w:rFonts w:ascii="Arial Narrow" w:hAnsi="Arial Narrow" w:cs="Arial"/>
                <w:sz w:val="20"/>
                <w:szCs w:val="20"/>
              </w:rPr>
              <w:t>omalizumab 150 mg/mL injection, 1 mL pen device</w:t>
            </w:r>
          </w:p>
        </w:tc>
        <w:tc>
          <w:tcPr>
            <w:tcW w:w="1276" w:type="dxa"/>
            <w:vAlign w:val="center"/>
          </w:tcPr>
          <w:p w14:paraId="78DCCC7E" w14:textId="0FF229A3" w:rsidR="00F47920" w:rsidRPr="001B63F3" w:rsidRDefault="00F47920" w:rsidP="00AB467B">
            <w:pPr>
              <w:keepLines/>
              <w:jc w:val="center"/>
              <w:rPr>
                <w:rFonts w:ascii="Arial Narrow" w:hAnsi="Arial Narrow" w:cs="Arial"/>
                <w:iCs/>
                <w:sz w:val="20"/>
                <w:szCs w:val="20"/>
              </w:rPr>
            </w:pPr>
            <w:r w:rsidRPr="001B63F3">
              <w:rPr>
                <w:rFonts w:ascii="Arial Narrow" w:hAnsi="Arial Narrow" w:cs="Arial"/>
                <w:iCs/>
                <w:sz w:val="20"/>
                <w:szCs w:val="20"/>
              </w:rPr>
              <w:t>NEW</w:t>
            </w:r>
            <w:r w:rsidR="00373CF3" w:rsidRPr="001B63F3">
              <w:rPr>
                <w:rFonts w:ascii="Arial Narrow" w:hAnsi="Arial Narrow" w:cs="Arial"/>
                <w:iCs/>
                <w:sz w:val="20"/>
                <w:szCs w:val="20"/>
              </w:rPr>
              <w:t>/ Public</w:t>
            </w:r>
          </w:p>
        </w:tc>
        <w:tc>
          <w:tcPr>
            <w:tcW w:w="803" w:type="dxa"/>
          </w:tcPr>
          <w:p w14:paraId="499DEC98" w14:textId="585E81EB"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1</w:t>
            </w:r>
          </w:p>
        </w:tc>
        <w:tc>
          <w:tcPr>
            <w:tcW w:w="803" w:type="dxa"/>
          </w:tcPr>
          <w:p w14:paraId="4A8A4F92" w14:textId="3CAB07B0"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1</w:t>
            </w:r>
          </w:p>
        </w:tc>
        <w:tc>
          <w:tcPr>
            <w:tcW w:w="804" w:type="dxa"/>
          </w:tcPr>
          <w:p w14:paraId="371B7167" w14:textId="0852B352"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7</w:t>
            </w:r>
          </w:p>
        </w:tc>
        <w:tc>
          <w:tcPr>
            <w:tcW w:w="799" w:type="dxa"/>
            <w:vMerge/>
            <w:vAlign w:val="center"/>
          </w:tcPr>
          <w:p w14:paraId="32DA3C55" w14:textId="77777777" w:rsidR="00F47920" w:rsidRPr="001B63F3" w:rsidRDefault="00F47920" w:rsidP="00F47920">
            <w:pPr>
              <w:keepLines/>
              <w:rPr>
                <w:rFonts w:ascii="Arial Narrow" w:hAnsi="Arial Narrow" w:cs="Arial"/>
                <w:sz w:val="20"/>
                <w:szCs w:val="20"/>
              </w:rPr>
            </w:pPr>
          </w:p>
        </w:tc>
      </w:tr>
      <w:tr w:rsidR="00F47920" w:rsidRPr="001B63F3" w14:paraId="77EC60C9" w14:textId="77777777" w:rsidTr="79900132">
        <w:trPr>
          <w:cantSplit/>
          <w:trHeight w:val="20"/>
        </w:trPr>
        <w:tc>
          <w:tcPr>
            <w:tcW w:w="4531" w:type="dxa"/>
            <w:gridSpan w:val="2"/>
            <w:vAlign w:val="center"/>
          </w:tcPr>
          <w:p w14:paraId="0F03E287" w14:textId="46906851" w:rsidR="00F47920" w:rsidRPr="001B63F3" w:rsidRDefault="00F47920" w:rsidP="00F47920">
            <w:pPr>
              <w:keepLines/>
              <w:rPr>
                <w:rFonts w:ascii="Arial Narrow" w:hAnsi="Arial Narrow" w:cs="Arial"/>
                <w:sz w:val="20"/>
                <w:szCs w:val="20"/>
              </w:rPr>
            </w:pPr>
            <w:r w:rsidRPr="001B63F3">
              <w:rPr>
                <w:rFonts w:ascii="Arial Narrow" w:hAnsi="Arial Narrow" w:cs="Arial"/>
                <w:sz w:val="20"/>
                <w:szCs w:val="20"/>
              </w:rPr>
              <w:t>omalizumab 150 mg/mL injection, 1 mL pen device</w:t>
            </w:r>
          </w:p>
        </w:tc>
        <w:tc>
          <w:tcPr>
            <w:tcW w:w="1276" w:type="dxa"/>
            <w:vAlign w:val="center"/>
          </w:tcPr>
          <w:p w14:paraId="231614CF" w14:textId="279DDA6A" w:rsidR="00F47920" w:rsidRPr="001B63F3" w:rsidRDefault="00F47920" w:rsidP="00AB467B">
            <w:pPr>
              <w:keepLines/>
              <w:jc w:val="center"/>
              <w:rPr>
                <w:rFonts w:ascii="Arial Narrow" w:hAnsi="Arial Narrow" w:cs="Arial"/>
                <w:iCs/>
                <w:sz w:val="20"/>
                <w:szCs w:val="20"/>
              </w:rPr>
            </w:pPr>
            <w:r w:rsidRPr="001B63F3">
              <w:rPr>
                <w:rFonts w:ascii="Arial Narrow" w:hAnsi="Arial Narrow" w:cs="Arial"/>
                <w:iCs/>
                <w:sz w:val="20"/>
                <w:szCs w:val="20"/>
              </w:rPr>
              <w:t>NEW</w:t>
            </w:r>
            <w:r w:rsidR="00373CF3" w:rsidRPr="001B63F3">
              <w:rPr>
                <w:rFonts w:ascii="Arial Narrow" w:hAnsi="Arial Narrow" w:cs="Arial"/>
                <w:iCs/>
                <w:sz w:val="20"/>
                <w:szCs w:val="20"/>
              </w:rPr>
              <w:t>/ Private</w:t>
            </w:r>
          </w:p>
        </w:tc>
        <w:tc>
          <w:tcPr>
            <w:tcW w:w="803" w:type="dxa"/>
          </w:tcPr>
          <w:p w14:paraId="212912C8" w14:textId="67B61618"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1</w:t>
            </w:r>
          </w:p>
        </w:tc>
        <w:tc>
          <w:tcPr>
            <w:tcW w:w="803" w:type="dxa"/>
          </w:tcPr>
          <w:p w14:paraId="3FC2445E" w14:textId="4F7A9798"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1</w:t>
            </w:r>
          </w:p>
        </w:tc>
        <w:tc>
          <w:tcPr>
            <w:tcW w:w="804" w:type="dxa"/>
          </w:tcPr>
          <w:p w14:paraId="1AC5AF74" w14:textId="2D168C3E"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7</w:t>
            </w:r>
          </w:p>
        </w:tc>
        <w:tc>
          <w:tcPr>
            <w:tcW w:w="799" w:type="dxa"/>
            <w:vMerge/>
            <w:vAlign w:val="center"/>
          </w:tcPr>
          <w:p w14:paraId="2CE8BECC" w14:textId="77777777" w:rsidR="00F47920" w:rsidRPr="001B63F3" w:rsidRDefault="00F47920" w:rsidP="00F47920">
            <w:pPr>
              <w:keepLines/>
              <w:rPr>
                <w:rFonts w:ascii="Arial Narrow" w:hAnsi="Arial Narrow" w:cs="Arial"/>
                <w:sz w:val="20"/>
                <w:szCs w:val="20"/>
              </w:rPr>
            </w:pPr>
          </w:p>
        </w:tc>
      </w:tr>
      <w:tr w:rsidR="00F47920" w:rsidRPr="001B63F3" w14:paraId="2F6016EE" w14:textId="77777777" w:rsidTr="79900132">
        <w:trPr>
          <w:cantSplit/>
          <w:trHeight w:val="20"/>
        </w:trPr>
        <w:tc>
          <w:tcPr>
            <w:tcW w:w="4531" w:type="dxa"/>
            <w:gridSpan w:val="2"/>
            <w:vAlign w:val="center"/>
          </w:tcPr>
          <w:p w14:paraId="424A0691" w14:textId="089097B4" w:rsidR="00F47920" w:rsidRPr="001B63F3" w:rsidRDefault="00F47920" w:rsidP="00F47920">
            <w:pPr>
              <w:keepLines/>
              <w:rPr>
                <w:rFonts w:ascii="Arial Narrow" w:hAnsi="Arial Narrow" w:cs="Arial"/>
                <w:sz w:val="20"/>
                <w:szCs w:val="20"/>
              </w:rPr>
            </w:pPr>
            <w:r w:rsidRPr="001B63F3">
              <w:rPr>
                <w:rFonts w:ascii="Arial Narrow" w:hAnsi="Arial Narrow" w:cs="Arial"/>
                <w:sz w:val="20"/>
                <w:szCs w:val="20"/>
              </w:rPr>
              <w:t>omalizumab 300 mg/2 mL injection, 2 mL syringe</w:t>
            </w:r>
          </w:p>
        </w:tc>
        <w:tc>
          <w:tcPr>
            <w:tcW w:w="1276" w:type="dxa"/>
            <w:vAlign w:val="center"/>
          </w:tcPr>
          <w:p w14:paraId="2CEAB2C8" w14:textId="3A6D76F0" w:rsidR="00F47920" w:rsidRPr="001B63F3" w:rsidRDefault="00F47920" w:rsidP="00AB467B">
            <w:pPr>
              <w:keepLines/>
              <w:jc w:val="center"/>
              <w:rPr>
                <w:rFonts w:ascii="Arial Narrow" w:hAnsi="Arial Narrow" w:cs="Arial"/>
                <w:iCs/>
                <w:sz w:val="20"/>
                <w:szCs w:val="20"/>
              </w:rPr>
            </w:pPr>
            <w:r w:rsidRPr="001B63F3">
              <w:rPr>
                <w:rFonts w:ascii="Arial Narrow" w:hAnsi="Arial Narrow" w:cs="Arial"/>
                <w:iCs/>
                <w:sz w:val="20"/>
                <w:szCs w:val="20"/>
              </w:rPr>
              <w:t>NEW</w:t>
            </w:r>
            <w:r w:rsidR="00373CF3" w:rsidRPr="001B63F3">
              <w:rPr>
                <w:rFonts w:ascii="Arial Narrow" w:hAnsi="Arial Narrow" w:cs="Arial"/>
                <w:iCs/>
                <w:sz w:val="20"/>
                <w:szCs w:val="20"/>
              </w:rPr>
              <w:t>/ Public</w:t>
            </w:r>
          </w:p>
        </w:tc>
        <w:tc>
          <w:tcPr>
            <w:tcW w:w="803" w:type="dxa"/>
          </w:tcPr>
          <w:p w14:paraId="42D96EC9" w14:textId="550F0130"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1</w:t>
            </w:r>
          </w:p>
        </w:tc>
        <w:tc>
          <w:tcPr>
            <w:tcW w:w="803" w:type="dxa"/>
          </w:tcPr>
          <w:p w14:paraId="2A7BDD7A" w14:textId="3BAD6009"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1</w:t>
            </w:r>
          </w:p>
        </w:tc>
        <w:tc>
          <w:tcPr>
            <w:tcW w:w="804" w:type="dxa"/>
          </w:tcPr>
          <w:p w14:paraId="6CEC5D98" w14:textId="054A0BB2"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7</w:t>
            </w:r>
          </w:p>
        </w:tc>
        <w:tc>
          <w:tcPr>
            <w:tcW w:w="799" w:type="dxa"/>
            <w:vMerge/>
            <w:vAlign w:val="center"/>
          </w:tcPr>
          <w:p w14:paraId="42CF8CF9" w14:textId="77777777" w:rsidR="00F47920" w:rsidRPr="001B63F3" w:rsidRDefault="00F47920" w:rsidP="00F47920">
            <w:pPr>
              <w:keepLines/>
              <w:rPr>
                <w:rFonts w:ascii="Arial Narrow" w:hAnsi="Arial Narrow" w:cs="Arial"/>
                <w:sz w:val="20"/>
                <w:szCs w:val="20"/>
              </w:rPr>
            </w:pPr>
          </w:p>
        </w:tc>
      </w:tr>
      <w:tr w:rsidR="00F47920" w:rsidRPr="001B63F3" w14:paraId="485A1A92" w14:textId="77777777" w:rsidTr="79900132">
        <w:trPr>
          <w:cantSplit/>
          <w:trHeight w:val="20"/>
        </w:trPr>
        <w:tc>
          <w:tcPr>
            <w:tcW w:w="4531" w:type="dxa"/>
            <w:gridSpan w:val="2"/>
            <w:vAlign w:val="center"/>
          </w:tcPr>
          <w:p w14:paraId="145C8693" w14:textId="09A2CDA1" w:rsidR="00F47920" w:rsidRPr="001B63F3" w:rsidRDefault="00F47920" w:rsidP="00F47920">
            <w:pPr>
              <w:keepLines/>
              <w:rPr>
                <w:rFonts w:ascii="Arial Narrow" w:hAnsi="Arial Narrow" w:cs="Arial"/>
                <w:sz w:val="20"/>
                <w:szCs w:val="20"/>
              </w:rPr>
            </w:pPr>
            <w:r w:rsidRPr="001B63F3">
              <w:rPr>
                <w:rFonts w:ascii="Arial Narrow" w:hAnsi="Arial Narrow" w:cs="Arial"/>
                <w:sz w:val="20"/>
                <w:szCs w:val="20"/>
              </w:rPr>
              <w:t>omalizumab 300 mg/2 mL injection, 2 mL syringe</w:t>
            </w:r>
          </w:p>
        </w:tc>
        <w:tc>
          <w:tcPr>
            <w:tcW w:w="1276" w:type="dxa"/>
            <w:vAlign w:val="center"/>
          </w:tcPr>
          <w:p w14:paraId="3CA36E46" w14:textId="0492E421" w:rsidR="00F47920" w:rsidRPr="001B63F3" w:rsidRDefault="00F47920" w:rsidP="00AB467B">
            <w:pPr>
              <w:keepLines/>
              <w:jc w:val="center"/>
              <w:rPr>
                <w:rFonts w:ascii="Arial Narrow" w:hAnsi="Arial Narrow" w:cs="Arial"/>
                <w:iCs/>
                <w:sz w:val="20"/>
                <w:szCs w:val="20"/>
              </w:rPr>
            </w:pPr>
            <w:r w:rsidRPr="001B63F3">
              <w:rPr>
                <w:rFonts w:ascii="Arial Narrow" w:hAnsi="Arial Narrow" w:cs="Arial"/>
                <w:iCs/>
                <w:sz w:val="20"/>
                <w:szCs w:val="20"/>
              </w:rPr>
              <w:t>NEW</w:t>
            </w:r>
            <w:r w:rsidR="00373CF3" w:rsidRPr="001B63F3">
              <w:rPr>
                <w:rFonts w:ascii="Arial Narrow" w:hAnsi="Arial Narrow" w:cs="Arial"/>
                <w:iCs/>
                <w:sz w:val="20"/>
                <w:szCs w:val="20"/>
              </w:rPr>
              <w:t>/ Private</w:t>
            </w:r>
          </w:p>
        </w:tc>
        <w:tc>
          <w:tcPr>
            <w:tcW w:w="803" w:type="dxa"/>
          </w:tcPr>
          <w:p w14:paraId="64CA4819" w14:textId="04AF57A7"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1</w:t>
            </w:r>
          </w:p>
        </w:tc>
        <w:tc>
          <w:tcPr>
            <w:tcW w:w="803" w:type="dxa"/>
          </w:tcPr>
          <w:p w14:paraId="3F3CCAA9" w14:textId="55C246AE"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1</w:t>
            </w:r>
          </w:p>
        </w:tc>
        <w:tc>
          <w:tcPr>
            <w:tcW w:w="804" w:type="dxa"/>
          </w:tcPr>
          <w:p w14:paraId="1A379E99" w14:textId="191E7713"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7</w:t>
            </w:r>
          </w:p>
        </w:tc>
        <w:tc>
          <w:tcPr>
            <w:tcW w:w="799" w:type="dxa"/>
            <w:vMerge/>
            <w:vAlign w:val="center"/>
          </w:tcPr>
          <w:p w14:paraId="62CC07F5" w14:textId="77777777" w:rsidR="00F47920" w:rsidRPr="001B63F3" w:rsidRDefault="00F47920" w:rsidP="00F47920">
            <w:pPr>
              <w:keepLines/>
              <w:rPr>
                <w:rFonts w:ascii="Arial Narrow" w:hAnsi="Arial Narrow" w:cs="Arial"/>
                <w:sz w:val="20"/>
                <w:szCs w:val="20"/>
              </w:rPr>
            </w:pPr>
          </w:p>
        </w:tc>
      </w:tr>
      <w:tr w:rsidR="00F47920" w:rsidRPr="001B63F3" w14:paraId="7BAA74D1" w14:textId="77777777" w:rsidTr="79900132">
        <w:trPr>
          <w:cantSplit/>
          <w:trHeight w:val="20"/>
        </w:trPr>
        <w:tc>
          <w:tcPr>
            <w:tcW w:w="4531" w:type="dxa"/>
            <w:gridSpan w:val="2"/>
            <w:vAlign w:val="center"/>
          </w:tcPr>
          <w:p w14:paraId="76A0CA8E" w14:textId="072B33E2" w:rsidR="00F47920" w:rsidRPr="001B63F3" w:rsidRDefault="00F47920" w:rsidP="00F47920">
            <w:pPr>
              <w:keepLines/>
              <w:rPr>
                <w:rFonts w:ascii="Arial Narrow" w:hAnsi="Arial Narrow" w:cs="Arial"/>
                <w:sz w:val="20"/>
                <w:szCs w:val="20"/>
              </w:rPr>
            </w:pPr>
            <w:r w:rsidRPr="001B63F3">
              <w:rPr>
                <w:rFonts w:ascii="Arial Narrow" w:hAnsi="Arial Narrow" w:cs="Arial"/>
                <w:sz w:val="20"/>
                <w:szCs w:val="20"/>
              </w:rPr>
              <w:t>omalizumab 300 mg/2 mL injection, 2 mL pen device</w:t>
            </w:r>
          </w:p>
        </w:tc>
        <w:tc>
          <w:tcPr>
            <w:tcW w:w="1276" w:type="dxa"/>
            <w:vAlign w:val="center"/>
          </w:tcPr>
          <w:p w14:paraId="1187A020" w14:textId="5BE53926" w:rsidR="00F47920" w:rsidRPr="001B63F3" w:rsidRDefault="00F47920" w:rsidP="00AB467B">
            <w:pPr>
              <w:keepLines/>
              <w:jc w:val="center"/>
              <w:rPr>
                <w:rFonts w:ascii="Arial Narrow" w:hAnsi="Arial Narrow" w:cs="Arial"/>
                <w:iCs/>
                <w:sz w:val="20"/>
                <w:szCs w:val="20"/>
              </w:rPr>
            </w:pPr>
            <w:r w:rsidRPr="001B63F3">
              <w:rPr>
                <w:rFonts w:ascii="Arial Narrow" w:hAnsi="Arial Narrow" w:cs="Arial"/>
                <w:iCs/>
                <w:sz w:val="20"/>
                <w:szCs w:val="20"/>
              </w:rPr>
              <w:t>NEW</w:t>
            </w:r>
            <w:r w:rsidR="00373CF3" w:rsidRPr="001B63F3">
              <w:rPr>
                <w:rFonts w:ascii="Arial Narrow" w:hAnsi="Arial Narrow" w:cs="Arial"/>
                <w:iCs/>
                <w:sz w:val="20"/>
                <w:szCs w:val="20"/>
              </w:rPr>
              <w:t>/ Public</w:t>
            </w:r>
          </w:p>
        </w:tc>
        <w:tc>
          <w:tcPr>
            <w:tcW w:w="803" w:type="dxa"/>
          </w:tcPr>
          <w:p w14:paraId="1B16ACE4" w14:textId="40CAE307"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1</w:t>
            </w:r>
          </w:p>
        </w:tc>
        <w:tc>
          <w:tcPr>
            <w:tcW w:w="803" w:type="dxa"/>
          </w:tcPr>
          <w:p w14:paraId="4FF36252" w14:textId="42745630"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1</w:t>
            </w:r>
          </w:p>
        </w:tc>
        <w:tc>
          <w:tcPr>
            <w:tcW w:w="804" w:type="dxa"/>
          </w:tcPr>
          <w:p w14:paraId="470FC62B" w14:textId="041B56B1"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7</w:t>
            </w:r>
          </w:p>
        </w:tc>
        <w:tc>
          <w:tcPr>
            <w:tcW w:w="799" w:type="dxa"/>
            <w:vMerge/>
            <w:vAlign w:val="center"/>
          </w:tcPr>
          <w:p w14:paraId="43324C6B" w14:textId="77777777" w:rsidR="00F47920" w:rsidRPr="001B63F3" w:rsidRDefault="00F47920" w:rsidP="00F47920">
            <w:pPr>
              <w:keepLines/>
              <w:rPr>
                <w:rFonts w:ascii="Arial Narrow" w:hAnsi="Arial Narrow" w:cs="Arial"/>
                <w:sz w:val="20"/>
                <w:szCs w:val="20"/>
              </w:rPr>
            </w:pPr>
          </w:p>
        </w:tc>
      </w:tr>
      <w:tr w:rsidR="00F47920" w:rsidRPr="001B63F3" w14:paraId="79BE184C" w14:textId="77777777" w:rsidTr="79900132">
        <w:trPr>
          <w:cantSplit/>
          <w:trHeight w:val="20"/>
        </w:trPr>
        <w:tc>
          <w:tcPr>
            <w:tcW w:w="4531" w:type="dxa"/>
            <w:gridSpan w:val="2"/>
            <w:vAlign w:val="center"/>
          </w:tcPr>
          <w:p w14:paraId="55506EDC" w14:textId="5D72820A" w:rsidR="00F47920" w:rsidRPr="001B63F3" w:rsidRDefault="00F47920" w:rsidP="00F47920">
            <w:pPr>
              <w:keepLines/>
              <w:rPr>
                <w:rFonts w:ascii="Arial Narrow" w:hAnsi="Arial Narrow" w:cs="Arial"/>
                <w:sz w:val="20"/>
                <w:szCs w:val="20"/>
              </w:rPr>
            </w:pPr>
            <w:r w:rsidRPr="001B63F3">
              <w:rPr>
                <w:rFonts w:ascii="Arial Narrow" w:hAnsi="Arial Narrow" w:cs="Arial"/>
                <w:sz w:val="20"/>
                <w:szCs w:val="20"/>
              </w:rPr>
              <w:lastRenderedPageBreak/>
              <w:t>omalizumab 300 mg/2 mL injection, 2 mL pen device</w:t>
            </w:r>
          </w:p>
        </w:tc>
        <w:tc>
          <w:tcPr>
            <w:tcW w:w="1276" w:type="dxa"/>
            <w:vAlign w:val="center"/>
          </w:tcPr>
          <w:p w14:paraId="09B9CE5C" w14:textId="00F4DF25" w:rsidR="00F47920" w:rsidRPr="001B63F3" w:rsidRDefault="00F47920" w:rsidP="00AB467B">
            <w:pPr>
              <w:keepLines/>
              <w:jc w:val="center"/>
              <w:rPr>
                <w:rFonts w:ascii="Arial Narrow" w:hAnsi="Arial Narrow" w:cs="Arial"/>
                <w:iCs/>
                <w:sz w:val="20"/>
                <w:szCs w:val="20"/>
              </w:rPr>
            </w:pPr>
            <w:r w:rsidRPr="001B63F3">
              <w:rPr>
                <w:rFonts w:ascii="Arial Narrow" w:hAnsi="Arial Narrow" w:cs="Arial"/>
                <w:iCs/>
                <w:sz w:val="20"/>
                <w:szCs w:val="20"/>
              </w:rPr>
              <w:t>NEW</w:t>
            </w:r>
            <w:r w:rsidR="00373CF3" w:rsidRPr="001B63F3">
              <w:rPr>
                <w:rFonts w:ascii="Arial Narrow" w:hAnsi="Arial Narrow" w:cs="Arial"/>
                <w:iCs/>
                <w:sz w:val="20"/>
                <w:szCs w:val="20"/>
              </w:rPr>
              <w:t>/ Private</w:t>
            </w:r>
          </w:p>
        </w:tc>
        <w:tc>
          <w:tcPr>
            <w:tcW w:w="803" w:type="dxa"/>
          </w:tcPr>
          <w:p w14:paraId="382E4A22" w14:textId="27D98351"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1</w:t>
            </w:r>
          </w:p>
        </w:tc>
        <w:tc>
          <w:tcPr>
            <w:tcW w:w="803" w:type="dxa"/>
          </w:tcPr>
          <w:p w14:paraId="62DEC25B" w14:textId="5E8F8B0C"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1</w:t>
            </w:r>
          </w:p>
        </w:tc>
        <w:tc>
          <w:tcPr>
            <w:tcW w:w="804" w:type="dxa"/>
          </w:tcPr>
          <w:p w14:paraId="16D30C41" w14:textId="43D63648" w:rsidR="00F47920" w:rsidRPr="001B63F3" w:rsidRDefault="00F47920" w:rsidP="00AB467B">
            <w:pPr>
              <w:keepLines/>
              <w:jc w:val="center"/>
              <w:rPr>
                <w:rFonts w:ascii="Arial Narrow" w:hAnsi="Arial Narrow" w:cs="Arial"/>
                <w:sz w:val="20"/>
                <w:szCs w:val="20"/>
              </w:rPr>
            </w:pPr>
            <w:r w:rsidRPr="001B63F3">
              <w:rPr>
                <w:rFonts w:ascii="Arial Narrow" w:hAnsi="Arial Narrow" w:cs="Arial"/>
                <w:sz w:val="20"/>
                <w:szCs w:val="20"/>
              </w:rPr>
              <w:t>7</w:t>
            </w:r>
          </w:p>
        </w:tc>
        <w:tc>
          <w:tcPr>
            <w:tcW w:w="799" w:type="dxa"/>
            <w:vMerge/>
            <w:vAlign w:val="center"/>
          </w:tcPr>
          <w:p w14:paraId="3989E25F" w14:textId="77777777" w:rsidR="00F47920" w:rsidRPr="001B63F3" w:rsidRDefault="00F47920" w:rsidP="00F47920">
            <w:pPr>
              <w:keepLines/>
              <w:rPr>
                <w:rFonts w:ascii="Arial Narrow" w:hAnsi="Arial Narrow" w:cs="Arial"/>
                <w:sz w:val="20"/>
                <w:szCs w:val="20"/>
              </w:rPr>
            </w:pPr>
          </w:p>
        </w:tc>
      </w:tr>
      <w:tr w:rsidR="00AA24E9" w:rsidRPr="001B63F3" w14:paraId="1CA3A3BB" w14:textId="77777777" w:rsidTr="79900132">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11E1C087" w14:textId="29E9C293" w:rsidR="00AA24E9" w:rsidRPr="001B63F3" w:rsidRDefault="00AA24E9" w:rsidP="00B602E7">
            <w:pPr>
              <w:rPr>
                <w:rFonts w:ascii="Arial Narrow" w:hAnsi="Arial Narrow" w:cs="Arial"/>
                <w:sz w:val="20"/>
                <w:szCs w:val="20"/>
              </w:rPr>
            </w:pPr>
          </w:p>
        </w:tc>
      </w:tr>
      <w:tr w:rsidR="00AA24E9" w:rsidRPr="001B63F3" w14:paraId="70D0340B" w14:textId="77777777" w:rsidTr="79900132">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4CCD089C" w14:textId="6982E440" w:rsidR="00AA24E9" w:rsidRPr="001B63F3" w:rsidRDefault="00AA24E9" w:rsidP="00B602E7">
            <w:pPr>
              <w:keepLines/>
              <w:rPr>
                <w:rFonts w:ascii="Arial Narrow" w:hAnsi="Arial Narrow" w:cs="Arial"/>
                <w:b/>
                <w:sz w:val="20"/>
                <w:szCs w:val="20"/>
              </w:rPr>
            </w:pPr>
            <w:r w:rsidRPr="001B63F3">
              <w:rPr>
                <w:rFonts w:ascii="Arial Narrow" w:hAnsi="Arial Narrow"/>
                <w:b/>
                <w:sz w:val="20"/>
                <w:szCs w:val="20"/>
              </w:rPr>
              <w:t xml:space="preserve">Restriction Summary </w:t>
            </w:r>
            <w:r w:rsidR="00EC46A4" w:rsidRPr="001B63F3">
              <w:rPr>
                <w:rFonts w:ascii="Arial Narrow" w:hAnsi="Arial Narrow"/>
                <w:b/>
                <w:sz w:val="20"/>
                <w:szCs w:val="20"/>
              </w:rPr>
              <w:t>15845</w:t>
            </w:r>
            <w:r w:rsidRPr="001B63F3">
              <w:rPr>
                <w:rFonts w:ascii="Arial Narrow" w:hAnsi="Arial Narrow"/>
                <w:b/>
                <w:sz w:val="20"/>
                <w:szCs w:val="20"/>
              </w:rPr>
              <w:t xml:space="preserve">/ Treatment of Concept: </w:t>
            </w:r>
            <w:r w:rsidR="00F72452" w:rsidRPr="001B63F3">
              <w:rPr>
                <w:rFonts w:ascii="Arial Narrow" w:hAnsi="Arial Narrow"/>
                <w:b/>
                <w:sz w:val="20"/>
                <w:szCs w:val="20"/>
              </w:rPr>
              <w:t>15846</w:t>
            </w:r>
          </w:p>
        </w:tc>
      </w:tr>
      <w:tr w:rsidR="00356E34" w:rsidRPr="001B63F3" w14:paraId="351E5687" w14:textId="77777777" w:rsidTr="79900132">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7E696EFF" w14:textId="77777777" w:rsidR="00356E34" w:rsidRPr="001B63F3" w:rsidRDefault="00356E34" w:rsidP="00B602E7">
            <w:pPr>
              <w:jc w:val="center"/>
              <w:rPr>
                <w:rFonts w:ascii="Arial Narrow" w:hAnsi="Arial Narrow" w:cs="Arial"/>
                <w:b/>
                <w:sz w:val="20"/>
                <w:szCs w:val="20"/>
              </w:rPr>
            </w:pPr>
            <w:r w:rsidRPr="001B63F3">
              <w:rPr>
                <w:rFonts w:ascii="Arial Narrow" w:hAnsi="Arial Narrow" w:cs="Arial"/>
                <w:b/>
                <w:sz w:val="20"/>
                <w:szCs w:val="20"/>
              </w:rPr>
              <w:t xml:space="preserve">Concept ID </w:t>
            </w:r>
            <w:r w:rsidRPr="001B63F3">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283CB63" w14:textId="58BDE70A" w:rsidR="00356E34" w:rsidRPr="001B63F3" w:rsidRDefault="00356E34" w:rsidP="000229F1">
            <w:pPr>
              <w:keepLines/>
              <w:rPr>
                <w:rFonts w:ascii="Arial Narrow" w:hAnsi="Arial Narrow" w:cs="Arial"/>
                <w:sz w:val="20"/>
                <w:szCs w:val="20"/>
              </w:rPr>
            </w:pPr>
            <w:r w:rsidRPr="001B63F3">
              <w:rPr>
                <w:rFonts w:ascii="Arial Narrow" w:hAnsi="Arial Narrow" w:cs="Arial"/>
                <w:b/>
                <w:sz w:val="20"/>
                <w:szCs w:val="20"/>
              </w:rPr>
              <w:t>Category / Program:</w:t>
            </w:r>
            <w:r w:rsidRPr="001B63F3">
              <w:rPr>
                <w:rFonts w:ascii="Arial Narrow" w:hAnsi="Arial Narrow" w:cs="Arial"/>
                <w:sz w:val="20"/>
                <w:szCs w:val="20"/>
              </w:rPr>
              <w:t xml:space="preserve"> </w:t>
            </w:r>
            <w:r w:rsidRPr="001B63F3">
              <w:rPr>
                <w:rFonts w:ascii="Arial Narrow" w:eastAsia="Calibri" w:hAnsi="Arial Narrow" w:cs="Arial"/>
                <w:sz w:val="20"/>
                <w:szCs w:val="20"/>
              </w:rPr>
              <w:t>Section 100 – Highly Specialised Drugs Program – Public (Code HB)</w:t>
            </w:r>
            <w:r w:rsidRPr="001B63F3">
              <w:rPr>
                <w:rFonts w:ascii="Arial Narrow" w:eastAsia="Calibri" w:hAnsi="Arial Narrow" w:cs="Arial"/>
                <w:color w:val="FF0000"/>
                <w:sz w:val="20"/>
                <w:szCs w:val="20"/>
              </w:rPr>
              <w:t xml:space="preserve"> </w:t>
            </w:r>
            <w:r w:rsidRPr="001B63F3">
              <w:rPr>
                <w:rFonts w:ascii="Arial Narrow" w:eastAsia="Calibri" w:hAnsi="Arial Narrow" w:cs="Arial"/>
                <w:sz w:val="20"/>
                <w:szCs w:val="20"/>
              </w:rPr>
              <w:t>/ Private (Code HS)</w:t>
            </w:r>
          </w:p>
        </w:tc>
      </w:tr>
      <w:tr w:rsidR="00356E34" w:rsidRPr="001B63F3" w14:paraId="69F11352" w14:textId="77777777" w:rsidTr="79900132">
        <w:tblPrEx>
          <w:tblCellMar>
            <w:top w:w="15" w:type="dxa"/>
            <w:bottom w:w="15" w:type="dxa"/>
          </w:tblCellMar>
          <w:tblLook w:val="04A0" w:firstRow="1" w:lastRow="0" w:firstColumn="1" w:lastColumn="0" w:noHBand="0" w:noVBand="1"/>
        </w:tblPrEx>
        <w:trPr>
          <w:trHeight w:val="20"/>
        </w:trPr>
        <w:tc>
          <w:tcPr>
            <w:tcW w:w="1271" w:type="dxa"/>
            <w:vMerge/>
          </w:tcPr>
          <w:p w14:paraId="67EA5068" w14:textId="77777777" w:rsidR="00356E34" w:rsidRPr="001B63F3" w:rsidRDefault="00356E34" w:rsidP="00B602E7">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58AD3ED" w14:textId="299376EA" w:rsidR="00356E34" w:rsidRPr="001B63F3" w:rsidRDefault="00356E34" w:rsidP="002217C9">
            <w:pPr>
              <w:keepLines/>
              <w:rPr>
                <w:rFonts w:ascii="Arial Narrow" w:hAnsi="Arial Narrow" w:cs="Arial"/>
                <w:b/>
                <w:sz w:val="20"/>
                <w:szCs w:val="20"/>
              </w:rPr>
            </w:pPr>
            <w:r w:rsidRPr="001B63F3">
              <w:rPr>
                <w:rFonts w:ascii="Arial Narrow" w:hAnsi="Arial Narrow" w:cs="Arial"/>
                <w:b/>
                <w:sz w:val="20"/>
                <w:szCs w:val="20"/>
              </w:rPr>
              <w:t xml:space="preserve">Prescriber type: </w:t>
            </w:r>
            <w:r w:rsidRPr="001B63F3">
              <w:rPr>
                <w:rFonts w:ascii="Arial Narrow" w:hAnsi="Arial Narrow" w:cs="Arial"/>
                <w:sz w:val="20"/>
                <w:szCs w:val="20"/>
              </w:rPr>
              <w:fldChar w:fldCharType="begin" w:fldLock="1">
                <w:ffData>
                  <w:name w:val=""/>
                  <w:enabled/>
                  <w:calcOnExit w:val="0"/>
                  <w:checkBox>
                    <w:sizeAuto/>
                    <w:default w:val="1"/>
                  </w:checkBox>
                </w:ffData>
              </w:fldChar>
            </w:r>
            <w:r w:rsidRPr="001B63F3">
              <w:rPr>
                <w:rFonts w:ascii="Arial Narrow" w:hAnsi="Arial Narrow" w:cs="Arial"/>
                <w:sz w:val="20"/>
                <w:szCs w:val="20"/>
              </w:rPr>
              <w:instrText xml:space="preserve"> FORMCHECKBOX </w:instrText>
            </w:r>
            <w:r w:rsidRPr="001B63F3">
              <w:rPr>
                <w:rFonts w:ascii="Arial Narrow" w:hAnsi="Arial Narrow" w:cs="Arial"/>
                <w:sz w:val="20"/>
                <w:szCs w:val="20"/>
              </w:rPr>
            </w:r>
            <w:r w:rsidRPr="001B63F3">
              <w:rPr>
                <w:rFonts w:ascii="Arial Narrow" w:hAnsi="Arial Narrow" w:cs="Arial"/>
                <w:sz w:val="20"/>
                <w:szCs w:val="20"/>
              </w:rPr>
              <w:fldChar w:fldCharType="separate"/>
            </w:r>
            <w:r w:rsidRPr="001B63F3">
              <w:rPr>
                <w:rFonts w:ascii="Arial Narrow" w:hAnsi="Arial Narrow" w:cs="Arial"/>
                <w:sz w:val="20"/>
                <w:szCs w:val="20"/>
              </w:rPr>
              <w:fldChar w:fldCharType="end"/>
            </w:r>
            <w:r w:rsidRPr="001B63F3">
              <w:rPr>
                <w:rFonts w:ascii="Arial Narrow" w:hAnsi="Arial Narrow" w:cs="Arial"/>
                <w:sz w:val="20"/>
                <w:szCs w:val="20"/>
              </w:rPr>
              <w:t xml:space="preserve">Medical Practitioners </w:t>
            </w:r>
          </w:p>
        </w:tc>
      </w:tr>
      <w:tr w:rsidR="00356E34" w:rsidRPr="001B63F3" w14:paraId="2903BDB0" w14:textId="77777777" w:rsidTr="79900132">
        <w:tblPrEx>
          <w:tblCellMar>
            <w:top w:w="15" w:type="dxa"/>
            <w:bottom w:w="15" w:type="dxa"/>
          </w:tblCellMar>
          <w:tblLook w:val="04A0" w:firstRow="1" w:lastRow="0" w:firstColumn="1" w:lastColumn="0" w:noHBand="0" w:noVBand="1"/>
        </w:tblPrEx>
        <w:trPr>
          <w:trHeight w:val="20"/>
        </w:trPr>
        <w:tc>
          <w:tcPr>
            <w:tcW w:w="1271" w:type="dxa"/>
            <w:vMerge/>
          </w:tcPr>
          <w:p w14:paraId="607F241A" w14:textId="77777777" w:rsidR="00356E34" w:rsidRPr="001B63F3" w:rsidRDefault="00356E34" w:rsidP="00B602E7">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D10651B" w14:textId="3CCF21B9" w:rsidR="00356E34" w:rsidRPr="001B63F3" w:rsidRDefault="00356E34" w:rsidP="001448FC">
            <w:pPr>
              <w:keepLines/>
              <w:rPr>
                <w:rFonts w:ascii="Arial Narrow" w:eastAsia="Calibri" w:hAnsi="Arial Narrow" w:cs="Arial"/>
                <w:color w:val="FF0000"/>
                <w:sz w:val="20"/>
                <w:szCs w:val="20"/>
              </w:rPr>
            </w:pPr>
            <w:r w:rsidRPr="001B63F3">
              <w:rPr>
                <w:rFonts w:ascii="Arial Narrow" w:hAnsi="Arial Narrow" w:cs="Arial"/>
                <w:b/>
                <w:sz w:val="20"/>
                <w:szCs w:val="20"/>
              </w:rPr>
              <w:t xml:space="preserve">Restriction type: </w:t>
            </w:r>
            <w:r w:rsidRPr="001B63F3">
              <w:rPr>
                <w:rFonts w:ascii="Arial Narrow" w:eastAsia="Calibri" w:hAnsi="Arial Narrow" w:cs="Arial"/>
                <w:sz w:val="20"/>
                <w:szCs w:val="20"/>
              </w:rPr>
              <w:fldChar w:fldCharType="begin" w:fldLock="1">
                <w:ffData>
                  <w:name w:val=""/>
                  <w:enabled/>
                  <w:calcOnExit w:val="0"/>
                  <w:checkBox>
                    <w:sizeAuto/>
                    <w:default w:val="1"/>
                  </w:checkBox>
                </w:ffData>
              </w:fldChar>
            </w:r>
            <w:r w:rsidRPr="001B63F3">
              <w:rPr>
                <w:rFonts w:ascii="Arial Narrow" w:eastAsia="Calibri" w:hAnsi="Arial Narrow" w:cs="Arial"/>
                <w:sz w:val="20"/>
                <w:szCs w:val="20"/>
              </w:rPr>
              <w:instrText xml:space="preserve"> FORMCHECKBOX </w:instrText>
            </w:r>
            <w:r w:rsidRPr="001B63F3">
              <w:rPr>
                <w:rFonts w:ascii="Arial Narrow" w:eastAsia="Calibri" w:hAnsi="Arial Narrow" w:cs="Arial"/>
                <w:sz w:val="20"/>
                <w:szCs w:val="20"/>
              </w:rPr>
            </w:r>
            <w:r w:rsidRPr="001B63F3">
              <w:rPr>
                <w:rFonts w:ascii="Arial Narrow" w:eastAsia="Calibri" w:hAnsi="Arial Narrow" w:cs="Arial"/>
                <w:sz w:val="20"/>
                <w:szCs w:val="20"/>
              </w:rPr>
              <w:fldChar w:fldCharType="separate"/>
            </w:r>
            <w:r w:rsidRPr="001B63F3">
              <w:rPr>
                <w:rFonts w:ascii="Arial Narrow" w:eastAsia="Calibri" w:hAnsi="Arial Narrow" w:cs="Arial"/>
                <w:sz w:val="20"/>
                <w:szCs w:val="20"/>
              </w:rPr>
              <w:fldChar w:fldCharType="end"/>
            </w:r>
            <w:r w:rsidRPr="001B63F3">
              <w:rPr>
                <w:rFonts w:ascii="Arial Narrow" w:eastAsia="Calibri" w:hAnsi="Arial Narrow" w:cs="Arial"/>
                <w:sz w:val="20"/>
                <w:szCs w:val="20"/>
              </w:rPr>
              <w:t>Authority Required (in writing only via post/HPOS upload)</w:t>
            </w:r>
          </w:p>
        </w:tc>
      </w:tr>
      <w:tr w:rsidR="00AA24E9" w:rsidRPr="001B63F3" w14:paraId="5838240A"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4D5B5EE7" w14:textId="2014A2C8" w:rsidR="00AA24E9" w:rsidRPr="001B63F3" w:rsidRDefault="00461B18" w:rsidP="00B602E7">
            <w:pPr>
              <w:keepLines/>
              <w:jc w:val="center"/>
              <w:rPr>
                <w:rFonts w:ascii="Arial Narrow" w:hAnsi="Arial Narrow"/>
                <w:sz w:val="20"/>
                <w:szCs w:val="20"/>
              </w:rPr>
            </w:pPr>
            <w:r w:rsidRPr="001B63F3">
              <w:rPr>
                <w:rFonts w:ascii="Arial Narrow" w:hAnsi="Arial Narrow"/>
                <w:sz w:val="20"/>
                <w:szCs w:val="20"/>
              </w:rPr>
              <w:t>27327</w:t>
            </w:r>
          </w:p>
        </w:tc>
        <w:tc>
          <w:tcPr>
            <w:tcW w:w="7745" w:type="dxa"/>
            <w:gridSpan w:val="6"/>
            <w:vAlign w:val="center"/>
            <w:hideMark/>
          </w:tcPr>
          <w:p w14:paraId="4554907F" w14:textId="26A2B712" w:rsidR="00AA24E9" w:rsidRPr="001B63F3" w:rsidRDefault="00AA24E9" w:rsidP="00B602E7">
            <w:pPr>
              <w:keepLines/>
              <w:rPr>
                <w:rFonts w:ascii="Arial Narrow" w:hAnsi="Arial Narrow"/>
                <w:color w:val="333333"/>
                <w:sz w:val="20"/>
                <w:szCs w:val="20"/>
              </w:rPr>
            </w:pPr>
            <w:r w:rsidRPr="001B63F3">
              <w:rPr>
                <w:rFonts w:ascii="Arial Narrow" w:hAnsi="Arial Narrow"/>
                <w:b/>
                <w:bCs/>
                <w:sz w:val="20"/>
                <w:szCs w:val="20"/>
              </w:rPr>
              <w:t>Indication:</w:t>
            </w:r>
            <w:r w:rsidRPr="001B63F3">
              <w:rPr>
                <w:rFonts w:ascii="Arial Narrow" w:hAnsi="Arial Narrow"/>
                <w:sz w:val="20"/>
                <w:szCs w:val="20"/>
              </w:rPr>
              <w:t xml:space="preserve"> </w:t>
            </w:r>
            <w:r w:rsidR="007E3C5B" w:rsidRPr="001B63F3">
              <w:rPr>
                <w:rFonts w:ascii="Arial Narrow" w:hAnsi="Arial Narrow"/>
                <w:sz w:val="20"/>
                <w:szCs w:val="20"/>
              </w:rPr>
              <w:t>Uncontrolled severe asthma</w:t>
            </w:r>
          </w:p>
        </w:tc>
      </w:tr>
      <w:tr w:rsidR="00AA24E9" w:rsidRPr="001B63F3" w14:paraId="79ED3FD7"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7CCB6D8B" w14:textId="77777777" w:rsidR="00AA24E9" w:rsidRPr="001B63F3" w:rsidRDefault="00AA24E9" w:rsidP="00B602E7">
            <w:pPr>
              <w:jc w:val="center"/>
              <w:rPr>
                <w:rFonts w:ascii="Arial Narrow" w:hAnsi="Arial Narrow"/>
                <w:sz w:val="20"/>
                <w:szCs w:val="20"/>
              </w:rPr>
            </w:pPr>
          </w:p>
        </w:tc>
        <w:tc>
          <w:tcPr>
            <w:tcW w:w="7745" w:type="dxa"/>
            <w:gridSpan w:val="6"/>
            <w:vAlign w:val="center"/>
            <w:hideMark/>
          </w:tcPr>
          <w:p w14:paraId="23366C80" w14:textId="24E6C29B" w:rsidR="00AA24E9" w:rsidRPr="001B63F3" w:rsidRDefault="00AA24E9" w:rsidP="00B602E7">
            <w:pPr>
              <w:rPr>
                <w:rFonts w:ascii="Arial Narrow" w:hAnsi="Arial Narrow"/>
                <w:sz w:val="20"/>
                <w:szCs w:val="20"/>
              </w:rPr>
            </w:pPr>
            <w:r w:rsidRPr="001B63F3">
              <w:rPr>
                <w:rFonts w:ascii="Arial Narrow" w:hAnsi="Arial Narrow"/>
                <w:b/>
                <w:bCs/>
                <w:sz w:val="20"/>
                <w:szCs w:val="20"/>
              </w:rPr>
              <w:t>Treatment Phase:</w:t>
            </w:r>
            <w:r w:rsidRPr="001B63F3">
              <w:rPr>
                <w:rFonts w:ascii="Arial Narrow" w:hAnsi="Arial Narrow"/>
                <w:sz w:val="20"/>
                <w:szCs w:val="20"/>
              </w:rPr>
              <w:t xml:space="preserve"> </w:t>
            </w:r>
            <w:r w:rsidR="007E3C5B" w:rsidRPr="001B63F3">
              <w:rPr>
                <w:rFonts w:ascii="Arial Narrow" w:hAnsi="Arial Narrow"/>
                <w:sz w:val="20"/>
                <w:szCs w:val="20"/>
              </w:rPr>
              <w:t>Initial treatment - Initial 1 (New patients; or Recommencement of treatment in a new treatment cycle following a break in PBS subsidised biological medicine therapy)</w:t>
            </w:r>
          </w:p>
        </w:tc>
      </w:tr>
      <w:tr w:rsidR="00AA24E9" w:rsidRPr="001B63F3" w14:paraId="41EB8DAB"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tcPr>
          <w:p w14:paraId="2C8E1927" w14:textId="77777777" w:rsidR="00AA24E9" w:rsidRPr="001B63F3" w:rsidRDefault="00AA24E9" w:rsidP="00B602E7">
            <w:pPr>
              <w:jc w:val="center"/>
              <w:rPr>
                <w:rFonts w:ascii="Arial Narrow" w:hAnsi="Arial Narrow"/>
                <w:sz w:val="20"/>
                <w:szCs w:val="20"/>
              </w:rPr>
            </w:pPr>
          </w:p>
        </w:tc>
        <w:tc>
          <w:tcPr>
            <w:tcW w:w="7745" w:type="dxa"/>
            <w:gridSpan w:val="6"/>
            <w:vAlign w:val="center"/>
          </w:tcPr>
          <w:p w14:paraId="6267C488" w14:textId="77777777" w:rsidR="00AA24E9" w:rsidRPr="001B63F3" w:rsidRDefault="00AA24E9" w:rsidP="00B602E7">
            <w:pPr>
              <w:rPr>
                <w:rFonts w:ascii="Arial Narrow" w:hAnsi="Arial Narrow"/>
                <w:sz w:val="20"/>
                <w:szCs w:val="20"/>
              </w:rPr>
            </w:pPr>
          </w:p>
        </w:tc>
      </w:tr>
      <w:tr w:rsidR="006E3F13" w:rsidRPr="001B63F3" w14:paraId="6EA3D227" w14:textId="77777777" w:rsidTr="79900132">
        <w:tblPrEx>
          <w:tblCellMar>
            <w:top w:w="15" w:type="dxa"/>
            <w:bottom w:w="15" w:type="dxa"/>
          </w:tblCellMar>
          <w:tblLook w:val="04A0" w:firstRow="1" w:lastRow="0" w:firstColumn="1" w:lastColumn="0" w:noHBand="0" w:noVBand="1"/>
        </w:tblPrEx>
        <w:trPr>
          <w:cantSplit/>
          <w:trHeight w:val="20"/>
        </w:trPr>
        <w:tc>
          <w:tcPr>
            <w:tcW w:w="9016" w:type="dxa"/>
            <w:gridSpan w:val="7"/>
            <w:vAlign w:val="center"/>
          </w:tcPr>
          <w:p w14:paraId="077D57F4" w14:textId="32B4AF3E" w:rsidR="006E3F13" w:rsidRPr="001B63F3" w:rsidRDefault="00D84693" w:rsidP="00B602E7">
            <w:pPr>
              <w:rPr>
                <w:rFonts w:ascii="Arial Narrow" w:hAnsi="Arial Narrow"/>
                <w:b/>
                <w:bCs/>
                <w:sz w:val="20"/>
                <w:szCs w:val="20"/>
              </w:rPr>
            </w:pPr>
            <w:r w:rsidRPr="001B63F3">
              <w:rPr>
                <w:rFonts w:ascii="Arial Narrow" w:hAnsi="Arial Narrow"/>
                <w:b/>
                <w:bCs/>
                <w:sz w:val="20"/>
                <w:szCs w:val="20"/>
              </w:rPr>
              <w:t>Restriction Summary 15883 / Treatment of Concept: 15870: Authority Required</w:t>
            </w:r>
          </w:p>
        </w:tc>
      </w:tr>
      <w:tr w:rsidR="001C4C28" w:rsidRPr="001B63F3" w14:paraId="18DAB3FB"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tcPr>
          <w:p w14:paraId="1DC209F2" w14:textId="67B00D08" w:rsidR="001C4C28" w:rsidRPr="001B63F3" w:rsidRDefault="001C4C28" w:rsidP="001C4C28">
            <w:pPr>
              <w:jc w:val="center"/>
              <w:rPr>
                <w:rFonts w:ascii="Arial Narrow" w:hAnsi="Arial Narrow"/>
                <w:sz w:val="20"/>
                <w:szCs w:val="20"/>
              </w:rPr>
            </w:pPr>
            <w:r w:rsidRPr="001B63F3">
              <w:rPr>
                <w:rFonts w:ascii="Arial Narrow" w:hAnsi="Arial Narrow"/>
                <w:sz w:val="20"/>
                <w:szCs w:val="20"/>
              </w:rPr>
              <w:t>27327</w:t>
            </w:r>
          </w:p>
        </w:tc>
        <w:tc>
          <w:tcPr>
            <w:tcW w:w="7745" w:type="dxa"/>
            <w:gridSpan w:val="6"/>
            <w:vAlign w:val="center"/>
          </w:tcPr>
          <w:p w14:paraId="3804526B" w14:textId="67F0D960" w:rsidR="001C4C28" w:rsidRPr="001B63F3" w:rsidRDefault="001C4C28" w:rsidP="001C4C28">
            <w:pPr>
              <w:rPr>
                <w:rFonts w:ascii="Arial Narrow" w:hAnsi="Arial Narrow"/>
                <w:sz w:val="20"/>
                <w:szCs w:val="20"/>
              </w:rPr>
            </w:pPr>
            <w:r w:rsidRPr="001B63F3">
              <w:rPr>
                <w:rFonts w:ascii="Arial Narrow" w:hAnsi="Arial Narrow"/>
                <w:b/>
                <w:bCs/>
                <w:sz w:val="20"/>
                <w:szCs w:val="20"/>
              </w:rPr>
              <w:t>Indication:</w:t>
            </w:r>
            <w:r w:rsidRPr="001B63F3">
              <w:rPr>
                <w:rFonts w:ascii="Arial Narrow" w:hAnsi="Arial Narrow"/>
                <w:sz w:val="20"/>
                <w:szCs w:val="20"/>
              </w:rPr>
              <w:t xml:space="preserve"> Uncontrolled severe asthma</w:t>
            </w:r>
          </w:p>
        </w:tc>
      </w:tr>
      <w:tr w:rsidR="001C4C28" w:rsidRPr="001B63F3" w14:paraId="6B0A2426"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tcPr>
          <w:p w14:paraId="7D80A52A" w14:textId="63E55EB3" w:rsidR="001C4C28" w:rsidRPr="001B63F3" w:rsidRDefault="001C4C28" w:rsidP="001C4C28">
            <w:pPr>
              <w:jc w:val="center"/>
              <w:rPr>
                <w:rFonts w:ascii="Arial Narrow" w:hAnsi="Arial Narrow"/>
                <w:sz w:val="20"/>
                <w:szCs w:val="20"/>
              </w:rPr>
            </w:pPr>
          </w:p>
        </w:tc>
        <w:tc>
          <w:tcPr>
            <w:tcW w:w="7745" w:type="dxa"/>
            <w:gridSpan w:val="6"/>
            <w:vAlign w:val="center"/>
          </w:tcPr>
          <w:p w14:paraId="4B4D2ED3" w14:textId="6190D6F0" w:rsidR="001C4C28" w:rsidRPr="001B63F3" w:rsidRDefault="001C4C28" w:rsidP="001C4C28">
            <w:pPr>
              <w:rPr>
                <w:rFonts w:ascii="Arial Narrow" w:hAnsi="Arial Narrow"/>
                <w:sz w:val="20"/>
                <w:szCs w:val="20"/>
              </w:rPr>
            </w:pPr>
            <w:r w:rsidRPr="001B63F3">
              <w:rPr>
                <w:rFonts w:ascii="Arial Narrow" w:hAnsi="Arial Narrow"/>
                <w:b/>
                <w:bCs/>
                <w:sz w:val="20"/>
                <w:szCs w:val="20"/>
              </w:rPr>
              <w:t>Treatment Phase</w:t>
            </w:r>
            <w:r w:rsidR="0048006F" w:rsidRPr="001B63F3">
              <w:rPr>
                <w:rFonts w:ascii="Arial Narrow" w:hAnsi="Arial Narrow"/>
                <w:b/>
                <w:bCs/>
                <w:sz w:val="20"/>
                <w:szCs w:val="20"/>
              </w:rPr>
              <w:t xml:space="preserve">: </w:t>
            </w:r>
            <w:r w:rsidR="0048006F" w:rsidRPr="001B63F3">
              <w:rPr>
                <w:rFonts w:ascii="Arial Narrow" w:hAnsi="Arial Narrow"/>
                <w:sz w:val="20"/>
                <w:szCs w:val="20"/>
              </w:rPr>
              <w:t>Initial treatment - Initial 2 (Change of treatment)</w:t>
            </w:r>
          </w:p>
        </w:tc>
      </w:tr>
      <w:tr w:rsidR="002F175D" w:rsidRPr="001B63F3" w14:paraId="52F4ABFF"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tcPr>
          <w:p w14:paraId="27DA85E5" w14:textId="0A490977" w:rsidR="002F175D" w:rsidRPr="001B63F3" w:rsidRDefault="00854F56" w:rsidP="001C4C28">
            <w:pPr>
              <w:jc w:val="center"/>
              <w:rPr>
                <w:rFonts w:ascii="Arial Narrow" w:hAnsi="Arial Narrow"/>
                <w:iCs/>
                <w:sz w:val="20"/>
                <w:szCs w:val="20"/>
                <w:vertAlign w:val="superscript"/>
              </w:rPr>
            </w:pPr>
            <w:r w:rsidRPr="001B63F3">
              <w:rPr>
                <w:rFonts w:ascii="Arial Narrow" w:hAnsi="Arial Narrow"/>
                <w:iCs/>
                <w:sz w:val="20"/>
                <w:szCs w:val="20"/>
              </w:rPr>
              <w:t>Administrative Advice [New</w:t>
            </w:r>
            <w:r w:rsidR="006B49E0" w:rsidRPr="001B63F3">
              <w:rPr>
                <w:rFonts w:ascii="Arial Narrow" w:hAnsi="Arial Narrow"/>
                <w:iCs/>
                <w:sz w:val="20"/>
                <w:szCs w:val="20"/>
              </w:rPr>
              <w:t>]</w:t>
            </w:r>
            <w:r w:rsidR="006B49E0" w:rsidRPr="001B63F3">
              <w:rPr>
                <w:rFonts w:ascii="Arial Narrow" w:hAnsi="Arial Narrow"/>
                <w:iCs/>
                <w:sz w:val="20"/>
                <w:szCs w:val="20"/>
                <w:vertAlign w:val="superscript"/>
              </w:rPr>
              <w:t>1</w:t>
            </w:r>
          </w:p>
        </w:tc>
        <w:tc>
          <w:tcPr>
            <w:tcW w:w="7745" w:type="dxa"/>
            <w:gridSpan w:val="6"/>
            <w:vAlign w:val="center"/>
          </w:tcPr>
          <w:p w14:paraId="3C219604" w14:textId="77777777" w:rsidR="009024C5" w:rsidRPr="001B63F3" w:rsidRDefault="009024C5" w:rsidP="009024C5">
            <w:pPr>
              <w:textAlignment w:val="baseline"/>
              <w:rPr>
                <w:rFonts w:ascii="Arial Narrow" w:eastAsia="Calibri" w:hAnsi="Arial Narrow"/>
                <w:b/>
                <w:iCs/>
                <w:color w:val="333333"/>
                <w:sz w:val="20"/>
                <w:szCs w:val="20"/>
              </w:rPr>
            </w:pPr>
            <w:r w:rsidRPr="001B63F3">
              <w:rPr>
                <w:rFonts w:ascii="Arial Narrow" w:eastAsia="Calibri" w:hAnsi="Arial Narrow"/>
                <w:b/>
                <w:iCs/>
                <w:color w:val="333333"/>
                <w:sz w:val="20"/>
                <w:szCs w:val="20"/>
              </w:rPr>
              <w:t xml:space="preserve">Administrative Advice: </w:t>
            </w:r>
          </w:p>
          <w:p w14:paraId="054F6C26" w14:textId="6CC0F839" w:rsidR="002F175D" w:rsidRPr="001B63F3" w:rsidRDefault="00CE5748" w:rsidP="00060993">
            <w:pPr>
              <w:rPr>
                <w:rFonts w:ascii="Arial Narrow" w:hAnsi="Arial Narrow"/>
                <w:iCs/>
                <w:sz w:val="20"/>
                <w:szCs w:val="20"/>
              </w:rPr>
            </w:pPr>
            <w:r w:rsidRPr="001B63F3">
              <w:rPr>
                <w:rFonts w:ascii="Arial Narrow" w:hAnsi="Arial Narrow"/>
                <w:iCs/>
                <w:sz w:val="20"/>
                <w:szCs w:val="20"/>
              </w:rPr>
              <w:t>Pharmaceutical benefits that have the form omalizumab 75 mg/0.5 mL</w:t>
            </w:r>
            <w:r w:rsidR="00060993" w:rsidRPr="001B63F3">
              <w:rPr>
                <w:rFonts w:ascii="Arial Narrow" w:hAnsi="Arial Narrow"/>
                <w:iCs/>
                <w:sz w:val="20"/>
                <w:szCs w:val="20"/>
              </w:rPr>
              <w:t xml:space="preserve"> </w:t>
            </w:r>
            <w:r w:rsidRPr="001B63F3">
              <w:rPr>
                <w:rFonts w:ascii="Arial Narrow" w:hAnsi="Arial Narrow"/>
                <w:iCs/>
                <w:sz w:val="20"/>
                <w:szCs w:val="20"/>
              </w:rPr>
              <w:t>syringes and</w:t>
            </w:r>
            <w:r w:rsidR="00060993" w:rsidRPr="001B63F3">
              <w:rPr>
                <w:rFonts w:ascii="Arial Narrow" w:hAnsi="Arial Narrow"/>
                <w:iCs/>
                <w:sz w:val="20"/>
                <w:szCs w:val="20"/>
              </w:rPr>
              <w:t xml:space="preserve"> </w:t>
            </w:r>
            <w:r w:rsidRPr="001B63F3">
              <w:rPr>
                <w:rFonts w:ascii="Arial Narrow" w:hAnsi="Arial Narrow"/>
                <w:iCs/>
                <w:sz w:val="20"/>
                <w:szCs w:val="20"/>
              </w:rPr>
              <w:t xml:space="preserve">pharmaceutical benefits that have the form </w:t>
            </w:r>
            <w:r w:rsidR="00060993" w:rsidRPr="001B63F3">
              <w:rPr>
                <w:rFonts w:ascii="Arial Narrow" w:hAnsi="Arial Narrow"/>
                <w:iCs/>
                <w:sz w:val="20"/>
                <w:szCs w:val="20"/>
              </w:rPr>
              <w:t xml:space="preserve">omalizumab 75 mg/0.5 mL </w:t>
            </w:r>
            <w:r w:rsidRPr="001B63F3">
              <w:rPr>
                <w:rFonts w:ascii="Arial Narrow" w:hAnsi="Arial Narrow"/>
                <w:iCs/>
                <w:sz w:val="20"/>
                <w:szCs w:val="20"/>
              </w:rPr>
              <w:t>pen devices are</w:t>
            </w:r>
            <w:r w:rsidR="00060993" w:rsidRPr="001B63F3">
              <w:rPr>
                <w:rFonts w:ascii="Arial Narrow" w:hAnsi="Arial Narrow"/>
                <w:iCs/>
                <w:sz w:val="20"/>
                <w:szCs w:val="20"/>
              </w:rPr>
              <w:t xml:space="preserve"> </w:t>
            </w:r>
            <w:r w:rsidRPr="001B63F3">
              <w:rPr>
                <w:rFonts w:ascii="Arial Narrow" w:hAnsi="Arial Narrow"/>
                <w:iCs/>
                <w:sz w:val="20"/>
                <w:szCs w:val="20"/>
              </w:rPr>
              <w:t>equivalent for the purposes of substitution.</w:t>
            </w:r>
          </w:p>
        </w:tc>
      </w:tr>
      <w:tr w:rsidR="00060993" w:rsidRPr="001B63F3" w14:paraId="7174F14E"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tcPr>
          <w:p w14:paraId="3DC7F3BA" w14:textId="37D7F106" w:rsidR="00060993" w:rsidRPr="001B63F3" w:rsidRDefault="006B49E0" w:rsidP="001C4C28">
            <w:pPr>
              <w:jc w:val="center"/>
              <w:rPr>
                <w:rFonts w:ascii="Arial Narrow" w:hAnsi="Arial Narrow"/>
                <w:iCs/>
                <w:sz w:val="20"/>
                <w:szCs w:val="20"/>
              </w:rPr>
            </w:pPr>
            <w:r w:rsidRPr="001B63F3">
              <w:rPr>
                <w:rFonts w:ascii="Arial Narrow" w:hAnsi="Arial Narrow"/>
                <w:iCs/>
                <w:sz w:val="20"/>
                <w:szCs w:val="20"/>
              </w:rPr>
              <w:t>Administrative Advice [New]</w:t>
            </w:r>
            <w:r w:rsidRPr="001B63F3">
              <w:rPr>
                <w:rFonts w:ascii="Arial Narrow" w:hAnsi="Arial Narrow"/>
                <w:iCs/>
                <w:sz w:val="20"/>
                <w:szCs w:val="20"/>
                <w:vertAlign w:val="superscript"/>
              </w:rPr>
              <w:t>2</w:t>
            </w:r>
          </w:p>
        </w:tc>
        <w:tc>
          <w:tcPr>
            <w:tcW w:w="7745" w:type="dxa"/>
            <w:gridSpan w:val="6"/>
            <w:vAlign w:val="center"/>
          </w:tcPr>
          <w:p w14:paraId="7EE6F7EC" w14:textId="77777777" w:rsidR="005E0578" w:rsidRPr="001B63F3" w:rsidRDefault="005E0578" w:rsidP="005E0578">
            <w:pPr>
              <w:textAlignment w:val="baseline"/>
              <w:rPr>
                <w:rFonts w:ascii="Arial Narrow" w:eastAsia="Calibri" w:hAnsi="Arial Narrow"/>
                <w:b/>
                <w:iCs/>
                <w:color w:val="333333"/>
                <w:sz w:val="20"/>
                <w:szCs w:val="20"/>
              </w:rPr>
            </w:pPr>
            <w:r w:rsidRPr="001B63F3">
              <w:rPr>
                <w:rFonts w:ascii="Arial Narrow" w:eastAsia="Calibri" w:hAnsi="Arial Narrow"/>
                <w:b/>
                <w:iCs/>
                <w:color w:val="333333"/>
                <w:sz w:val="20"/>
                <w:szCs w:val="20"/>
              </w:rPr>
              <w:t xml:space="preserve">Administrative Advice: </w:t>
            </w:r>
          </w:p>
          <w:p w14:paraId="3ADDFE63" w14:textId="3DAE0A2F" w:rsidR="00060993" w:rsidRPr="001B63F3" w:rsidRDefault="005E0578" w:rsidP="005E0578">
            <w:pPr>
              <w:textAlignment w:val="baseline"/>
              <w:rPr>
                <w:rFonts w:ascii="Arial Narrow" w:eastAsia="Calibri" w:hAnsi="Arial Narrow"/>
                <w:bCs/>
                <w:iCs/>
                <w:color w:val="333333"/>
                <w:sz w:val="20"/>
                <w:szCs w:val="20"/>
              </w:rPr>
            </w:pPr>
            <w:r w:rsidRPr="001B63F3">
              <w:rPr>
                <w:rFonts w:ascii="Arial Narrow" w:hAnsi="Arial Narrow"/>
                <w:iCs/>
                <w:sz w:val="20"/>
                <w:szCs w:val="20"/>
              </w:rPr>
              <w:t xml:space="preserve">Pharmaceutical benefits that have the form omalizumab </w:t>
            </w:r>
            <w:r w:rsidR="00B645CE" w:rsidRPr="001B63F3">
              <w:rPr>
                <w:rFonts w:ascii="Arial Narrow" w:hAnsi="Arial Narrow" w:cs="Arial"/>
                <w:iCs/>
                <w:sz w:val="20"/>
                <w:szCs w:val="20"/>
              </w:rPr>
              <w:t xml:space="preserve">150 mg/mL </w:t>
            </w:r>
            <w:r w:rsidRPr="001B63F3">
              <w:rPr>
                <w:rFonts w:ascii="Arial Narrow" w:hAnsi="Arial Narrow"/>
                <w:iCs/>
                <w:sz w:val="20"/>
                <w:szCs w:val="20"/>
              </w:rPr>
              <w:t xml:space="preserve">syringes and pharmaceutical benefits that have the form omalizumab </w:t>
            </w:r>
            <w:r w:rsidR="00A66E1D" w:rsidRPr="001B63F3">
              <w:rPr>
                <w:rFonts w:ascii="Arial Narrow" w:hAnsi="Arial Narrow" w:cs="Arial"/>
                <w:iCs/>
                <w:sz w:val="20"/>
                <w:szCs w:val="20"/>
              </w:rPr>
              <w:t xml:space="preserve">150 mg/mL </w:t>
            </w:r>
            <w:r w:rsidRPr="001B63F3">
              <w:rPr>
                <w:rFonts w:ascii="Arial Narrow" w:hAnsi="Arial Narrow"/>
                <w:iCs/>
                <w:sz w:val="20"/>
                <w:szCs w:val="20"/>
              </w:rPr>
              <w:t>pen devices are equivalent for the purposes of substitution.</w:t>
            </w:r>
          </w:p>
        </w:tc>
      </w:tr>
      <w:tr w:rsidR="00A66E1D" w:rsidRPr="001B63F3" w14:paraId="23AB1420"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tcPr>
          <w:p w14:paraId="0B151D28" w14:textId="00C9636A" w:rsidR="00A66E1D" w:rsidRPr="001B63F3" w:rsidRDefault="00A66E1D" w:rsidP="001C4C28">
            <w:pPr>
              <w:jc w:val="center"/>
              <w:rPr>
                <w:rFonts w:ascii="Arial Narrow" w:hAnsi="Arial Narrow"/>
                <w:iCs/>
                <w:sz w:val="20"/>
                <w:szCs w:val="20"/>
              </w:rPr>
            </w:pPr>
            <w:r w:rsidRPr="001B63F3">
              <w:rPr>
                <w:rFonts w:ascii="Arial Narrow" w:hAnsi="Arial Narrow"/>
                <w:iCs/>
                <w:sz w:val="20"/>
                <w:szCs w:val="20"/>
              </w:rPr>
              <w:t>Administrative Advice [New]</w:t>
            </w:r>
            <w:r w:rsidRPr="001B63F3">
              <w:rPr>
                <w:rFonts w:ascii="Arial Narrow" w:hAnsi="Arial Narrow"/>
                <w:iCs/>
                <w:sz w:val="20"/>
                <w:szCs w:val="20"/>
                <w:vertAlign w:val="superscript"/>
              </w:rPr>
              <w:t>3</w:t>
            </w:r>
          </w:p>
        </w:tc>
        <w:tc>
          <w:tcPr>
            <w:tcW w:w="7745" w:type="dxa"/>
            <w:gridSpan w:val="6"/>
            <w:vAlign w:val="center"/>
          </w:tcPr>
          <w:p w14:paraId="64241C8C" w14:textId="77777777" w:rsidR="00A66E1D" w:rsidRPr="001B63F3" w:rsidRDefault="00A66E1D" w:rsidP="00A66E1D">
            <w:pPr>
              <w:textAlignment w:val="baseline"/>
              <w:rPr>
                <w:rFonts w:ascii="Arial Narrow" w:eastAsia="Calibri" w:hAnsi="Arial Narrow"/>
                <w:b/>
                <w:iCs/>
                <w:color w:val="333333"/>
                <w:sz w:val="20"/>
                <w:szCs w:val="20"/>
              </w:rPr>
            </w:pPr>
            <w:r w:rsidRPr="001B63F3">
              <w:rPr>
                <w:rFonts w:ascii="Arial Narrow" w:eastAsia="Calibri" w:hAnsi="Arial Narrow"/>
                <w:b/>
                <w:iCs/>
                <w:color w:val="333333"/>
                <w:sz w:val="20"/>
                <w:szCs w:val="20"/>
              </w:rPr>
              <w:t xml:space="preserve">Administrative Advice: </w:t>
            </w:r>
          </w:p>
          <w:p w14:paraId="440C371C" w14:textId="551515EF" w:rsidR="00A66E1D" w:rsidRPr="001B63F3" w:rsidRDefault="00A66E1D" w:rsidP="00A66E1D">
            <w:pPr>
              <w:textAlignment w:val="baseline"/>
              <w:rPr>
                <w:rFonts w:ascii="Arial Narrow" w:eastAsia="Calibri" w:hAnsi="Arial Narrow"/>
                <w:bCs/>
                <w:iCs/>
                <w:color w:val="333333"/>
                <w:sz w:val="20"/>
                <w:szCs w:val="20"/>
              </w:rPr>
            </w:pPr>
            <w:r w:rsidRPr="001B63F3">
              <w:rPr>
                <w:rFonts w:ascii="Arial Narrow" w:hAnsi="Arial Narrow"/>
                <w:iCs/>
                <w:sz w:val="20"/>
                <w:szCs w:val="20"/>
              </w:rPr>
              <w:t xml:space="preserve">Pharmaceutical benefits that have the form omalizumab </w:t>
            </w:r>
            <w:r w:rsidRPr="001B63F3">
              <w:rPr>
                <w:rFonts w:ascii="Arial Narrow" w:hAnsi="Arial Narrow" w:cs="Arial"/>
                <w:iCs/>
                <w:sz w:val="20"/>
                <w:szCs w:val="20"/>
              </w:rPr>
              <w:t xml:space="preserve">300 mg/2 mL </w:t>
            </w:r>
            <w:r w:rsidRPr="001B63F3">
              <w:rPr>
                <w:rFonts w:ascii="Arial Narrow" w:hAnsi="Arial Narrow"/>
                <w:iCs/>
                <w:sz w:val="20"/>
                <w:szCs w:val="20"/>
              </w:rPr>
              <w:t xml:space="preserve">syringes and pharmaceutical benefits that have the form omalizumab </w:t>
            </w:r>
            <w:r w:rsidRPr="001B63F3">
              <w:rPr>
                <w:rFonts w:ascii="Arial Narrow" w:hAnsi="Arial Narrow" w:cs="Arial"/>
                <w:iCs/>
                <w:sz w:val="20"/>
                <w:szCs w:val="20"/>
              </w:rPr>
              <w:t xml:space="preserve">300 mg/2 mL </w:t>
            </w:r>
            <w:r w:rsidRPr="001B63F3">
              <w:rPr>
                <w:rFonts w:ascii="Arial Narrow" w:hAnsi="Arial Narrow"/>
                <w:iCs/>
                <w:sz w:val="20"/>
                <w:szCs w:val="20"/>
              </w:rPr>
              <w:t>pen devices are equivalent for the purposes of substitution.</w:t>
            </w:r>
          </w:p>
        </w:tc>
      </w:tr>
    </w:tbl>
    <w:p w14:paraId="4660FCA3" w14:textId="77777777" w:rsidR="00E7594F" w:rsidRPr="009F4382" w:rsidRDefault="00E7594F">
      <w:pPr>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w:tblDescription w:val="Indication: Uncontrolled severe asthma &#10;Treatment phase: continuing treatment"/>
      </w:tblPr>
      <w:tblGrid>
        <w:gridCol w:w="1271"/>
        <w:gridCol w:w="3260"/>
        <w:gridCol w:w="1276"/>
        <w:gridCol w:w="803"/>
        <w:gridCol w:w="803"/>
        <w:gridCol w:w="804"/>
        <w:gridCol w:w="799"/>
      </w:tblGrid>
      <w:tr w:rsidR="00E7594F" w:rsidRPr="001B63F3" w14:paraId="66806F19" w14:textId="77777777" w:rsidTr="79900132">
        <w:trPr>
          <w:cantSplit/>
          <w:trHeight w:val="20"/>
        </w:trPr>
        <w:tc>
          <w:tcPr>
            <w:tcW w:w="4531" w:type="dxa"/>
            <w:gridSpan w:val="2"/>
            <w:vAlign w:val="center"/>
          </w:tcPr>
          <w:p w14:paraId="042AC8EF" w14:textId="77777777" w:rsidR="00E7594F" w:rsidRPr="001B63F3" w:rsidRDefault="00E7594F" w:rsidP="00B602E7">
            <w:pPr>
              <w:keepLines/>
              <w:rPr>
                <w:rFonts w:ascii="Arial Narrow" w:hAnsi="Arial Narrow" w:cs="Arial"/>
                <w:b/>
                <w:bCs/>
                <w:sz w:val="20"/>
                <w:szCs w:val="20"/>
              </w:rPr>
            </w:pPr>
            <w:r w:rsidRPr="001B63F3">
              <w:rPr>
                <w:rFonts w:ascii="Arial Narrow" w:hAnsi="Arial Narrow" w:cs="Arial"/>
                <w:b/>
                <w:bCs/>
                <w:sz w:val="20"/>
                <w:szCs w:val="20"/>
              </w:rPr>
              <w:t>MEDICINAL PRODUCT</w:t>
            </w:r>
          </w:p>
          <w:p w14:paraId="786B3DAE" w14:textId="77777777" w:rsidR="00E7594F" w:rsidRPr="001B63F3" w:rsidRDefault="00E7594F" w:rsidP="00B602E7">
            <w:pPr>
              <w:keepLines/>
              <w:rPr>
                <w:rFonts w:ascii="Arial Narrow" w:hAnsi="Arial Narrow" w:cs="Arial"/>
                <w:b/>
                <w:sz w:val="20"/>
                <w:szCs w:val="20"/>
              </w:rPr>
            </w:pPr>
            <w:r w:rsidRPr="001B63F3">
              <w:rPr>
                <w:rFonts w:ascii="Arial Narrow" w:hAnsi="Arial Narrow" w:cs="Arial"/>
                <w:b/>
                <w:bCs/>
                <w:sz w:val="20"/>
                <w:szCs w:val="20"/>
              </w:rPr>
              <w:t>medicinal product pack</w:t>
            </w:r>
          </w:p>
        </w:tc>
        <w:tc>
          <w:tcPr>
            <w:tcW w:w="1276" w:type="dxa"/>
            <w:vAlign w:val="center"/>
          </w:tcPr>
          <w:p w14:paraId="452A39A4" w14:textId="77777777" w:rsidR="00E7594F" w:rsidRPr="001B63F3" w:rsidRDefault="00E7594F" w:rsidP="00B602E7">
            <w:pPr>
              <w:keepLines/>
              <w:jc w:val="center"/>
              <w:rPr>
                <w:rFonts w:ascii="Arial Narrow" w:hAnsi="Arial Narrow" w:cs="Arial"/>
                <w:b/>
                <w:sz w:val="20"/>
                <w:szCs w:val="20"/>
              </w:rPr>
            </w:pPr>
            <w:r w:rsidRPr="001B63F3">
              <w:rPr>
                <w:rFonts w:ascii="Arial Narrow" w:hAnsi="Arial Narrow" w:cs="Arial"/>
                <w:b/>
                <w:sz w:val="20"/>
                <w:szCs w:val="20"/>
              </w:rPr>
              <w:t>PBS item code</w:t>
            </w:r>
          </w:p>
        </w:tc>
        <w:tc>
          <w:tcPr>
            <w:tcW w:w="803" w:type="dxa"/>
            <w:vAlign w:val="center"/>
          </w:tcPr>
          <w:p w14:paraId="7FF2251C" w14:textId="77777777" w:rsidR="00E7594F" w:rsidRPr="001B63F3" w:rsidRDefault="00E7594F" w:rsidP="00B602E7">
            <w:pPr>
              <w:keepLines/>
              <w:jc w:val="center"/>
              <w:rPr>
                <w:rFonts w:ascii="Arial Narrow" w:hAnsi="Arial Narrow" w:cs="Arial"/>
                <w:b/>
                <w:sz w:val="20"/>
                <w:szCs w:val="20"/>
              </w:rPr>
            </w:pPr>
            <w:r w:rsidRPr="001B63F3">
              <w:rPr>
                <w:rFonts w:ascii="Arial Narrow" w:hAnsi="Arial Narrow" w:cs="Arial"/>
                <w:b/>
                <w:sz w:val="20"/>
                <w:szCs w:val="20"/>
              </w:rPr>
              <w:t>Max. qty packs</w:t>
            </w:r>
          </w:p>
        </w:tc>
        <w:tc>
          <w:tcPr>
            <w:tcW w:w="803" w:type="dxa"/>
            <w:vAlign w:val="center"/>
          </w:tcPr>
          <w:p w14:paraId="0786AFE4" w14:textId="77777777" w:rsidR="00E7594F" w:rsidRPr="001B63F3" w:rsidRDefault="00E7594F" w:rsidP="00B602E7">
            <w:pPr>
              <w:keepLines/>
              <w:jc w:val="center"/>
              <w:rPr>
                <w:rFonts w:ascii="Arial Narrow" w:hAnsi="Arial Narrow" w:cs="Arial"/>
                <w:b/>
                <w:sz w:val="20"/>
                <w:szCs w:val="20"/>
              </w:rPr>
            </w:pPr>
            <w:r w:rsidRPr="001B63F3">
              <w:rPr>
                <w:rFonts w:ascii="Arial Narrow" w:hAnsi="Arial Narrow" w:cs="Arial"/>
                <w:b/>
                <w:sz w:val="20"/>
                <w:szCs w:val="20"/>
              </w:rPr>
              <w:t>Max. qty units</w:t>
            </w:r>
          </w:p>
        </w:tc>
        <w:tc>
          <w:tcPr>
            <w:tcW w:w="804" w:type="dxa"/>
            <w:vAlign w:val="center"/>
          </w:tcPr>
          <w:p w14:paraId="55167619" w14:textId="2EF02199" w:rsidR="00E7594F" w:rsidRPr="001B63F3" w:rsidRDefault="6B75B721" w:rsidP="79900132">
            <w:pPr>
              <w:keepLines/>
              <w:jc w:val="center"/>
              <w:rPr>
                <w:rFonts w:ascii="Arial Narrow" w:hAnsi="Arial Narrow" w:cs="Arial"/>
                <w:b/>
                <w:bCs/>
                <w:sz w:val="20"/>
                <w:szCs w:val="20"/>
              </w:rPr>
            </w:pPr>
            <w:proofErr w:type="gramStart"/>
            <w:r w:rsidRPr="001B63F3">
              <w:rPr>
                <w:rFonts w:ascii="Arial Narrow" w:hAnsi="Arial Narrow" w:cs="Arial"/>
                <w:b/>
                <w:bCs/>
                <w:sz w:val="20"/>
                <w:szCs w:val="20"/>
              </w:rPr>
              <w:t>№.of</w:t>
            </w:r>
            <w:proofErr w:type="gramEnd"/>
          </w:p>
          <w:p w14:paraId="59BD86BB" w14:textId="6542A412" w:rsidR="00E7594F" w:rsidRPr="001B63F3" w:rsidRDefault="6B75B721" w:rsidP="79900132">
            <w:pPr>
              <w:keepLines/>
              <w:jc w:val="center"/>
              <w:rPr>
                <w:rFonts w:ascii="Arial Narrow" w:hAnsi="Arial Narrow" w:cs="Arial"/>
                <w:b/>
                <w:bCs/>
                <w:sz w:val="20"/>
                <w:szCs w:val="20"/>
              </w:rPr>
            </w:pPr>
            <w:r w:rsidRPr="001B63F3">
              <w:rPr>
                <w:rFonts w:ascii="Arial Narrow" w:hAnsi="Arial Narrow" w:cs="Arial"/>
                <w:b/>
                <w:bCs/>
                <w:sz w:val="20"/>
                <w:szCs w:val="20"/>
              </w:rPr>
              <w:t>Rpts</w:t>
            </w:r>
          </w:p>
        </w:tc>
        <w:tc>
          <w:tcPr>
            <w:tcW w:w="799" w:type="dxa"/>
            <w:vAlign w:val="center"/>
          </w:tcPr>
          <w:p w14:paraId="56E6921E" w14:textId="77777777" w:rsidR="00E7594F" w:rsidRPr="001B63F3" w:rsidRDefault="00E7594F" w:rsidP="00B602E7">
            <w:pPr>
              <w:keepLines/>
              <w:rPr>
                <w:rFonts w:ascii="Arial Narrow" w:hAnsi="Arial Narrow" w:cs="Arial"/>
                <w:b/>
                <w:sz w:val="20"/>
                <w:szCs w:val="20"/>
                <w:lang w:val="fr-FR"/>
              </w:rPr>
            </w:pPr>
            <w:r w:rsidRPr="001B63F3">
              <w:rPr>
                <w:rFonts w:ascii="Arial Narrow" w:hAnsi="Arial Narrow" w:cs="Arial"/>
                <w:b/>
                <w:sz w:val="20"/>
                <w:szCs w:val="20"/>
              </w:rPr>
              <w:t>Available brands</w:t>
            </w:r>
          </w:p>
        </w:tc>
      </w:tr>
      <w:tr w:rsidR="00E7594F" w:rsidRPr="001B63F3" w14:paraId="08ECDC3B" w14:textId="77777777" w:rsidTr="79900132">
        <w:trPr>
          <w:cantSplit/>
          <w:trHeight w:val="20"/>
        </w:trPr>
        <w:tc>
          <w:tcPr>
            <w:tcW w:w="9016" w:type="dxa"/>
            <w:gridSpan w:val="7"/>
            <w:vAlign w:val="center"/>
          </w:tcPr>
          <w:p w14:paraId="683308FE" w14:textId="77777777" w:rsidR="00E7594F" w:rsidRPr="001B63F3" w:rsidRDefault="00E7594F" w:rsidP="00B602E7">
            <w:pPr>
              <w:keepLines/>
              <w:rPr>
                <w:rFonts w:ascii="Arial Narrow" w:hAnsi="Arial Narrow" w:cs="Arial"/>
                <w:sz w:val="20"/>
                <w:szCs w:val="20"/>
              </w:rPr>
            </w:pPr>
            <w:r w:rsidRPr="001B63F3">
              <w:rPr>
                <w:rFonts w:ascii="Arial Narrow" w:hAnsi="Arial Narrow" w:cs="Arial"/>
                <w:sz w:val="20"/>
                <w:szCs w:val="20"/>
              </w:rPr>
              <w:t>OMALIZUMAB</w:t>
            </w:r>
          </w:p>
        </w:tc>
      </w:tr>
      <w:tr w:rsidR="00D92DA7" w:rsidRPr="001B63F3" w14:paraId="677CBBA7" w14:textId="77777777" w:rsidTr="79900132">
        <w:trPr>
          <w:cantSplit/>
          <w:trHeight w:val="20"/>
        </w:trPr>
        <w:tc>
          <w:tcPr>
            <w:tcW w:w="4531" w:type="dxa"/>
            <w:gridSpan w:val="2"/>
            <w:vAlign w:val="center"/>
          </w:tcPr>
          <w:p w14:paraId="01C982C1" w14:textId="77777777" w:rsidR="00D92DA7" w:rsidRPr="001B63F3" w:rsidRDefault="00D92DA7" w:rsidP="00D92DA7">
            <w:pPr>
              <w:keepLines/>
              <w:rPr>
                <w:rFonts w:ascii="Arial Narrow" w:hAnsi="Arial Narrow" w:cs="Arial"/>
                <w:sz w:val="20"/>
                <w:szCs w:val="20"/>
              </w:rPr>
            </w:pPr>
            <w:r w:rsidRPr="001B63F3">
              <w:rPr>
                <w:rFonts w:ascii="Arial Narrow" w:hAnsi="Arial Narrow" w:cs="Arial"/>
                <w:sz w:val="20"/>
                <w:szCs w:val="20"/>
              </w:rPr>
              <w:t>omalizumab 75 mg/0.5 mL injection, 0.5 mL syringe</w:t>
            </w:r>
          </w:p>
        </w:tc>
        <w:tc>
          <w:tcPr>
            <w:tcW w:w="1276" w:type="dxa"/>
          </w:tcPr>
          <w:p w14:paraId="2AA9C5E2" w14:textId="584B8FEE" w:rsidR="00D92DA7" w:rsidRPr="001B63F3" w:rsidRDefault="00D92DA7" w:rsidP="00D92DA7">
            <w:pPr>
              <w:keepLines/>
              <w:jc w:val="center"/>
              <w:rPr>
                <w:rFonts w:ascii="Arial Narrow" w:hAnsi="Arial Narrow" w:cs="Arial"/>
                <w:sz w:val="20"/>
                <w:szCs w:val="20"/>
              </w:rPr>
            </w:pPr>
            <w:r w:rsidRPr="001B63F3">
              <w:rPr>
                <w:rFonts w:ascii="Arial Narrow" w:hAnsi="Arial Narrow" w:cs="Arial"/>
                <w:sz w:val="20"/>
                <w:szCs w:val="20"/>
              </w:rPr>
              <w:t>11835X/ P</w:t>
            </w:r>
            <w:r w:rsidR="00B859DE" w:rsidRPr="001B63F3">
              <w:rPr>
                <w:rFonts w:ascii="Arial Narrow" w:hAnsi="Arial Narrow" w:cs="Arial"/>
                <w:sz w:val="20"/>
                <w:szCs w:val="20"/>
              </w:rPr>
              <w:t>ublic</w:t>
            </w:r>
          </w:p>
        </w:tc>
        <w:tc>
          <w:tcPr>
            <w:tcW w:w="803" w:type="dxa"/>
          </w:tcPr>
          <w:p w14:paraId="4E19498B" w14:textId="77777777" w:rsidR="00D92DA7" w:rsidRPr="001B63F3" w:rsidRDefault="00D92DA7" w:rsidP="00D92DA7">
            <w:pPr>
              <w:keepLines/>
              <w:jc w:val="center"/>
              <w:rPr>
                <w:rFonts w:ascii="Arial Narrow" w:hAnsi="Arial Narrow" w:cs="Arial"/>
                <w:sz w:val="20"/>
                <w:szCs w:val="20"/>
              </w:rPr>
            </w:pPr>
            <w:r w:rsidRPr="001B63F3">
              <w:rPr>
                <w:rFonts w:ascii="Arial Narrow" w:hAnsi="Arial Narrow" w:cs="Arial"/>
                <w:sz w:val="20"/>
                <w:szCs w:val="20"/>
              </w:rPr>
              <w:t>1</w:t>
            </w:r>
          </w:p>
        </w:tc>
        <w:tc>
          <w:tcPr>
            <w:tcW w:w="803" w:type="dxa"/>
          </w:tcPr>
          <w:p w14:paraId="3B272D31" w14:textId="77777777" w:rsidR="00D92DA7" w:rsidRPr="001B63F3" w:rsidRDefault="00D92DA7" w:rsidP="00D92DA7">
            <w:pPr>
              <w:keepLines/>
              <w:jc w:val="center"/>
              <w:rPr>
                <w:rFonts w:ascii="Arial Narrow" w:hAnsi="Arial Narrow" w:cs="Arial"/>
                <w:sz w:val="20"/>
                <w:szCs w:val="20"/>
              </w:rPr>
            </w:pPr>
            <w:r w:rsidRPr="001B63F3">
              <w:rPr>
                <w:rFonts w:ascii="Arial Narrow" w:hAnsi="Arial Narrow" w:cs="Arial"/>
                <w:sz w:val="20"/>
                <w:szCs w:val="20"/>
              </w:rPr>
              <w:t>1</w:t>
            </w:r>
          </w:p>
        </w:tc>
        <w:tc>
          <w:tcPr>
            <w:tcW w:w="804" w:type="dxa"/>
          </w:tcPr>
          <w:p w14:paraId="68FD8684" w14:textId="408992A8" w:rsidR="00D92DA7" w:rsidRPr="001B63F3" w:rsidRDefault="00D92DA7" w:rsidP="00D92DA7">
            <w:pPr>
              <w:keepLines/>
              <w:jc w:val="center"/>
              <w:rPr>
                <w:rFonts w:ascii="Arial Narrow" w:hAnsi="Arial Narrow" w:cs="Arial"/>
                <w:sz w:val="20"/>
                <w:szCs w:val="20"/>
              </w:rPr>
            </w:pPr>
            <w:r w:rsidRPr="001B63F3">
              <w:rPr>
                <w:rFonts w:ascii="Arial Narrow" w:hAnsi="Arial Narrow" w:cs="Arial"/>
                <w:sz w:val="20"/>
                <w:szCs w:val="20"/>
              </w:rPr>
              <w:t>5</w:t>
            </w:r>
          </w:p>
        </w:tc>
        <w:tc>
          <w:tcPr>
            <w:tcW w:w="799" w:type="dxa"/>
            <w:vMerge w:val="restart"/>
            <w:vAlign w:val="center"/>
          </w:tcPr>
          <w:p w14:paraId="611E6E5C" w14:textId="77777777" w:rsidR="00D92DA7" w:rsidRPr="001B63F3" w:rsidRDefault="00D92DA7" w:rsidP="00D92DA7">
            <w:pPr>
              <w:keepLines/>
              <w:jc w:val="center"/>
              <w:rPr>
                <w:rFonts w:ascii="Arial Narrow" w:hAnsi="Arial Narrow" w:cs="Arial"/>
                <w:sz w:val="20"/>
                <w:szCs w:val="20"/>
              </w:rPr>
            </w:pPr>
            <w:r w:rsidRPr="001B63F3">
              <w:rPr>
                <w:rFonts w:ascii="Arial Narrow" w:hAnsi="Arial Narrow" w:cs="Arial"/>
                <w:sz w:val="20"/>
                <w:szCs w:val="20"/>
              </w:rPr>
              <w:t>Xolair</w:t>
            </w:r>
          </w:p>
        </w:tc>
      </w:tr>
      <w:tr w:rsidR="00D92DA7" w:rsidRPr="001B63F3" w14:paraId="3F5BC8CF" w14:textId="77777777" w:rsidTr="79900132">
        <w:trPr>
          <w:cantSplit/>
          <w:trHeight w:val="20"/>
        </w:trPr>
        <w:tc>
          <w:tcPr>
            <w:tcW w:w="4531" w:type="dxa"/>
            <w:gridSpan w:val="2"/>
            <w:vAlign w:val="center"/>
          </w:tcPr>
          <w:p w14:paraId="3737D5A7" w14:textId="77777777" w:rsidR="00D92DA7" w:rsidRPr="001B63F3" w:rsidRDefault="00D92DA7" w:rsidP="00D92DA7">
            <w:pPr>
              <w:keepLines/>
              <w:rPr>
                <w:rFonts w:ascii="Arial Narrow" w:hAnsi="Arial Narrow" w:cs="Arial"/>
                <w:sz w:val="20"/>
                <w:szCs w:val="20"/>
              </w:rPr>
            </w:pPr>
            <w:r w:rsidRPr="001B63F3">
              <w:rPr>
                <w:rFonts w:ascii="Arial Narrow" w:hAnsi="Arial Narrow" w:cs="Arial"/>
                <w:sz w:val="20"/>
                <w:szCs w:val="20"/>
              </w:rPr>
              <w:t>omalizumab 75 mg/0.5 mL injection, 0.5 mL syringe</w:t>
            </w:r>
          </w:p>
        </w:tc>
        <w:tc>
          <w:tcPr>
            <w:tcW w:w="1276" w:type="dxa"/>
          </w:tcPr>
          <w:p w14:paraId="740C354A" w14:textId="7D252BE8" w:rsidR="00D92DA7" w:rsidRPr="001B63F3" w:rsidRDefault="00D92DA7" w:rsidP="00D92DA7">
            <w:pPr>
              <w:keepLines/>
              <w:jc w:val="center"/>
              <w:rPr>
                <w:rFonts w:ascii="Arial Narrow" w:hAnsi="Arial Narrow" w:cs="Arial"/>
                <w:sz w:val="20"/>
                <w:szCs w:val="20"/>
              </w:rPr>
            </w:pPr>
            <w:r w:rsidRPr="001B63F3">
              <w:rPr>
                <w:rFonts w:ascii="Arial Narrow" w:hAnsi="Arial Narrow" w:cs="Arial"/>
                <w:sz w:val="20"/>
                <w:szCs w:val="20"/>
              </w:rPr>
              <w:t>11840E/ P</w:t>
            </w:r>
            <w:r w:rsidR="00B859DE" w:rsidRPr="001B63F3">
              <w:rPr>
                <w:rFonts w:ascii="Arial Narrow" w:hAnsi="Arial Narrow" w:cs="Arial"/>
                <w:sz w:val="20"/>
                <w:szCs w:val="20"/>
              </w:rPr>
              <w:t>rivate</w:t>
            </w:r>
          </w:p>
        </w:tc>
        <w:tc>
          <w:tcPr>
            <w:tcW w:w="803" w:type="dxa"/>
          </w:tcPr>
          <w:p w14:paraId="13655EFB" w14:textId="77777777" w:rsidR="00D92DA7" w:rsidRPr="001B63F3" w:rsidRDefault="00D92DA7" w:rsidP="00D92DA7">
            <w:pPr>
              <w:keepLines/>
              <w:jc w:val="center"/>
              <w:rPr>
                <w:rFonts w:ascii="Arial Narrow" w:hAnsi="Arial Narrow" w:cs="Arial"/>
                <w:sz w:val="20"/>
                <w:szCs w:val="20"/>
              </w:rPr>
            </w:pPr>
            <w:r w:rsidRPr="001B63F3">
              <w:rPr>
                <w:rFonts w:ascii="Arial Narrow" w:hAnsi="Arial Narrow" w:cs="Arial"/>
                <w:sz w:val="20"/>
                <w:szCs w:val="20"/>
              </w:rPr>
              <w:t>1</w:t>
            </w:r>
          </w:p>
        </w:tc>
        <w:tc>
          <w:tcPr>
            <w:tcW w:w="803" w:type="dxa"/>
          </w:tcPr>
          <w:p w14:paraId="32F989D8" w14:textId="77777777" w:rsidR="00D92DA7" w:rsidRPr="001B63F3" w:rsidRDefault="00D92DA7" w:rsidP="00D92DA7">
            <w:pPr>
              <w:keepLines/>
              <w:jc w:val="center"/>
              <w:rPr>
                <w:rFonts w:ascii="Arial Narrow" w:hAnsi="Arial Narrow" w:cs="Arial"/>
                <w:sz w:val="20"/>
                <w:szCs w:val="20"/>
              </w:rPr>
            </w:pPr>
            <w:r w:rsidRPr="001B63F3">
              <w:rPr>
                <w:rFonts w:ascii="Arial Narrow" w:hAnsi="Arial Narrow" w:cs="Arial"/>
                <w:sz w:val="20"/>
                <w:szCs w:val="20"/>
              </w:rPr>
              <w:t>1</w:t>
            </w:r>
          </w:p>
        </w:tc>
        <w:tc>
          <w:tcPr>
            <w:tcW w:w="804" w:type="dxa"/>
          </w:tcPr>
          <w:p w14:paraId="2A29E1F6" w14:textId="78CC1C08" w:rsidR="00D92DA7" w:rsidRPr="001B63F3" w:rsidRDefault="00D92DA7" w:rsidP="00D92DA7">
            <w:pPr>
              <w:keepLines/>
              <w:jc w:val="center"/>
              <w:rPr>
                <w:rFonts w:ascii="Arial Narrow" w:hAnsi="Arial Narrow" w:cs="Arial"/>
                <w:sz w:val="20"/>
                <w:szCs w:val="20"/>
              </w:rPr>
            </w:pPr>
            <w:r w:rsidRPr="001B63F3">
              <w:rPr>
                <w:rFonts w:ascii="Arial Narrow" w:hAnsi="Arial Narrow" w:cs="Arial"/>
                <w:sz w:val="20"/>
                <w:szCs w:val="20"/>
              </w:rPr>
              <w:t>5</w:t>
            </w:r>
          </w:p>
        </w:tc>
        <w:tc>
          <w:tcPr>
            <w:tcW w:w="799" w:type="dxa"/>
            <w:vMerge/>
            <w:vAlign w:val="center"/>
          </w:tcPr>
          <w:p w14:paraId="23CE6094" w14:textId="77777777" w:rsidR="00D92DA7" w:rsidRPr="001B63F3" w:rsidRDefault="00D92DA7" w:rsidP="00D92DA7">
            <w:pPr>
              <w:keepLines/>
              <w:rPr>
                <w:rFonts w:ascii="Arial Narrow" w:hAnsi="Arial Narrow" w:cs="Arial"/>
                <w:sz w:val="20"/>
                <w:szCs w:val="20"/>
              </w:rPr>
            </w:pPr>
          </w:p>
        </w:tc>
      </w:tr>
      <w:tr w:rsidR="00D92DA7" w:rsidRPr="001B63F3" w14:paraId="074B429A" w14:textId="77777777" w:rsidTr="79900132">
        <w:trPr>
          <w:cantSplit/>
          <w:trHeight w:val="20"/>
        </w:trPr>
        <w:tc>
          <w:tcPr>
            <w:tcW w:w="4531" w:type="dxa"/>
            <w:gridSpan w:val="2"/>
            <w:vAlign w:val="center"/>
          </w:tcPr>
          <w:p w14:paraId="3F338C22" w14:textId="77777777" w:rsidR="00D92DA7" w:rsidRPr="001B63F3" w:rsidRDefault="00D92DA7" w:rsidP="00D92DA7">
            <w:pPr>
              <w:keepLines/>
              <w:rPr>
                <w:rFonts w:ascii="Arial Narrow" w:hAnsi="Arial Narrow" w:cs="Arial"/>
                <w:sz w:val="20"/>
                <w:szCs w:val="20"/>
              </w:rPr>
            </w:pPr>
            <w:r w:rsidRPr="001B63F3">
              <w:rPr>
                <w:rFonts w:ascii="Arial Narrow" w:hAnsi="Arial Narrow" w:cs="Arial"/>
                <w:sz w:val="20"/>
                <w:szCs w:val="20"/>
              </w:rPr>
              <w:t>omalizumab 75 mg/0.5 mL injection, 0.5 mL pen device</w:t>
            </w:r>
          </w:p>
        </w:tc>
        <w:tc>
          <w:tcPr>
            <w:tcW w:w="1276" w:type="dxa"/>
            <w:vAlign w:val="center"/>
          </w:tcPr>
          <w:p w14:paraId="3793D383" w14:textId="77777777" w:rsidR="00D92DA7" w:rsidRPr="001B63F3" w:rsidRDefault="00D92DA7" w:rsidP="00D92DA7">
            <w:pPr>
              <w:keepLines/>
              <w:jc w:val="center"/>
              <w:rPr>
                <w:rFonts w:ascii="Arial Narrow" w:hAnsi="Arial Narrow" w:cs="Arial"/>
                <w:iCs/>
                <w:sz w:val="20"/>
                <w:szCs w:val="20"/>
              </w:rPr>
            </w:pPr>
            <w:r w:rsidRPr="001B63F3">
              <w:rPr>
                <w:rFonts w:ascii="Arial Narrow" w:hAnsi="Arial Narrow" w:cs="Arial"/>
                <w:iCs/>
                <w:sz w:val="20"/>
                <w:szCs w:val="20"/>
              </w:rPr>
              <w:t>NEW</w:t>
            </w:r>
          </w:p>
        </w:tc>
        <w:tc>
          <w:tcPr>
            <w:tcW w:w="803" w:type="dxa"/>
          </w:tcPr>
          <w:p w14:paraId="3D26164A" w14:textId="77777777" w:rsidR="00D92DA7" w:rsidRPr="001B63F3" w:rsidRDefault="00D92DA7" w:rsidP="00D92DA7">
            <w:pPr>
              <w:keepLines/>
              <w:jc w:val="center"/>
              <w:rPr>
                <w:rFonts w:ascii="Arial Narrow" w:hAnsi="Arial Narrow" w:cs="Arial"/>
                <w:sz w:val="20"/>
                <w:szCs w:val="20"/>
              </w:rPr>
            </w:pPr>
            <w:r w:rsidRPr="001B63F3">
              <w:rPr>
                <w:rFonts w:ascii="Arial Narrow" w:hAnsi="Arial Narrow" w:cs="Arial"/>
                <w:sz w:val="20"/>
                <w:szCs w:val="20"/>
              </w:rPr>
              <w:t>1</w:t>
            </w:r>
          </w:p>
        </w:tc>
        <w:tc>
          <w:tcPr>
            <w:tcW w:w="803" w:type="dxa"/>
          </w:tcPr>
          <w:p w14:paraId="7931FC95" w14:textId="77777777" w:rsidR="00D92DA7" w:rsidRPr="001B63F3" w:rsidRDefault="00D92DA7" w:rsidP="00D92DA7">
            <w:pPr>
              <w:keepLines/>
              <w:jc w:val="center"/>
              <w:rPr>
                <w:rFonts w:ascii="Arial Narrow" w:hAnsi="Arial Narrow" w:cs="Arial"/>
                <w:sz w:val="20"/>
                <w:szCs w:val="20"/>
              </w:rPr>
            </w:pPr>
            <w:r w:rsidRPr="001B63F3">
              <w:rPr>
                <w:rFonts w:ascii="Arial Narrow" w:hAnsi="Arial Narrow" w:cs="Arial"/>
                <w:sz w:val="20"/>
                <w:szCs w:val="20"/>
              </w:rPr>
              <w:t>1</w:t>
            </w:r>
          </w:p>
        </w:tc>
        <w:tc>
          <w:tcPr>
            <w:tcW w:w="804" w:type="dxa"/>
          </w:tcPr>
          <w:p w14:paraId="0DB3C8F5" w14:textId="495C596A" w:rsidR="00D92DA7" w:rsidRPr="001B63F3" w:rsidRDefault="00D92DA7" w:rsidP="00D92DA7">
            <w:pPr>
              <w:keepLines/>
              <w:jc w:val="center"/>
              <w:rPr>
                <w:rFonts w:ascii="Arial Narrow" w:hAnsi="Arial Narrow" w:cs="Arial"/>
                <w:sz w:val="20"/>
                <w:szCs w:val="20"/>
              </w:rPr>
            </w:pPr>
            <w:r w:rsidRPr="001B63F3">
              <w:rPr>
                <w:rFonts w:ascii="Arial Narrow" w:hAnsi="Arial Narrow" w:cs="Arial"/>
                <w:sz w:val="20"/>
                <w:szCs w:val="20"/>
              </w:rPr>
              <w:t>5</w:t>
            </w:r>
          </w:p>
        </w:tc>
        <w:tc>
          <w:tcPr>
            <w:tcW w:w="799" w:type="dxa"/>
            <w:vMerge/>
            <w:vAlign w:val="center"/>
          </w:tcPr>
          <w:p w14:paraId="453116FA" w14:textId="77777777" w:rsidR="00D92DA7" w:rsidRPr="001B63F3" w:rsidRDefault="00D92DA7" w:rsidP="00D92DA7">
            <w:pPr>
              <w:keepLines/>
              <w:rPr>
                <w:rFonts w:ascii="Arial Narrow" w:hAnsi="Arial Narrow" w:cs="Arial"/>
                <w:sz w:val="20"/>
                <w:szCs w:val="20"/>
              </w:rPr>
            </w:pPr>
          </w:p>
        </w:tc>
      </w:tr>
      <w:tr w:rsidR="00D92DA7" w:rsidRPr="001B63F3" w14:paraId="3D94DB6E" w14:textId="77777777" w:rsidTr="79900132">
        <w:trPr>
          <w:cantSplit/>
          <w:trHeight w:val="20"/>
        </w:trPr>
        <w:tc>
          <w:tcPr>
            <w:tcW w:w="4531" w:type="dxa"/>
            <w:gridSpan w:val="2"/>
            <w:vAlign w:val="center"/>
          </w:tcPr>
          <w:p w14:paraId="6D46AFE3" w14:textId="77777777" w:rsidR="00D92DA7" w:rsidRPr="001B63F3" w:rsidRDefault="00D92DA7" w:rsidP="00D92DA7">
            <w:pPr>
              <w:keepLines/>
              <w:rPr>
                <w:rFonts w:ascii="Arial Narrow" w:hAnsi="Arial Narrow" w:cs="Arial"/>
                <w:sz w:val="20"/>
                <w:szCs w:val="20"/>
              </w:rPr>
            </w:pPr>
            <w:r w:rsidRPr="001B63F3">
              <w:rPr>
                <w:rFonts w:ascii="Arial Narrow" w:hAnsi="Arial Narrow" w:cs="Arial"/>
                <w:sz w:val="20"/>
                <w:szCs w:val="20"/>
              </w:rPr>
              <w:t>omalizumab 75 mg/0.5 mL injection, 0.5 mL pen device</w:t>
            </w:r>
          </w:p>
        </w:tc>
        <w:tc>
          <w:tcPr>
            <w:tcW w:w="1276" w:type="dxa"/>
            <w:vAlign w:val="center"/>
          </w:tcPr>
          <w:p w14:paraId="4BD67C2B" w14:textId="77777777" w:rsidR="00D92DA7" w:rsidRPr="001B63F3" w:rsidRDefault="00D92DA7" w:rsidP="00D92DA7">
            <w:pPr>
              <w:keepLines/>
              <w:jc w:val="center"/>
              <w:rPr>
                <w:rFonts w:ascii="Arial Narrow" w:hAnsi="Arial Narrow" w:cs="Arial"/>
                <w:iCs/>
                <w:sz w:val="20"/>
                <w:szCs w:val="20"/>
              </w:rPr>
            </w:pPr>
            <w:r w:rsidRPr="001B63F3">
              <w:rPr>
                <w:rFonts w:ascii="Arial Narrow" w:hAnsi="Arial Narrow" w:cs="Arial"/>
                <w:iCs/>
                <w:sz w:val="20"/>
                <w:szCs w:val="20"/>
              </w:rPr>
              <w:t>NEW</w:t>
            </w:r>
          </w:p>
        </w:tc>
        <w:tc>
          <w:tcPr>
            <w:tcW w:w="803" w:type="dxa"/>
          </w:tcPr>
          <w:p w14:paraId="7E665C41" w14:textId="77777777" w:rsidR="00D92DA7" w:rsidRPr="001B63F3" w:rsidRDefault="00D92DA7" w:rsidP="00D92DA7">
            <w:pPr>
              <w:keepLines/>
              <w:jc w:val="center"/>
              <w:rPr>
                <w:rFonts w:ascii="Arial Narrow" w:hAnsi="Arial Narrow" w:cs="Arial"/>
                <w:sz w:val="20"/>
                <w:szCs w:val="20"/>
              </w:rPr>
            </w:pPr>
            <w:r w:rsidRPr="001B63F3">
              <w:rPr>
                <w:rFonts w:ascii="Arial Narrow" w:hAnsi="Arial Narrow" w:cs="Arial"/>
                <w:sz w:val="20"/>
                <w:szCs w:val="20"/>
              </w:rPr>
              <w:t>1</w:t>
            </w:r>
          </w:p>
        </w:tc>
        <w:tc>
          <w:tcPr>
            <w:tcW w:w="803" w:type="dxa"/>
          </w:tcPr>
          <w:p w14:paraId="37EE1343" w14:textId="77777777" w:rsidR="00D92DA7" w:rsidRPr="001B63F3" w:rsidRDefault="00D92DA7" w:rsidP="00D92DA7">
            <w:pPr>
              <w:keepLines/>
              <w:jc w:val="center"/>
              <w:rPr>
                <w:rFonts w:ascii="Arial Narrow" w:hAnsi="Arial Narrow" w:cs="Arial"/>
                <w:sz w:val="20"/>
                <w:szCs w:val="20"/>
              </w:rPr>
            </w:pPr>
            <w:r w:rsidRPr="001B63F3">
              <w:rPr>
                <w:rFonts w:ascii="Arial Narrow" w:hAnsi="Arial Narrow" w:cs="Arial"/>
                <w:sz w:val="20"/>
                <w:szCs w:val="20"/>
              </w:rPr>
              <w:t>1</w:t>
            </w:r>
          </w:p>
        </w:tc>
        <w:tc>
          <w:tcPr>
            <w:tcW w:w="804" w:type="dxa"/>
          </w:tcPr>
          <w:p w14:paraId="4365CFAD" w14:textId="76DF10BF" w:rsidR="00D92DA7" w:rsidRPr="001B63F3" w:rsidRDefault="00D92DA7" w:rsidP="00D92DA7">
            <w:pPr>
              <w:keepLines/>
              <w:jc w:val="center"/>
              <w:rPr>
                <w:rFonts w:ascii="Arial Narrow" w:hAnsi="Arial Narrow" w:cs="Arial"/>
                <w:sz w:val="20"/>
                <w:szCs w:val="20"/>
              </w:rPr>
            </w:pPr>
            <w:r w:rsidRPr="001B63F3">
              <w:rPr>
                <w:rFonts w:ascii="Arial Narrow" w:hAnsi="Arial Narrow" w:cs="Arial"/>
                <w:sz w:val="20"/>
                <w:szCs w:val="20"/>
              </w:rPr>
              <w:t>5</w:t>
            </w:r>
          </w:p>
        </w:tc>
        <w:tc>
          <w:tcPr>
            <w:tcW w:w="799" w:type="dxa"/>
            <w:vMerge/>
            <w:vAlign w:val="center"/>
          </w:tcPr>
          <w:p w14:paraId="33DCEDA0" w14:textId="77777777" w:rsidR="00D92DA7" w:rsidRPr="001B63F3" w:rsidRDefault="00D92DA7" w:rsidP="00D92DA7">
            <w:pPr>
              <w:keepLines/>
              <w:rPr>
                <w:rFonts w:ascii="Arial Narrow" w:hAnsi="Arial Narrow" w:cs="Arial"/>
                <w:sz w:val="20"/>
                <w:szCs w:val="20"/>
              </w:rPr>
            </w:pPr>
          </w:p>
        </w:tc>
      </w:tr>
      <w:tr w:rsidR="00D92DA7" w:rsidRPr="001B63F3" w14:paraId="510C6711" w14:textId="77777777" w:rsidTr="79900132">
        <w:trPr>
          <w:cantSplit/>
          <w:trHeight w:val="20"/>
        </w:trPr>
        <w:tc>
          <w:tcPr>
            <w:tcW w:w="4531" w:type="dxa"/>
            <w:gridSpan w:val="2"/>
            <w:vAlign w:val="center"/>
          </w:tcPr>
          <w:p w14:paraId="12B2EFAB" w14:textId="77777777" w:rsidR="00D92DA7" w:rsidRPr="001B63F3" w:rsidRDefault="00D92DA7" w:rsidP="00D92DA7">
            <w:pPr>
              <w:keepLines/>
              <w:rPr>
                <w:rFonts w:ascii="Arial Narrow" w:hAnsi="Arial Narrow" w:cs="Arial"/>
                <w:sz w:val="20"/>
                <w:szCs w:val="20"/>
              </w:rPr>
            </w:pPr>
            <w:r w:rsidRPr="001B63F3">
              <w:rPr>
                <w:rFonts w:ascii="Arial Narrow" w:hAnsi="Arial Narrow" w:cs="Arial"/>
                <w:sz w:val="20"/>
                <w:szCs w:val="20"/>
              </w:rPr>
              <w:t>omalizumab 150 mg/mL injection, 1 mL syringe</w:t>
            </w:r>
          </w:p>
        </w:tc>
        <w:tc>
          <w:tcPr>
            <w:tcW w:w="1276" w:type="dxa"/>
            <w:vAlign w:val="center"/>
          </w:tcPr>
          <w:p w14:paraId="75A12B64" w14:textId="6B7DA486" w:rsidR="00D92DA7" w:rsidRPr="001B63F3" w:rsidRDefault="00D92DA7" w:rsidP="00D92DA7">
            <w:pPr>
              <w:keepLines/>
              <w:jc w:val="center"/>
              <w:rPr>
                <w:rFonts w:ascii="Arial Narrow" w:hAnsi="Arial Narrow" w:cs="Arial"/>
                <w:sz w:val="20"/>
                <w:szCs w:val="20"/>
              </w:rPr>
            </w:pPr>
            <w:r w:rsidRPr="001B63F3">
              <w:rPr>
                <w:rFonts w:ascii="Arial Narrow" w:hAnsi="Arial Narrow" w:cs="Arial"/>
                <w:sz w:val="20"/>
                <w:szCs w:val="20"/>
              </w:rPr>
              <w:t>11824H/ P</w:t>
            </w:r>
            <w:r w:rsidR="00B859DE" w:rsidRPr="001B63F3">
              <w:rPr>
                <w:rFonts w:ascii="Arial Narrow" w:hAnsi="Arial Narrow" w:cs="Arial"/>
                <w:sz w:val="20"/>
                <w:szCs w:val="20"/>
              </w:rPr>
              <w:t>ublic</w:t>
            </w:r>
          </w:p>
        </w:tc>
        <w:tc>
          <w:tcPr>
            <w:tcW w:w="803" w:type="dxa"/>
          </w:tcPr>
          <w:p w14:paraId="430A84FA" w14:textId="77777777" w:rsidR="00D92DA7" w:rsidRPr="001B63F3" w:rsidRDefault="00D92DA7" w:rsidP="00D92DA7">
            <w:pPr>
              <w:keepLines/>
              <w:jc w:val="center"/>
              <w:rPr>
                <w:rFonts w:ascii="Arial Narrow" w:hAnsi="Arial Narrow" w:cs="Arial"/>
                <w:sz w:val="20"/>
                <w:szCs w:val="20"/>
              </w:rPr>
            </w:pPr>
            <w:r w:rsidRPr="001B63F3">
              <w:rPr>
                <w:rFonts w:ascii="Arial Narrow" w:hAnsi="Arial Narrow" w:cs="Arial"/>
                <w:sz w:val="20"/>
                <w:szCs w:val="20"/>
              </w:rPr>
              <w:t>1</w:t>
            </w:r>
          </w:p>
        </w:tc>
        <w:tc>
          <w:tcPr>
            <w:tcW w:w="803" w:type="dxa"/>
          </w:tcPr>
          <w:p w14:paraId="059C4929" w14:textId="77777777" w:rsidR="00D92DA7" w:rsidRPr="001B63F3" w:rsidRDefault="00D92DA7" w:rsidP="00D92DA7">
            <w:pPr>
              <w:keepLines/>
              <w:jc w:val="center"/>
              <w:rPr>
                <w:rFonts w:ascii="Arial Narrow" w:hAnsi="Arial Narrow" w:cs="Arial"/>
                <w:sz w:val="20"/>
                <w:szCs w:val="20"/>
              </w:rPr>
            </w:pPr>
            <w:r w:rsidRPr="001B63F3">
              <w:rPr>
                <w:rFonts w:ascii="Arial Narrow" w:hAnsi="Arial Narrow" w:cs="Arial"/>
                <w:sz w:val="20"/>
                <w:szCs w:val="20"/>
              </w:rPr>
              <w:t>1</w:t>
            </w:r>
          </w:p>
        </w:tc>
        <w:tc>
          <w:tcPr>
            <w:tcW w:w="804" w:type="dxa"/>
          </w:tcPr>
          <w:p w14:paraId="57AF514E" w14:textId="66925609" w:rsidR="00D92DA7" w:rsidRPr="001B63F3" w:rsidRDefault="00D92DA7" w:rsidP="00D92DA7">
            <w:pPr>
              <w:keepLines/>
              <w:jc w:val="center"/>
              <w:rPr>
                <w:rFonts w:ascii="Arial Narrow" w:hAnsi="Arial Narrow" w:cs="Arial"/>
                <w:sz w:val="20"/>
                <w:szCs w:val="20"/>
              </w:rPr>
            </w:pPr>
            <w:r w:rsidRPr="001B63F3">
              <w:rPr>
                <w:rFonts w:ascii="Arial Narrow" w:hAnsi="Arial Narrow" w:cs="Arial"/>
                <w:sz w:val="20"/>
                <w:szCs w:val="20"/>
              </w:rPr>
              <w:t>5</w:t>
            </w:r>
          </w:p>
        </w:tc>
        <w:tc>
          <w:tcPr>
            <w:tcW w:w="799" w:type="dxa"/>
            <w:vMerge/>
            <w:vAlign w:val="center"/>
          </w:tcPr>
          <w:p w14:paraId="7BCF0C00" w14:textId="77777777" w:rsidR="00D92DA7" w:rsidRPr="001B63F3" w:rsidRDefault="00D92DA7" w:rsidP="00D92DA7">
            <w:pPr>
              <w:keepLines/>
              <w:rPr>
                <w:rFonts w:ascii="Arial Narrow" w:hAnsi="Arial Narrow" w:cs="Arial"/>
                <w:sz w:val="20"/>
                <w:szCs w:val="20"/>
              </w:rPr>
            </w:pPr>
          </w:p>
        </w:tc>
      </w:tr>
      <w:tr w:rsidR="00D92DA7" w:rsidRPr="001B63F3" w14:paraId="4248BB86" w14:textId="77777777" w:rsidTr="79900132">
        <w:trPr>
          <w:cantSplit/>
          <w:trHeight w:val="20"/>
        </w:trPr>
        <w:tc>
          <w:tcPr>
            <w:tcW w:w="4531" w:type="dxa"/>
            <w:gridSpan w:val="2"/>
            <w:vAlign w:val="center"/>
          </w:tcPr>
          <w:p w14:paraId="63DAD5CF" w14:textId="77777777" w:rsidR="00D92DA7" w:rsidRPr="001B63F3" w:rsidRDefault="00D92DA7" w:rsidP="00D92DA7">
            <w:pPr>
              <w:keepLines/>
              <w:rPr>
                <w:rFonts w:ascii="Arial Narrow" w:hAnsi="Arial Narrow" w:cs="Arial"/>
                <w:sz w:val="20"/>
                <w:szCs w:val="20"/>
              </w:rPr>
            </w:pPr>
            <w:r w:rsidRPr="001B63F3">
              <w:rPr>
                <w:rFonts w:ascii="Arial Narrow" w:hAnsi="Arial Narrow" w:cs="Arial"/>
                <w:sz w:val="20"/>
                <w:szCs w:val="20"/>
              </w:rPr>
              <w:t>omalizumab 150 mg/mL injection, 1 mL syringe</w:t>
            </w:r>
          </w:p>
        </w:tc>
        <w:tc>
          <w:tcPr>
            <w:tcW w:w="1276" w:type="dxa"/>
            <w:vAlign w:val="center"/>
          </w:tcPr>
          <w:p w14:paraId="5D494FD9" w14:textId="5AE9B8EF" w:rsidR="00D92DA7" w:rsidRPr="001B63F3" w:rsidRDefault="00D92DA7" w:rsidP="00D92DA7">
            <w:pPr>
              <w:keepLines/>
              <w:jc w:val="center"/>
              <w:rPr>
                <w:rFonts w:ascii="Arial Narrow" w:hAnsi="Arial Narrow" w:cs="Arial"/>
                <w:sz w:val="20"/>
                <w:szCs w:val="20"/>
              </w:rPr>
            </w:pPr>
            <w:r w:rsidRPr="001B63F3">
              <w:rPr>
                <w:rFonts w:ascii="Arial Narrow" w:hAnsi="Arial Narrow" w:cs="Arial"/>
                <w:sz w:val="20"/>
                <w:szCs w:val="20"/>
              </w:rPr>
              <w:t>11864K/ P</w:t>
            </w:r>
            <w:r w:rsidR="00B859DE" w:rsidRPr="001B63F3">
              <w:rPr>
                <w:rFonts w:ascii="Arial Narrow" w:hAnsi="Arial Narrow" w:cs="Arial"/>
                <w:sz w:val="20"/>
                <w:szCs w:val="20"/>
              </w:rPr>
              <w:t>rivate</w:t>
            </w:r>
          </w:p>
        </w:tc>
        <w:tc>
          <w:tcPr>
            <w:tcW w:w="803" w:type="dxa"/>
          </w:tcPr>
          <w:p w14:paraId="60891604" w14:textId="77777777" w:rsidR="00D92DA7" w:rsidRPr="001B63F3" w:rsidRDefault="00D92DA7" w:rsidP="00D92DA7">
            <w:pPr>
              <w:keepLines/>
              <w:jc w:val="center"/>
              <w:rPr>
                <w:rFonts w:ascii="Arial Narrow" w:hAnsi="Arial Narrow" w:cs="Arial"/>
                <w:sz w:val="20"/>
                <w:szCs w:val="20"/>
              </w:rPr>
            </w:pPr>
            <w:r w:rsidRPr="001B63F3">
              <w:rPr>
                <w:rFonts w:ascii="Arial Narrow" w:hAnsi="Arial Narrow" w:cs="Arial"/>
                <w:sz w:val="20"/>
                <w:szCs w:val="20"/>
              </w:rPr>
              <w:t>1</w:t>
            </w:r>
          </w:p>
        </w:tc>
        <w:tc>
          <w:tcPr>
            <w:tcW w:w="803" w:type="dxa"/>
          </w:tcPr>
          <w:p w14:paraId="061E7DA9" w14:textId="77777777" w:rsidR="00D92DA7" w:rsidRPr="001B63F3" w:rsidRDefault="00D92DA7" w:rsidP="00D92DA7">
            <w:pPr>
              <w:keepLines/>
              <w:jc w:val="center"/>
              <w:rPr>
                <w:rFonts w:ascii="Arial Narrow" w:hAnsi="Arial Narrow" w:cs="Arial"/>
                <w:sz w:val="20"/>
                <w:szCs w:val="20"/>
              </w:rPr>
            </w:pPr>
            <w:r w:rsidRPr="001B63F3">
              <w:rPr>
                <w:rFonts w:ascii="Arial Narrow" w:hAnsi="Arial Narrow" w:cs="Arial"/>
                <w:sz w:val="20"/>
                <w:szCs w:val="20"/>
              </w:rPr>
              <w:t>1</w:t>
            </w:r>
          </w:p>
        </w:tc>
        <w:tc>
          <w:tcPr>
            <w:tcW w:w="804" w:type="dxa"/>
          </w:tcPr>
          <w:p w14:paraId="5AC76694" w14:textId="16FB91C8" w:rsidR="00D92DA7" w:rsidRPr="001B63F3" w:rsidRDefault="00D92DA7" w:rsidP="00D92DA7">
            <w:pPr>
              <w:keepLines/>
              <w:jc w:val="center"/>
              <w:rPr>
                <w:rFonts w:ascii="Arial Narrow" w:hAnsi="Arial Narrow" w:cs="Arial"/>
                <w:sz w:val="20"/>
                <w:szCs w:val="20"/>
              </w:rPr>
            </w:pPr>
            <w:r w:rsidRPr="001B63F3">
              <w:rPr>
                <w:rFonts w:ascii="Arial Narrow" w:hAnsi="Arial Narrow" w:cs="Arial"/>
                <w:sz w:val="20"/>
                <w:szCs w:val="20"/>
              </w:rPr>
              <w:t>5</w:t>
            </w:r>
          </w:p>
        </w:tc>
        <w:tc>
          <w:tcPr>
            <w:tcW w:w="799" w:type="dxa"/>
            <w:vMerge/>
            <w:vAlign w:val="center"/>
          </w:tcPr>
          <w:p w14:paraId="2EB71FB9" w14:textId="77777777" w:rsidR="00D92DA7" w:rsidRPr="001B63F3" w:rsidRDefault="00D92DA7" w:rsidP="00D92DA7">
            <w:pPr>
              <w:keepLines/>
              <w:rPr>
                <w:rFonts w:ascii="Arial Narrow" w:hAnsi="Arial Narrow" w:cs="Arial"/>
                <w:sz w:val="20"/>
                <w:szCs w:val="20"/>
              </w:rPr>
            </w:pPr>
          </w:p>
        </w:tc>
      </w:tr>
      <w:tr w:rsidR="00F41549" w:rsidRPr="001B63F3" w14:paraId="4D77FCC3" w14:textId="77777777" w:rsidTr="79900132">
        <w:trPr>
          <w:cantSplit/>
          <w:trHeight w:val="20"/>
        </w:trPr>
        <w:tc>
          <w:tcPr>
            <w:tcW w:w="4531" w:type="dxa"/>
            <w:gridSpan w:val="2"/>
            <w:vAlign w:val="center"/>
          </w:tcPr>
          <w:p w14:paraId="7B4EC9CF" w14:textId="77777777" w:rsidR="00F41549" w:rsidRPr="001B63F3" w:rsidRDefault="00F41549" w:rsidP="00F41549">
            <w:pPr>
              <w:keepLines/>
              <w:rPr>
                <w:rFonts w:ascii="Arial Narrow" w:hAnsi="Arial Narrow" w:cs="Arial"/>
                <w:sz w:val="20"/>
                <w:szCs w:val="20"/>
              </w:rPr>
            </w:pPr>
            <w:r w:rsidRPr="001B63F3">
              <w:rPr>
                <w:rFonts w:ascii="Arial Narrow" w:hAnsi="Arial Narrow" w:cs="Arial"/>
                <w:sz w:val="20"/>
                <w:szCs w:val="20"/>
              </w:rPr>
              <w:t>omalizumab 150 mg/mL injection, 1 mL pen device</w:t>
            </w:r>
          </w:p>
        </w:tc>
        <w:tc>
          <w:tcPr>
            <w:tcW w:w="1276" w:type="dxa"/>
            <w:vAlign w:val="center"/>
          </w:tcPr>
          <w:p w14:paraId="18A10B01" w14:textId="7D2553E0" w:rsidR="00F41549" w:rsidRPr="001B63F3" w:rsidRDefault="00F41549" w:rsidP="00F41549">
            <w:pPr>
              <w:keepLines/>
              <w:jc w:val="center"/>
              <w:rPr>
                <w:rFonts w:ascii="Arial Narrow" w:hAnsi="Arial Narrow" w:cs="Arial"/>
                <w:iCs/>
                <w:sz w:val="20"/>
                <w:szCs w:val="20"/>
              </w:rPr>
            </w:pPr>
            <w:r w:rsidRPr="001B63F3">
              <w:rPr>
                <w:rFonts w:ascii="Arial Narrow" w:hAnsi="Arial Narrow" w:cs="Arial"/>
                <w:iCs/>
                <w:sz w:val="20"/>
                <w:szCs w:val="20"/>
              </w:rPr>
              <w:t>NEW/</w:t>
            </w:r>
            <w:r w:rsidR="00535827" w:rsidRPr="001B63F3">
              <w:rPr>
                <w:rFonts w:ascii="Arial Narrow" w:hAnsi="Arial Narrow" w:cs="Arial"/>
                <w:iCs/>
                <w:sz w:val="20"/>
                <w:szCs w:val="20"/>
              </w:rPr>
              <w:t>/</w:t>
            </w:r>
            <w:r w:rsidRPr="001B63F3">
              <w:rPr>
                <w:rFonts w:ascii="Arial Narrow" w:hAnsi="Arial Narrow" w:cs="Arial"/>
                <w:iCs/>
                <w:sz w:val="20"/>
                <w:szCs w:val="20"/>
              </w:rPr>
              <w:t xml:space="preserve"> Public</w:t>
            </w:r>
          </w:p>
        </w:tc>
        <w:tc>
          <w:tcPr>
            <w:tcW w:w="803" w:type="dxa"/>
          </w:tcPr>
          <w:p w14:paraId="752FE221" w14:textId="77777777" w:rsidR="00F41549" w:rsidRPr="001B63F3" w:rsidRDefault="00F41549" w:rsidP="00F41549">
            <w:pPr>
              <w:keepLines/>
              <w:jc w:val="center"/>
              <w:rPr>
                <w:rFonts w:ascii="Arial Narrow" w:hAnsi="Arial Narrow" w:cs="Arial"/>
                <w:sz w:val="20"/>
                <w:szCs w:val="20"/>
              </w:rPr>
            </w:pPr>
            <w:r w:rsidRPr="001B63F3">
              <w:rPr>
                <w:rFonts w:ascii="Arial Narrow" w:hAnsi="Arial Narrow" w:cs="Arial"/>
                <w:sz w:val="20"/>
                <w:szCs w:val="20"/>
              </w:rPr>
              <w:t>1</w:t>
            </w:r>
          </w:p>
        </w:tc>
        <w:tc>
          <w:tcPr>
            <w:tcW w:w="803" w:type="dxa"/>
          </w:tcPr>
          <w:p w14:paraId="4902F1BE" w14:textId="77777777" w:rsidR="00F41549" w:rsidRPr="001B63F3" w:rsidRDefault="00F41549" w:rsidP="00F41549">
            <w:pPr>
              <w:keepLines/>
              <w:jc w:val="center"/>
              <w:rPr>
                <w:rFonts w:ascii="Arial Narrow" w:hAnsi="Arial Narrow" w:cs="Arial"/>
                <w:sz w:val="20"/>
                <w:szCs w:val="20"/>
              </w:rPr>
            </w:pPr>
            <w:r w:rsidRPr="001B63F3">
              <w:rPr>
                <w:rFonts w:ascii="Arial Narrow" w:hAnsi="Arial Narrow" w:cs="Arial"/>
                <w:sz w:val="20"/>
                <w:szCs w:val="20"/>
              </w:rPr>
              <w:t>1</w:t>
            </w:r>
          </w:p>
        </w:tc>
        <w:tc>
          <w:tcPr>
            <w:tcW w:w="804" w:type="dxa"/>
          </w:tcPr>
          <w:p w14:paraId="1100D347" w14:textId="4C145875" w:rsidR="00F41549" w:rsidRPr="001B63F3" w:rsidRDefault="00F41549" w:rsidP="00F41549">
            <w:pPr>
              <w:keepLines/>
              <w:jc w:val="center"/>
              <w:rPr>
                <w:rFonts w:ascii="Arial Narrow" w:hAnsi="Arial Narrow" w:cs="Arial"/>
                <w:sz w:val="20"/>
                <w:szCs w:val="20"/>
              </w:rPr>
            </w:pPr>
            <w:r w:rsidRPr="001B63F3">
              <w:rPr>
                <w:rFonts w:ascii="Arial Narrow" w:hAnsi="Arial Narrow" w:cs="Arial"/>
                <w:sz w:val="20"/>
                <w:szCs w:val="20"/>
              </w:rPr>
              <w:t>5</w:t>
            </w:r>
          </w:p>
        </w:tc>
        <w:tc>
          <w:tcPr>
            <w:tcW w:w="799" w:type="dxa"/>
            <w:vMerge/>
            <w:vAlign w:val="center"/>
          </w:tcPr>
          <w:p w14:paraId="67B608AF" w14:textId="77777777" w:rsidR="00F41549" w:rsidRPr="001B63F3" w:rsidRDefault="00F41549" w:rsidP="00F41549">
            <w:pPr>
              <w:keepLines/>
              <w:rPr>
                <w:rFonts w:ascii="Arial Narrow" w:hAnsi="Arial Narrow" w:cs="Arial"/>
                <w:sz w:val="20"/>
                <w:szCs w:val="20"/>
              </w:rPr>
            </w:pPr>
          </w:p>
        </w:tc>
      </w:tr>
      <w:tr w:rsidR="00F41549" w:rsidRPr="001B63F3" w14:paraId="34EA2404" w14:textId="77777777" w:rsidTr="79900132">
        <w:trPr>
          <w:cantSplit/>
          <w:trHeight w:val="20"/>
        </w:trPr>
        <w:tc>
          <w:tcPr>
            <w:tcW w:w="4531" w:type="dxa"/>
            <w:gridSpan w:val="2"/>
            <w:vAlign w:val="center"/>
          </w:tcPr>
          <w:p w14:paraId="0F28A0DB" w14:textId="77777777" w:rsidR="00F41549" w:rsidRPr="001B63F3" w:rsidRDefault="00F41549" w:rsidP="00F41549">
            <w:pPr>
              <w:keepLines/>
              <w:rPr>
                <w:rFonts w:ascii="Arial Narrow" w:hAnsi="Arial Narrow" w:cs="Arial"/>
                <w:sz w:val="20"/>
                <w:szCs w:val="20"/>
              </w:rPr>
            </w:pPr>
            <w:r w:rsidRPr="001B63F3">
              <w:rPr>
                <w:rFonts w:ascii="Arial Narrow" w:hAnsi="Arial Narrow" w:cs="Arial"/>
                <w:sz w:val="20"/>
                <w:szCs w:val="20"/>
              </w:rPr>
              <w:t>omalizumab 150 mg/mL injection, 1 mL pen device</w:t>
            </w:r>
          </w:p>
        </w:tc>
        <w:tc>
          <w:tcPr>
            <w:tcW w:w="1276" w:type="dxa"/>
            <w:vAlign w:val="center"/>
          </w:tcPr>
          <w:p w14:paraId="24AFA722" w14:textId="692D8C98" w:rsidR="00F41549" w:rsidRPr="001B63F3" w:rsidRDefault="00F41549" w:rsidP="00F41549">
            <w:pPr>
              <w:keepLines/>
              <w:jc w:val="center"/>
              <w:rPr>
                <w:rFonts w:ascii="Arial Narrow" w:hAnsi="Arial Narrow" w:cs="Arial"/>
                <w:iCs/>
                <w:sz w:val="20"/>
                <w:szCs w:val="20"/>
              </w:rPr>
            </w:pPr>
            <w:r w:rsidRPr="001B63F3">
              <w:rPr>
                <w:rFonts w:ascii="Arial Narrow" w:hAnsi="Arial Narrow" w:cs="Arial"/>
                <w:iCs/>
                <w:sz w:val="20"/>
                <w:szCs w:val="20"/>
              </w:rPr>
              <w:t>NEW/ Private</w:t>
            </w:r>
          </w:p>
        </w:tc>
        <w:tc>
          <w:tcPr>
            <w:tcW w:w="803" w:type="dxa"/>
          </w:tcPr>
          <w:p w14:paraId="01AB9853" w14:textId="77777777" w:rsidR="00F41549" w:rsidRPr="001B63F3" w:rsidRDefault="00F41549" w:rsidP="00F41549">
            <w:pPr>
              <w:keepLines/>
              <w:jc w:val="center"/>
              <w:rPr>
                <w:rFonts w:ascii="Arial Narrow" w:hAnsi="Arial Narrow" w:cs="Arial"/>
                <w:sz w:val="20"/>
                <w:szCs w:val="20"/>
              </w:rPr>
            </w:pPr>
            <w:r w:rsidRPr="001B63F3">
              <w:rPr>
                <w:rFonts w:ascii="Arial Narrow" w:hAnsi="Arial Narrow" w:cs="Arial"/>
                <w:sz w:val="20"/>
                <w:szCs w:val="20"/>
              </w:rPr>
              <w:t>1</w:t>
            </w:r>
          </w:p>
        </w:tc>
        <w:tc>
          <w:tcPr>
            <w:tcW w:w="803" w:type="dxa"/>
          </w:tcPr>
          <w:p w14:paraId="2EFF5AE1" w14:textId="77777777" w:rsidR="00F41549" w:rsidRPr="001B63F3" w:rsidRDefault="00F41549" w:rsidP="00F41549">
            <w:pPr>
              <w:keepLines/>
              <w:jc w:val="center"/>
              <w:rPr>
                <w:rFonts w:ascii="Arial Narrow" w:hAnsi="Arial Narrow" w:cs="Arial"/>
                <w:sz w:val="20"/>
                <w:szCs w:val="20"/>
              </w:rPr>
            </w:pPr>
            <w:r w:rsidRPr="001B63F3">
              <w:rPr>
                <w:rFonts w:ascii="Arial Narrow" w:hAnsi="Arial Narrow" w:cs="Arial"/>
                <w:sz w:val="20"/>
                <w:szCs w:val="20"/>
              </w:rPr>
              <w:t>1</w:t>
            </w:r>
          </w:p>
        </w:tc>
        <w:tc>
          <w:tcPr>
            <w:tcW w:w="804" w:type="dxa"/>
          </w:tcPr>
          <w:p w14:paraId="154E4275" w14:textId="43926030" w:rsidR="00F41549" w:rsidRPr="001B63F3" w:rsidRDefault="00F41549" w:rsidP="00F41549">
            <w:pPr>
              <w:keepLines/>
              <w:jc w:val="center"/>
              <w:rPr>
                <w:rFonts w:ascii="Arial Narrow" w:hAnsi="Arial Narrow" w:cs="Arial"/>
                <w:sz w:val="20"/>
                <w:szCs w:val="20"/>
              </w:rPr>
            </w:pPr>
            <w:r w:rsidRPr="001B63F3">
              <w:rPr>
                <w:rFonts w:ascii="Arial Narrow" w:hAnsi="Arial Narrow" w:cs="Arial"/>
                <w:sz w:val="20"/>
                <w:szCs w:val="20"/>
              </w:rPr>
              <w:t>5</w:t>
            </w:r>
          </w:p>
        </w:tc>
        <w:tc>
          <w:tcPr>
            <w:tcW w:w="799" w:type="dxa"/>
            <w:vMerge/>
            <w:vAlign w:val="center"/>
          </w:tcPr>
          <w:p w14:paraId="76584F61" w14:textId="77777777" w:rsidR="00F41549" w:rsidRPr="001B63F3" w:rsidRDefault="00F41549" w:rsidP="00F41549">
            <w:pPr>
              <w:keepLines/>
              <w:rPr>
                <w:rFonts w:ascii="Arial Narrow" w:hAnsi="Arial Narrow" w:cs="Arial"/>
                <w:sz w:val="20"/>
                <w:szCs w:val="20"/>
              </w:rPr>
            </w:pPr>
          </w:p>
        </w:tc>
      </w:tr>
      <w:tr w:rsidR="00F41549" w:rsidRPr="001B63F3" w14:paraId="306CA3FA" w14:textId="77777777" w:rsidTr="79900132">
        <w:trPr>
          <w:cantSplit/>
          <w:trHeight w:val="20"/>
        </w:trPr>
        <w:tc>
          <w:tcPr>
            <w:tcW w:w="4531" w:type="dxa"/>
            <w:gridSpan w:val="2"/>
            <w:vAlign w:val="center"/>
          </w:tcPr>
          <w:p w14:paraId="157476F6" w14:textId="77777777" w:rsidR="00F41549" w:rsidRPr="001B63F3" w:rsidRDefault="00F41549" w:rsidP="00F41549">
            <w:pPr>
              <w:keepLines/>
              <w:rPr>
                <w:rFonts w:ascii="Arial Narrow" w:hAnsi="Arial Narrow" w:cs="Arial"/>
                <w:sz w:val="20"/>
                <w:szCs w:val="20"/>
              </w:rPr>
            </w:pPr>
            <w:r w:rsidRPr="001B63F3">
              <w:rPr>
                <w:rFonts w:ascii="Arial Narrow" w:hAnsi="Arial Narrow" w:cs="Arial"/>
                <w:sz w:val="20"/>
                <w:szCs w:val="20"/>
              </w:rPr>
              <w:t>omalizumab 300 mg/2 mL injection, 2 mL syringe</w:t>
            </w:r>
          </w:p>
        </w:tc>
        <w:tc>
          <w:tcPr>
            <w:tcW w:w="1276" w:type="dxa"/>
            <w:vAlign w:val="center"/>
          </w:tcPr>
          <w:p w14:paraId="3004761D" w14:textId="6CCFF8AD" w:rsidR="00F41549" w:rsidRPr="001B63F3" w:rsidRDefault="00F41549" w:rsidP="00F41549">
            <w:pPr>
              <w:keepLines/>
              <w:jc w:val="center"/>
              <w:rPr>
                <w:rFonts w:ascii="Arial Narrow" w:hAnsi="Arial Narrow" w:cs="Arial"/>
                <w:iCs/>
                <w:sz w:val="20"/>
                <w:szCs w:val="20"/>
              </w:rPr>
            </w:pPr>
            <w:r w:rsidRPr="001B63F3">
              <w:rPr>
                <w:rFonts w:ascii="Arial Narrow" w:hAnsi="Arial Narrow" w:cs="Arial"/>
                <w:iCs/>
                <w:sz w:val="20"/>
                <w:szCs w:val="20"/>
              </w:rPr>
              <w:t>NEW/ Public</w:t>
            </w:r>
          </w:p>
        </w:tc>
        <w:tc>
          <w:tcPr>
            <w:tcW w:w="803" w:type="dxa"/>
          </w:tcPr>
          <w:p w14:paraId="3633F999" w14:textId="77777777" w:rsidR="00F41549" w:rsidRPr="001B63F3" w:rsidRDefault="00F41549" w:rsidP="00F41549">
            <w:pPr>
              <w:keepLines/>
              <w:jc w:val="center"/>
              <w:rPr>
                <w:rFonts w:ascii="Arial Narrow" w:hAnsi="Arial Narrow" w:cs="Arial"/>
                <w:sz w:val="20"/>
                <w:szCs w:val="20"/>
              </w:rPr>
            </w:pPr>
            <w:r w:rsidRPr="001B63F3">
              <w:rPr>
                <w:rFonts w:ascii="Arial Narrow" w:hAnsi="Arial Narrow" w:cs="Arial"/>
                <w:sz w:val="20"/>
                <w:szCs w:val="20"/>
              </w:rPr>
              <w:t>1</w:t>
            </w:r>
          </w:p>
        </w:tc>
        <w:tc>
          <w:tcPr>
            <w:tcW w:w="803" w:type="dxa"/>
          </w:tcPr>
          <w:p w14:paraId="02FB2BDE" w14:textId="77777777" w:rsidR="00F41549" w:rsidRPr="001B63F3" w:rsidRDefault="00F41549" w:rsidP="00F41549">
            <w:pPr>
              <w:keepLines/>
              <w:jc w:val="center"/>
              <w:rPr>
                <w:rFonts w:ascii="Arial Narrow" w:hAnsi="Arial Narrow" w:cs="Arial"/>
                <w:sz w:val="20"/>
                <w:szCs w:val="20"/>
              </w:rPr>
            </w:pPr>
            <w:r w:rsidRPr="001B63F3">
              <w:rPr>
                <w:rFonts w:ascii="Arial Narrow" w:hAnsi="Arial Narrow" w:cs="Arial"/>
                <w:sz w:val="20"/>
                <w:szCs w:val="20"/>
              </w:rPr>
              <w:t>1</w:t>
            </w:r>
          </w:p>
        </w:tc>
        <w:tc>
          <w:tcPr>
            <w:tcW w:w="804" w:type="dxa"/>
          </w:tcPr>
          <w:p w14:paraId="78CE897C" w14:textId="6180E98D" w:rsidR="00F41549" w:rsidRPr="001B63F3" w:rsidRDefault="00F41549" w:rsidP="00F41549">
            <w:pPr>
              <w:keepLines/>
              <w:jc w:val="center"/>
              <w:rPr>
                <w:rFonts w:ascii="Arial Narrow" w:hAnsi="Arial Narrow" w:cs="Arial"/>
                <w:sz w:val="20"/>
                <w:szCs w:val="20"/>
              </w:rPr>
            </w:pPr>
            <w:r w:rsidRPr="001B63F3">
              <w:rPr>
                <w:rFonts w:ascii="Arial Narrow" w:hAnsi="Arial Narrow" w:cs="Arial"/>
                <w:sz w:val="20"/>
                <w:szCs w:val="20"/>
              </w:rPr>
              <w:t>5</w:t>
            </w:r>
          </w:p>
        </w:tc>
        <w:tc>
          <w:tcPr>
            <w:tcW w:w="799" w:type="dxa"/>
            <w:vMerge/>
            <w:vAlign w:val="center"/>
          </w:tcPr>
          <w:p w14:paraId="267D4FD7" w14:textId="77777777" w:rsidR="00F41549" w:rsidRPr="001B63F3" w:rsidRDefault="00F41549" w:rsidP="00F41549">
            <w:pPr>
              <w:keepLines/>
              <w:rPr>
                <w:rFonts w:ascii="Arial Narrow" w:hAnsi="Arial Narrow" w:cs="Arial"/>
                <w:sz w:val="20"/>
                <w:szCs w:val="20"/>
              </w:rPr>
            </w:pPr>
          </w:p>
        </w:tc>
      </w:tr>
      <w:tr w:rsidR="00F41549" w:rsidRPr="001B63F3" w14:paraId="1BB1CD2B" w14:textId="77777777" w:rsidTr="79900132">
        <w:trPr>
          <w:cantSplit/>
          <w:trHeight w:val="20"/>
        </w:trPr>
        <w:tc>
          <w:tcPr>
            <w:tcW w:w="4531" w:type="dxa"/>
            <w:gridSpan w:val="2"/>
            <w:vAlign w:val="center"/>
          </w:tcPr>
          <w:p w14:paraId="52DB827D" w14:textId="77777777" w:rsidR="00F41549" w:rsidRPr="001B63F3" w:rsidRDefault="00F41549" w:rsidP="00F41549">
            <w:pPr>
              <w:keepLines/>
              <w:rPr>
                <w:rFonts w:ascii="Arial Narrow" w:hAnsi="Arial Narrow" w:cs="Arial"/>
                <w:sz w:val="20"/>
                <w:szCs w:val="20"/>
              </w:rPr>
            </w:pPr>
            <w:r w:rsidRPr="001B63F3">
              <w:rPr>
                <w:rFonts w:ascii="Arial Narrow" w:hAnsi="Arial Narrow" w:cs="Arial"/>
                <w:sz w:val="20"/>
                <w:szCs w:val="20"/>
              </w:rPr>
              <w:t>omalizumab 300 mg/2 mL injection, 2 mL syringe</w:t>
            </w:r>
          </w:p>
        </w:tc>
        <w:tc>
          <w:tcPr>
            <w:tcW w:w="1276" w:type="dxa"/>
            <w:vAlign w:val="center"/>
          </w:tcPr>
          <w:p w14:paraId="4A29D8FD" w14:textId="4496ECC5" w:rsidR="00F41549" w:rsidRPr="001B63F3" w:rsidRDefault="00F41549" w:rsidP="00F41549">
            <w:pPr>
              <w:keepLines/>
              <w:jc w:val="center"/>
              <w:rPr>
                <w:rFonts w:ascii="Arial Narrow" w:hAnsi="Arial Narrow" w:cs="Arial"/>
                <w:iCs/>
                <w:sz w:val="20"/>
                <w:szCs w:val="20"/>
              </w:rPr>
            </w:pPr>
            <w:r w:rsidRPr="001B63F3">
              <w:rPr>
                <w:rFonts w:ascii="Arial Narrow" w:hAnsi="Arial Narrow" w:cs="Arial"/>
                <w:iCs/>
                <w:sz w:val="20"/>
                <w:szCs w:val="20"/>
              </w:rPr>
              <w:t>NEW/ Private</w:t>
            </w:r>
          </w:p>
        </w:tc>
        <w:tc>
          <w:tcPr>
            <w:tcW w:w="803" w:type="dxa"/>
          </w:tcPr>
          <w:p w14:paraId="42764B1C" w14:textId="77777777" w:rsidR="00F41549" w:rsidRPr="001B63F3" w:rsidRDefault="00F41549" w:rsidP="00F41549">
            <w:pPr>
              <w:keepLines/>
              <w:jc w:val="center"/>
              <w:rPr>
                <w:rFonts w:ascii="Arial Narrow" w:hAnsi="Arial Narrow" w:cs="Arial"/>
                <w:sz w:val="20"/>
                <w:szCs w:val="20"/>
              </w:rPr>
            </w:pPr>
            <w:r w:rsidRPr="001B63F3">
              <w:rPr>
                <w:rFonts w:ascii="Arial Narrow" w:hAnsi="Arial Narrow" w:cs="Arial"/>
                <w:sz w:val="20"/>
                <w:szCs w:val="20"/>
              </w:rPr>
              <w:t>1</w:t>
            </w:r>
          </w:p>
        </w:tc>
        <w:tc>
          <w:tcPr>
            <w:tcW w:w="803" w:type="dxa"/>
          </w:tcPr>
          <w:p w14:paraId="4F2C4BE9" w14:textId="77777777" w:rsidR="00F41549" w:rsidRPr="001B63F3" w:rsidRDefault="00F41549" w:rsidP="00F41549">
            <w:pPr>
              <w:keepLines/>
              <w:jc w:val="center"/>
              <w:rPr>
                <w:rFonts w:ascii="Arial Narrow" w:hAnsi="Arial Narrow" w:cs="Arial"/>
                <w:sz w:val="20"/>
                <w:szCs w:val="20"/>
              </w:rPr>
            </w:pPr>
            <w:r w:rsidRPr="001B63F3">
              <w:rPr>
                <w:rFonts w:ascii="Arial Narrow" w:hAnsi="Arial Narrow" w:cs="Arial"/>
                <w:sz w:val="20"/>
                <w:szCs w:val="20"/>
              </w:rPr>
              <w:t>1</w:t>
            </w:r>
          </w:p>
        </w:tc>
        <w:tc>
          <w:tcPr>
            <w:tcW w:w="804" w:type="dxa"/>
          </w:tcPr>
          <w:p w14:paraId="71690235" w14:textId="298CB771" w:rsidR="00F41549" w:rsidRPr="001B63F3" w:rsidRDefault="00F41549" w:rsidP="00F41549">
            <w:pPr>
              <w:keepLines/>
              <w:jc w:val="center"/>
              <w:rPr>
                <w:rFonts w:ascii="Arial Narrow" w:hAnsi="Arial Narrow" w:cs="Arial"/>
                <w:sz w:val="20"/>
                <w:szCs w:val="20"/>
              </w:rPr>
            </w:pPr>
            <w:r w:rsidRPr="001B63F3">
              <w:rPr>
                <w:rFonts w:ascii="Arial Narrow" w:hAnsi="Arial Narrow" w:cs="Arial"/>
                <w:sz w:val="20"/>
                <w:szCs w:val="20"/>
              </w:rPr>
              <w:t>5</w:t>
            </w:r>
          </w:p>
        </w:tc>
        <w:tc>
          <w:tcPr>
            <w:tcW w:w="799" w:type="dxa"/>
            <w:vMerge/>
            <w:vAlign w:val="center"/>
          </w:tcPr>
          <w:p w14:paraId="64869FEA" w14:textId="77777777" w:rsidR="00F41549" w:rsidRPr="001B63F3" w:rsidRDefault="00F41549" w:rsidP="00F41549">
            <w:pPr>
              <w:keepLines/>
              <w:rPr>
                <w:rFonts w:ascii="Arial Narrow" w:hAnsi="Arial Narrow" w:cs="Arial"/>
                <w:sz w:val="20"/>
                <w:szCs w:val="20"/>
              </w:rPr>
            </w:pPr>
          </w:p>
        </w:tc>
      </w:tr>
      <w:tr w:rsidR="00F41549" w:rsidRPr="001B63F3" w14:paraId="3141C124" w14:textId="77777777" w:rsidTr="79900132">
        <w:trPr>
          <w:cantSplit/>
          <w:trHeight w:val="20"/>
        </w:trPr>
        <w:tc>
          <w:tcPr>
            <w:tcW w:w="4531" w:type="dxa"/>
            <w:gridSpan w:val="2"/>
            <w:vAlign w:val="center"/>
          </w:tcPr>
          <w:p w14:paraId="0F18B973" w14:textId="77777777" w:rsidR="00F41549" w:rsidRPr="001B63F3" w:rsidRDefault="00F41549" w:rsidP="00F41549">
            <w:pPr>
              <w:keepLines/>
              <w:rPr>
                <w:rFonts w:ascii="Arial Narrow" w:hAnsi="Arial Narrow" w:cs="Arial"/>
                <w:sz w:val="20"/>
                <w:szCs w:val="20"/>
              </w:rPr>
            </w:pPr>
            <w:r w:rsidRPr="001B63F3">
              <w:rPr>
                <w:rFonts w:ascii="Arial Narrow" w:hAnsi="Arial Narrow" w:cs="Arial"/>
                <w:sz w:val="20"/>
                <w:szCs w:val="20"/>
              </w:rPr>
              <w:t>omalizumab 300 mg/2 mL injection, 2 mL pen device</w:t>
            </w:r>
          </w:p>
        </w:tc>
        <w:tc>
          <w:tcPr>
            <w:tcW w:w="1276" w:type="dxa"/>
            <w:vAlign w:val="center"/>
          </w:tcPr>
          <w:p w14:paraId="428F278D" w14:textId="2C1DAA6B" w:rsidR="00F41549" w:rsidRPr="001B63F3" w:rsidRDefault="00F41549" w:rsidP="00F41549">
            <w:pPr>
              <w:keepLines/>
              <w:jc w:val="center"/>
              <w:rPr>
                <w:rFonts w:ascii="Arial Narrow" w:hAnsi="Arial Narrow" w:cs="Arial"/>
                <w:iCs/>
                <w:sz w:val="20"/>
                <w:szCs w:val="20"/>
              </w:rPr>
            </w:pPr>
            <w:r w:rsidRPr="001B63F3">
              <w:rPr>
                <w:rFonts w:ascii="Arial Narrow" w:hAnsi="Arial Narrow" w:cs="Arial"/>
                <w:iCs/>
                <w:sz w:val="20"/>
                <w:szCs w:val="20"/>
              </w:rPr>
              <w:t>NEW/ Public</w:t>
            </w:r>
          </w:p>
        </w:tc>
        <w:tc>
          <w:tcPr>
            <w:tcW w:w="803" w:type="dxa"/>
          </w:tcPr>
          <w:p w14:paraId="08ED1D99" w14:textId="77777777" w:rsidR="00F41549" w:rsidRPr="001B63F3" w:rsidRDefault="00F41549" w:rsidP="00F41549">
            <w:pPr>
              <w:keepLines/>
              <w:jc w:val="center"/>
              <w:rPr>
                <w:rFonts w:ascii="Arial Narrow" w:hAnsi="Arial Narrow" w:cs="Arial"/>
                <w:sz w:val="20"/>
                <w:szCs w:val="20"/>
              </w:rPr>
            </w:pPr>
            <w:r w:rsidRPr="001B63F3">
              <w:rPr>
                <w:rFonts w:ascii="Arial Narrow" w:hAnsi="Arial Narrow" w:cs="Arial"/>
                <w:sz w:val="20"/>
                <w:szCs w:val="20"/>
              </w:rPr>
              <w:t>1</w:t>
            </w:r>
          </w:p>
        </w:tc>
        <w:tc>
          <w:tcPr>
            <w:tcW w:w="803" w:type="dxa"/>
          </w:tcPr>
          <w:p w14:paraId="0B95341A" w14:textId="77777777" w:rsidR="00F41549" w:rsidRPr="001B63F3" w:rsidRDefault="00F41549" w:rsidP="00F41549">
            <w:pPr>
              <w:keepLines/>
              <w:jc w:val="center"/>
              <w:rPr>
                <w:rFonts w:ascii="Arial Narrow" w:hAnsi="Arial Narrow" w:cs="Arial"/>
                <w:sz w:val="20"/>
                <w:szCs w:val="20"/>
              </w:rPr>
            </w:pPr>
            <w:r w:rsidRPr="001B63F3">
              <w:rPr>
                <w:rFonts w:ascii="Arial Narrow" w:hAnsi="Arial Narrow" w:cs="Arial"/>
                <w:sz w:val="20"/>
                <w:szCs w:val="20"/>
              </w:rPr>
              <w:t>1</w:t>
            </w:r>
          </w:p>
        </w:tc>
        <w:tc>
          <w:tcPr>
            <w:tcW w:w="804" w:type="dxa"/>
          </w:tcPr>
          <w:p w14:paraId="75FC81CA" w14:textId="16662F23" w:rsidR="00F41549" w:rsidRPr="001B63F3" w:rsidRDefault="00F41549" w:rsidP="00F41549">
            <w:pPr>
              <w:keepLines/>
              <w:jc w:val="center"/>
              <w:rPr>
                <w:rFonts w:ascii="Arial Narrow" w:hAnsi="Arial Narrow" w:cs="Arial"/>
                <w:sz w:val="20"/>
                <w:szCs w:val="20"/>
              </w:rPr>
            </w:pPr>
            <w:r w:rsidRPr="001B63F3">
              <w:rPr>
                <w:rFonts w:ascii="Arial Narrow" w:hAnsi="Arial Narrow" w:cs="Arial"/>
                <w:sz w:val="20"/>
                <w:szCs w:val="20"/>
              </w:rPr>
              <w:t>5</w:t>
            </w:r>
          </w:p>
        </w:tc>
        <w:tc>
          <w:tcPr>
            <w:tcW w:w="799" w:type="dxa"/>
            <w:vMerge/>
            <w:vAlign w:val="center"/>
          </w:tcPr>
          <w:p w14:paraId="730C12FF" w14:textId="77777777" w:rsidR="00F41549" w:rsidRPr="001B63F3" w:rsidRDefault="00F41549" w:rsidP="00F41549">
            <w:pPr>
              <w:keepLines/>
              <w:rPr>
                <w:rFonts w:ascii="Arial Narrow" w:hAnsi="Arial Narrow" w:cs="Arial"/>
                <w:sz w:val="20"/>
                <w:szCs w:val="20"/>
              </w:rPr>
            </w:pPr>
          </w:p>
        </w:tc>
      </w:tr>
      <w:tr w:rsidR="00F41549" w:rsidRPr="001B63F3" w14:paraId="30AACBE4" w14:textId="77777777" w:rsidTr="79900132">
        <w:trPr>
          <w:cantSplit/>
          <w:trHeight w:val="20"/>
        </w:trPr>
        <w:tc>
          <w:tcPr>
            <w:tcW w:w="4531" w:type="dxa"/>
            <w:gridSpan w:val="2"/>
            <w:vAlign w:val="center"/>
          </w:tcPr>
          <w:p w14:paraId="429B4956" w14:textId="77777777" w:rsidR="00F41549" w:rsidRPr="001B63F3" w:rsidRDefault="00F41549" w:rsidP="00F41549">
            <w:pPr>
              <w:keepLines/>
              <w:rPr>
                <w:rFonts w:ascii="Arial Narrow" w:hAnsi="Arial Narrow" w:cs="Arial"/>
                <w:sz w:val="20"/>
                <w:szCs w:val="20"/>
              </w:rPr>
            </w:pPr>
            <w:r w:rsidRPr="001B63F3">
              <w:rPr>
                <w:rFonts w:ascii="Arial Narrow" w:hAnsi="Arial Narrow" w:cs="Arial"/>
                <w:sz w:val="20"/>
                <w:szCs w:val="20"/>
              </w:rPr>
              <w:t>omalizumab 300 mg/2 mL injection, 2 mL pen device</w:t>
            </w:r>
          </w:p>
        </w:tc>
        <w:tc>
          <w:tcPr>
            <w:tcW w:w="1276" w:type="dxa"/>
            <w:vAlign w:val="center"/>
          </w:tcPr>
          <w:p w14:paraId="5A59381D" w14:textId="12F3D52D" w:rsidR="00F41549" w:rsidRPr="001B63F3" w:rsidRDefault="00F41549" w:rsidP="00F41549">
            <w:pPr>
              <w:keepLines/>
              <w:jc w:val="center"/>
              <w:rPr>
                <w:rFonts w:ascii="Arial Narrow" w:hAnsi="Arial Narrow" w:cs="Arial"/>
                <w:iCs/>
                <w:sz w:val="20"/>
                <w:szCs w:val="20"/>
              </w:rPr>
            </w:pPr>
            <w:r w:rsidRPr="001B63F3">
              <w:rPr>
                <w:rFonts w:ascii="Arial Narrow" w:hAnsi="Arial Narrow" w:cs="Arial"/>
                <w:iCs/>
                <w:sz w:val="20"/>
                <w:szCs w:val="20"/>
              </w:rPr>
              <w:t>NEW/ Private</w:t>
            </w:r>
          </w:p>
        </w:tc>
        <w:tc>
          <w:tcPr>
            <w:tcW w:w="803" w:type="dxa"/>
          </w:tcPr>
          <w:p w14:paraId="2BCAA281" w14:textId="77777777" w:rsidR="00F41549" w:rsidRPr="001B63F3" w:rsidRDefault="00F41549" w:rsidP="00F41549">
            <w:pPr>
              <w:keepLines/>
              <w:jc w:val="center"/>
              <w:rPr>
                <w:rFonts w:ascii="Arial Narrow" w:hAnsi="Arial Narrow" w:cs="Arial"/>
                <w:sz w:val="20"/>
                <w:szCs w:val="20"/>
              </w:rPr>
            </w:pPr>
            <w:r w:rsidRPr="001B63F3">
              <w:rPr>
                <w:rFonts w:ascii="Arial Narrow" w:hAnsi="Arial Narrow" w:cs="Arial"/>
                <w:sz w:val="20"/>
                <w:szCs w:val="20"/>
              </w:rPr>
              <w:t>1</w:t>
            </w:r>
          </w:p>
        </w:tc>
        <w:tc>
          <w:tcPr>
            <w:tcW w:w="803" w:type="dxa"/>
          </w:tcPr>
          <w:p w14:paraId="17C8ECE8" w14:textId="77777777" w:rsidR="00F41549" w:rsidRPr="001B63F3" w:rsidRDefault="00F41549" w:rsidP="00F41549">
            <w:pPr>
              <w:keepLines/>
              <w:jc w:val="center"/>
              <w:rPr>
                <w:rFonts w:ascii="Arial Narrow" w:hAnsi="Arial Narrow" w:cs="Arial"/>
                <w:sz w:val="20"/>
                <w:szCs w:val="20"/>
              </w:rPr>
            </w:pPr>
            <w:r w:rsidRPr="001B63F3">
              <w:rPr>
                <w:rFonts w:ascii="Arial Narrow" w:hAnsi="Arial Narrow" w:cs="Arial"/>
                <w:sz w:val="20"/>
                <w:szCs w:val="20"/>
              </w:rPr>
              <w:t>1</w:t>
            </w:r>
          </w:p>
        </w:tc>
        <w:tc>
          <w:tcPr>
            <w:tcW w:w="804" w:type="dxa"/>
          </w:tcPr>
          <w:p w14:paraId="1235430C" w14:textId="692B1752" w:rsidR="00F41549" w:rsidRPr="001B63F3" w:rsidRDefault="00F41549" w:rsidP="00F41549">
            <w:pPr>
              <w:keepLines/>
              <w:jc w:val="center"/>
              <w:rPr>
                <w:rFonts w:ascii="Arial Narrow" w:hAnsi="Arial Narrow" w:cs="Arial"/>
                <w:sz w:val="20"/>
                <w:szCs w:val="20"/>
              </w:rPr>
            </w:pPr>
            <w:r w:rsidRPr="001B63F3">
              <w:rPr>
                <w:rFonts w:ascii="Arial Narrow" w:hAnsi="Arial Narrow" w:cs="Arial"/>
                <w:sz w:val="20"/>
                <w:szCs w:val="20"/>
              </w:rPr>
              <w:t>5</w:t>
            </w:r>
          </w:p>
        </w:tc>
        <w:tc>
          <w:tcPr>
            <w:tcW w:w="799" w:type="dxa"/>
            <w:vMerge/>
            <w:vAlign w:val="center"/>
          </w:tcPr>
          <w:p w14:paraId="2059D0C5" w14:textId="77777777" w:rsidR="00F41549" w:rsidRPr="001B63F3" w:rsidRDefault="00F41549" w:rsidP="00F41549">
            <w:pPr>
              <w:keepLines/>
              <w:rPr>
                <w:rFonts w:ascii="Arial Narrow" w:hAnsi="Arial Narrow" w:cs="Arial"/>
                <w:sz w:val="20"/>
                <w:szCs w:val="20"/>
              </w:rPr>
            </w:pPr>
          </w:p>
        </w:tc>
      </w:tr>
      <w:tr w:rsidR="00E7594F" w:rsidRPr="001B63F3" w14:paraId="37023D5B" w14:textId="77777777" w:rsidTr="79900132">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235CB7C1" w14:textId="77777777" w:rsidR="00E7594F" w:rsidRPr="001B63F3" w:rsidRDefault="00E7594F" w:rsidP="00B602E7">
            <w:pPr>
              <w:rPr>
                <w:rFonts w:ascii="Arial Narrow" w:hAnsi="Arial Narrow" w:cs="Arial"/>
                <w:sz w:val="20"/>
                <w:szCs w:val="20"/>
              </w:rPr>
            </w:pPr>
          </w:p>
        </w:tc>
      </w:tr>
      <w:tr w:rsidR="00E7594F" w:rsidRPr="001B63F3" w14:paraId="3D65D5B3" w14:textId="77777777" w:rsidTr="79900132">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6BF8A885" w14:textId="70D0673F" w:rsidR="00E7594F" w:rsidRPr="001B63F3" w:rsidRDefault="00E7594F" w:rsidP="00B602E7">
            <w:pPr>
              <w:keepLines/>
              <w:rPr>
                <w:rFonts w:ascii="Arial Narrow" w:hAnsi="Arial Narrow" w:cs="Arial"/>
                <w:b/>
                <w:sz w:val="20"/>
                <w:szCs w:val="20"/>
              </w:rPr>
            </w:pPr>
            <w:r w:rsidRPr="001B63F3">
              <w:rPr>
                <w:rFonts w:ascii="Arial Narrow" w:hAnsi="Arial Narrow"/>
                <w:b/>
                <w:sz w:val="20"/>
                <w:szCs w:val="20"/>
              </w:rPr>
              <w:t>Restriction Summary 15</w:t>
            </w:r>
            <w:r w:rsidR="00B859DE" w:rsidRPr="001B63F3">
              <w:rPr>
                <w:rFonts w:ascii="Arial Narrow" w:hAnsi="Arial Narrow"/>
                <w:b/>
                <w:sz w:val="20"/>
                <w:szCs w:val="20"/>
              </w:rPr>
              <w:t>379</w:t>
            </w:r>
            <w:r w:rsidRPr="001B63F3">
              <w:rPr>
                <w:rFonts w:ascii="Arial Narrow" w:hAnsi="Arial Narrow"/>
                <w:b/>
                <w:sz w:val="20"/>
                <w:szCs w:val="20"/>
              </w:rPr>
              <w:t>/ Treatment of Concept: 15</w:t>
            </w:r>
            <w:r w:rsidR="00B859DE" w:rsidRPr="001B63F3">
              <w:rPr>
                <w:rFonts w:ascii="Arial Narrow" w:hAnsi="Arial Narrow"/>
                <w:b/>
                <w:sz w:val="20"/>
                <w:szCs w:val="20"/>
              </w:rPr>
              <w:t>347</w:t>
            </w:r>
          </w:p>
        </w:tc>
      </w:tr>
      <w:tr w:rsidR="00356E34" w:rsidRPr="001B63F3" w14:paraId="67172546" w14:textId="77777777" w:rsidTr="79900132">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06C416B6" w14:textId="77777777" w:rsidR="00356E34" w:rsidRPr="001B63F3" w:rsidRDefault="00356E34" w:rsidP="00B602E7">
            <w:pPr>
              <w:jc w:val="center"/>
              <w:rPr>
                <w:rFonts w:ascii="Arial Narrow" w:hAnsi="Arial Narrow" w:cs="Arial"/>
                <w:b/>
                <w:sz w:val="20"/>
                <w:szCs w:val="20"/>
              </w:rPr>
            </w:pPr>
            <w:r w:rsidRPr="001B63F3">
              <w:rPr>
                <w:rFonts w:ascii="Arial Narrow" w:hAnsi="Arial Narrow" w:cs="Arial"/>
                <w:b/>
                <w:sz w:val="20"/>
                <w:szCs w:val="20"/>
              </w:rPr>
              <w:t xml:space="preserve">Concept ID </w:t>
            </w:r>
            <w:r w:rsidRPr="001B63F3">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BA80010" w14:textId="77777777" w:rsidR="00356E34" w:rsidRPr="001B63F3" w:rsidRDefault="00356E34" w:rsidP="00B602E7">
            <w:pPr>
              <w:keepLines/>
              <w:rPr>
                <w:rFonts w:ascii="Arial Narrow" w:hAnsi="Arial Narrow" w:cs="Arial"/>
                <w:sz w:val="20"/>
                <w:szCs w:val="20"/>
              </w:rPr>
            </w:pPr>
            <w:r w:rsidRPr="001B63F3">
              <w:rPr>
                <w:rFonts w:ascii="Arial Narrow" w:hAnsi="Arial Narrow" w:cs="Arial"/>
                <w:b/>
                <w:sz w:val="20"/>
                <w:szCs w:val="20"/>
              </w:rPr>
              <w:t>Category / Program:</w:t>
            </w:r>
            <w:r w:rsidRPr="001B63F3">
              <w:rPr>
                <w:rFonts w:ascii="Arial Narrow" w:hAnsi="Arial Narrow" w:cs="Arial"/>
                <w:sz w:val="20"/>
                <w:szCs w:val="20"/>
              </w:rPr>
              <w:t xml:space="preserve"> </w:t>
            </w:r>
            <w:r w:rsidRPr="001B63F3">
              <w:rPr>
                <w:rFonts w:ascii="Arial Narrow" w:eastAsia="Calibri" w:hAnsi="Arial Narrow" w:cs="Arial"/>
                <w:sz w:val="20"/>
                <w:szCs w:val="20"/>
              </w:rPr>
              <w:t>Section 100 – Highly Specialised Drugs Program – Public (Code HB)</w:t>
            </w:r>
            <w:r w:rsidRPr="001B63F3">
              <w:rPr>
                <w:rFonts w:ascii="Arial Narrow" w:eastAsia="Calibri" w:hAnsi="Arial Narrow" w:cs="Arial"/>
                <w:color w:val="FF0000"/>
                <w:sz w:val="20"/>
                <w:szCs w:val="20"/>
              </w:rPr>
              <w:t xml:space="preserve"> </w:t>
            </w:r>
            <w:r w:rsidRPr="001B63F3">
              <w:rPr>
                <w:rFonts w:ascii="Arial Narrow" w:eastAsia="Calibri" w:hAnsi="Arial Narrow" w:cs="Arial"/>
                <w:sz w:val="20"/>
                <w:szCs w:val="20"/>
              </w:rPr>
              <w:t>/ Private (Code HS)</w:t>
            </w:r>
          </w:p>
        </w:tc>
      </w:tr>
      <w:tr w:rsidR="00356E34" w:rsidRPr="001B63F3" w14:paraId="4512AA90" w14:textId="77777777" w:rsidTr="79900132">
        <w:tblPrEx>
          <w:tblCellMar>
            <w:top w:w="15" w:type="dxa"/>
            <w:bottom w:w="15" w:type="dxa"/>
          </w:tblCellMar>
          <w:tblLook w:val="04A0" w:firstRow="1" w:lastRow="0" w:firstColumn="1" w:lastColumn="0" w:noHBand="0" w:noVBand="1"/>
        </w:tblPrEx>
        <w:trPr>
          <w:trHeight w:val="20"/>
        </w:trPr>
        <w:tc>
          <w:tcPr>
            <w:tcW w:w="1271" w:type="dxa"/>
            <w:vMerge/>
          </w:tcPr>
          <w:p w14:paraId="7DFDE8DC" w14:textId="77777777" w:rsidR="00356E34" w:rsidRPr="001B63F3" w:rsidRDefault="00356E34" w:rsidP="00B602E7">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0DB387C" w14:textId="77777777" w:rsidR="00356E34" w:rsidRPr="001B63F3" w:rsidRDefault="00356E34" w:rsidP="00B602E7">
            <w:pPr>
              <w:keepLines/>
              <w:rPr>
                <w:rFonts w:ascii="Arial Narrow" w:hAnsi="Arial Narrow" w:cs="Arial"/>
                <w:b/>
                <w:sz w:val="20"/>
                <w:szCs w:val="20"/>
              </w:rPr>
            </w:pPr>
            <w:r w:rsidRPr="001B63F3">
              <w:rPr>
                <w:rFonts w:ascii="Arial Narrow" w:hAnsi="Arial Narrow" w:cs="Arial"/>
                <w:b/>
                <w:sz w:val="20"/>
                <w:szCs w:val="20"/>
              </w:rPr>
              <w:t xml:space="preserve">Prescriber type: </w:t>
            </w:r>
            <w:r w:rsidRPr="001B63F3">
              <w:rPr>
                <w:rFonts w:ascii="Arial Narrow" w:hAnsi="Arial Narrow" w:cs="Arial"/>
                <w:sz w:val="20"/>
                <w:szCs w:val="20"/>
              </w:rPr>
              <w:fldChar w:fldCharType="begin" w:fldLock="1">
                <w:ffData>
                  <w:name w:val=""/>
                  <w:enabled/>
                  <w:calcOnExit w:val="0"/>
                  <w:checkBox>
                    <w:sizeAuto/>
                    <w:default w:val="1"/>
                  </w:checkBox>
                </w:ffData>
              </w:fldChar>
            </w:r>
            <w:r w:rsidRPr="001B63F3">
              <w:rPr>
                <w:rFonts w:ascii="Arial Narrow" w:hAnsi="Arial Narrow" w:cs="Arial"/>
                <w:sz w:val="20"/>
                <w:szCs w:val="20"/>
              </w:rPr>
              <w:instrText xml:space="preserve"> FORMCHECKBOX </w:instrText>
            </w:r>
            <w:r w:rsidRPr="001B63F3">
              <w:rPr>
                <w:rFonts w:ascii="Arial Narrow" w:hAnsi="Arial Narrow" w:cs="Arial"/>
                <w:sz w:val="20"/>
                <w:szCs w:val="20"/>
              </w:rPr>
            </w:r>
            <w:r w:rsidRPr="001B63F3">
              <w:rPr>
                <w:rFonts w:ascii="Arial Narrow" w:hAnsi="Arial Narrow" w:cs="Arial"/>
                <w:sz w:val="20"/>
                <w:szCs w:val="20"/>
              </w:rPr>
              <w:fldChar w:fldCharType="separate"/>
            </w:r>
            <w:r w:rsidRPr="001B63F3">
              <w:rPr>
                <w:rFonts w:ascii="Arial Narrow" w:hAnsi="Arial Narrow" w:cs="Arial"/>
                <w:sz w:val="20"/>
                <w:szCs w:val="20"/>
              </w:rPr>
              <w:fldChar w:fldCharType="end"/>
            </w:r>
            <w:r w:rsidRPr="001B63F3">
              <w:rPr>
                <w:rFonts w:ascii="Arial Narrow" w:hAnsi="Arial Narrow" w:cs="Arial"/>
                <w:sz w:val="20"/>
                <w:szCs w:val="20"/>
              </w:rPr>
              <w:t xml:space="preserve">Medical Practitioners </w:t>
            </w:r>
          </w:p>
        </w:tc>
      </w:tr>
      <w:tr w:rsidR="00356E34" w:rsidRPr="001B63F3" w14:paraId="0D570977" w14:textId="77777777" w:rsidTr="79900132">
        <w:tblPrEx>
          <w:tblCellMar>
            <w:top w:w="15" w:type="dxa"/>
            <w:bottom w:w="15" w:type="dxa"/>
          </w:tblCellMar>
          <w:tblLook w:val="04A0" w:firstRow="1" w:lastRow="0" w:firstColumn="1" w:lastColumn="0" w:noHBand="0" w:noVBand="1"/>
        </w:tblPrEx>
        <w:trPr>
          <w:trHeight w:val="20"/>
        </w:trPr>
        <w:tc>
          <w:tcPr>
            <w:tcW w:w="1271" w:type="dxa"/>
            <w:vMerge/>
          </w:tcPr>
          <w:p w14:paraId="78263505" w14:textId="77777777" w:rsidR="00356E34" w:rsidRPr="001B63F3" w:rsidRDefault="00356E34" w:rsidP="00B602E7">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CCCF16E" w14:textId="0269E981" w:rsidR="00356E34" w:rsidRPr="001B63F3" w:rsidRDefault="00356E34" w:rsidP="00B602E7">
            <w:pPr>
              <w:keepLines/>
              <w:rPr>
                <w:rFonts w:ascii="Arial Narrow" w:eastAsia="Calibri" w:hAnsi="Arial Narrow" w:cs="Arial"/>
                <w:color w:val="FF0000"/>
                <w:sz w:val="20"/>
                <w:szCs w:val="20"/>
              </w:rPr>
            </w:pPr>
            <w:r w:rsidRPr="001B63F3">
              <w:rPr>
                <w:rFonts w:ascii="Arial Narrow" w:hAnsi="Arial Narrow" w:cs="Arial"/>
                <w:b/>
                <w:sz w:val="20"/>
                <w:szCs w:val="20"/>
              </w:rPr>
              <w:t xml:space="preserve">Restriction type: </w:t>
            </w:r>
            <w:r w:rsidRPr="001B63F3">
              <w:rPr>
                <w:rFonts w:ascii="Arial Narrow" w:eastAsia="Calibri" w:hAnsi="Arial Narrow" w:cs="Arial"/>
                <w:sz w:val="20"/>
                <w:szCs w:val="20"/>
              </w:rPr>
              <w:fldChar w:fldCharType="begin" w:fldLock="1">
                <w:ffData>
                  <w:name w:val=""/>
                  <w:enabled/>
                  <w:calcOnExit w:val="0"/>
                  <w:checkBox>
                    <w:sizeAuto/>
                    <w:default w:val="1"/>
                  </w:checkBox>
                </w:ffData>
              </w:fldChar>
            </w:r>
            <w:r w:rsidRPr="001B63F3">
              <w:rPr>
                <w:rFonts w:ascii="Arial Narrow" w:eastAsia="Calibri" w:hAnsi="Arial Narrow" w:cs="Arial"/>
                <w:sz w:val="20"/>
                <w:szCs w:val="20"/>
              </w:rPr>
              <w:instrText xml:space="preserve"> FORMCHECKBOX </w:instrText>
            </w:r>
            <w:r w:rsidRPr="001B63F3">
              <w:rPr>
                <w:rFonts w:ascii="Arial Narrow" w:eastAsia="Calibri" w:hAnsi="Arial Narrow" w:cs="Arial"/>
                <w:sz w:val="20"/>
                <w:szCs w:val="20"/>
              </w:rPr>
            </w:r>
            <w:r w:rsidRPr="001B63F3">
              <w:rPr>
                <w:rFonts w:ascii="Arial Narrow" w:eastAsia="Calibri" w:hAnsi="Arial Narrow" w:cs="Arial"/>
                <w:sz w:val="20"/>
                <w:szCs w:val="20"/>
              </w:rPr>
              <w:fldChar w:fldCharType="separate"/>
            </w:r>
            <w:r w:rsidRPr="001B63F3">
              <w:rPr>
                <w:rFonts w:ascii="Arial Narrow" w:eastAsia="Calibri" w:hAnsi="Arial Narrow" w:cs="Arial"/>
                <w:sz w:val="20"/>
                <w:szCs w:val="20"/>
              </w:rPr>
              <w:fldChar w:fldCharType="end"/>
            </w:r>
            <w:r w:rsidRPr="001B63F3">
              <w:rPr>
                <w:rFonts w:ascii="Arial Narrow" w:eastAsia="Calibri" w:hAnsi="Arial Narrow" w:cs="Arial"/>
                <w:sz w:val="20"/>
                <w:szCs w:val="20"/>
              </w:rPr>
              <w:t>Authority Required (telephone/online PBS Authorities system)</w:t>
            </w:r>
          </w:p>
        </w:tc>
      </w:tr>
      <w:tr w:rsidR="00E7594F" w:rsidRPr="001B63F3" w14:paraId="0E96BAC4"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51225DBD" w14:textId="77777777" w:rsidR="00E7594F" w:rsidRPr="001B63F3" w:rsidRDefault="00E7594F" w:rsidP="00B602E7">
            <w:pPr>
              <w:keepLines/>
              <w:jc w:val="center"/>
              <w:rPr>
                <w:rFonts w:ascii="Arial Narrow" w:hAnsi="Arial Narrow"/>
                <w:sz w:val="20"/>
                <w:szCs w:val="20"/>
              </w:rPr>
            </w:pPr>
            <w:r w:rsidRPr="001B63F3">
              <w:rPr>
                <w:rFonts w:ascii="Arial Narrow" w:hAnsi="Arial Narrow"/>
                <w:sz w:val="20"/>
                <w:szCs w:val="20"/>
              </w:rPr>
              <w:t>27327</w:t>
            </w:r>
          </w:p>
        </w:tc>
        <w:tc>
          <w:tcPr>
            <w:tcW w:w="7745" w:type="dxa"/>
            <w:gridSpan w:val="6"/>
            <w:vAlign w:val="center"/>
            <w:hideMark/>
          </w:tcPr>
          <w:p w14:paraId="2E730BC1" w14:textId="77777777" w:rsidR="00E7594F" w:rsidRPr="001B63F3" w:rsidRDefault="00E7594F" w:rsidP="00B602E7">
            <w:pPr>
              <w:keepLines/>
              <w:rPr>
                <w:rFonts w:ascii="Arial Narrow" w:hAnsi="Arial Narrow"/>
                <w:color w:val="333333"/>
                <w:sz w:val="20"/>
                <w:szCs w:val="20"/>
              </w:rPr>
            </w:pPr>
            <w:r w:rsidRPr="001B63F3">
              <w:rPr>
                <w:rFonts w:ascii="Arial Narrow" w:hAnsi="Arial Narrow"/>
                <w:b/>
                <w:bCs/>
                <w:sz w:val="20"/>
                <w:szCs w:val="20"/>
              </w:rPr>
              <w:t>Indication:</w:t>
            </w:r>
            <w:r w:rsidRPr="001B63F3">
              <w:rPr>
                <w:rFonts w:ascii="Arial Narrow" w:hAnsi="Arial Narrow"/>
                <w:sz w:val="20"/>
                <w:szCs w:val="20"/>
              </w:rPr>
              <w:t xml:space="preserve"> Uncontrolled severe asthma</w:t>
            </w:r>
          </w:p>
        </w:tc>
      </w:tr>
      <w:tr w:rsidR="00E7594F" w:rsidRPr="001B63F3" w14:paraId="6D8F18C9"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4787A7E7" w14:textId="77777777" w:rsidR="00E7594F" w:rsidRPr="001B63F3" w:rsidRDefault="00E7594F" w:rsidP="00B602E7">
            <w:pPr>
              <w:jc w:val="center"/>
              <w:rPr>
                <w:rFonts w:ascii="Arial Narrow" w:hAnsi="Arial Narrow"/>
                <w:sz w:val="20"/>
                <w:szCs w:val="20"/>
              </w:rPr>
            </w:pPr>
          </w:p>
        </w:tc>
        <w:tc>
          <w:tcPr>
            <w:tcW w:w="7745" w:type="dxa"/>
            <w:gridSpan w:val="6"/>
            <w:vAlign w:val="center"/>
            <w:hideMark/>
          </w:tcPr>
          <w:p w14:paraId="3A411353" w14:textId="37FAB978" w:rsidR="00E7594F" w:rsidRPr="001B63F3" w:rsidRDefault="00E7594F" w:rsidP="00B602E7">
            <w:pPr>
              <w:rPr>
                <w:rFonts w:ascii="Arial Narrow" w:hAnsi="Arial Narrow"/>
                <w:sz w:val="20"/>
                <w:szCs w:val="20"/>
              </w:rPr>
            </w:pPr>
            <w:r w:rsidRPr="001B63F3">
              <w:rPr>
                <w:rFonts w:ascii="Arial Narrow" w:hAnsi="Arial Narrow"/>
                <w:b/>
                <w:bCs/>
                <w:sz w:val="20"/>
                <w:szCs w:val="20"/>
              </w:rPr>
              <w:t>Treatment Phase:</w:t>
            </w:r>
            <w:r w:rsidRPr="001B63F3">
              <w:rPr>
                <w:rFonts w:ascii="Arial Narrow" w:hAnsi="Arial Narrow"/>
                <w:sz w:val="20"/>
                <w:szCs w:val="20"/>
              </w:rPr>
              <w:t xml:space="preserve"> </w:t>
            </w:r>
            <w:r w:rsidR="00DC0F47" w:rsidRPr="001B63F3">
              <w:rPr>
                <w:rFonts w:ascii="Arial Narrow" w:hAnsi="Arial Narrow"/>
                <w:sz w:val="20"/>
                <w:szCs w:val="20"/>
              </w:rPr>
              <w:t>Continuing treatment</w:t>
            </w:r>
            <w:r w:rsidR="00DC0F47" w:rsidRPr="001B63F3">
              <w:rPr>
                <w:rFonts w:ascii="Arial Narrow" w:hAnsi="Arial Narrow" w:cs="Open Sans"/>
                <w:color w:val="333333"/>
                <w:sz w:val="20"/>
                <w:szCs w:val="20"/>
                <w:shd w:val="clear" w:color="auto" w:fill="FFFFFF"/>
              </w:rPr>
              <w:t xml:space="preserve"> </w:t>
            </w:r>
          </w:p>
        </w:tc>
      </w:tr>
      <w:tr w:rsidR="00515F24" w:rsidRPr="001B63F3" w14:paraId="6FCE48C7"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tcPr>
          <w:p w14:paraId="497E4483" w14:textId="59902068" w:rsidR="00515F24" w:rsidRPr="001B63F3" w:rsidRDefault="00515F24" w:rsidP="00515F24">
            <w:pPr>
              <w:jc w:val="center"/>
              <w:rPr>
                <w:rFonts w:ascii="Arial Narrow" w:hAnsi="Arial Narrow"/>
                <w:sz w:val="20"/>
                <w:szCs w:val="20"/>
              </w:rPr>
            </w:pPr>
            <w:r w:rsidRPr="001B63F3">
              <w:rPr>
                <w:rFonts w:ascii="Arial Narrow" w:hAnsi="Arial Narrow"/>
                <w:iCs/>
                <w:sz w:val="20"/>
                <w:szCs w:val="20"/>
              </w:rPr>
              <w:t>Administrative Advice [New]</w:t>
            </w:r>
            <w:r w:rsidRPr="001B63F3">
              <w:rPr>
                <w:rFonts w:ascii="Arial Narrow" w:hAnsi="Arial Narrow"/>
                <w:iCs/>
                <w:sz w:val="20"/>
                <w:szCs w:val="20"/>
                <w:vertAlign w:val="superscript"/>
              </w:rPr>
              <w:t>1</w:t>
            </w:r>
          </w:p>
        </w:tc>
        <w:tc>
          <w:tcPr>
            <w:tcW w:w="7745" w:type="dxa"/>
            <w:gridSpan w:val="6"/>
            <w:vAlign w:val="center"/>
          </w:tcPr>
          <w:p w14:paraId="093824C1" w14:textId="77777777" w:rsidR="00515F24" w:rsidRPr="001B63F3" w:rsidRDefault="00515F24" w:rsidP="00515F24">
            <w:pPr>
              <w:textAlignment w:val="baseline"/>
              <w:rPr>
                <w:rFonts w:ascii="Arial Narrow" w:eastAsia="Calibri" w:hAnsi="Arial Narrow"/>
                <w:b/>
                <w:iCs/>
                <w:color w:val="333333"/>
                <w:sz w:val="20"/>
                <w:szCs w:val="20"/>
              </w:rPr>
            </w:pPr>
            <w:r w:rsidRPr="001B63F3">
              <w:rPr>
                <w:rFonts w:ascii="Arial Narrow" w:eastAsia="Calibri" w:hAnsi="Arial Narrow"/>
                <w:b/>
                <w:iCs/>
                <w:color w:val="333333"/>
                <w:sz w:val="20"/>
                <w:szCs w:val="20"/>
              </w:rPr>
              <w:t xml:space="preserve">Administrative Advice: </w:t>
            </w:r>
          </w:p>
          <w:p w14:paraId="0C172AB6" w14:textId="49E6B3F7" w:rsidR="00515F24" w:rsidRPr="001B63F3" w:rsidRDefault="00515F24" w:rsidP="00515F24">
            <w:pPr>
              <w:rPr>
                <w:rFonts w:ascii="Arial Narrow" w:hAnsi="Arial Narrow"/>
                <w:b/>
                <w:bCs/>
                <w:sz w:val="20"/>
                <w:szCs w:val="20"/>
              </w:rPr>
            </w:pPr>
            <w:r w:rsidRPr="001B63F3">
              <w:rPr>
                <w:rFonts w:ascii="Arial Narrow" w:hAnsi="Arial Narrow"/>
                <w:iCs/>
                <w:sz w:val="20"/>
                <w:szCs w:val="20"/>
              </w:rPr>
              <w:t>Pharmaceutical benefits that have the form omalizumab 75 mg/0.5 mL syringes and pharmaceutical benefits that have the form omalizumab 75 mg/0.5 mL pen devices are equivalent for the purposes of substitution.</w:t>
            </w:r>
          </w:p>
        </w:tc>
      </w:tr>
      <w:tr w:rsidR="00515F24" w:rsidRPr="001B63F3" w14:paraId="394360AA"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tcPr>
          <w:p w14:paraId="26880900" w14:textId="3292D8E2" w:rsidR="00515F24" w:rsidRPr="001B63F3" w:rsidRDefault="00515F24" w:rsidP="00515F24">
            <w:pPr>
              <w:jc w:val="center"/>
              <w:rPr>
                <w:rFonts w:ascii="Arial Narrow" w:hAnsi="Arial Narrow"/>
                <w:sz w:val="20"/>
                <w:szCs w:val="20"/>
              </w:rPr>
            </w:pPr>
            <w:r w:rsidRPr="001B63F3">
              <w:rPr>
                <w:rFonts w:ascii="Arial Narrow" w:hAnsi="Arial Narrow"/>
                <w:iCs/>
                <w:sz w:val="20"/>
                <w:szCs w:val="20"/>
              </w:rPr>
              <w:t>Administrative Advice [New]</w:t>
            </w:r>
            <w:r w:rsidRPr="001B63F3">
              <w:rPr>
                <w:rFonts w:ascii="Arial Narrow" w:hAnsi="Arial Narrow"/>
                <w:iCs/>
                <w:sz w:val="20"/>
                <w:szCs w:val="20"/>
                <w:vertAlign w:val="superscript"/>
              </w:rPr>
              <w:t>2</w:t>
            </w:r>
          </w:p>
        </w:tc>
        <w:tc>
          <w:tcPr>
            <w:tcW w:w="7745" w:type="dxa"/>
            <w:gridSpan w:val="6"/>
            <w:vAlign w:val="center"/>
          </w:tcPr>
          <w:p w14:paraId="46971AE3" w14:textId="77777777" w:rsidR="00515F24" w:rsidRPr="001B63F3" w:rsidRDefault="00515F24" w:rsidP="00515F24">
            <w:pPr>
              <w:textAlignment w:val="baseline"/>
              <w:rPr>
                <w:rFonts w:ascii="Arial Narrow" w:eastAsia="Calibri" w:hAnsi="Arial Narrow"/>
                <w:b/>
                <w:iCs/>
                <w:color w:val="333333"/>
                <w:sz w:val="20"/>
                <w:szCs w:val="20"/>
              </w:rPr>
            </w:pPr>
            <w:r w:rsidRPr="001B63F3">
              <w:rPr>
                <w:rFonts w:ascii="Arial Narrow" w:eastAsia="Calibri" w:hAnsi="Arial Narrow"/>
                <w:b/>
                <w:iCs/>
                <w:color w:val="333333"/>
                <w:sz w:val="20"/>
                <w:szCs w:val="20"/>
              </w:rPr>
              <w:t xml:space="preserve">Administrative Advice: </w:t>
            </w:r>
          </w:p>
          <w:p w14:paraId="4BCE0284" w14:textId="2DEF4691" w:rsidR="00515F24" w:rsidRPr="001B63F3" w:rsidRDefault="00515F24" w:rsidP="00515F24">
            <w:pPr>
              <w:rPr>
                <w:rFonts w:ascii="Arial Narrow" w:hAnsi="Arial Narrow"/>
                <w:b/>
                <w:bCs/>
                <w:sz w:val="20"/>
                <w:szCs w:val="20"/>
              </w:rPr>
            </w:pPr>
            <w:r w:rsidRPr="001B63F3">
              <w:rPr>
                <w:rFonts w:ascii="Arial Narrow" w:hAnsi="Arial Narrow"/>
                <w:iCs/>
                <w:sz w:val="20"/>
                <w:szCs w:val="20"/>
              </w:rPr>
              <w:t xml:space="preserve">Pharmaceutical benefits that have the form omalizumab </w:t>
            </w:r>
            <w:r w:rsidRPr="001B63F3">
              <w:rPr>
                <w:rFonts w:ascii="Arial Narrow" w:hAnsi="Arial Narrow" w:cs="Arial"/>
                <w:iCs/>
                <w:sz w:val="20"/>
                <w:szCs w:val="20"/>
              </w:rPr>
              <w:t xml:space="preserve">150 mg/mL </w:t>
            </w:r>
            <w:r w:rsidRPr="001B63F3">
              <w:rPr>
                <w:rFonts w:ascii="Arial Narrow" w:hAnsi="Arial Narrow"/>
                <w:iCs/>
                <w:sz w:val="20"/>
                <w:szCs w:val="20"/>
              </w:rPr>
              <w:t xml:space="preserve">syringes and pharmaceutical benefits that have the form omalizumab </w:t>
            </w:r>
            <w:r w:rsidRPr="001B63F3">
              <w:rPr>
                <w:rFonts w:ascii="Arial Narrow" w:hAnsi="Arial Narrow" w:cs="Arial"/>
                <w:iCs/>
                <w:sz w:val="20"/>
                <w:szCs w:val="20"/>
              </w:rPr>
              <w:t xml:space="preserve">150 mg/mL </w:t>
            </w:r>
            <w:r w:rsidRPr="001B63F3">
              <w:rPr>
                <w:rFonts w:ascii="Arial Narrow" w:hAnsi="Arial Narrow"/>
                <w:iCs/>
                <w:sz w:val="20"/>
                <w:szCs w:val="20"/>
              </w:rPr>
              <w:t>pen devices are equivalent for the purposes of substitution.</w:t>
            </w:r>
          </w:p>
        </w:tc>
      </w:tr>
      <w:tr w:rsidR="00515F24" w:rsidRPr="001B63F3" w14:paraId="2914E0BB"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tcPr>
          <w:p w14:paraId="16E5FBBF" w14:textId="4F72E2D2" w:rsidR="00515F24" w:rsidRPr="001B63F3" w:rsidRDefault="00515F24" w:rsidP="00515F24">
            <w:pPr>
              <w:jc w:val="center"/>
              <w:rPr>
                <w:rFonts w:ascii="Arial Narrow" w:hAnsi="Arial Narrow"/>
                <w:sz w:val="20"/>
                <w:szCs w:val="20"/>
              </w:rPr>
            </w:pPr>
            <w:r w:rsidRPr="001B63F3">
              <w:rPr>
                <w:rFonts w:ascii="Arial Narrow" w:hAnsi="Arial Narrow"/>
                <w:iCs/>
                <w:sz w:val="20"/>
                <w:szCs w:val="20"/>
              </w:rPr>
              <w:t>Administrative Advice [New]</w:t>
            </w:r>
            <w:r w:rsidRPr="001B63F3">
              <w:rPr>
                <w:rFonts w:ascii="Arial Narrow" w:hAnsi="Arial Narrow"/>
                <w:iCs/>
                <w:sz w:val="20"/>
                <w:szCs w:val="20"/>
                <w:vertAlign w:val="superscript"/>
              </w:rPr>
              <w:t>3</w:t>
            </w:r>
          </w:p>
        </w:tc>
        <w:tc>
          <w:tcPr>
            <w:tcW w:w="7745" w:type="dxa"/>
            <w:gridSpan w:val="6"/>
            <w:vAlign w:val="center"/>
          </w:tcPr>
          <w:p w14:paraId="05746A55" w14:textId="77777777" w:rsidR="00515F24" w:rsidRPr="001B63F3" w:rsidRDefault="00515F24" w:rsidP="00515F24">
            <w:pPr>
              <w:textAlignment w:val="baseline"/>
              <w:rPr>
                <w:rFonts w:ascii="Arial Narrow" w:eastAsia="Calibri" w:hAnsi="Arial Narrow"/>
                <w:b/>
                <w:iCs/>
                <w:color w:val="333333"/>
                <w:sz w:val="20"/>
                <w:szCs w:val="20"/>
              </w:rPr>
            </w:pPr>
            <w:r w:rsidRPr="001B63F3">
              <w:rPr>
                <w:rFonts w:ascii="Arial Narrow" w:eastAsia="Calibri" w:hAnsi="Arial Narrow"/>
                <w:b/>
                <w:iCs/>
                <w:color w:val="333333"/>
                <w:sz w:val="20"/>
                <w:szCs w:val="20"/>
              </w:rPr>
              <w:t xml:space="preserve">Administrative Advice: </w:t>
            </w:r>
          </w:p>
          <w:p w14:paraId="0FF79B7E" w14:textId="5E2002C3" w:rsidR="00515F24" w:rsidRPr="001B63F3" w:rsidRDefault="00515F24" w:rsidP="00515F24">
            <w:pPr>
              <w:rPr>
                <w:rFonts w:ascii="Arial Narrow" w:hAnsi="Arial Narrow"/>
                <w:b/>
                <w:bCs/>
                <w:sz w:val="20"/>
                <w:szCs w:val="20"/>
              </w:rPr>
            </w:pPr>
            <w:r w:rsidRPr="001B63F3">
              <w:rPr>
                <w:rFonts w:ascii="Arial Narrow" w:hAnsi="Arial Narrow"/>
                <w:iCs/>
                <w:sz w:val="20"/>
                <w:szCs w:val="20"/>
              </w:rPr>
              <w:t xml:space="preserve">Pharmaceutical benefits that have the form omalizumab </w:t>
            </w:r>
            <w:r w:rsidRPr="001B63F3">
              <w:rPr>
                <w:rFonts w:ascii="Arial Narrow" w:hAnsi="Arial Narrow" w:cs="Arial"/>
                <w:iCs/>
                <w:sz w:val="20"/>
                <w:szCs w:val="20"/>
              </w:rPr>
              <w:t xml:space="preserve">300 mg/2 mL </w:t>
            </w:r>
            <w:r w:rsidRPr="001B63F3">
              <w:rPr>
                <w:rFonts w:ascii="Arial Narrow" w:hAnsi="Arial Narrow"/>
                <w:iCs/>
                <w:sz w:val="20"/>
                <w:szCs w:val="20"/>
              </w:rPr>
              <w:t xml:space="preserve">syringes and pharmaceutical benefits that have the form omalizumab </w:t>
            </w:r>
            <w:r w:rsidRPr="001B63F3">
              <w:rPr>
                <w:rFonts w:ascii="Arial Narrow" w:hAnsi="Arial Narrow" w:cs="Arial"/>
                <w:iCs/>
                <w:sz w:val="20"/>
                <w:szCs w:val="20"/>
              </w:rPr>
              <w:t xml:space="preserve">300 mg/2 mL </w:t>
            </w:r>
            <w:r w:rsidRPr="001B63F3">
              <w:rPr>
                <w:rFonts w:ascii="Arial Narrow" w:hAnsi="Arial Narrow"/>
                <w:iCs/>
                <w:sz w:val="20"/>
                <w:szCs w:val="20"/>
              </w:rPr>
              <w:t>pen devices are equivalent for the purposes of substitution.</w:t>
            </w:r>
          </w:p>
        </w:tc>
      </w:tr>
    </w:tbl>
    <w:p w14:paraId="17F7AB91" w14:textId="77777777" w:rsidR="00E7594F" w:rsidRPr="009F4382" w:rsidRDefault="00E7594F">
      <w:pPr>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quested listing"/>
        <w:tblDescription w:val="Indication: Uncontrolled severe asthma&#10;Treatment phase: balance of supply"/>
      </w:tblPr>
      <w:tblGrid>
        <w:gridCol w:w="1271"/>
        <w:gridCol w:w="3260"/>
        <w:gridCol w:w="1276"/>
        <w:gridCol w:w="803"/>
        <w:gridCol w:w="803"/>
        <w:gridCol w:w="804"/>
        <w:gridCol w:w="799"/>
      </w:tblGrid>
      <w:tr w:rsidR="00AF726C" w:rsidRPr="009F4382" w14:paraId="0DA238F3" w14:textId="77777777" w:rsidTr="79900132">
        <w:trPr>
          <w:cantSplit/>
          <w:trHeight w:val="300"/>
        </w:trPr>
        <w:tc>
          <w:tcPr>
            <w:tcW w:w="4531" w:type="dxa"/>
            <w:gridSpan w:val="2"/>
            <w:vAlign w:val="center"/>
          </w:tcPr>
          <w:p w14:paraId="41420010" w14:textId="77777777" w:rsidR="00AF726C" w:rsidRPr="009F4382" w:rsidRDefault="00AF726C" w:rsidP="00B602E7">
            <w:pPr>
              <w:keepLines/>
              <w:rPr>
                <w:rFonts w:ascii="Arial Narrow" w:hAnsi="Arial Narrow" w:cs="Arial"/>
                <w:b/>
                <w:bCs/>
                <w:sz w:val="20"/>
                <w:szCs w:val="20"/>
              </w:rPr>
            </w:pPr>
            <w:r w:rsidRPr="009F4382">
              <w:rPr>
                <w:rFonts w:ascii="Arial Narrow" w:hAnsi="Arial Narrow" w:cs="Arial"/>
                <w:b/>
                <w:bCs/>
                <w:sz w:val="20"/>
                <w:szCs w:val="20"/>
              </w:rPr>
              <w:t>MEDICINAL PRODUCT</w:t>
            </w:r>
          </w:p>
          <w:p w14:paraId="1C092E45" w14:textId="77777777" w:rsidR="00AF726C" w:rsidRPr="009F4382" w:rsidRDefault="00AF726C" w:rsidP="00B602E7">
            <w:pPr>
              <w:keepLines/>
              <w:rPr>
                <w:rFonts w:ascii="Arial Narrow" w:hAnsi="Arial Narrow" w:cs="Arial"/>
                <w:b/>
                <w:sz w:val="20"/>
                <w:szCs w:val="20"/>
              </w:rPr>
            </w:pPr>
            <w:r w:rsidRPr="009F4382">
              <w:rPr>
                <w:rFonts w:ascii="Arial Narrow" w:hAnsi="Arial Narrow" w:cs="Arial"/>
                <w:b/>
                <w:bCs/>
                <w:sz w:val="20"/>
                <w:szCs w:val="20"/>
              </w:rPr>
              <w:t>medicinal product pack</w:t>
            </w:r>
          </w:p>
        </w:tc>
        <w:tc>
          <w:tcPr>
            <w:tcW w:w="1276" w:type="dxa"/>
            <w:vAlign w:val="center"/>
          </w:tcPr>
          <w:p w14:paraId="2740D958" w14:textId="77777777" w:rsidR="00AF726C" w:rsidRPr="009F4382" w:rsidRDefault="00AF726C" w:rsidP="00B602E7">
            <w:pPr>
              <w:keepLines/>
              <w:jc w:val="center"/>
              <w:rPr>
                <w:rFonts w:ascii="Arial Narrow" w:hAnsi="Arial Narrow" w:cs="Arial"/>
                <w:b/>
                <w:sz w:val="20"/>
                <w:szCs w:val="20"/>
              </w:rPr>
            </w:pPr>
            <w:r w:rsidRPr="009F4382">
              <w:rPr>
                <w:rFonts w:ascii="Arial Narrow" w:hAnsi="Arial Narrow" w:cs="Arial"/>
                <w:b/>
                <w:sz w:val="20"/>
                <w:szCs w:val="20"/>
              </w:rPr>
              <w:t>PBS item code</w:t>
            </w:r>
          </w:p>
        </w:tc>
        <w:tc>
          <w:tcPr>
            <w:tcW w:w="803" w:type="dxa"/>
            <w:vAlign w:val="center"/>
          </w:tcPr>
          <w:p w14:paraId="7DDEDB5C" w14:textId="77777777" w:rsidR="00AF726C" w:rsidRPr="009F4382" w:rsidRDefault="00AF726C" w:rsidP="00B602E7">
            <w:pPr>
              <w:keepLines/>
              <w:jc w:val="center"/>
              <w:rPr>
                <w:rFonts w:ascii="Arial Narrow" w:hAnsi="Arial Narrow" w:cs="Arial"/>
                <w:b/>
                <w:sz w:val="20"/>
                <w:szCs w:val="20"/>
              </w:rPr>
            </w:pPr>
            <w:r w:rsidRPr="009F4382">
              <w:rPr>
                <w:rFonts w:ascii="Arial Narrow" w:hAnsi="Arial Narrow" w:cs="Arial"/>
                <w:b/>
                <w:sz w:val="20"/>
                <w:szCs w:val="20"/>
              </w:rPr>
              <w:t>Max. qty packs</w:t>
            </w:r>
          </w:p>
        </w:tc>
        <w:tc>
          <w:tcPr>
            <w:tcW w:w="803" w:type="dxa"/>
            <w:vAlign w:val="center"/>
          </w:tcPr>
          <w:p w14:paraId="699242D1" w14:textId="77777777" w:rsidR="00AF726C" w:rsidRPr="009F4382" w:rsidRDefault="00AF726C" w:rsidP="00B602E7">
            <w:pPr>
              <w:keepLines/>
              <w:jc w:val="center"/>
              <w:rPr>
                <w:rFonts w:ascii="Arial Narrow" w:hAnsi="Arial Narrow" w:cs="Arial"/>
                <w:b/>
                <w:sz w:val="20"/>
                <w:szCs w:val="20"/>
              </w:rPr>
            </w:pPr>
            <w:r w:rsidRPr="009F4382">
              <w:rPr>
                <w:rFonts w:ascii="Arial Narrow" w:hAnsi="Arial Narrow" w:cs="Arial"/>
                <w:b/>
                <w:sz w:val="20"/>
                <w:szCs w:val="20"/>
              </w:rPr>
              <w:t>Max. qty units</w:t>
            </w:r>
          </w:p>
        </w:tc>
        <w:tc>
          <w:tcPr>
            <w:tcW w:w="804" w:type="dxa"/>
            <w:vAlign w:val="center"/>
          </w:tcPr>
          <w:p w14:paraId="2B1A496F" w14:textId="43E5A42E" w:rsidR="00AF726C" w:rsidRPr="009F4382" w:rsidRDefault="156EB559" w:rsidP="79900132">
            <w:pPr>
              <w:keepLines/>
              <w:jc w:val="center"/>
              <w:rPr>
                <w:rFonts w:ascii="Arial Narrow" w:hAnsi="Arial Narrow" w:cs="Arial"/>
                <w:b/>
                <w:bCs/>
                <w:sz w:val="20"/>
                <w:szCs w:val="20"/>
              </w:rPr>
            </w:pPr>
            <w:proofErr w:type="gramStart"/>
            <w:r w:rsidRPr="009F4382">
              <w:rPr>
                <w:rFonts w:ascii="Arial Narrow" w:hAnsi="Arial Narrow" w:cs="Arial"/>
                <w:b/>
                <w:bCs/>
                <w:sz w:val="20"/>
                <w:szCs w:val="20"/>
              </w:rPr>
              <w:t>№.of</w:t>
            </w:r>
            <w:proofErr w:type="gramEnd"/>
          </w:p>
          <w:p w14:paraId="2A7FE451" w14:textId="2712F593" w:rsidR="00AF726C" w:rsidRPr="009F4382" w:rsidRDefault="156EB559" w:rsidP="79900132">
            <w:pPr>
              <w:keepLines/>
              <w:jc w:val="center"/>
              <w:rPr>
                <w:rFonts w:ascii="Arial Narrow" w:hAnsi="Arial Narrow" w:cs="Arial"/>
                <w:b/>
                <w:bCs/>
                <w:sz w:val="20"/>
                <w:szCs w:val="20"/>
              </w:rPr>
            </w:pPr>
            <w:r w:rsidRPr="009F4382">
              <w:rPr>
                <w:rFonts w:ascii="Arial Narrow" w:hAnsi="Arial Narrow" w:cs="Arial"/>
                <w:b/>
                <w:bCs/>
                <w:sz w:val="20"/>
                <w:szCs w:val="20"/>
              </w:rPr>
              <w:t>Rpts</w:t>
            </w:r>
          </w:p>
        </w:tc>
        <w:tc>
          <w:tcPr>
            <w:tcW w:w="799" w:type="dxa"/>
            <w:vAlign w:val="center"/>
          </w:tcPr>
          <w:p w14:paraId="0766CBB9" w14:textId="77777777" w:rsidR="00AF726C" w:rsidRPr="009F4382" w:rsidRDefault="00AF726C" w:rsidP="00B602E7">
            <w:pPr>
              <w:keepLines/>
              <w:rPr>
                <w:rFonts w:ascii="Arial Narrow" w:hAnsi="Arial Narrow" w:cs="Arial"/>
                <w:b/>
                <w:sz w:val="20"/>
                <w:szCs w:val="20"/>
                <w:lang w:val="fr-FR"/>
              </w:rPr>
            </w:pPr>
            <w:r w:rsidRPr="009F4382">
              <w:rPr>
                <w:rFonts w:ascii="Arial Narrow" w:hAnsi="Arial Narrow" w:cs="Arial"/>
                <w:b/>
                <w:sz w:val="20"/>
                <w:szCs w:val="20"/>
              </w:rPr>
              <w:t>Available brands</w:t>
            </w:r>
          </w:p>
        </w:tc>
      </w:tr>
      <w:tr w:rsidR="00AF726C" w:rsidRPr="009F4382" w14:paraId="05A942ED" w14:textId="77777777" w:rsidTr="79900132">
        <w:trPr>
          <w:cantSplit/>
          <w:trHeight w:val="300"/>
        </w:trPr>
        <w:tc>
          <w:tcPr>
            <w:tcW w:w="9016" w:type="dxa"/>
            <w:gridSpan w:val="7"/>
            <w:vAlign w:val="center"/>
          </w:tcPr>
          <w:p w14:paraId="236F735C" w14:textId="77777777" w:rsidR="00AF726C" w:rsidRPr="009F4382" w:rsidRDefault="00AF726C" w:rsidP="00B602E7">
            <w:pPr>
              <w:keepLines/>
              <w:rPr>
                <w:rFonts w:ascii="Arial Narrow" w:hAnsi="Arial Narrow" w:cs="Arial"/>
                <w:sz w:val="20"/>
                <w:szCs w:val="20"/>
              </w:rPr>
            </w:pPr>
            <w:r w:rsidRPr="009F4382">
              <w:rPr>
                <w:rFonts w:ascii="Arial Narrow" w:hAnsi="Arial Narrow" w:cs="Arial"/>
                <w:sz w:val="20"/>
                <w:szCs w:val="20"/>
              </w:rPr>
              <w:t>OMALIZUMAB</w:t>
            </w:r>
          </w:p>
        </w:tc>
      </w:tr>
      <w:tr w:rsidR="00310EFA" w:rsidRPr="009F4382" w14:paraId="05FAF147" w14:textId="77777777" w:rsidTr="79900132">
        <w:trPr>
          <w:cantSplit/>
          <w:trHeight w:val="300"/>
        </w:trPr>
        <w:tc>
          <w:tcPr>
            <w:tcW w:w="4531" w:type="dxa"/>
            <w:gridSpan w:val="2"/>
            <w:vAlign w:val="center"/>
          </w:tcPr>
          <w:p w14:paraId="497941E8" w14:textId="77777777" w:rsidR="00310EFA" w:rsidRPr="009F4382" w:rsidRDefault="00310EFA" w:rsidP="00310EFA">
            <w:pPr>
              <w:keepLines/>
              <w:rPr>
                <w:rFonts w:ascii="Arial Narrow" w:hAnsi="Arial Narrow" w:cs="Arial"/>
                <w:sz w:val="20"/>
                <w:szCs w:val="20"/>
              </w:rPr>
            </w:pPr>
            <w:r w:rsidRPr="009F4382">
              <w:rPr>
                <w:rFonts w:ascii="Arial Narrow" w:hAnsi="Arial Narrow" w:cs="Arial"/>
                <w:sz w:val="20"/>
                <w:szCs w:val="20"/>
              </w:rPr>
              <w:t>omalizumab 75 mg/0.5 mL injection, 0.5 mL syringe</w:t>
            </w:r>
          </w:p>
        </w:tc>
        <w:tc>
          <w:tcPr>
            <w:tcW w:w="1276" w:type="dxa"/>
          </w:tcPr>
          <w:p w14:paraId="4BE249E1" w14:textId="02372F33" w:rsidR="00310EFA" w:rsidRPr="009F4382" w:rsidRDefault="00310EFA" w:rsidP="00310EFA">
            <w:pPr>
              <w:keepLines/>
              <w:jc w:val="center"/>
              <w:rPr>
                <w:rFonts w:ascii="Arial Narrow" w:hAnsi="Arial Narrow" w:cs="Arial"/>
                <w:sz w:val="20"/>
                <w:szCs w:val="20"/>
              </w:rPr>
            </w:pPr>
            <w:r w:rsidRPr="009F4382">
              <w:rPr>
                <w:rFonts w:ascii="Arial Narrow" w:hAnsi="Arial Narrow" w:cs="Arial"/>
                <w:sz w:val="20"/>
                <w:szCs w:val="20"/>
              </w:rPr>
              <w:t>11846L/ Public</w:t>
            </w:r>
          </w:p>
        </w:tc>
        <w:tc>
          <w:tcPr>
            <w:tcW w:w="803" w:type="dxa"/>
          </w:tcPr>
          <w:p w14:paraId="43392C75" w14:textId="77777777" w:rsidR="00310EFA" w:rsidRPr="009F4382" w:rsidRDefault="00310EFA" w:rsidP="00310EFA">
            <w:pPr>
              <w:keepLines/>
              <w:jc w:val="center"/>
              <w:rPr>
                <w:rFonts w:ascii="Arial Narrow" w:hAnsi="Arial Narrow" w:cs="Arial"/>
                <w:sz w:val="20"/>
                <w:szCs w:val="20"/>
              </w:rPr>
            </w:pPr>
            <w:r w:rsidRPr="009F4382">
              <w:rPr>
                <w:rFonts w:ascii="Arial Narrow" w:hAnsi="Arial Narrow" w:cs="Arial"/>
                <w:sz w:val="20"/>
                <w:szCs w:val="20"/>
              </w:rPr>
              <w:t>1</w:t>
            </w:r>
          </w:p>
        </w:tc>
        <w:tc>
          <w:tcPr>
            <w:tcW w:w="803" w:type="dxa"/>
          </w:tcPr>
          <w:p w14:paraId="036B57AE" w14:textId="77777777" w:rsidR="00310EFA" w:rsidRPr="009F4382" w:rsidRDefault="00310EFA" w:rsidP="00310EFA">
            <w:pPr>
              <w:keepLines/>
              <w:jc w:val="center"/>
              <w:rPr>
                <w:rFonts w:ascii="Arial Narrow" w:hAnsi="Arial Narrow" w:cs="Arial"/>
                <w:sz w:val="20"/>
                <w:szCs w:val="20"/>
              </w:rPr>
            </w:pPr>
            <w:r w:rsidRPr="009F4382">
              <w:rPr>
                <w:rFonts w:ascii="Arial Narrow" w:hAnsi="Arial Narrow" w:cs="Arial"/>
                <w:sz w:val="20"/>
                <w:szCs w:val="20"/>
              </w:rPr>
              <w:t>1</w:t>
            </w:r>
          </w:p>
        </w:tc>
        <w:tc>
          <w:tcPr>
            <w:tcW w:w="804" w:type="dxa"/>
          </w:tcPr>
          <w:p w14:paraId="480F5327" w14:textId="0B791487" w:rsidR="00310EFA" w:rsidRPr="009F4382" w:rsidRDefault="00310EFA" w:rsidP="00310EFA">
            <w:pPr>
              <w:keepLines/>
              <w:jc w:val="center"/>
              <w:rPr>
                <w:rFonts w:ascii="Arial Narrow" w:hAnsi="Arial Narrow" w:cs="Arial"/>
                <w:sz w:val="20"/>
                <w:szCs w:val="20"/>
              </w:rPr>
            </w:pPr>
            <w:r w:rsidRPr="009F4382">
              <w:rPr>
                <w:rFonts w:ascii="Arial Narrow" w:hAnsi="Arial Narrow" w:cs="Arial"/>
                <w:sz w:val="20"/>
                <w:szCs w:val="20"/>
              </w:rPr>
              <w:t>0</w:t>
            </w:r>
          </w:p>
        </w:tc>
        <w:tc>
          <w:tcPr>
            <w:tcW w:w="799" w:type="dxa"/>
            <w:vMerge w:val="restart"/>
            <w:vAlign w:val="center"/>
          </w:tcPr>
          <w:p w14:paraId="0EF5C7B4" w14:textId="77777777" w:rsidR="00310EFA" w:rsidRPr="009F4382" w:rsidRDefault="00310EFA" w:rsidP="00310EFA">
            <w:pPr>
              <w:keepLines/>
              <w:jc w:val="center"/>
              <w:rPr>
                <w:rFonts w:ascii="Arial Narrow" w:hAnsi="Arial Narrow" w:cs="Arial"/>
                <w:sz w:val="20"/>
                <w:szCs w:val="20"/>
              </w:rPr>
            </w:pPr>
            <w:r w:rsidRPr="009F4382">
              <w:rPr>
                <w:rFonts w:ascii="Arial Narrow" w:hAnsi="Arial Narrow" w:cs="Arial"/>
                <w:sz w:val="20"/>
                <w:szCs w:val="20"/>
              </w:rPr>
              <w:t>Xolair</w:t>
            </w:r>
          </w:p>
        </w:tc>
      </w:tr>
      <w:tr w:rsidR="00310EFA" w:rsidRPr="009F4382" w14:paraId="79A6531F" w14:textId="77777777" w:rsidTr="79900132">
        <w:trPr>
          <w:cantSplit/>
          <w:trHeight w:val="300"/>
        </w:trPr>
        <w:tc>
          <w:tcPr>
            <w:tcW w:w="4531" w:type="dxa"/>
            <w:gridSpan w:val="2"/>
            <w:vAlign w:val="center"/>
          </w:tcPr>
          <w:p w14:paraId="0706DCB4" w14:textId="77777777" w:rsidR="00310EFA" w:rsidRPr="009F4382" w:rsidRDefault="00310EFA" w:rsidP="00310EFA">
            <w:pPr>
              <w:keepLines/>
              <w:rPr>
                <w:rFonts w:ascii="Arial Narrow" w:hAnsi="Arial Narrow" w:cs="Arial"/>
                <w:sz w:val="20"/>
                <w:szCs w:val="20"/>
              </w:rPr>
            </w:pPr>
            <w:r w:rsidRPr="009F4382">
              <w:rPr>
                <w:rFonts w:ascii="Arial Narrow" w:hAnsi="Arial Narrow" w:cs="Arial"/>
                <w:sz w:val="20"/>
                <w:szCs w:val="20"/>
              </w:rPr>
              <w:t>omalizumab 75 mg/0.5 mL injection, 0.5 mL syringe</w:t>
            </w:r>
          </w:p>
        </w:tc>
        <w:tc>
          <w:tcPr>
            <w:tcW w:w="1276" w:type="dxa"/>
          </w:tcPr>
          <w:p w14:paraId="2D4DA9CD" w14:textId="4C042235" w:rsidR="00310EFA" w:rsidRPr="009F4382" w:rsidRDefault="00310EFA" w:rsidP="00310EFA">
            <w:pPr>
              <w:keepLines/>
              <w:jc w:val="center"/>
              <w:rPr>
                <w:rFonts w:ascii="Arial Narrow" w:hAnsi="Arial Narrow" w:cs="Arial"/>
                <w:sz w:val="20"/>
                <w:szCs w:val="20"/>
              </w:rPr>
            </w:pPr>
            <w:r w:rsidRPr="009F4382">
              <w:rPr>
                <w:rFonts w:ascii="Arial Narrow" w:hAnsi="Arial Narrow" w:cs="Arial"/>
                <w:sz w:val="20"/>
                <w:szCs w:val="20"/>
              </w:rPr>
              <w:t>11826K/ Private</w:t>
            </w:r>
          </w:p>
        </w:tc>
        <w:tc>
          <w:tcPr>
            <w:tcW w:w="803" w:type="dxa"/>
          </w:tcPr>
          <w:p w14:paraId="1777F118" w14:textId="77777777" w:rsidR="00310EFA" w:rsidRPr="009F4382" w:rsidRDefault="00310EFA" w:rsidP="00310EFA">
            <w:pPr>
              <w:keepLines/>
              <w:jc w:val="center"/>
              <w:rPr>
                <w:rFonts w:ascii="Arial Narrow" w:hAnsi="Arial Narrow" w:cs="Arial"/>
                <w:sz w:val="20"/>
                <w:szCs w:val="20"/>
              </w:rPr>
            </w:pPr>
            <w:r w:rsidRPr="009F4382">
              <w:rPr>
                <w:rFonts w:ascii="Arial Narrow" w:hAnsi="Arial Narrow" w:cs="Arial"/>
                <w:sz w:val="20"/>
                <w:szCs w:val="20"/>
              </w:rPr>
              <w:t>1</w:t>
            </w:r>
          </w:p>
        </w:tc>
        <w:tc>
          <w:tcPr>
            <w:tcW w:w="803" w:type="dxa"/>
          </w:tcPr>
          <w:p w14:paraId="6F68F477" w14:textId="77777777" w:rsidR="00310EFA" w:rsidRPr="009F4382" w:rsidRDefault="00310EFA" w:rsidP="00310EFA">
            <w:pPr>
              <w:keepLines/>
              <w:jc w:val="center"/>
              <w:rPr>
                <w:rFonts w:ascii="Arial Narrow" w:hAnsi="Arial Narrow" w:cs="Arial"/>
                <w:sz w:val="20"/>
                <w:szCs w:val="20"/>
              </w:rPr>
            </w:pPr>
            <w:r w:rsidRPr="009F4382">
              <w:rPr>
                <w:rFonts w:ascii="Arial Narrow" w:hAnsi="Arial Narrow" w:cs="Arial"/>
                <w:sz w:val="20"/>
                <w:szCs w:val="20"/>
              </w:rPr>
              <w:t>1</w:t>
            </w:r>
          </w:p>
        </w:tc>
        <w:tc>
          <w:tcPr>
            <w:tcW w:w="804" w:type="dxa"/>
          </w:tcPr>
          <w:p w14:paraId="287775C3" w14:textId="3F15457A" w:rsidR="00310EFA" w:rsidRPr="009F4382" w:rsidRDefault="00310EFA" w:rsidP="00310EFA">
            <w:pPr>
              <w:keepLines/>
              <w:jc w:val="center"/>
              <w:rPr>
                <w:rFonts w:ascii="Arial Narrow" w:hAnsi="Arial Narrow" w:cs="Arial"/>
                <w:sz w:val="20"/>
                <w:szCs w:val="20"/>
              </w:rPr>
            </w:pPr>
            <w:r w:rsidRPr="009F4382">
              <w:rPr>
                <w:rFonts w:ascii="Arial Narrow" w:hAnsi="Arial Narrow" w:cs="Arial"/>
                <w:sz w:val="20"/>
                <w:szCs w:val="20"/>
              </w:rPr>
              <w:t>0</w:t>
            </w:r>
          </w:p>
        </w:tc>
        <w:tc>
          <w:tcPr>
            <w:tcW w:w="799" w:type="dxa"/>
            <w:vMerge/>
            <w:vAlign w:val="center"/>
          </w:tcPr>
          <w:p w14:paraId="09ED8F7D" w14:textId="77777777" w:rsidR="00310EFA" w:rsidRPr="009F4382" w:rsidRDefault="00310EFA" w:rsidP="00310EFA">
            <w:pPr>
              <w:keepLines/>
              <w:rPr>
                <w:rFonts w:ascii="Arial Narrow" w:hAnsi="Arial Narrow" w:cs="Arial"/>
                <w:sz w:val="20"/>
                <w:szCs w:val="20"/>
              </w:rPr>
            </w:pPr>
          </w:p>
        </w:tc>
      </w:tr>
      <w:tr w:rsidR="00310EFA" w:rsidRPr="009F4382" w14:paraId="05424A74" w14:textId="77777777" w:rsidTr="79900132">
        <w:trPr>
          <w:cantSplit/>
          <w:trHeight w:val="300"/>
        </w:trPr>
        <w:tc>
          <w:tcPr>
            <w:tcW w:w="4531" w:type="dxa"/>
            <w:gridSpan w:val="2"/>
            <w:vAlign w:val="center"/>
          </w:tcPr>
          <w:p w14:paraId="7CCFCC9C" w14:textId="77777777" w:rsidR="00310EFA" w:rsidRPr="009F4382" w:rsidRDefault="00310EFA" w:rsidP="00310EFA">
            <w:pPr>
              <w:keepLines/>
              <w:rPr>
                <w:rFonts w:ascii="Arial Narrow" w:hAnsi="Arial Narrow" w:cs="Arial"/>
                <w:sz w:val="20"/>
                <w:szCs w:val="20"/>
              </w:rPr>
            </w:pPr>
            <w:r w:rsidRPr="009F4382">
              <w:rPr>
                <w:rFonts w:ascii="Arial Narrow" w:hAnsi="Arial Narrow" w:cs="Arial"/>
                <w:sz w:val="20"/>
                <w:szCs w:val="20"/>
              </w:rPr>
              <w:t>omalizumab 75 mg/0.5 mL injection, 0.5 mL pen device</w:t>
            </w:r>
          </w:p>
        </w:tc>
        <w:tc>
          <w:tcPr>
            <w:tcW w:w="1276" w:type="dxa"/>
            <w:vAlign w:val="center"/>
          </w:tcPr>
          <w:p w14:paraId="4AE982B8" w14:textId="77777777" w:rsidR="00310EFA" w:rsidRPr="009F4382" w:rsidRDefault="00310EFA" w:rsidP="00310EFA">
            <w:pPr>
              <w:keepLines/>
              <w:jc w:val="center"/>
              <w:rPr>
                <w:rFonts w:ascii="Arial Narrow" w:hAnsi="Arial Narrow" w:cs="Arial"/>
                <w:iCs/>
                <w:sz w:val="20"/>
                <w:szCs w:val="20"/>
              </w:rPr>
            </w:pPr>
            <w:r w:rsidRPr="009F4382">
              <w:rPr>
                <w:rFonts w:ascii="Arial Narrow" w:hAnsi="Arial Narrow" w:cs="Arial"/>
                <w:iCs/>
                <w:sz w:val="20"/>
                <w:szCs w:val="20"/>
              </w:rPr>
              <w:t>NEW</w:t>
            </w:r>
          </w:p>
        </w:tc>
        <w:tc>
          <w:tcPr>
            <w:tcW w:w="803" w:type="dxa"/>
          </w:tcPr>
          <w:p w14:paraId="7B48A508" w14:textId="77777777" w:rsidR="00310EFA" w:rsidRPr="009F4382" w:rsidRDefault="00310EFA" w:rsidP="00310EFA">
            <w:pPr>
              <w:keepLines/>
              <w:jc w:val="center"/>
              <w:rPr>
                <w:rFonts w:ascii="Arial Narrow" w:hAnsi="Arial Narrow" w:cs="Arial"/>
                <w:sz w:val="20"/>
                <w:szCs w:val="20"/>
              </w:rPr>
            </w:pPr>
            <w:r w:rsidRPr="009F4382">
              <w:rPr>
                <w:rFonts w:ascii="Arial Narrow" w:hAnsi="Arial Narrow" w:cs="Arial"/>
                <w:sz w:val="20"/>
                <w:szCs w:val="20"/>
              </w:rPr>
              <w:t>1</w:t>
            </w:r>
          </w:p>
        </w:tc>
        <w:tc>
          <w:tcPr>
            <w:tcW w:w="803" w:type="dxa"/>
          </w:tcPr>
          <w:p w14:paraId="2CF01C18" w14:textId="77777777" w:rsidR="00310EFA" w:rsidRPr="009F4382" w:rsidRDefault="00310EFA" w:rsidP="00310EFA">
            <w:pPr>
              <w:keepLines/>
              <w:jc w:val="center"/>
              <w:rPr>
                <w:rFonts w:ascii="Arial Narrow" w:hAnsi="Arial Narrow" w:cs="Arial"/>
                <w:sz w:val="20"/>
                <w:szCs w:val="20"/>
              </w:rPr>
            </w:pPr>
            <w:r w:rsidRPr="009F4382">
              <w:rPr>
                <w:rFonts w:ascii="Arial Narrow" w:hAnsi="Arial Narrow" w:cs="Arial"/>
                <w:sz w:val="20"/>
                <w:szCs w:val="20"/>
              </w:rPr>
              <w:t>1</w:t>
            </w:r>
          </w:p>
        </w:tc>
        <w:tc>
          <w:tcPr>
            <w:tcW w:w="804" w:type="dxa"/>
          </w:tcPr>
          <w:p w14:paraId="127285AF" w14:textId="2E172945" w:rsidR="00310EFA" w:rsidRPr="009F4382" w:rsidRDefault="00310EFA" w:rsidP="00310EFA">
            <w:pPr>
              <w:keepLines/>
              <w:jc w:val="center"/>
              <w:rPr>
                <w:rFonts w:ascii="Arial Narrow" w:hAnsi="Arial Narrow" w:cs="Arial"/>
                <w:sz w:val="20"/>
                <w:szCs w:val="20"/>
              </w:rPr>
            </w:pPr>
            <w:r w:rsidRPr="009F4382">
              <w:rPr>
                <w:rFonts w:ascii="Arial Narrow" w:hAnsi="Arial Narrow" w:cs="Arial"/>
                <w:sz w:val="20"/>
                <w:szCs w:val="20"/>
              </w:rPr>
              <w:t>0</w:t>
            </w:r>
          </w:p>
        </w:tc>
        <w:tc>
          <w:tcPr>
            <w:tcW w:w="799" w:type="dxa"/>
            <w:vMerge/>
            <w:vAlign w:val="center"/>
          </w:tcPr>
          <w:p w14:paraId="4E7F508F" w14:textId="77777777" w:rsidR="00310EFA" w:rsidRPr="009F4382" w:rsidRDefault="00310EFA" w:rsidP="00310EFA">
            <w:pPr>
              <w:keepLines/>
              <w:rPr>
                <w:rFonts w:ascii="Arial Narrow" w:hAnsi="Arial Narrow" w:cs="Arial"/>
                <w:sz w:val="20"/>
                <w:szCs w:val="20"/>
              </w:rPr>
            </w:pPr>
          </w:p>
        </w:tc>
      </w:tr>
      <w:tr w:rsidR="00310EFA" w:rsidRPr="009F4382" w14:paraId="4F927AAA" w14:textId="77777777" w:rsidTr="79900132">
        <w:trPr>
          <w:cantSplit/>
          <w:trHeight w:val="300"/>
        </w:trPr>
        <w:tc>
          <w:tcPr>
            <w:tcW w:w="4531" w:type="dxa"/>
            <w:gridSpan w:val="2"/>
            <w:vAlign w:val="center"/>
          </w:tcPr>
          <w:p w14:paraId="5B2F0913" w14:textId="77777777" w:rsidR="00310EFA" w:rsidRPr="009F4382" w:rsidRDefault="00310EFA" w:rsidP="00310EFA">
            <w:pPr>
              <w:keepLines/>
              <w:rPr>
                <w:rFonts w:ascii="Arial Narrow" w:hAnsi="Arial Narrow" w:cs="Arial"/>
                <w:sz w:val="20"/>
                <w:szCs w:val="20"/>
              </w:rPr>
            </w:pPr>
            <w:r w:rsidRPr="009F4382">
              <w:rPr>
                <w:rFonts w:ascii="Arial Narrow" w:hAnsi="Arial Narrow" w:cs="Arial"/>
                <w:sz w:val="20"/>
                <w:szCs w:val="20"/>
              </w:rPr>
              <w:t>omalizumab 75 mg/0.5 mL injection, 0.5 mL pen device</w:t>
            </w:r>
          </w:p>
        </w:tc>
        <w:tc>
          <w:tcPr>
            <w:tcW w:w="1276" w:type="dxa"/>
            <w:vAlign w:val="center"/>
          </w:tcPr>
          <w:p w14:paraId="367BFBF0" w14:textId="77777777" w:rsidR="00310EFA" w:rsidRPr="009F4382" w:rsidRDefault="00310EFA" w:rsidP="00310EFA">
            <w:pPr>
              <w:keepLines/>
              <w:jc w:val="center"/>
              <w:rPr>
                <w:rFonts w:ascii="Arial Narrow" w:hAnsi="Arial Narrow" w:cs="Arial"/>
                <w:iCs/>
                <w:sz w:val="20"/>
                <w:szCs w:val="20"/>
              </w:rPr>
            </w:pPr>
            <w:r w:rsidRPr="009F4382">
              <w:rPr>
                <w:rFonts w:ascii="Arial Narrow" w:hAnsi="Arial Narrow" w:cs="Arial"/>
                <w:iCs/>
                <w:sz w:val="20"/>
                <w:szCs w:val="20"/>
              </w:rPr>
              <w:t>NEW</w:t>
            </w:r>
          </w:p>
        </w:tc>
        <w:tc>
          <w:tcPr>
            <w:tcW w:w="803" w:type="dxa"/>
          </w:tcPr>
          <w:p w14:paraId="4D7CFE74" w14:textId="77777777" w:rsidR="00310EFA" w:rsidRPr="009F4382" w:rsidRDefault="00310EFA" w:rsidP="00310EFA">
            <w:pPr>
              <w:keepLines/>
              <w:jc w:val="center"/>
              <w:rPr>
                <w:rFonts w:ascii="Arial Narrow" w:hAnsi="Arial Narrow" w:cs="Arial"/>
                <w:sz w:val="20"/>
                <w:szCs w:val="20"/>
              </w:rPr>
            </w:pPr>
            <w:r w:rsidRPr="009F4382">
              <w:rPr>
                <w:rFonts w:ascii="Arial Narrow" w:hAnsi="Arial Narrow" w:cs="Arial"/>
                <w:sz w:val="20"/>
                <w:szCs w:val="20"/>
              </w:rPr>
              <w:t>1</w:t>
            </w:r>
          </w:p>
        </w:tc>
        <w:tc>
          <w:tcPr>
            <w:tcW w:w="803" w:type="dxa"/>
          </w:tcPr>
          <w:p w14:paraId="4F3A80EE" w14:textId="77777777" w:rsidR="00310EFA" w:rsidRPr="009F4382" w:rsidRDefault="00310EFA" w:rsidP="00310EFA">
            <w:pPr>
              <w:keepLines/>
              <w:jc w:val="center"/>
              <w:rPr>
                <w:rFonts w:ascii="Arial Narrow" w:hAnsi="Arial Narrow" w:cs="Arial"/>
                <w:sz w:val="20"/>
                <w:szCs w:val="20"/>
              </w:rPr>
            </w:pPr>
            <w:r w:rsidRPr="009F4382">
              <w:rPr>
                <w:rFonts w:ascii="Arial Narrow" w:hAnsi="Arial Narrow" w:cs="Arial"/>
                <w:sz w:val="20"/>
                <w:szCs w:val="20"/>
              </w:rPr>
              <w:t>1</w:t>
            </w:r>
          </w:p>
        </w:tc>
        <w:tc>
          <w:tcPr>
            <w:tcW w:w="804" w:type="dxa"/>
          </w:tcPr>
          <w:p w14:paraId="12710DAB" w14:textId="49970EA3" w:rsidR="00310EFA" w:rsidRPr="009F4382" w:rsidRDefault="00310EFA" w:rsidP="00310EFA">
            <w:pPr>
              <w:keepLines/>
              <w:jc w:val="center"/>
              <w:rPr>
                <w:rFonts w:ascii="Arial Narrow" w:hAnsi="Arial Narrow" w:cs="Arial"/>
                <w:sz w:val="20"/>
                <w:szCs w:val="20"/>
              </w:rPr>
            </w:pPr>
            <w:r w:rsidRPr="009F4382">
              <w:rPr>
                <w:rFonts w:ascii="Arial Narrow" w:hAnsi="Arial Narrow" w:cs="Arial"/>
                <w:sz w:val="20"/>
                <w:szCs w:val="20"/>
              </w:rPr>
              <w:t>0</w:t>
            </w:r>
          </w:p>
        </w:tc>
        <w:tc>
          <w:tcPr>
            <w:tcW w:w="799" w:type="dxa"/>
            <w:vMerge/>
            <w:vAlign w:val="center"/>
          </w:tcPr>
          <w:p w14:paraId="16261F7B" w14:textId="77777777" w:rsidR="00310EFA" w:rsidRPr="009F4382" w:rsidRDefault="00310EFA" w:rsidP="00310EFA">
            <w:pPr>
              <w:keepLines/>
              <w:rPr>
                <w:rFonts w:ascii="Arial Narrow" w:hAnsi="Arial Narrow" w:cs="Arial"/>
                <w:sz w:val="20"/>
                <w:szCs w:val="20"/>
              </w:rPr>
            </w:pPr>
          </w:p>
        </w:tc>
      </w:tr>
      <w:tr w:rsidR="00310EFA" w:rsidRPr="009F4382" w14:paraId="5A3FDD92" w14:textId="77777777" w:rsidTr="79900132">
        <w:trPr>
          <w:cantSplit/>
          <w:trHeight w:val="300"/>
        </w:trPr>
        <w:tc>
          <w:tcPr>
            <w:tcW w:w="4531" w:type="dxa"/>
            <w:gridSpan w:val="2"/>
            <w:vAlign w:val="center"/>
          </w:tcPr>
          <w:p w14:paraId="4178A273" w14:textId="77777777" w:rsidR="00310EFA" w:rsidRPr="009F4382" w:rsidRDefault="00310EFA" w:rsidP="00310EFA">
            <w:pPr>
              <w:keepLines/>
              <w:rPr>
                <w:rFonts w:ascii="Arial Narrow" w:hAnsi="Arial Narrow" w:cs="Arial"/>
                <w:sz w:val="20"/>
                <w:szCs w:val="20"/>
              </w:rPr>
            </w:pPr>
            <w:r w:rsidRPr="009F4382">
              <w:rPr>
                <w:rFonts w:ascii="Arial Narrow" w:hAnsi="Arial Narrow" w:cs="Arial"/>
                <w:sz w:val="20"/>
                <w:szCs w:val="20"/>
              </w:rPr>
              <w:t>omalizumab 150 mg/mL injection, 1 mL syringe</w:t>
            </w:r>
          </w:p>
        </w:tc>
        <w:tc>
          <w:tcPr>
            <w:tcW w:w="1276" w:type="dxa"/>
            <w:vAlign w:val="center"/>
          </w:tcPr>
          <w:p w14:paraId="4BFCF5AF" w14:textId="18BB4DBC" w:rsidR="00310EFA" w:rsidRPr="009F4382" w:rsidRDefault="00310EFA" w:rsidP="00310EFA">
            <w:pPr>
              <w:keepLines/>
              <w:jc w:val="center"/>
              <w:rPr>
                <w:rFonts w:ascii="Arial Narrow" w:hAnsi="Arial Narrow" w:cs="Arial"/>
                <w:sz w:val="20"/>
                <w:szCs w:val="20"/>
              </w:rPr>
            </w:pPr>
            <w:r w:rsidRPr="009F4382">
              <w:rPr>
                <w:rFonts w:ascii="Arial Narrow" w:hAnsi="Arial Narrow" w:cs="Arial"/>
                <w:sz w:val="20"/>
                <w:szCs w:val="20"/>
              </w:rPr>
              <w:t>11828M/ Public</w:t>
            </w:r>
          </w:p>
        </w:tc>
        <w:tc>
          <w:tcPr>
            <w:tcW w:w="803" w:type="dxa"/>
          </w:tcPr>
          <w:p w14:paraId="426A2798" w14:textId="77777777" w:rsidR="00310EFA" w:rsidRPr="009F4382" w:rsidRDefault="00310EFA" w:rsidP="00310EFA">
            <w:pPr>
              <w:keepLines/>
              <w:jc w:val="center"/>
              <w:rPr>
                <w:rFonts w:ascii="Arial Narrow" w:hAnsi="Arial Narrow" w:cs="Arial"/>
                <w:sz w:val="20"/>
                <w:szCs w:val="20"/>
              </w:rPr>
            </w:pPr>
            <w:r w:rsidRPr="009F4382">
              <w:rPr>
                <w:rFonts w:ascii="Arial Narrow" w:hAnsi="Arial Narrow" w:cs="Arial"/>
                <w:sz w:val="20"/>
                <w:szCs w:val="20"/>
              </w:rPr>
              <w:t>1</w:t>
            </w:r>
          </w:p>
        </w:tc>
        <w:tc>
          <w:tcPr>
            <w:tcW w:w="803" w:type="dxa"/>
          </w:tcPr>
          <w:p w14:paraId="7D7DD712" w14:textId="77777777" w:rsidR="00310EFA" w:rsidRPr="009F4382" w:rsidRDefault="00310EFA" w:rsidP="00310EFA">
            <w:pPr>
              <w:keepLines/>
              <w:jc w:val="center"/>
              <w:rPr>
                <w:rFonts w:ascii="Arial Narrow" w:hAnsi="Arial Narrow" w:cs="Arial"/>
                <w:sz w:val="20"/>
                <w:szCs w:val="20"/>
              </w:rPr>
            </w:pPr>
            <w:r w:rsidRPr="009F4382">
              <w:rPr>
                <w:rFonts w:ascii="Arial Narrow" w:hAnsi="Arial Narrow" w:cs="Arial"/>
                <w:sz w:val="20"/>
                <w:szCs w:val="20"/>
              </w:rPr>
              <w:t>1</w:t>
            </w:r>
          </w:p>
        </w:tc>
        <w:tc>
          <w:tcPr>
            <w:tcW w:w="804" w:type="dxa"/>
          </w:tcPr>
          <w:p w14:paraId="5FB0BA1C" w14:textId="4319637F" w:rsidR="00310EFA" w:rsidRPr="009F4382" w:rsidRDefault="00310EFA" w:rsidP="00310EFA">
            <w:pPr>
              <w:keepLines/>
              <w:jc w:val="center"/>
              <w:rPr>
                <w:rFonts w:ascii="Arial Narrow" w:hAnsi="Arial Narrow" w:cs="Arial"/>
                <w:sz w:val="20"/>
                <w:szCs w:val="20"/>
              </w:rPr>
            </w:pPr>
            <w:r w:rsidRPr="009F4382">
              <w:rPr>
                <w:rFonts w:ascii="Arial Narrow" w:hAnsi="Arial Narrow" w:cs="Arial"/>
                <w:sz w:val="20"/>
                <w:szCs w:val="20"/>
              </w:rPr>
              <w:t>0</w:t>
            </w:r>
          </w:p>
        </w:tc>
        <w:tc>
          <w:tcPr>
            <w:tcW w:w="799" w:type="dxa"/>
            <w:vMerge/>
            <w:vAlign w:val="center"/>
          </w:tcPr>
          <w:p w14:paraId="19E0A5A8" w14:textId="77777777" w:rsidR="00310EFA" w:rsidRPr="009F4382" w:rsidRDefault="00310EFA" w:rsidP="00310EFA">
            <w:pPr>
              <w:keepLines/>
              <w:rPr>
                <w:rFonts w:ascii="Arial Narrow" w:hAnsi="Arial Narrow" w:cs="Arial"/>
                <w:sz w:val="20"/>
                <w:szCs w:val="20"/>
              </w:rPr>
            </w:pPr>
          </w:p>
        </w:tc>
      </w:tr>
      <w:tr w:rsidR="00310EFA" w:rsidRPr="009F4382" w14:paraId="3AAF3BB1" w14:textId="77777777" w:rsidTr="79900132">
        <w:trPr>
          <w:cantSplit/>
          <w:trHeight w:val="300"/>
        </w:trPr>
        <w:tc>
          <w:tcPr>
            <w:tcW w:w="4531" w:type="dxa"/>
            <w:gridSpan w:val="2"/>
            <w:vAlign w:val="center"/>
          </w:tcPr>
          <w:p w14:paraId="5F240513" w14:textId="77777777" w:rsidR="00310EFA" w:rsidRPr="009F4382" w:rsidRDefault="00310EFA" w:rsidP="00310EFA">
            <w:pPr>
              <w:keepLines/>
              <w:rPr>
                <w:rFonts w:ascii="Arial Narrow" w:hAnsi="Arial Narrow" w:cs="Arial"/>
                <w:sz w:val="20"/>
                <w:szCs w:val="20"/>
              </w:rPr>
            </w:pPr>
            <w:r w:rsidRPr="009F4382">
              <w:rPr>
                <w:rFonts w:ascii="Arial Narrow" w:hAnsi="Arial Narrow" w:cs="Arial"/>
                <w:sz w:val="20"/>
                <w:szCs w:val="20"/>
              </w:rPr>
              <w:t>omalizumab 150 mg/mL injection, 1 mL syringe</w:t>
            </w:r>
          </w:p>
        </w:tc>
        <w:tc>
          <w:tcPr>
            <w:tcW w:w="1276" w:type="dxa"/>
            <w:vAlign w:val="center"/>
          </w:tcPr>
          <w:p w14:paraId="03E39E58" w14:textId="73D96F14" w:rsidR="00310EFA" w:rsidRPr="009F4382" w:rsidRDefault="00310EFA" w:rsidP="00310EFA">
            <w:pPr>
              <w:keepLines/>
              <w:jc w:val="center"/>
              <w:rPr>
                <w:rFonts w:ascii="Arial Narrow" w:hAnsi="Arial Narrow" w:cs="Arial"/>
                <w:sz w:val="20"/>
                <w:szCs w:val="20"/>
              </w:rPr>
            </w:pPr>
            <w:r w:rsidRPr="009F4382">
              <w:rPr>
                <w:rFonts w:ascii="Arial Narrow" w:hAnsi="Arial Narrow" w:cs="Arial"/>
                <w:sz w:val="20"/>
                <w:szCs w:val="20"/>
              </w:rPr>
              <w:t>11825J/ Private</w:t>
            </w:r>
          </w:p>
        </w:tc>
        <w:tc>
          <w:tcPr>
            <w:tcW w:w="803" w:type="dxa"/>
          </w:tcPr>
          <w:p w14:paraId="4E3E53C9" w14:textId="77777777" w:rsidR="00310EFA" w:rsidRPr="009F4382" w:rsidRDefault="00310EFA" w:rsidP="00310EFA">
            <w:pPr>
              <w:keepLines/>
              <w:jc w:val="center"/>
              <w:rPr>
                <w:rFonts w:ascii="Arial Narrow" w:hAnsi="Arial Narrow" w:cs="Arial"/>
                <w:sz w:val="20"/>
                <w:szCs w:val="20"/>
              </w:rPr>
            </w:pPr>
            <w:r w:rsidRPr="009F4382">
              <w:rPr>
                <w:rFonts w:ascii="Arial Narrow" w:hAnsi="Arial Narrow" w:cs="Arial"/>
                <w:sz w:val="20"/>
                <w:szCs w:val="20"/>
              </w:rPr>
              <w:t>1</w:t>
            </w:r>
          </w:p>
        </w:tc>
        <w:tc>
          <w:tcPr>
            <w:tcW w:w="803" w:type="dxa"/>
          </w:tcPr>
          <w:p w14:paraId="48211A3D" w14:textId="77777777" w:rsidR="00310EFA" w:rsidRPr="009F4382" w:rsidRDefault="00310EFA" w:rsidP="00310EFA">
            <w:pPr>
              <w:keepLines/>
              <w:jc w:val="center"/>
              <w:rPr>
                <w:rFonts w:ascii="Arial Narrow" w:hAnsi="Arial Narrow" w:cs="Arial"/>
                <w:sz w:val="20"/>
                <w:szCs w:val="20"/>
              </w:rPr>
            </w:pPr>
            <w:r w:rsidRPr="009F4382">
              <w:rPr>
                <w:rFonts w:ascii="Arial Narrow" w:hAnsi="Arial Narrow" w:cs="Arial"/>
                <w:sz w:val="20"/>
                <w:szCs w:val="20"/>
              </w:rPr>
              <w:t>1</w:t>
            </w:r>
          </w:p>
        </w:tc>
        <w:tc>
          <w:tcPr>
            <w:tcW w:w="804" w:type="dxa"/>
          </w:tcPr>
          <w:p w14:paraId="38F8764B" w14:textId="400AE8A3" w:rsidR="00310EFA" w:rsidRPr="009F4382" w:rsidRDefault="00310EFA" w:rsidP="00310EFA">
            <w:pPr>
              <w:keepLines/>
              <w:jc w:val="center"/>
              <w:rPr>
                <w:rFonts w:ascii="Arial Narrow" w:hAnsi="Arial Narrow" w:cs="Arial"/>
                <w:sz w:val="20"/>
                <w:szCs w:val="20"/>
              </w:rPr>
            </w:pPr>
            <w:r w:rsidRPr="009F4382">
              <w:rPr>
                <w:rFonts w:ascii="Arial Narrow" w:hAnsi="Arial Narrow" w:cs="Arial"/>
                <w:sz w:val="20"/>
                <w:szCs w:val="20"/>
              </w:rPr>
              <w:t>0</w:t>
            </w:r>
          </w:p>
        </w:tc>
        <w:tc>
          <w:tcPr>
            <w:tcW w:w="799" w:type="dxa"/>
            <w:vMerge/>
            <w:vAlign w:val="center"/>
          </w:tcPr>
          <w:p w14:paraId="2EDEF6CF" w14:textId="77777777" w:rsidR="00310EFA" w:rsidRPr="009F4382" w:rsidRDefault="00310EFA" w:rsidP="00310EFA">
            <w:pPr>
              <w:keepLines/>
              <w:rPr>
                <w:rFonts w:ascii="Arial Narrow" w:hAnsi="Arial Narrow" w:cs="Arial"/>
                <w:sz w:val="20"/>
                <w:szCs w:val="20"/>
              </w:rPr>
            </w:pPr>
          </w:p>
        </w:tc>
      </w:tr>
      <w:tr w:rsidR="00F41549" w:rsidRPr="009F4382" w14:paraId="7939C7C2" w14:textId="77777777" w:rsidTr="79900132">
        <w:trPr>
          <w:cantSplit/>
          <w:trHeight w:val="300"/>
        </w:trPr>
        <w:tc>
          <w:tcPr>
            <w:tcW w:w="4531" w:type="dxa"/>
            <w:gridSpan w:val="2"/>
            <w:vAlign w:val="center"/>
          </w:tcPr>
          <w:p w14:paraId="6F91BCA1" w14:textId="77777777" w:rsidR="00F41549" w:rsidRPr="009F4382" w:rsidRDefault="00F41549" w:rsidP="00F41549">
            <w:pPr>
              <w:keepLines/>
              <w:rPr>
                <w:rFonts w:ascii="Arial Narrow" w:hAnsi="Arial Narrow" w:cs="Arial"/>
                <w:sz w:val="20"/>
                <w:szCs w:val="20"/>
              </w:rPr>
            </w:pPr>
            <w:r w:rsidRPr="009F4382">
              <w:rPr>
                <w:rFonts w:ascii="Arial Narrow" w:hAnsi="Arial Narrow" w:cs="Arial"/>
                <w:sz w:val="20"/>
                <w:szCs w:val="20"/>
              </w:rPr>
              <w:t>omalizumab 150 mg/mL injection, 1 mL pen device</w:t>
            </w:r>
          </w:p>
        </w:tc>
        <w:tc>
          <w:tcPr>
            <w:tcW w:w="1276" w:type="dxa"/>
            <w:vAlign w:val="center"/>
          </w:tcPr>
          <w:p w14:paraId="44FE69B2" w14:textId="50E9137C" w:rsidR="00F41549" w:rsidRPr="009F4382" w:rsidRDefault="00F41549" w:rsidP="00F41549">
            <w:pPr>
              <w:keepLines/>
              <w:jc w:val="center"/>
              <w:rPr>
                <w:rFonts w:ascii="Arial Narrow" w:hAnsi="Arial Narrow" w:cs="Arial"/>
                <w:iCs/>
                <w:sz w:val="20"/>
                <w:szCs w:val="20"/>
              </w:rPr>
            </w:pPr>
            <w:r w:rsidRPr="009F4382">
              <w:rPr>
                <w:rFonts w:ascii="Arial Narrow" w:hAnsi="Arial Narrow" w:cs="Arial"/>
                <w:iCs/>
                <w:sz w:val="20"/>
                <w:szCs w:val="20"/>
              </w:rPr>
              <w:t>NEW/ Public</w:t>
            </w:r>
          </w:p>
        </w:tc>
        <w:tc>
          <w:tcPr>
            <w:tcW w:w="803" w:type="dxa"/>
          </w:tcPr>
          <w:p w14:paraId="6F299938" w14:textId="77777777" w:rsidR="00F41549" w:rsidRPr="009F4382" w:rsidRDefault="00F41549" w:rsidP="00F41549">
            <w:pPr>
              <w:keepLines/>
              <w:jc w:val="center"/>
              <w:rPr>
                <w:rFonts w:ascii="Arial Narrow" w:hAnsi="Arial Narrow" w:cs="Arial"/>
                <w:sz w:val="20"/>
                <w:szCs w:val="20"/>
              </w:rPr>
            </w:pPr>
            <w:r w:rsidRPr="009F4382">
              <w:rPr>
                <w:rFonts w:ascii="Arial Narrow" w:hAnsi="Arial Narrow" w:cs="Arial"/>
                <w:sz w:val="20"/>
                <w:szCs w:val="20"/>
              </w:rPr>
              <w:t>1</w:t>
            </w:r>
          </w:p>
        </w:tc>
        <w:tc>
          <w:tcPr>
            <w:tcW w:w="803" w:type="dxa"/>
          </w:tcPr>
          <w:p w14:paraId="29E7E518" w14:textId="77777777" w:rsidR="00F41549" w:rsidRPr="009F4382" w:rsidRDefault="00F41549" w:rsidP="00F41549">
            <w:pPr>
              <w:keepLines/>
              <w:jc w:val="center"/>
              <w:rPr>
                <w:rFonts w:ascii="Arial Narrow" w:hAnsi="Arial Narrow" w:cs="Arial"/>
                <w:sz w:val="20"/>
                <w:szCs w:val="20"/>
              </w:rPr>
            </w:pPr>
            <w:r w:rsidRPr="009F4382">
              <w:rPr>
                <w:rFonts w:ascii="Arial Narrow" w:hAnsi="Arial Narrow" w:cs="Arial"/>
                <w:sz w:val="20"/>
                <w:szCs w:val="20"/>
              </w:rPr>
              <w:t>1</w:t>
            </w:r>
          </w:p>
        </w:tc>
        <w:tc>
          <w:tcPr>
            <w:tcW w:w="804" w:type="dxa"/>
          </w:tcPr>
          <w:p w14:paraId="404C84FD" w14:textId="7D8B8576" w:rsidR="00F41549" w:rsidRPr="009F4382" w:rsidRDefault="00F41549" w:rsidP="00F41549">
            <w:pPr>
              <w:keepLines/>
              <w:jc w:val="center"/>
              <w:rPr>
                <w:rFonts w:ascii="Arial Narrow" w:hAnsi="Arial Narrow" w:cs="Arial"/>
                <w:sz w:val="20"/>
                <w:szCs w:val="20"/>
              </w:rPr>
            </w:pPr>
            <w:r w:rsidRPr="009F4382">
              <w:rPr>
                <w:rFonts w:ascii="Arial Narrow" w:hAnsi="Arial Narrow" w:cs="Arial"/>
                <w:sz w:val="20"/>
                <w:szCs w:val="20"/>
              </w:rPr>
              <w:t>0</w:t>
            </w:r>
          </w:p>
        </w:tc>
        <w:tc>
          <w:tcPr>
            <w:tcW w:w="799" w:type="dxa"/>
            <w:vMerge/>
            <w:vAlign w:val="center"/>
          </w:tcPr>
          <w:p w14:paraId="5296AB63" w14:textId="77777777" w:rsidR="00F41549" w:rsidRPr="009F4382" w:rsidRDefault="00F41549" w:rsidP="00F41549">
            <w:pPr>
              <w:keepLines/>
              <w:rPr>
                <w:rFonts w:ascii="Arial Narrow" w:hAnsi="Arial Narrow" w:cs="Arial"/>
                <w:sz w:val="20"/>
                <w:szCs w:val="20"/>
              </w:rPr>
            </w:pPr>
          </w:p>
        </w:tc>
      </w:tr>
      <w:tr w:rsidR="00F41549" w:rsidRPr="009F4382" w14:paraId="77BE3788" w14:textId="77777777" w:rsidTr="79900132">
        <w:trPr>
          <w:cantSplit/>
          <w:trHeight w:val="300"/>
        </w:trPr>
        <w:tc>
          <w:tcPr>
            <w:tcW w:w="4531" w:type="dxa"/>
            <w:gridSpan w:val="2"/>
            <w:vAlign w:val="center"/>
          </w:tcPr>
          <w:p w14:paraId="38B152AA" w14:textId="77777777" w:rsidR="00F41549" w:rsidRPr="009F4382" w:rsidRDefault="00F41549" w:rsidP="00F41549">
            <w:pPr>
              <w:keepLines/>
              <w:rPr>
                <w:rFonts w:ascii="Arial Narrow" w:hAnsi="Arial Narrow" w:cs="Arial"/>
                <w:sz w:val="20"/>
                <w:szCs w:val="20"/>
              </w:rPr>
            </w:pPr>
            <w:r w:rsidRPr="009F4382">
              <w:rPr>
                <w:rFonts w:ascii="Arial Narrow" w:hAnsi="Arial Narrow" w:cs="Arial"/>
                <w:sz w:val="20"/>
                <w:szCs w:val="20"/>
              </w:rPr>
              <w:t>omalizumab 150 mg/mL injection, 1 mL pen device</w:t>
            </w:r>
          </w:p>
        </w:tc>
        <w:tc>
          <w:tcPr>
            <w:tcW w:w="1276" w:type="dxa"/>
            <w:vAlign w:val="center"/>
          </w:tcPr>
          <w:p w14:paraId="05BD20E6" w14:textId="189D597C" w:rsidR="00F41549" w:rsidRPr="009F4382" w:rsidRDefault="00F41549" w:rsidP="00F41549">
            <w:pPr>
              <w:keepLines/>
              <w:jc w:val="center"/>
              <w:rPr>
                <w:rFonts w:ascii="Arial Narrow" w:hAnsi="Arial Narrow" w:cs="Arial"/>
                <w:iCs/>
                <w:sz w:val="20"/>
                <w:szCs w:val="20"/>
              </w:rPr>
            </w:pPr>
            <w:r w:rsidRPr="009F4382">
              <w:rPr>
                <w:rFonts w:ascii="Arial Narrow" w:hAnsi="Arial Narrow" w:cs="Arial"/>
                <w:iCs/>
                <w:sz w:val="20"/>
                <w:szCs w:val="20"/>
              </w:rPr>
              <w:t>NEW/ Private</w:t>
            </w:r>
          </w:p>
        </w:tc>
        <w:tc>
          <w:tcPr>
            <w:tcW w:w="803" w:type="dxa"/>
          </w:tcPr>
          <w:p w14:paraId="43A3C290" w14:textId="77777777" w:rsidR="00F41549" w:rsidRPr="009F4382" w:rsidRDefault="00F41549" w:rsidP="00F41549">
            <w:pPr>
              <w:keepLines/>
              <w:jc w:val="center"/>
              <w:rPr>
                <w:rFonts w:ascii="Arial Narrow" w:hAnsi="Arial Narrow" w:cs="Arial"/>
                <w:sz w:val="20"/>
                <w:szCs w:val="20"/>
              </w:rPr>
            </w:pPr>
            <w:r w:rsidRPr="009F4382">
              <w:rPr>
                <w:rFonts w:ascii="Arial Narrow" w:hAnsi="Arial Narrow" w:cs="Arial"/>
                <w:sz w:val="20"/>
                <w:szCs w:val="20"/>
              </w:rPr>
              <w:t>1</w:t>
            </w:r>
          </w:p>
        </w:tc>
        <w:tc>
          <w:tcPr>
            <w:tcW w:w="803" w:type="dxa"/>
          </w:tcPr>
          <w:p w14:paraId="7C6BF230" w14:textId="77777777" w:rsidR="00F41549" w:rsidRPr="009F4382" w:rsidRDefault="00F41549" w:rsidP="00F41549">
            <w:pPr>
              <w:keepLines/>
              <w:jc w:val="center"/>
              <w:rPr>
                <w:rFonts w:ascii="Arial Narrow" w:hAnsi="Arial Narrow" w:cs="Arial"/>
                <w:sz w:val="20"/>
                <w:szCs w:val="20"/>
              </w:rPr>
            </w:pPr>
            <w:r w:rsidRPr="009F4382">
              <w:rPr>
                <w:rFonts w:ascii="Arial Narrow" w:hAnsi="Arial Narrow" w:cs="Arial"/>
                <w:sz w:val="20"/>
                <w:szCs w:val="20"/>
              </w:rPr>
              <w:t>1</w:t>
            </w:r>
          </w:p>
        </w:tc>
        <w:tc>
          <w:tcPr>
            <w:tcW w:w="804" w:type="dxa"/>
          </w:tcPr>
          <w:p w14:paraId="54372082" w14:textId="6C8BEE4F" w:rsidR="00F41549" w:rsidRPr="009F4382" w:rsidRDefault="00F41549" w:rsidP="00F41549">
            <w:pPr>
              <w:keepLines/>
              <w:jc w:val="center"/>
              <w:rPr>
                <w:rFonts w:ascii="Arial Narrow" w:hAnsi="Arial Narrow" w:cs="Arial"/>
                <w:sz w:val="20"/>
                <w:szCs w:val="20"/>
              </w:rPr>
            </w:pPr>
            <w:r w:rsidRPr="009F4382">
              <w:rPr>
                <w:rFonts w:ascii="Arial Narrow" w:hAnsi="Arial Narrow" w:cs="Arial"/>
                <w:sz w:val="20"/>
                <w:szCs w:val="20"/>
              </w:rPr>
              <w:t>0</w:t>
            </w:r>
          </w:p>
        </w:tc>
        <w:tc>
          <w:tcPr>
            <w:tcW w:w="799" w:type="dxa"/>
            <w:vMerge/>
            <w:vAlign w:val="center"/>
          </w:tcPr>
          <w:p w14:paraId="61E70BD8" w14:textId="77777777" w:rsidR="00F41549" w:rsidRPr="009F4382" w:rsidRDefault="00F41549" w:rsidP="00F41549">
            <w:pPr>
              <w:keepLines/>
              <w:rPr>
                <w:rFonts w:ascii="Arial Narrow" w:hAnsi="Arial Narrow" w:cs="Arial"/>
                <w:sz w:val="20"/>
                <w:szCs w:val="20"/>
              </w:rPr>
            </w:pPr>
          </w:p>
        </w:tc>
      </w:tr>
      <w:tr w:rsidR="00F41549" w:rsidRPr="009F4382" w14:paraId="57B161A3" w14:textId="77777777" w:rsidTr="79900132">
        <w:trPr>
          <w:cantSplit/>
          <w:trHeight w:val="300"/>
        </w:trPr>
        <w:tc>
          <w:tcPr>
            <w:tcW w:w="4531" w:type="dxa"/>
            <w:gridSpan w:val="2"/>
            <w:vAlign w:val="center"/>
          </w:tcPr>
          <w:p w14:paraId="576542FB" w14:textId="77777777" w:rsidR="00F41549" w:rsidRPr="009F4382" w:rsidRDefault="00F41549" w:rsidP="00F41549">
            <w:pPr>
              <w:keepLines/>
              <w:rPr>
                <w:rFonts w:ascii="Arial Narrow" w:hAnsi="Arial Narrow" w:cs="Arial"/>
                <w:sz w:val="20"/>
                <w:szCs w:val="20"/>
              </w:rPr>
            </w:pPr>
            <w:r w:rsidRPr="009F4382">
              <w:rPr>
                <w:rFonts w:ascii="Arial Narrow" w:hAnsi="Arial Narrow" w:cs="Arial"/>
                <w:sz w:val="20"/>
                <w:szCs w:val="20"/>
              </w:rPr>
              <w:t>omalizumab 300 mg/2 mL injection, 2 mL syringe</w:t>
            </w:r>
          </w:p>
        </w:tc>
        <w:tc>
          <w:tcPr>
            <w:tcW w:w="1276" w:type="dxa"/>
            <w:vAlign w:val="center"/>
          </w:tcPr>
          <w:p w14:paraId="62C78AA5" w14:textId="677EB0ED" w:rsidR="00F41549" w:rsidRPr="009F4382" w:rsidRDefault="00F41549" w:rsidP="00F41549">
            <w:pPr>
              <w:keepLines/>
              <w:jc w:val="center"/>
              <w:rPr>
                <w:rFonts w:ascii="Arial Narrow" w:hAnsi="Arial Narrow" w:cs="Arial"/>
                <w:iCs/>
                <w:sz w:val="20"/>
                <w:szCs w:val="20"/>
              </w:rPr>
            </w:pPr>
            <w:r w:rsidRPr="009F4382">
              <w:rPr>
                <w:rFonts w:ascii="Arial Narrow" w:hAnsi="Arial Narrow" w:cs="Arial"/>
                <w:iCs/>
                <w:sz w:val="20"/>
                <w:szCs w:val="20"/>
              </w:rPr>
              <w:t>NEW/ Public</w:t>
            </w:r>
          </w:p>
        </w:tc>
        <w:tc>
          <w:tcPr>
            <w:tcW w:w="803" w:type="dxa"/>
          </w:tcPr>
          <w:p w14:paraId="1C1ED8A0" w14:textId="77777777" w:rsidR="00F41549" w:rsidRPr="009F4382" w:rsidRDefault="00F41549" w:rsidP="00F41549">
            <w:pPr>
              <w:keepLines/>
              <w:jc w:val="center"/>
              <w:rPr>
                <w:rFonts w:ascii="Arial Narrow" w:hAnsi="Arial Narrow" w:cs="Arial"/>
                <w:sz w:val="20"/>
                <w:szCs w:val="20"/>
              </w:rPr>
            </w:pPr>
            <w:r w:rsidRPr="009F4382">
              <w:rPr>
                <w:rFonts w:ascii="Arial Narrow" w:hAnsi="Arial Narrow" w:cs="Arial"/>
                <w:sz w:val="20"/>
                <w:szCs w:val="20"/>
              </w:rPr>
              <w:t>1</w:t>
            </w:r>
          </w:p>
        </w:tc>
        <w:tc>
          <w:tcPr>
            <w:tcW w:w="803" w:type="dxa"/>
          </w:tcPr>
          <w:p w14:paraId="66692F31" w14:textId="77777777" w:rsidR="00F41549" w:rsidRPr="009F4382" w:rsidRDefault="00F41549" w:rsidP="00F41549">
            <w:pPr>
              <w:keepLines/>
              <w:jc w:val="center"/>
              <w:rPr>
                <w:rFonts w:ascii="Arial Narrow" w:hAnsi="Arial Narrow" w:cs="Arial"/>
                <w:sz w:val="20"/>
                <w:szCs w:val="20"/>
              </w:rPr>
            </w:pPr>
            <w:r w:rsidRPr="009F4382">
              <w:rPr>
                <w:rFonts w:ascii="Arial Narrow" w:hAnsi="Arial Narrow" w:cs="Arial"/>
                <w:sz w:val="20"/>
                <w:szCs w:val="20"/>
              </w:rPr>
              <w:t>1</w:t>
            </w:r>
          </w:p>
        </w:tc>
        <w:tc>
          <w:tcPr>
            <w:tcW w:w="804" w:type="dxa"/>
          </w:tcPr>
          <w:p w14:paraId="6C444610" w14:textId="4F424303" w:rsidR="00F41549" w:rsidRPr="009F4382" w:rsidRDefault="00F41549" w:rsidP="00F41549">
            <w:pPr>
              <w:keepLines/>
              <w:jc w:val="center"/>
              <w:rPr>
                <w:rFonts w:ascii="Arial Narrow" w:hAnsi="Arial Narrow" w:cs="Arial"/>
                <w:sz w:val="20"/>
                <w:szCs w:val="20"/>
              </w:rPr>
            </w:pPr>
            <w:r w:rsidRPr="009F4382">
              <w:rPr>
                <w:rFonts w:ascii="Arial Narrow" w:hAnsi="Arial Narrow" w:cs="Arial"/>
                <w:sz w:val="20"/>
                <w:szCs w:val="20"/>
              </w:rPr>
              <w:t>0</w:t>
            </w:r>
          </w:p>
        </w:tc>
        <w:tc>
          <w:tcPr>
            <w:tcW w:w="799" w:type="dxa"/>
            <w:vMerge/>
            <w:vAlign w:val="center"/>
          </w:tcPr>
          <w:p w14:paraId="1240B6CC" w14:textId="77777777" w:rsidR="00F41549" w:rsidRPr="009F4382" w:rsidRDefault="00F41549" w:rsidP="00F41549">
            <w:pPr>
              <w:keepLines/>
              <w:rPr>
                <w:rFonts w:ascii="Arial Narrow" w:hAnsi="Arial Narrow" w:cs="Arial"/>
                <w:sz w:val="20"/>
                <w:szCs w:val="20"/>
              </w:rPr>
            </w:pPr>
          </w:p>
        </w:tc>
      </w:tr>
      <w:tr w:rsidR="00F41549" w:rsidRPr="009F4382" w14:paraId="7AA112B5" w14:textId="77777777" w:rsidTr="79900132">
        <w:trPr>
          <w:cantSplit/>
          <w:trHeight w:val="300"/>
        </w:trPr>
        <w:tc>
          <w:tcPr>
            <w:tcW w:w="4531" w:type="dxa"/>
            <w:gridSpan w:val="2"/>
            <w:vAlign w:val="center"/>
          </w:tcPr>
          <w:p w14:paraId="4AFB8687" w14:textId="77777777" w:rsidR="00F41549" w:rsidRPr="009F4382" w:rsidRDefault="00F41549" w:rsidP="00F41549">
            <w:pPr>
              <w:keepLines/>
              <w:rPr>
                <w:rFonts w:ascii="Arial Narrow" w:hAnsi="Arial Narrow" w:cs="Arial"/>
                <w:sz w:val="20"/>
                <w:szCs w:val="20"/>
              </w:rPr>
            </w:pPr>
            <w:r w:rsidRPr="009F4382">
              <w:rPr>
                <w:rFonts w:ascii="Arial Narrow" w:hAnsi="Arial Narrow" w:cs="Arial"/>
                <w:sz w:val="20"/>
                <w:szCs w:val="20"/>
              </w:rPr>
              <w:t>omalizumab 300 mg/2 mL injection, 2 mL syringe</w:t>
            </w:r>
          </w:p>
        </w:tc>
        <w:tc>
          <w:tcPr>
            <w:tcW w:w="1276" w:type="dxa"/>
            <w:vAlign w:val="center"/>
          </w:tcPr>
          <w:p w14:paraId="2E64BA7E" w14:textId="02566DDC" w:rsidR="00F41549" w:rsidRPr="009F4382" w:rsidRDefault="00F41549" w:rsidP="00F41549">
            <w:pPr>
              <w:keepLines/>
              <w:jc w:val="center"/>
              <w:rPr>
                <w:rFonts w:ascii="Arial Narrow" w:hAnsi="Arial Narrow" w:cs="Arial"/>
                <w:iCs/>
                <w:sz w:val="20"/>
                <w:szCs w:val="20"/>
              </w:rPr>
            </w:pPr>
            <w:r w:rsidRPr="009F4382">
              <w:rPr>
                <w:rFonts w:ascii="Arial Narrow" w:hAnsi="Arial Narrow" w:cs="Arial"/>
                <w:iCs/>
                <w:sz w:val="20"/>
                <w:szCs w:val="20"/>
              </w:rPr>
              <w:t>NEW/ Private</w:t>
            </w:r>
          </w:p>
        </w:tc>
        <w:tc>
          <w:tcPr>
            <w:tcW w:w="803" w:type="dxa"/>
          </w:tcPr>
          <w:p w14:paraId="69533841" w14:textId="77777777" w:rsidR="00F41549" w:rsidRPr="009F4382" w:rsidRDefault="00F41549" w:rsidP="00F41549">
            <w:pPr>
              <w:keepLines/>
              <w:jc w:val="center"/>
              <w:rPr>
                <w:rFonts w:ascii="Arial Narrow" w:hAnsi="Arial Narrow" w:cs="Arial"/>
                <w:sz w:val="20"/>
                <w:szCs w:val="20"/>
              </w:rPr>
            </w:pPr>
            <w:r w:rsidRPr="009F4382">
              <w:rPr>
                <w:rFonts w:ascii="Arial Narrow" w:hAnsi="Arial Narrow" w:cs="Arial"/>
                <w:sz w:val="20"/>
                <w:szCs w:val="20"/>
              </w:rPr>
              <w:t>1</w:t>
            </w:r>
          </w:p>
        </w:tc>
        <w:tc>
          <w:tcPr>
            <w:tcW w:w="803" w:type="dxa"/>
          </w:tcPr>
          <w:p w14:paraId="38A21691" w14:textId="77777777" w:rsidR="00F41549" w:rsidRPr="009F4382" w:rsidRDefault="00F41549" w:rsidP="00F41549">
            <w:pPr>
              <w:keepLines/>
              <w:jc w:val="center"/>
              <w:rPr>
                <w:rFonts w:ascii="Arial Narrow" w:hAnsi="Arial Narrow" w:cs="Arial"/>
                <w:sz w:val="20"/>
                <w:szCs w:val="20"/>
              </w:rPr>
            </w:pPr>
            <w:r w:rsidRPr="009F4382">
              <w:rPr>
                <w:rFonts w:ascii="Arial Narrow" w:hAnsi="Arial Narrow" w:cs="Arial"/>
                <w:sz w:val="20"/>
                <w:szCs w:val="20"/>
              </w:rPr>
              <w:t>1</w:t>
            </w:r>
          </w:p>
        </w:tc>
        <w:tc>
          <w:tcPr>
            <w:tcW w:w="804" w:type="dxa"/>
          </w:tcPr>
          <w:p w14:paraId="3D48834E" w14:textId="3C119CBC" w:rsidR="00F41549" w:rsidRPr="009F4382" w:rsidRDefault="00F41549" w:rsidP="00F41549">
            <w:pPr>
              <w:keepLines/>
              <w:jc w:val="center"/>
              <w:rPr>
                <w:rFonts w:ascii="Arial Narrow" w:hAnsi="Arial Narrow" w:cs="Arial"/>
                <w:sz w:val="20"/>
                <w:szCs w:val="20"/>
              </w:rPr>
            </w:pPr>
            <w:r w:rsidRPr="009F4382">
              <w:rPr>
                <w:rFonts w:ascii="Arial Narrow" w:hAnsi="Arial Narrow" w:cs="Arial"/>
                <w:sz w:val="20"/>
                <w:szCs w:val="20"/>
              </w:rPr>
              <w:t>0</w:t>
            </w:r>
          </w:p>
        </w:tc>
        <w:tc>
          <w:tcPr>
            <w:tcW w:w="799" w:type="dxa"/>
            <w:vMerge/>
            <w:vAlign w:val="center"/>
          </w:tcPr>
          <w:p w14:paraId="21E21DE1" w14:textId="77777777" w:rsidR="00F41549" w:rsidRPr="009F4382" w:rsidRDefault="00F41549" w:rsidP="00F41549">
            <w:pPr>
              <w:keepLines/>
              <w:rPr>
                <w:rFonts w:ascii="Arial Narrow" w:hAnsi="Arial Narrow" w:cs="Arial"/>
                <w:sz w:val="20"/>
                <w:szCs w:val="20"/>
              </w:rPr>
            </w:pPr>
          </w:p>
        </w:tc>
      </w:tr>
      <w:tr w:rsidR="00F41549" w:rsidRPr="009F4382" w14:paraId="1D535D88" w14:textId="77777777" w:rsidTr="79900132">
        <w:trPr>
          <w:cantSplit/>
          <w:trHeight w:val="300"/>
        </w:trPr>
        <w:tc>
          <w:tcPr>
            <w:tcW w:w="4531" w:type="dxa"/>
            <w:gridSpan w:val="2"/>
            <w:vAlign w:val="center"/>
          </w:tcPr>
          <w:p w14:paraId="10579F05" w14:textId="77777777" w:rsidR="00F41549" w:rsidRPr="009F4382" w:rsidRDefault="00F41549" w:rsidP="00F41549">
            <w:pPr>
              <w:keepLines/>
              <w:rPr>
                <w:rFonts w:ascii="Arial Narrow" w:hAnsi="Arial Narrow" w:cs="Arial"/>
                <w:sz w:val="20"/>
                <w:szCs w:val="20"/>
              </w:rPr>
            </w:pPr>
            <w:r w:rsidRPr="009F4382">
              <w:rPr>
                <w:rFonts w:ascii="Arial Narrow" w:hAnsi="Arial Narrow" w:cs="Arial"/>
                <w:sz w:val="20"/>
                <w:szCs w:val="20"/>
              </w:rPr>
              <w:t>omalizumab 300 mg/2 mL injection, 2 mL pen device</w:t>
            </w:r>
          </w:p>
        </w:tc>
        <w:tc>
          <w:tcPr>
            <w:tcW w:w="1276" w:type="dxa"/>
            <w:vAlign w:val="center"/>
          </w:tcPr>
          <w:p w14:paraId="0C7C40A3" w14:textId="48C14AC4" w:rsidR="00F41549" w:rsidRPr="009F4382" w:rsidRDefault="00F41549" w:rsidP="00F41549">
            <w:pPr>
              <w:keepLines/>
              <w:jc w:val="center"/>
              <w:rPr>
                <w:rFonts w:ascii="Arial Narrow" w:hAnsi="Arial Narrow" w:cs="Arial"/>
                <w:iCs/>
                <w:sz w:val="20"/>
                <w:szCs w:val="20"/>
              </w:rPr>
            </w:pPr>
            <w:r w:rsidRPr="009F4382">
              <w:rPr>
                <w:rFonts w:ascii="Arial Narrow" w:hAnsi="Arial Narrow" w:cs="Arial"/>
                <w:iCs/>
                <w:sz w:val="20"/>
                <w:szCs w:val="20"/>
              </w:rPr>
              <w:t>NEW/ Public</w:t>
            </w:r>
          </w:p>
        </w:tc>
        <w:tc>
          <w:tcPr>
            <w:tcW w:w="803" w:type="dxa"/>
          </w:tcPr>
          <w:p w14:paraId="15C85B13" w14:textId="77777777" w:rsidR="00F41549" w:rsidRPr="009F4382" w:rsidRDefault="00F41549" w:rsidP="00F41549">
            <w:pPr>
              <w:keepLines/>
              <w:jc w:val="center"/>
              <w:rPr>
                <w:rFonts w:ascii="Arial Narrow" w:hAnsi="Arial Narrow" w:cs="Arial"/>
                <w:sz w:val="20"/>
                <w:szCs w:val="20"/>
              </w:rPr>
            </w:pPr>
            <w:r w:rsidRPr="009F4382">
              <w:rPr>
                <w:rFonts w:ascii="Arial Narrow" w:hAnsi="Arial Narrow" w:cs="Arial"/>
                <w:sz w:val="20"/>
                <w:szCs w:val="20"/>
              </w:rPr>
              <w:t>1</w:t>
            </w:r>
          </w:p>
        </w:tc>
        <w:tc>
          <w:tcPr>
            <w:tcW w:w="803" w:type="dxa"/>
          </w:tcPr>
          <w:p w14:paraId="425AA1AC" w14:textId="77777777" w:rsidR="00F41549" w:rsidRPr="009F4382" w:rsidRDefault="00F41549" w:rsidP="00F41549">
            <w:pPr>
              <w:keepLines/>
              <w:jc w:val="center"/>
              <w:rPr>
                <w:rFonts w:ascii="Arial Narrow" w:hAnsi="Arial Narrow" w:cs="Arial"/>
                <w:sz w:val="20"/>
                <w:szCs w:val="20"/>
              </w:rPr>
            </w:pPr>
            <w:r w:rsidRPr="009F4382">
              <w:rPr>
                <w:rFonts w:ascii="Arial Narrow" w:hAnsi="Arial Narrow" w:cs="Arial"/>
                <w:sz w:val="20"/>
                <w:szCs w:val="20"/>
              </w:rPr>
              <w:t>1</w:t>
            </w:r>
          </w:p>
        </w:tc>
        <w:tc>
          <w:tcPr>
            <w:tcW w:w="804" w:type="dxa"/>
          </w:tcPr>
          <w:p w14:paraId="29F91F0C" w14:textId="0AB6BF8D" w:rsidR="00F41549" w:rsidRPr="009F4382" w:rsidRDefault="00F41549" w:rsidP="00F41549">
            <w:pPr>
              <w:keepLines/>
              <w:jc w:val="center"/>
              <w:rPr>
                <w:rFonts w:ascii="Arial Narrow" w:hAnsi="Arial Narrow" w:cs="Arial"/>
                <w:sz w:val="20"/>
                <w:szCs w:val="20"/>
              </w:rPr>
            </w:pPr>
            <w:r w:rsidRPr="009F4382">
              <w:rPr>
                <w:rFonts w:ascii="Arial Narrow" w:hAnsi="Arial Narrow" w:cs="Arial"/>
                <w:sz w:val="20"/>
                <w:szCs w:val="20"/>
              </w:rPr>
              <w:t>0</w:t>
            </w:r>
          </w:p>
        </w:tc>
        <w:tc>
          <w:tcPr>
            <w:tcW w:w="799" w:type="dxa"/>
            <w:vMerge/>
            <w:vAlign w:val="center"/>
          </w:tcPr>
          <w:p w14:paraId="5528E7D9" w14:textId="77777777" w:rsidR="00F41549" w:rsidRPr="009F4382" w:rsidRDefault="00F41549" w:rsidP="00F41549">
            <w:pPr>
              <w:keepLines/>
              <w:rPr>
                <w:rFonts w:ascii="Arial Narrow" w:hAnsi="Arial Narrow" w:cs="Arial"/>
                <w:sz w:val="20"/>
                <w:szCs w:val="20"/>
              </w:rPr>
            </w:pPr>
          </w:p>
        </w:tc>
      </w:tr>
      <w:tr w:rsidR="00F41549" w:rsidRPr="009F4382" w14:paraId="0ABB4D24" w14:textId="77777777" w:rsidTr="79900132">
        <w:trPr>
          <w:cantSplit/>
          <w:trHeight w:val="300"/>
        </w:trPr>
        <w:tc>
          <w:tcPr>
            <w:tcW w:w="4531" w:type="dxa"/>
            <w:gridSpan w:val="2"/>
            <w:vAlign w:val="center"/>
          </w:tcPr>
          <w:p w14:paraId="2237DAE3" w14:textId="77777777" w:rsidR="00F41549" w:rsidRPr="009F4382" w:rsidRDefault="00F41549" w:rsidP="00F41549">
            <w:pPr>
              <w:keepLines/>
              <w:rPr>
                <w:rFonts w:ascii="Arial Narrow" w:hAnsi="Arial Narrow" w:cs="Arial"/>
                <w:sz w:val="20"/>
                <w:szCs w:val="20"/>
              </w:rPr>
            </w:pPr>
            <w:r w:rsidRPr="009F4382">
              <w:rPr>
                <w:rFonts w:ascii="Arial Narrow" w:hAnsi="Arial Narrow" w:cs="Arial"/>
                <w:sz w:val="20"/>
                <w:szCs w:val="20"/>
              </w:rPr>
              <w:t>omalizumab 300 mg/2 mL injection, 2 mL pen device</w:t>
            </w:r>
          </w:p>
        </w:tc>
        <w:tc>
          <w:tcPr>
            <w:tcW w:w="1276" w:type="dxa"/>
            <w:vAlign w:val="center"/>
          </w:tcPr>
          <w:p w14:paraId="53D4FDF2" w14:textId="3A5E23BD" w:rsidR="00F41549" w:rsidRPr="009F4382" w:rsidRDefault="00F41549" w:rsidP="00F41549">
            <w:pPr>
              <w:keepLines/>
              <w:jc w:val="center"/>
              <w:rPr>
                <w:rFonts w:ascii="Arial Narrow" w:hAnsi="Arial Narrow" w:cs="Arial"/>
                <w:sz w:val="20"/>
                <w:szCs w:val="20"/>
              </w:rPr>
            </w:pPr>
            <w:r w:rsidRPr="009F4382">
              <w:rPr>
                <w:rFonts w:ascii="Arial Narrow" w:hAnsi="Arial Narrow" w:cs="Arial"/>
                <w:iCs/>
                <w:sz w:val="20"/>
                <w:szCs w:val="20"/>
              </w:rPr>
              <w:t>NEW/ Private</w:t>
            </w:r>
          </w:p>
        </w:tc>
        <w:tc>
          <w:tcPr>
            <w:tcW w:w="803" w:type="dxa"/>
          </w:tcPr>
          <w:p w14:paraId="2D1F11B2" w14:textId="77777777" w:rsidR="00F41549" w:rsidRPr="009F4382" w:rsidRDefault="00F41549" w:rsidP="00F41549">
            <w:pPr>
              <w:keepLines/>
              <w:jc w:val="center"/>
              <w:rPr>
                <w:rFonts w:ascii="Arial Narrow" w:hAnsi="Arial Narrow" w:cs="Arial"/>
                <w:sz w:val="20"/>
                <w:szCs w:val="20"/>
              </w:rPr>
            </w:pPr>
            <w:r w:rsidRPr="009F4382">
              <w:rPr>
                <w:rFonts w:ascii="Arial Narrow" w:hAnsi="Arial Narrow" w:cs="Arial"/>
                <w:sz w:val="20"/>
                <w:szCs w:val="20"/>
              </w:rPr>
              <w:t>1</w:t>
            </w:r>
          </w:p>
        </w:tc>
        <w:tc>
          <w:tcPr>
            <w:tcW w:w="803" w:type="dxa"/>
          </w:tcPr>
          <w:p w14:paraId="1BF698E8" w14:textId="77777777" w:rsidR="00F41549" w:rsidRPr="009F4382" w:rsidRDefault="00F41549" w:rsidP="00F41549">
            <w:pPr>
              <w:keepLines/>
              <w:jc w:val="center"/>
              <w:rPr>
                <w:rFonts w:ascii="Arial Narrow" w:hAnsi="Arial Narrow" w:cs="Arial"/>
                <w:sz w:val="20"/>
                <w:szCs w:val="20"/>
              </w:rPr>
            </w:pPr>
            <w:r w:rsidRPr="009F4382">
              <w:rPr>
                <w:rFonts w:ascii="Arial Narrow" w:hAnsi="Arial Narrow" w:cs="Arial"/>
                <w:sz w:val="20"/>
                <w:szCs w:val="20"/>
              </w:rPr>
              <w:t>1</w:t>
            </w:r>
          </w:p>
        </w:tc>
        <w:tc>
          <w:tcPr>
            <w:tcW w:w="804" w:type="dxa"/>
          </w:tcPr>
          <w:p w14:paraId="5E54BB72" w14:textId="1FDF433D" w:rsidR="00F41549" w:rsidRPr="009F4382" w:rsidRDefault="00F41549" w:rsidP="00F41549">
            <w:pPr>
              <w:keepLines/>
              <w:jc w:val="center"/>
              <w:rPr>
                <w:rFonts w:ascii="Arial Narrow" w:hAnsi="Arial Narrow" w:cs="Arial"/>
                <w:sz w:val="20"/>
                <w:szCs w:val="20"/>
              </w:rPr>
            </w:pPr>
            <w:r w:rsidRPr="009F4382">
              <w:rPr>
                <w:rFonts w:ascii="Arial Narrow" w:hAnsi="Arial Narrow" w:cs="Arial"/>
                <w:sz w:val="20"/>
                <w:szCs w:val="20"/>
              </w:rPr>
              <w:t>0</w:t>
            </w:r>
          </w:p>
        </w:tc>
        <w:tc>
          <w:tcPr>
            <w:tcW w:w="799" w:type="dxa"/>
            <w:vMerge/>
            <w:vAlign w:val="center"/>
          </w:tcPr>
          <w:p w14:paraId="73A7E2F9" w14:textId="77777777" w:rsidR="00F41549" w:rsidRPr="009F4382" w:rsidRDefault="00F41549" w:rsidP="00F41549">
            <w:pPr>
              <w:keepLines/>
              <w:rPr>
                <w:rFonts w:ascii="Arial Narrow" w:hAnsi="Arial Narrow" w:cs="Arial"/>
                <w:sz w:val="20"/>
                <w:szCs w:val="20"/>
              </w:rPr>
            </w:pPr>
          </w:p>
        </w:tc>
      </w:tr>
      <w:tr w:rsidR="00AF726C" w:rsidRPr="009F4382" w14:paraId="4974F784" w14:textId="77777777" w:rsidTr="79900132">
        <w:tblPrEx>
          <w:tblCellMar>
            <w:top w:w="15" w:type="dxa"/>
            <w:bottom w:w="15" w:type="dxa"/>
          </w:tblCellMar>
        </w:tblPrEx>
        <w:trPr>
          <w:trHeight w:val="300"/>
        </w:trPr>
        <w:tc>
          <w:tcPr>
            <w:tcW w:w="9016" w:type="dxa"/>
            <w:gridSpan w:val="7"/>
            <w:tcBorders>
              <w:top w:val="single" w:sz="4" w:space="0" w:color="auto"/>
              <w:left w:val="single" w:sz="4" w:space="0" w:color="auto"/>
              <w:right w:val="single" w:sz="4" w:space="0" w:color="auto"/>
            </w:tcBorders>
            <w:vAlign w:val="center"/>
          </w:tcPr>
          <w:p w14:paraId="4E8B1A18" w14:textId="77777777" w:rsidR="00AF726C" w:rsidRPr="009F4382" w:rsidRDefault="00AF726C" w:rsidP="00B602E7">
            <w:pPr>
              <w:rPr>
                <w:rFonts w:ascii="Arial Narrow" w:hAnsi="Arial Narrow" w:cs="Arial"/>
                <w:sz w:val="20"/>
                <w:szCs w:val="20"/>
              </w:rPr>
            </w:pPr>
          </w:p>
        </w:tc>
      </w:tr>
      <w:tr w:rsidR="00AF726C" w:rsidRPr="009F4382" w14:paraId="1CA13A7E" w14:textId="77777777" w:rsidTr="79900132">
        <w:tblPrEx>
          <w:tblCellMar>
            <w:top w:w="15" w:type="dxa"/>
            <w:bottom w:w="15" w:type="dxa"/>
          </w:tblCellMar>
        </w:tblPrEx>
        <w:trPr>
          <w:trHeight w:val="300"/>
        </w:trPr>
        <w:tc>
          <w:tcPr>
            <w:tcW w:w="9016" w:type="dxa"/>
            <w:gridSpan w:val="7"/>
            <w:tcBorders>
              <w:top w:val="single" w:sz="4" w:space="0" w:color="auto"/>
              <w:left w:val="single" w:sz="4" w:space="0" w:color="auto"/>
              <w:right w:val="single" w:sz="4" w:space="0" w:color="auto"/>
            </w:tcBorders>
            <w:vAlign w:val="center"/>
          </w:tcPr>
          <w:p w14:paraId="274852E7" w14:textId="120E32C2" w:rsidR="00AF726C" w:rsidRPr="009F4382" w:rsidRDefault="00AF726C" w:rsidP="00B602E7">
            <w:pPr>
              <w:keepLines/>
              <w:rPr>
                <w:rFonts w:ascii="Arial Narrow" w:hAnsi="Arial Narrow" w:cs="Arial"/>
                <w:b/>
                <w:sz w:val="20"/>
                <w:szCs w:val="20"/>
              </w:rPr>
            </w:pPr>
            <w:r w:rsidRPr="009F4382">
              <w:rPr>
                <w:rFonts w:ascii="Arial Narrow" w:hAnsi="Arial Narrow"/>
                <w:b/>
                <w:sz w:val="20"/>
                <w:szCs w:val="20"/>
              </w:rPr>
              <w:t>Restriction Summary 153</w:t>
            </w:r>
            <w:r w:rsidR="0096245E" w:rsidRPr="009F4382">
              <w:rPr>
                <w:rFonts w:ascii="Arial Narrow" w:hAnsi="Arial Narrow"/>
                <w:b/>
                <w:sz w:val="20"/>
                <w:szCs w:val="20"/>
              </w:rPr>
              <w:t>49</w:t>
            </w:r>
            <w:r w:rsidRPr="009F4382">
              <w:rPr>
                <w:rFonts w:ascii="Arial Narrow" w:hAnsi="Arial Narrow"/>
                <w:b/>
                <w:sz w:val="20"/>
                <w:szCs w:val="20"/>
              </w:rPr>
              <w:t>/ Treatment of Concept: 153</w:t>
            </w:r>
            <w:r w:rsidR="0096245E" w:rsidRPr="009F4382">
              <w:rPr>
                <w:rFonts w:ascii="Arial Narrow" w:hAnsi="Arial Narrow"/>
                <w:b/>
                <w:sz w:val="20"/>
                <w:szCs w:val="20"/>
              </w:rPr>
              <w:t>76</w:t>
            </w:r>
          </w:p>
        </w:tc>
      </w:tr>
      <w:tr w:rsidR="00356E34" w:rsidRPr="009F4382" w14:paraId="6BAEB0B8" w14:textId="77777777" w:rsidTr="79900132">
        <w:tblPrEx>
          <w:tblCellMar>
            <w:top w:w="15" w:type="dxa"/>
            <w:bottom w:w="15" w:type="dxa"/>
          </w:tblCellMar>
        </w:tblPrEx>
        <w:trPr>
          <w:trHeight w:val="300"/>
        </w:trPr>
        <w:tc>
          <w:tcPr>
            <w:tcW w:w="1271" w:type="dxa"/>
            <w:vMerge w:val="restart"/>
            <w:tcBorders>
              <w:top w:val="single" w:sz="4" w:space="0" w:color="auto"/>
              <w:left w:val="single" w:sz="4" w:space="0" w:color="auto"/>
              <w:right w:val="single" w:sz="4" w:space="0" w:color="auto"/>
            </w:tcBorders>
          </w:tcPr>
          <w:p w14:paraId="704DADB1" w14:textId="77777777" w:rsidR="00356E34" w:rsidRPr="009F4382" w:rsidRDefault="00356E34" w:rsidP="00B602E7">
            <w:pPr>
              <w:jc w:val="center"/>
              <w:rPr>
                <w:rFonts w:ascii="Arial Narrow" w:hAnsi="Arial Narrow" w:cs="Arial"/>
                <w:b/>
                <w:sz w:val="20"/>
                <w:szCs w:val="20"/>
              </w:rPr>
            </w:pPr>
            <w:r w:rsidRPr="009F4382">
              <w:rPr>
                <w:rFonts w:ascii="Arial Narrow" w:hAnsi="Arial Narrow" w:cs="Arial"/>
                <w:b/>
                <w:sz w:val="20"/>
                <w:szCs w:val="20"/>
              </w:rPr>
              <w:t xml:space="preserve">Concept ID </w:t>
            </w:r>
            <w:r w:rsidRPr="009F4382">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F0D48CC" w14:textId="77777777" w:rsidR="00356E34" w:rsidRPr="009F4382" w:rsidRDefault="00356E34" w:rsidP="00B602E7">
            <w:pPr>
              <w:keepLines/>
              <w:rPr>
                <w:rFonts w:ascii="Arial Narrow" w:hAnsi="Arial Narrow" w:cs="Arial"/>
                <w:sz w:val="20"/>
                <w:szCs w:val="20"/>
              </w:rPr>
            </w:pPr>
            <w:r w:rsidRPr="009F4382">
              <w:rPr>
                <w:rFonts w:ascii="Arial Narrow" w:hAnsi="Arial Narrow" w:cs="Arial"/>
                <w:b/>
                <w:sz w:val="20"/>
                <w:szCs w:val="20"/>
              </w:rPr>
              <w:t>Category / Program:</w:t>
            </w:r>
            <w:r w:rsidRPr="009F4382">
              <w:rPr>
                <w:rFonts w:ascii="Arial Narrow" w:hAnsi="Arial Narrow" w:cs="Arial"/>
                <w:sz w:val="20"/>
                <w:szCs w:val="20"/>
              </w:rPr>
              <w:t xml:space="preserve"> </w:t>
            </w:r>
            <w:r w:rsidRPr="009F4382">
              <w:rPr>
                <w:rFonts w:ascii="Arial Narrow" w:eastAsia="Calibri" w:hAnsi="Arial Narrow" w:cs="Arial"/>
                <w:sz w:val="20"/>
                <w:szCs w:val="20"/>
              </w:rPr>
              <w:t>Section 100 – Highly Specialised Drugs Program – Public (Code HB)</w:t>
            </w:r>
            <w:r w:rsidRPr="009F4382">
              <w:rPr>
                <w:rFonts w:ascii="Arial Narrow" w:eastAsia="Calibri" w:hAnsi="Arial Narrow" w:cs="Arial"/>
                <w:color w:val="FF0000"/>
                <w:sz w:val="20"/>
                <w:szCs w:val="20"/>
              </w:rPr>
              <w:t xml:space="preserve"> </w:t>
            </w:r>
            <w:r w:rsidRPr="009F4382">
              <w:rPr>
                <w:rFonts w:ascii="Arial Narrow" w:eastAsia="Calibri" w:hAnsi="Arial Narrow" w:cs="Arial"/>
                <w:sz w:val="20"/>
                <w:szCs w:val="20"/>
              </w:rPr>
              <w:t>/ Private (Code HS)</w:t>
            </w:r>
          </w:p>
        </w:tc>
      </w:tr>
      <w:tr w:rsidR="00356E34" w:rsidRPr="009F4382" w14:paraId="0A368EF9" w14:textId="77777777" w:rsidTr="79900132">
        <w:tblPrEx>
          <w:tblCellMar>
            <w:top w:w="15" w:type="dxa"/>
            <w:bottom w:w="15" w:type="dxa"/>
          </w:tblCellMar>
        </w:tblPrEx>
        <w:trPr>
          <w:trHeight w:val="300"/>
        </w:trPr>
        <w:tc>
          <w:tcPr>
            <w:tcW w:w="1271" w:type="dxa"/>
            <w:vMerge/>
          </w:tcPr>
          <w:p w14:paraId="27BE715D" w14:textId="77777777" w:rsidR="00356E34" w:rsidRPr="009F4382" w:rsidRDefault="00356E34" w:rsidP="00B602E7">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00FD3A0" w14:textId="77777777" w:rsidR="00356E34" w:rsidRPr="009F4382" w:rsidRDefault="00356E34" w:rsidP="00B602E7">
            <w:pPr>
              <w:keepLines/>
              <w:rPr>
                <w:rFonts w:ascii="Arial Narrow" w:hAnsi="Arial Narrow" w:cs="Arial"/>
                <w:b/>
                <w:sz w:val="20"/>
                <w:szCs w:val="20"/>
              </w:rPr>
            </w:pPr>
            <w:r w:rsidRPr="009F4382">
              <w:rPr>
                <w:rFonts w:ascii="Arial Narrow" w:hAnsi="Arial Narrow" w:cs="Arial"/>
                <w:b/>
                <w:sz w:val="20"/>
                <w:szCs w:val="20"/>
              </w:rPr>
              <w:t xml:space="preserve">Prescriber type: </w:t>
            </w:r>
            <w:r w:rsidRPr="009F4382">
              <w:rPr>
                <w:rFonts w:ascii="Arial Narrow" w:hAnsi="Arial Narrow" w:cs="Arial"/>
                <w:sz w:val="20"/>
                <w:szCs w:val="20"/>
              </w:rPr>
              <w:fldChar w:fldCharType="begin" w:fldLock="1">
                <w:ffData>
                  <w:name w:val=""/>
                  <w:enabled/>
                  <w:calcOnExit w:val="0"/>
                  <w:checkBox>
                    <w:sizeAuto/>
                    <w:default w:val="1"/>
                  </w:checkBox>
                </w:ffData>
              </w:fldChar>
            </w:r>
            <w:r w:rsidRPr="009F4382">
              <w:rPr>
                <w:rFonts w:ascii="Arial Narrow" w:hAnsi="Arial Narrow" w:cs="Arial"/>
                <w:sz w:val="20"/>
                <w:szCs w:val="20"/>
              </w:rPr>
              <w:instrText xml:space="preserve"> FORMCHECKBOX </w:instrText>
            </w:r>
            <w:r w:rsidRPr="009F4382">
              <w:rPr>
                <w:rFonts w:ascii="Arial Narrow" w:hAnsi="Arial Narrow" w:cs="Arial"/>
                <w:sz w:val="20"/>
                <w:szCs w:val="20"/>
              </w:rPr>
            </w:r>
            <w:r w:rsidRPr="009F4382">
              <w:rPr>
                <w:rFonts w:ascii="Arial Narrow" w:hAnsi="Arial Narrow" w:cs="Arial"/>
                <w:sz w:val="20"/>
                <w:szCs w:val="20"/>
              </w:rPr>
              <w:fldChar w:fldCharType="separate"/>
            </w:r>
            <w:r w:rsidRPr="009F4382">
              <w:rPr>
                <w:rFonts w:ascii="Arial Narrow" w:hAnsi="Arial Narrow" w:cs="Arial"/>
                <w:sz w:val="20"/>
                <w:szCs w:val="20"/>
              </w:rPr>
              <w:fldChar w:fldCharType="end"/>
            </w:r>
            <w:r w:rsidRPr="009F4382">
              <w:rPr>
                <w:rFonts w:ascii="Arial Narrow" w:hAnsi="Arial Narrow" w:cs="Arial"/>
                <w:sz w:val="20"/>
                <w:szCs w:val="20"/>
              </w:rPr>
              <w:t xml:space="preserve">Medical Practitioners </w:t>
            </w:r>
          </w:p>
        </w:tc>
      </w:tr>
      <w:tr w:rsidR="00356E34" w:rsidRPr="009F4382" w14:paraId="777B408F" w14:textId="77777777" w:rsidTr="79900132">
        <w:tblPrEx>
          <w:tblCellMar>
            <w:top w:w="15" w:type="dxa"/>
            <w:bottom w:w="15" w:type="dxa"/>
          </w:tblCellMar>
        </w:tblPrEx>
        <w:trPr>
          <w:trHeight w:val="300"/>
        </w:trPr>
        <w:tc>
          <w:tcPr>
            <w:tcW w:w="1271" w:type="dxa"/>
            <w:vMerge/>
          </w:tcPr>
          <w:p w14:paraId="6A17A4DF" w14:textId="77777777" w:rsidR="00356E34" w:rsidRPr="009F4382" w:rsidRDefault="00356E34" w:rsidP="00B602E7">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81CE49E" w14:textId="77777777" w:rsidR="00356E34" w:rsidRPr="009F4382" w:rsidRDefault="00356E34" w:rsidP="00B602E7">
            <w:pPr>
              <w:keepLines/>
              <w:rPr>
                <w:rFonts w:ascii="Arial Narrow" w:eastAsia="Calibri" w:hAnsi="Arial Narrow" w:cs="Arial"/>
                <w:color w:val="FF0000"/>
                <w:sz w:val="20"/>
                <w:szCs w:val="20"/>
              </w:rPr>
            </w:pPr>
            <w:r w:rsidRPr="009F4382">
              <w:rPr>
                <w:rFonts w:ascii="Arial Narrow" w:hAnsi="Arial Narrow" w:cs="Arial"/>
                <w:b/>
                <w:sz w:val="20"/>
                <w:szCs w:val="20"/>
              </w:rPr>
              <w:t xml:space="preserve">Restriction type: </w:t>
            </w:r>
            <w:r w:rsidRPr="009F4382">
              <w:rPr>
                <w:rFonts w:ascii="Arial Narrow" w:eastAsia="Calibri" w:hAnsi="Arial Narrow" w:cs="Arial"/>
                <w:sz w:val="20"/>
                <w:szCs w:val="20"/>
              </w:rPr>
              <w:fldChar w:fldCharType="begin" w:fldLock="1">
                <w:ffData>
                  <w:name w:val=""/>
                  <w:enabled/>
                  <w:calcOnExit w:val="0"/>
                  <w:checkBox>
                    <w:sizeAuto/>
                    <w:default w:val="1"/>
                  </w:checkBox>
                </w:ffData>
              </w:fldChar>
            </w:r>
            <w:r w:rsidRPr="009F4382">
              <w:rPr>
                <w:rFonts w:ascii="Arial Narrow" w:eastAsia="Calibri" w:hAnsi="Arial Narrow" w:cs="Arial"/>
                <w:sz w:val="20"/>
                <w:szCs w:val="20"/>
              </w:rPr>
              <w:instrText xml:space="preserve"> FORMCHECKBOX </w:instrText>
            </w:r>
            <w:r w:rsidRPr="009F4382">
              <w:rPr>
                <w:rFonts w:ascii="Arial Narrow" w:eastAsia="Calibri" w:hAnsi="Arial Narrow" w:cs="Arial"/>
                <w:sz w:val="20"/>
                <w:szCs w:val="20"/>
              </w:rPr>
            </w:r>
            <w:r w:rsidRPr="009F4382">
              <w:rPr>
                <w:rFonts w:ascii="Arial Narrow" w:eastAsia="Calibri" w:hAnsi="Arial Narrow" w:cs="Arial"/>
                <w:sz w:val="20"/>
                <w:szCs w:val="20"/>
              </w:rPr>
              <w:fldChar w:fldCharType="separate"/>
            </w:r>
            <w:r w:rsidRPr="009F4382">
              <w:rPr>
                <w:rFonts w:ascii="Arial Narrow" w:eastAsia="Calibri" w:hAnsi="Arial Narrow" w:cs="Arial"/>
                <w:sz w:val="20"/>
                <w:szCs w:val="20"/>
              </w:rPr>
              <w:fldChar w:fldCharType="end"/>
            </w:r>
            <w:r w:rsidRPr="009F4382">
              <w:rPr>
                <w:rFonts w:ascii="Arial Narrow" w:eastAsia="Calibri" w:hAnsi="Arial Narrow" w:cs="Arial"/>
                <w:sz w:val="20"/>
                <w:szCs w:val="20"/>
              </w:rPr>
              <w:t>Authority Required (telephone/online PBS Authorities system)</w:t>
            </w:r>
          </w:p>
        </w:tc>
      </w:tr>
      <w:tr w:rsidR="00AF726C" w:rsidRPr="009F4382" w14:paraId="7817F8F3" w14:textId="77777777" w:rsidTr="79900132">
        <w:tblPrEx>
          <w:tblCellMar>
            <w:top w:w="15" w:type="dxa"/>
            <w:bottom w:w="15" w:type="dxa"/>
          </w:tblCellMar>
        </w:tblPrEx>
        <w:trPr>
          <w:cantSplit/>
          <w:trHeight w:val="300"/>
        </w:trPr>
        <w:tc>
          <w:tcPr>
            <w:tcW w:w="1271" w:type="dxa"/>
            <w:vAlign w:val="center"/>
            <w:hideMark/>
          </w:tcPr>
          <w:p w14:paraId="30C0AAEB" w14:textId="77777777" w:rsidR="00AF726C" w:rsidRPr="009F4382" w:rsidRDefault="00AF726C" w:rsidP="00B602E7">
            <w:pPr>
              <w:keepLines/>
              <w:jc w:val="center"/>
              <w:rPr>
                <w:rFonts w:ascii="Arial Narrow" w:hAnsi="Arial Narrow"/>
                <w:sz w:val="20"/>
                <w:szCs w:val="20"/>
              </w:rPr>
            </w:pPr>
            <w:r w:rsidRPr="009F4382">
              <w:rPr>
                <w:rFonts w:ascii="Arial Narrow" w:hAnsi="Arial Narrow"/>
                <w:sz w:val="20"/>
                <w:szCs w:val="20"/>
              </w:rPr>
              <w:t>27327</w:t>
            </w:r>
          </w:p>
        </w:tc>
        <w:tc>
          <w:tcPr>
            <w:tcW w:w="7745" w:type="dxa"/>
            <w:gridSpan w:val="6"/>
            <w:vAlign w:val="center"/>
            <w:hideMark/>
          </w:tcPr>
          <w:p w14:paraId="6A69CE30" w14:textId="77777777" w:rsidR="00AF726C" w:rsidRPr="009F4382" w:rsidRDefault="00AF726C" w:rsidP="00B602E7">
            <w:pPr>
              <w:keepLines/>
              <w:rPr>
                <w:rFonts w:ascii="Arial Narrow" w:hAnsi="Arial Narrow"/>
                <w:color w:val="333333"/>
                <w:sz w:val="20"/>
                <w:szCs w:val="20"/>
              </w:rPr>
            </w:pPr>
            <w:r w:rsidRPr="009F4382">
              <w:rPr>
                <w:rFonts w:ascii="Arial Narrow" w:hAnsi="Arial Narrow"/>
                <w:b/>
                <w:bCs/>
                <w:sz w:val="20"/>
                <w:szCs w:val="20"/>
              </w:rPr>
              <w:t>Indication:</w:t>
            </w:r>
            <w:r w:rsidRPr="009F4382">
              <w:rPr>
                <w:rFonts w:ascii="Arial Narrow" w:hAnsi="Arial Narrow"/>
                <w:sz w:val="20"/>
                <w:szCs w:val="20"/>
              </w:rPr>
              <w:t xml:space="preserve"> Uncontrolled severe asthma</w:t>
            </w:r>
          </w:p>
        </w:tc>
      </w:tr>
      <w:tr w:rsidR="00AF726C" w:rsidRPr="009F4382" w14:paraId="6A61D9CD" w14:textId="77777777" w:rsidTr="79900132">
        <w:tblPrEx>
          <w:tblCellMar>
            <w:top w:w="15" w:type="dxa"/>
            <w:bottom w:w="15" w:type="dxa"/>
          </w:tblCellMar>
        </w:tblPrEx>
        <w:trPr>
          <w:cantSplit/>
          <w:trHeight w:val="300"/>
        </w:trPr>
        <w:tc>
          <w:tcPr>
            <w:tcW w:w="1271" w:type="dxa"/>
            <w:vAlign w:val="center"/>
            <w:hideMark/>
          </w:tcPr>
          <w:p w14:paraId="4AB68999" w14:textId="77777777" w:rsidR="00AF726C" w:rsidRPr="009F4382" w:rsidRDefault="00AF726C" w:rsidP="00B602E7">
            <w:pPr>
              <w:jc w:val="center"/>
              <w:rPr>
                <w:rFonts w:ascii="Arial Narrow" w:hAnsi="Arial Narrow"/>
                <w:sz w:val="20"/>
                <w:szCs w:val="20"/>
              </w:rPr>
            </w:pPr>
          </w:p>
        </w:tc>
        <w:tc>
          <w:tcPr>
            <w:tcW w:w="7745" w:type="dxa"/>
            <w:gridSpan w:val="6"/>
            <w:vAlign w:val="center"/>
            <w:hideMark/>
          </w:tcPr>
          <w:p w14:paraId="57C98E38" w14:textId="2BDEDBD4" w:rsidR="00AF726C" w:rsidRPr="009F4382" w:rsidRDefault="00AF726C" w:rsidP="00B602E7">
            <w:pPr>
              <w:rPr>
                <w:rFonts w:ascii="Arial Narrow" w:hAnsi="Arial Narrow"/>
                <w:sz w:val="20"/>
                <w:szCs w:val="20"/>
              </w:rPr>
            </w:pPr>
            <w:r w:rsidRPr="009F4382">
              <w:rPr>
                <w:rFonts w:ascii="Arial Narrow" w:hAnsi="Arial Narrow"/>
                <w:b/>
                <w:bCs/>
                <w:sz w:val="20"/>
                <w:szCs w:val="20"/>
              </w:rPr>
              <w:t>Treatment Phase:</w:t>
            </w:r>
            <w:r w:rsidRPr="009F4382">
              <w:rPr>
                <w:rFonts w:ascii="Arial Narrow" w:hAnsi="Arial Narrow"/>
                <w:sz w:val="20"/>
                <w:szCs w:val="20"/>
              </w:rPr>
              <w:t xml:space="preserve"> </w:t>
            </w:r>
            <w:r w:rsidR="00E966FD" w:rsidRPr="009F4382">
              <w:rPr>
                <w:rFonts w:ascii="Arial Narrow" w:hAnsi="Arial Narrow"/>
                <w:sz w:val="20"/>
                <w:szCs w:val="20"/>
              </w:rPr>
              <w:t>Balance of supply</w:t>
            </w:r>
          </w:p>
        </w:tc>
      </w:tr>
      <w:tr w:rsidR="0049640A" w:rsidRPr="009F4382" w14:paraId="634A9A9B" w14:textId="77777777" w:rsidTr="79900132">
        <w:tblPrEx>
          <w:tblCellMar>
            <w:top w:w="15" w:type="dxa"/>
            <w:bottom w:w="15" w:type="dxa"/>
          </w:tblCellMar>
        </w:tblPrEx>
        <w:trPr>
          <w:cantSplit/>
          <w:trHeight w:val="300"/>
        </w:trPr>
        <w:tc>
          <w:tcPr>
            <w:tcW w:w="1271" w:type="dxa"/>
            <w:vAlign w:val="center"/>
          </w:tcPr>
          <w:p w14:paraId="1BC6CE4F" w14:textId="75E9BB60" w:rsidR="0049640A" w:rsidRPr="009F4382" w:rsidRDefault="16208FF1" w:rsidP="0049640A">
            <w:pPr>
              <w:jc w:val="center"/>
              <w:rPr>
                <w:rFonts w:ascii="Arial Narrow" w:hAnsi="Arial Narrow"/>
                <w:sz w:val="20"/>
                <w:szCs w:val="20"/>
              </w:rPr>
            </w:pPr>
            <w:r w:rsidRPr="009F4382">
              <w:rPr>
                <w:rFonts w:ascii="Arial Narrow" w:hAnsi="Arial Narrow"/>
                <w:iCs/>
                <w:sz w:val="20"/>
                <w:szCs w:val="20"/>
              </w:rPr>
              <w:t>Administrative Advice [New]</w:t>
            </w:r>
            <w:r w:rsidRPr="009F4382">
              <w:rPr>
                <w:rFonts w:ascii="Arial Narrow" w:hAnsi="Arial Narrow"/>
                <w:iCs/>
                <w:sz w:val="20"/>
                <w:szCs w:val="20"/>
                <w:vertAlign w:val="superscript"/>
              </w:rPr>
              <w:t>1</w:t>
            </w:r>
          </w:p>
        </w:tc>
        <w:tc>
          <w:tcPr>
            <w:tcW w:w="7745" w:type="dxa"/>
            <w:gridSpan w:val="6"/>
            <w:vAlign w:val="center"/>
          </w:tcPr>
          <w:p w14:paraId="22C63874" w14:textId="77777777" w:rsidR="0049640A" w:rsidRPr="009F4382" w:rsidRDefault="0049640A" w:rsidP="0049640A">
            <w:pPr>
              <w:textAlignment w:val="baseline"/>
              <w:rPr>
                <w:rFonts w:ascii="Arial Narrow" w:eastAsia="Calibri" w:hAnsi="Arial Narrow"/>
                <w:bCs/>
                <w:iCs/>
                <w:color w:val="333333"/>
                <w:sz w:val="20"/>
                <w:szCs w:val="20"/>
              </w:rPr>
            </w:pPr>
            <w:r w:rsidRPr="009F4382">
              <w:rPr>
                <w:rFonts w:ascii="Arial Narrow" w:eastAsia="Calibri" w:hAnsi="Arial Narrow"/>
                <w:bCs/>
                <w:iCs/>
                <w:color w:val="333333"/>
                <w:sz w:val="20"/>
                <w:szCs w:val="20"/>
              </w:rPr>
              <w:t xml:space="preserve">Administrative Advice: </w:t>
            </w:r>
          </w:p>
          <w:p w14:paraId="34E57F1F" w14:textId="2970873E" w:rsidR="0049640A" w:rsidRPr="009F4382" w:rsidRDefault="0049640A" w:rsidP="0049640A">
            <w:pPr>
              <w:rPr>
                <w:rFonts w:ascii="Arial Narrow" w:hAnsi="Arial Narrow"/>
                <w:b/>
                <w:bCs/>
                <w:sz w:val="20"/>
                <w:szCs w:val="20"/>
              </w:rPr>
            </w:pPr>
            <w:r w:rsidRPr="009F4382">
              <w:rPr>
                <w:rFonts w:ascii="Arial Narrow" w:hAnsi="Arial Narrow"/>
                <w:iCs/>
                <w:sz w:val="20"/>
                <w:szCs w:val="20"/>
              </w:rPr>
              <w:t>Pharmaceutical benefits that have the form omalizumab 75 mg/0.5 mL syringes and pharmaceutical benefits that have the form omalizumab 75 mg/0.5 mL pen devices are equivalent for the purposes of substitution.</w:t>
            </w:r>
          </w:p>
        </w:tc>
      </w:tr>
      <w:tr w:rsidR="0049640A" w:rsidRPr="009F4382" w14:paraId="1838FC6F" w14:textId="77777777" w:rsidTr="79900132">
        <w:tblPrEx>
          <w:tblCellMar>
            <w:top w:w="15" w:type="dxa"/>
            <w:bottom w:w="15" w:type="dxa"/>
          </w:tblCellMar>
        </w:tblPrEx>
        <w:trPr>
          <w:cantSplit/>
          <w:trHeight w:val="300"/>
        </w:trPr>
        <w:tc>
          <w:tcPr>
            <w:tcW w:w="1271" w:type="dxa"/>
            <w:vAlign w:val="center"/>
          </w:tcPr>
          <w:p w14:paraId="1EE561D5" w14:textId="5D012BD7" w:rsidR="0049640A" w:rsidRPr="009F4382" w:rsidRDefault="0049640A" w:rsidP="0049640A">
            <w:pPr>
              <w:jc w:val="center"/>
              <w:rPr>
                <w:rFonts w:ascii="Arial Narrow" w:hAnsi="Arial Narrow"/>
                <w:sz w:val="20"/>
                <w:szCs w:val="20"/>
              </w:rPr>
            </w:pPr>
            <w:r w:rsidRPr="009F4382">
              <w:rPr>
                <w:rFonts w:ascii="Arial Narrow" w:hAnsi="Arial Narrow"/>
                <w:iCs/>
                <w:sz w:val="20"/>
                <w:szCs w:val="20"/>
              </w:rPr>
              <w:lastRenderedPageBreak/>
              <w:t>Administrative Advice [New]</w:t>
            </w:r>
            <w:r w:rsidRPr="009F4382">
              <w:rPr>
                <w:rFonts w:ascii="Arial Narrow" w:hAnsi="Arial Narrow"/>
                <w:iCs/>
                <w:sz w:val="20"/>
                <w:szCs w:val="20"/>
                <w:vertAlign w:val="superscript"/>
              </w:rPr>
              <w:t>2</w:t>
            </w:r>
          </w:p>
        </w:tc>
        <w:tc>
          <w:tcPr>
            <w:tcW w:w="7745" w:type="dxa"/>
            <w:gridSpan w:val="6"/>
            <w:vAlign w:val="center"/>
          </w:tcPr>
          <w:p w14:paraId="10FBBA8A" w14:textId="77777777" w:rsidR="0049640A" w:rsidRPr="00056132" w:rsidRDefault="0049640A" w:rsidP="0049640A">
            <w:pPr>
              <w:textAlignment w:val="baseline"/>
              <w:rPr>
                <w:rFonts w:ascii="Arial Narrow" w:eastAsia="Calibri" w:hAnsi="Arial Narrow"/>
                <w:b/>
                <w:iCs/>
                <w:color w:val="333333"/>
                <w:sz w:val="20"/>
                <w:szCs w:val="20"/>
              </w:rPr>
            </w:pPr>
            <w:r w:rsidRPr="00056132">
              <w:rPr>
                <w:rFonts w:ascii="Arial Narrow" w:eastAsia="Calibri" w:hAnsi="Arial Narrow"/>
                <w:b/>
                <w:iCs/>
                <w:color w:val="333333"/>
                <w:sz w:val="20"/>
                <w:szCs w:val="20"/>
              </w:rPr>
              <w:t xml:space="preserve">Administrative Advice: </w:t>
            </w:r>
          </w:p>
          <w:p w14:paraId="60E6FB06" w14:textId="242FF509" w:rsidR="0049640A" w:rsidRPr="009F4382" w:rsidRDefault="0049640A" w:rsidP="0049640A">
            <w:pPr>
              <w:rPr>
                <w:rFonts w:ascii="Arial Narrow" w:hAnsi="Arial Narrow"/>
                <w:b/>
                <w:bCs/>
                <w:sz w:val="20"/>
                <w:szCs w:val="20"/>
              </w:rPr>
            </w:pPr>
            <w:r w:rsidRPr="009F4382">
              <w:rPr>
                <w:rFonts w:ascii="Arial Narrow" w:hAnsi="Arial Narrow"/>
                <w:iCs/>
                <w:sz w:val="20"/>
                <w:szCs w:val="20"/>
              </w:rPr>
              <w:t xml:space="preserve">Pharmaceutical benefits that have the form omalizumab </w:t>
            </w:r>
            <w:r w:rsidRPr="009F4382">
              <w:rPr>
                <w:rFonts w:ascii="Arial Narrow" w:hAnsi="Arial Narrow" w:cs="Arial"/>
                <w:iCs/>
                <w:sz w:val="20"/>
                <w:szCs w:val="20"/>
              </w:rPr>
              <w:t xml:space="preserve">150 mg/mL </w:t>
            </w:r>
            <w:r w:rsidRPr="009F4382">
              <w:rPr>
                <w:rFonts w:ascii="Arial Narrow" w:hAnsi="Arial Narrow"/>
                <w:iCs/>
                <w:sz w:val="20"/>
                <w:szCs w:val="20"/>
              </w:rPr>
              <w:t xml:space="preserve">syringes and pharmaceutical benefits that have the form omalizumab </w:t>
            </w:r>
            <w:r w:rsidRPr="009F4382">
              <w:rPr>
                <w:rFonts w:ascii="Arial Narrow" w:hAnsi="Arial Narrow" w:cs="Arial"/>
                <w:iCs/>
                <w:sz w:val="20"/>
                <w:szCs w:val="20"/>
              </w:rPr>
              <w:t xml:space="preserve">150 mg/mL </w:t>
            </w:r>
            <w:r w:rsidRPr="009F4382">
              <w:rPr>
                <w:rFonts w:ascii="Arial Narrow" w:hAnsi="Arial Narrow"/>
                <w:iCs/>
                <w:sz w:val="20"/>
                <w:szCs w:val="20"/>
              </w:rPr>
              <w:t>pen devices are equivalent for the purposes of substitution.</w:t>
            </w:r>
          </w:p>
        </w:tc>
      </w:tr>
      <w:tr w:rsidR="0049640A" w:rsidRPr="009F4382" w14:paraId="738290C1" w14:textId="77777777" w:rsidTr="79900132">
        <w:tblPrEx>
          <w:tblCellMar>
            <w:top w:w="15" w:type="dxa"/>
            <w:bottom w:w="15" w:type="dxa"/>
          </w:tblCellMar>
        </w:tblPrEx>
        <w:trPr>
          <w:cantSplit/>
          <w:trHeight w:val="300"/>
        </w:trPr>
        <w:tc>
          <w:tcPr>
            <w:tcW w:w="1271" w:type="dxa"/>
            <w:vAlign w:val="center"/>
          </w:tcPr>
          <w:p w14:paraId="5580E2FE" w14:textId="5ED816E3" w:rsidR="0049640A" w:rsidRPr="009F4382" w:rsidRDefault="0049640A" w:rsidP="0049640A">
            <w:pPr>
              <w:jc w:val="center"/>
              <w:rPr>
                <w:rFonts w:ascii="Arial Narrow" w:hAnsi="Arial Narrow"/>
                <w:sz w:val="20"/>
                <w:szCs w:val="20"/>
              </w:rPr>
            </w:pPr>
            <w:r w:rsidRPr="009F4382">
              <w:rPr>
                <w:rFonts w:ascii="Arial Narrow" w:hAnsi="Arial Narrow"/>
                <w:iCs/>
                <w:sz w:val="20"/>
                <w:szCs w:val="20"/>
              </w:rPr>
              <w:t>Administrative Advice [New]</w:t>
            </w:r>
            <w:r w:rsidRPr="009F4382">
              <w:rPr>
                <w:rFonts w:ascii="Arial Narrow" w:hAnsi="Arial Narrow"/>
                <w:iCs/>
                <w:sz w:val="20"/>
                <w:szCs w:val="20"/>
                <w:vertAlign w:val="superscript"/>
              </w:rPr>
              <w:t>3</w:t>
            </w:r>
          </w:p>
        </w:tc>
        <w:tc>
          <w:tcPr>
            <w:tcW w:w="7745" w:type="dxa"/>
            <w:gridSpan w:val="6"/>
            <w:vAlign w:val="center"/>
          </w:tcPr>
          <w:p w14:paraId="22F2DA48" w14:textId="77777777" w:rsidR="0049640A" w:rsidRPr="00056132" w:rsidRDefault="0049640A" w:rsidP="0049640A">
            <w:pPr>
              <w:textAlignment w:val="baseline"/>
              <w:rPr>
                <w:rFonts w:ascii="Arial Narrow" w:eastAsia="Calibri" w:hAnsi="Arial Narrow"/>
                <w:b/>
                <w:iCs/>
                <w:color w:val="333333"/>
                <w:sz w:val="20"/>
                <w:szCs w:val="20"/>
              </w:rPr>
            </w:pPr>
            <w:r w:rsidRPr="00056132">
              <w:rPr>
                <w:rFonts w:ascii="Arial Narrow" w:eastAsia="Calibri" w:hAnsi="Arial Narrow"/>
                <w:b/>
                <w:iCs/>
                <w:color w:val="333333"/>
                <w:sz w:val="20"/>
                <w:szCs w:val="20"/>
              </w:rPr>
              <w:t xml:space="preserve">Administrative Advice: </w:t>
            </w:r>
          </w:p>
          <w:p w14:paraId="4C910BE8" w14:textId="59ACD180" w:rsidR="0049640A" w:rsidRPr="009F4382" w:rsidRDefault="0049640A" w:rsidP="0049640A">
            <w:pPr>
              <w:rPr>
                <w:rFonts w:ascii="Arial Narrow" w:hAnsi="Arial Narrow"/>
                <w:b/>
                <w:bCs/>
                <w:sz w:val="20"/>
                <w:szCs w:val="20"/>
              </w:rPr>
            </w:pPr>
            <w:r w:rsidRPr="009F4382">
              <w:rPr>
                <w:rFonts w:ascii="Arial Narrow" w:hAnsi="Arial Narrow"/>
                <w:iCs/>
                <w:sz w:val="20"/>
                <w:szCs w:val="20"/>
              </w:rPr>
              <w:t xml:space="preserve">Pharmaceutical benefits that have the form omalizumab </w:t>
            </w:r>
            <w:r w:rsidRPr="009F4382">
              <w:rPr>
                <w:rFonts w:ascii="Arial Narrow" w:hAnsi="Arial Narrow" w:cs="Arial"/>
                <w:iCs/>
                <w:sz w:val="20"/>
                <w:szCs w:val="20"/>
              </w:rPr>
              <w:t xml:space="preserve">300 mg/2 mL </w:t>
            </w:r>
            <w:r w:rsidRPr="009F4382">
              <w:rPr>
                <w:rFonts w:ascii="Arial Narrow" w:hAnsi="Arial Narrow"/>
                <w:iCs/>
                <w:sz w:val="20"/>
                <w:szCs w:val="20"/>
              </w:rPr>
              <w:t xml:space="preserve">syringes and pharmaceutical benefits that have the form omalizumab </w:t>
            </w:r>
            <w:r w:rsidRPr="009F4382">
              <w:rPr>
                <w:rFonts w:ascii="Arial Narrow" w:hAnsi="Arial Narrow" w:cs="Arial"/>
                <w:iCs/>
                <w:sz w:val="20"/>
                <w:szCs w:val="20"/>
              </w:rPr>
              <w:t xml:space="preserve">300 mg/2 mL </w:t>
            </w:r>
            <w:r w:rsidRPr="009F4382">
              <w:rPr>
                <w:rFonts w:ascii="Arial Narrow" w:hAnsi="Arial Narrow"/>
                <w:iCs/>
                <w:sz w:val="20"/>
                <w:szCs w:val="20"/>
              </w:rPr>
              <w:t>pen devices are equivalent for the purposes of substitution.</w:t>
            </w:r>
          </w:p>
        </w:tc>
      </w:tr>
    </w:tbl>
    <w:p w14:paraId="21406FB5" w14:textId="23FD4446" w:rsidR="00E7594F" w:rsidRPr="00D47039" w:rsidRDefault="008E1231" w:rsidP="00400AF5">
      <w:pPr>
        <w:pStyle w:val="4-SubsectionHeading"/>
        <w:rPr>
          <w:lang w:eastAsia="en-US"/>
        </w:rPr>
      </w:pPr>
      <w:r w:rsidRPr="00D47039">
        <w:rPr>
          <w:lang w:eastAsia="en-US"/>
        </w:rPr>
        <w:t>Uncontrolled severe allergic asthma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w:tblDescription w:val="Indication: Uncontrolled severe allergic asthma&#10;Treatment phase: Initial treatment"/>
      </w:tblPr>
      <w:tblGrid>
        <w:gridCol w:w="1271"/>
        <w:gridCol w:w="3260"/>
        <w:gridCol w:w="1276"/>
        <w:gridCol w:w="803"/>
        <w:gridCol w:w="803"/>
        <w:gridCol w:w="804"/>
        <w:gridCol w:w="799"/>
      </w:tblGrid>
      <w:tr w:rsidR="00D37A0D" w:rsidRPr="009F4382" w14:paraId="71A87085" w14:textId="77777777" w:rsidTr="79900132">
        <w:trPr>
          <w:cantSplit/>
          <w:trHeight w:val="20"/>
        </w:trPr>
        <w:tc>
          <w:tcPr>
            <w:tcW w:w="4531" w:type="dxa"/>
            <w:gridSpan w:val="2"/>
            <w:vAlign w:val="center"/>
          </w:tcPr>
          <w:p w14:paraId="5A1CD0D3" w14:textId="77777777" w:rsidR="00D37A0D" w:rsidRPr="009F4382" w:rsidRDefault="00D37A0D" w:rsidP="00B602E7">
            <w:pPr>
              <w:keepLines/>
              <w:rPr>
                <w:rFonts w:ascii="Arial Narrow" w:hAnsi="Arial Narrow" w:cs="Arial"/>
                <w:b/>
                <w:bCs/>
                <w:sz w:val="20"/>
                <w:szCs w:val="20"/>
              </w:rPr>
            </w:pPr>
            <w:r w:rsidRPr="009F4382">
              <w:rPr>
                <w:rFonts w:ascii="Arial Narrow" w:hAnsi="Arial Narrow" w:cs="Arial"/>
                <w:b/>
                <w:bCs/>
                <w:sz w:val="20"/>
                <w:szCs w:val="20"/>
              </w:rPr>
              <w:t>MEDICINAL PRODUCT</w:t>
            </w:r>
          </w:p>
          <w:p w14:paraId="1E8424F7" w14:textId="77777777" w:rsidR="00D37A0D" w:rsidRPr="009F4382" w:rsidRDefault="00D37A0D" w:rsidP="00B602E7">
            <w:pPr>
              <w:keepLines/>
              <w:rPr>
                <w:rFonts w:ascii="Arial Narrow" w:hAnsi="Arial Narrow" w:cs="Arial"/>
                <w:b/>
                <w:sz w:val="20"/>
                <w:szCs w:val="20"/>
              </w:rPr>
            </w:pPr>
            <w:r w:rsidRPr="009F4382">
              <w:rPr>
                <w:rFonts w:ascii="Arial Narrow" w:hAnsi="Arial Narrow" w:cs="Arial"/>
                <w:b/>
                <w:bCs/>
                <w:sz w:val="20"/>
                <w:szCs w:val="20"/>
              </w:rPr>
              <w:t>medicinal product pack</w:t>
            </w:r>
          </w:p>
        </w:tc>
        <w:tc>
          <w:tcPr>
            <w:tcW w:w="1276" w:type="dxa"/>
            <w:vAlign w:val="center"/>
          </w:tcPr>
          <w:p w14:paraId="4E8AEA4D" w14:textId="77777777" w:rsidR="00D37A0D" w:rsidRPr="009F4382" w:rsidRDefault="00D37A0D" w:rsidP="00B602E7">
            <w:pPr>
              <w:keepLines/>
              <w:jc w:val="center"/>
              <w:rPr>
                <w:rFonts w:ascii="Arial Narrow" w:hAnsi="Arial Narrow" w:cs="Arial"/>
                <w:b/>
                <w:sz w:val="20"/>
                <w:szCs w:val="20"/>
              </w:rPr>
            </w:pPr>
            <w:r w:rsidRPr="009F4382">
              <w:rPr>
                <w:rFonts w:ascii="Arial Narrow" w:hAnsi="Arial Narrow" w:cs="Arial"/>
                <w:b/>
                <w:sz w:val="20"/>
                <w:szCs w:val="20"/>
              </w:rPr>
              <w:t>PBS item code</w:t>
            </w:r>
          </w:p>
        </w:tc>
        <w:tc>
          <w:tcPr>
            <w:tcW w:w="803" w:type="dxa"/>
            <w:vAlign w:val="center"/>
          </w:tcPr>
          <w:p w14:paraId="424B6C41" w14:textId="77777777" w:rsidR="00D37A0D" w:rsidRPr="009F4382" w:rsidRDefault="00D37A0D" w:rsidP="00B602E7">
            <w:pPr>
              <w:keepLines/>
              <w:jc w:val="center"/>
              <w:rPr>
                <w:rFonts w:ascii="Arial Narrow" w:hAnsi="Arial Narrow" w:cs="Arial"/>
                <w:b/>
                <w:sz w:val="20"/>
                <w:szCs w:val="20"/>
              </w:rPr>
            </w:pPr>
            <w:r w:rsidRPr="009F4382">
              <w:rPr>
                <w:rFonts w:ascii="Arial Narrow" w:hAnsi="Arial Narrow" w:cs="Arial"/>
                <w:b/>
                <w:sz w:val="20"/>
                <w:szCs w:val="20"/>
              </w:rPr>
              <w:t>Max. qty packs</w:t>
            </w:r>
          </w:p>
        </w:tc>
        <w:tc>
          <w:tcPr>
            <w:tcW w:w="803" w:type="dxa"/>
            <w:vAlign w:val="center"/>
          </w:tcPr>
          <w:p w14:paraId="6284E31C" w14:textId="77777777" w:rsidR="00D37A0D" w:rsidRPr="009F4382" w:rsidRDefault="00D37A0D" w:rsidP="00B602E7">
            <w:pPr>
              <w:keepLines/>
              <w:jc w:val="center"/>
              <w:rPr>
                <w:rFonts w:ascii="Arial Narrow" w:hAnsi="Arial Narrow" w:cs="Arial"/>
                <w:b/>
                <w:sz w:val="20"/>
                <w:szCs w:val="20"/>
              </w:rPr>
            </w:pPr>
            <w:r w:rsidRPr="009F4382">
              <w:rPr>
                <w:rFonts w:ascii="Arial Narrow" w:hAnsi="Arial Narrow" w:cs="Arial"/>
                <w:b/>
                <w:sz w:val="20"/>
                <w:szCs w:val="20"/>
              </w:rPr>
              <w:t>Max. qty units</w:t>
            </w:r>
          </w:p>
        </w:tc>
        <w:tc>
          <w:tcPr>
            <w:tcW w:w="804" w:type="dxa"/>
            <w:vAlign w:val="center"/>
          </w:tcPr>
          <w:p w14:paraId="1F099FC9" w14:textId="7A94D847" w:rsidR="00D37A0D" w:rsidRPr="009F4382" w:rsidRDefault="0CEE0598" w:rsidP="79900132">
            <w:pPr>
              <w:keepLines/>
              <w:jc w:val="center"/>
              <w:rPr>
                <w:rFonts w:ascii="Arial Narrow" w:hAnsi="Arial Narrow" w:cs="Arial"/>
                <w:b/>
                <w:bCs/>
                <w:sz w:val="20"/>
                <w:szCs w:val="20"/>
              </w:rPr>
            </w:pPr>
            <w:proofErr w:type="gramStart"/>
            <w:r w:rsidRPr="009F4382">
              <w:rPr>
                <w:rFonts w:ascii="Arial Narrow" w:hAnsi="Arial Narrow" w:cs="Arial"/>
                <w:b/>
                <w:bCs/>
                <w:sz w:val="20"/>
                <w:szCs w:val="20"/>
              </w:rPr>
              <w:t>№.of</w:t>
            </w:r>
            <w:proofErr w:type="gramEnd"/>
          </w:p>
          <w:p w14:paraId="4F43AA1A" w14:textId="7AE715D9" w:rsidR="00D37A0D" w:rsidRPr="009F4382" w:rsidRDefault="0CEE0598" w:rsidP="79900132">
            <w:pPr>
              <w:keepLines/>
              <w:jc w:val="center"/>
              <w:rPr>
                <w:rFonts w:ascii="Arial Narrow" w:hAnsi="Arial Narrow" w:cs="Arial"/>
                <w:b/>
                <w:bCs/>
                <w:sz w:val="20"/>
                <w:szCs w:val="20"/>
              </w:rPr>
            </w:pPr>
            <w:r w:rsidRPr="009F4382">
              <w:rPr>
                <w:rFonts w:ascii="Arial Narrow" w:hAnsi="Arial Narrow" w:cs="Arial"/>
                <w:b/>
                <w:bCs/>
                <w:sz w:val="20"/>
                <w:szCs w:val="20"/>
              </w:rPr>
              <w:t>Rpts</w:t>
            </w:r>
          </w:p>
        </w:tc>
        <w:tc>
          <w:tcPr>
            <w:tcW w:w="799" w:type="dxa"/>
            <w:vAlign w:val="center"/>
          </w:tcPr>
          <w:p w14:paraId="71E1773E" w14:textId="77777777" w:rsidR="00D37A0D" w:rsidRPr="009F4382" w:rsidRDefault="00D37A0D" w:rsidP="00B602E7">
            <w:pPr>
              <w:keepLines/>
              <w:rPr>
                <w:rFonts w:ascii="Arial Narrow" w:hAnsi="Arial Narrow" w:cs="Arial"/>
                <w:b/>
                <w:sz w:val="20"/>
                <w:szCs w:val="20"/>
                <w:lang w:val="fr-FR"/>
              </w:rPr>
            </w:pPr>
            <w:r w:rsidRPr="009F4382">
              <w:rPr>
                <w:rFonts w:ascii="Arial Narrow" w:hAnsi="Arial Narrow" w:cs="Arial"/>
                <w:b/>
                <w:sz w:val="20"/>
                <w:szCs w:val="20"/>
              </w:rPr>
              <w:t>Available brands</w:t>
            </w:r>
          </w:p>
        </w:tc>
      </w:tr>
      <w:tr w:rsidR="00D37A0D" w:rsidRPr="009F4382" w14:paraId="7DCECEED" w14:textId="77777777" w:rsidTr="79900132">
        <w:trPr>
          <w:cantSplit/>
          <w:trHeight w:val="20"/>
        </w:trPr>
        <w:tc>
          <w:tcPr>
            <w:tcW w:w="9016" w:type="dxa"/>
            <w:gridSpan w:val="7"/>
            <w:vAlign w:val="center"/>
          </w:tcPr>
          <w:p w14:paraId="65F186D7" w14:textId="77777777" w:rsidR="00D37A0D" w:rsidRPr="009F4382" w:rsidRDefault="00D37A0D" w:rsidP="00B602E7">
            <w:pPr>
              <w:keepLines/>
              <w:rPr>
                <w:rFonts w:ascii="Arial Narrow" w:hAnsi="Arial Narrow" w:cs="Arial"/>
                <w:sz w:val="20"/>
                <w:szCs w:val="20"/>
              </w:rPr>
            </w:pPr>
            <w:r w:rsidRPr="009F4382">
              <w:rPr>
                <w:rFonts w:ascii="Arial Narrow" w:hAnsi="Arial Narrow" w:cs="Arial"/>
                <w:sz w:val="20"/>
                <w:szCs w:val="20"/>
              </w:rPr>
              <w:t>OMALIZUMAB</w:t>
            </w:r>
          </w:p>
        </w:tc>
      </w:tr>
      <w:tr w:rsidR="00E91BFE" w:rsidRPr="009F4382" w14:paraId="5DB166F0" w14:textId="77777777" w:rsidTr="79900132">
        <w:trPr>
          <w:cantSplit/>
          <w:trHeight w:val="20"/>
        </w:trPr>
        <w:tc>
          <w:tcPr>
            <w:tcW w:w="4531" w:type="dxa"/>
            <w:gridSpan w:val="2"/>
            <w:vAlign w:val="center"/>
          </w:tcPr>
          <w:p w14:paraId="01E55EBA" w14:textId="77777777" w:rsidR="00E91BFE" w:rsidRPr="009F4382" w:rsidRDefault="00E91BFE" w:rsidP="00E91BFE">
            <w:pPr>
              <w:keepLines/>
              <w:rPr>
                <w:rFonts w:ascii="Arial Narrow" w:hAnsi="Arial Narrow" w:cs="Arial"/>
                <w:sz w:val="20"/>
                <w:szCs w:val="20"/>
              </w:rPr>
            </w:pPr>
            <w:r w:rsidRPr="009F4382">
              <w:rPr>
                <w:rFonts w:ascii="Arial Narrow" w:hAnsi="Arial Narrow" w:cs="Arial"/>
                <w:sz w:val="20"/>
                <w:szCs w:val="20"/>
              </w:rPr>
              <w:t>omalizumab 75 mg/0.5 mL injection, 0.5 mL syringe</w:t>
            </w:r>
          </w:p>
        </w:tc>
        <w:tc>
          <w:tcPr>
            <w:tcW w:w="1276" w:type="dxa"/>
          </w:tcPr>
          <w:p w14:paraId="576FA62A" w14:textId="72D836FC" w:rsidR="00E91BFE" w:rsidRPr="009F4382" w:rsidRDefault="00E91BFE" w:rsidP="00E91BFE">
            <w:pPr>
              <w:keepLines/>
              <w:jc w:val="center"/>
              <w:rPr>
                <w:rFonts w:ascii="Arial Narrow" w:hAnsi="Arial Narrow" w:cs="Arial"/>
                <w:sz w:val="20"/>
                <w:szCs w:val="20"/>
              </w:rPr>
            </w:pPr>
            <w:r w:rsidRPr="009F4382">
              <w:rPr>
                <w:rFonts w:ascii="Arial Narrow" w:hAnsi="Arial Narrow" w:cs="Arial"/>
                <w:sz w:val="20"/>
                <w:szCs w:val="20"/>
              </w:rPr>
              <w:t>10967F/ Public</w:t>
            </w:r>
          </w:p>
        </w:tc>
        <w:tc>
          <w:tcPr>
            <w:tcW w:w="803" w:type="dxa"/>
          </w:tcPr>
          <w:p w14:paraId="7146739F" w14:textId="77777777" w:rsidR="00E91BFE" w:rsidRPr="009F4382" w:rsidRDefault="00E91BFE" w:rsidP="00E91BFE">
            <w:pPr>
              <w:keepLines/>
              <w:jc w:val="center"/>
              <w:rPr>
                <w:rFonts w:ascii="Arial Narrow" w:hAnsi="Arial Narrow" w:cs="Arial"/>
                <w:sz w:val="20"/>
                <w:szCs w:val="20"/>
              </w:rPr>
            </w:pPr>
            <w:r w:rsidRPr="009F4382">
              <w:rPr>
                <w:rFonts w:ascii="Arial Narrow" w:hAnsi="Arial Narrow" w:cs="Arial"/>
                <w:sz w:val="20"/>
                <w:szCs w:val="20"/>
              </w:rPr>
              <w:t>1</w:t>
            </w:r>
          </w:p>
        </w:tc>
        <w:tc>
          <w:tcPr>
            <w:tcW w:w="803" w:type="dxa"/>
          </w:tcPr>
          <w:p w14:paraId="36CE8DDA" w14:textId="77777777" w:rsidR="00E91BFE" w:rsidRPr="009F4382" w:rsidRDefault="00E91BFE" w:rsidP="00E91BFE">
            <w:pPr>
              <w:keepLines/>
              <w:jc w:val="center"/>
              <w:rPr>
                <w:rFonts w:ascii="Arial Narrow" w:hAnsi="Arial Narrow" w:cs="Arial"/>
                <w:sz w:val="20"/>
                <w:szCs w:val="20"/>
              </w:rPr>
            </w:pPr>
            <w:r w:rsidRPr="009F4382">
              <w:rPr>
                <w:rFonts w:ascii="Arial Narrow" w:hAnsi="Arial Narrow" w:cs="Arial"/>
                <w:sz w:val="20"/>
                <w:szCs w:val="20"/>
              </w:rPr>
              <w:t>1</w:t>
            </w:r>
          </w:p>
        </w:tc>
        <w:tc>
          <w:tcPr>
            <w:tcW w:w="804" w:type="dxa"/>
          </w:tcPr>
          <w:p w14:paraId="2D24BE09" w14:textId="315D55DA" w:rsidR="00E91BFE" w:rsidRPr="009F4382" w:rsidRDefault="00E91BFE" w:rsidP="00E91BFE">
            <w:pPr>
              <w:keepLines/>
              <w:jc w:val="center"/>
              <w:rPr>
                <w:rFonts w:ascii="Arial Narrow" w:hAnsi="Arial Narrow" w:cs="Arial"/>
                <w:sz w:val="20"/>
                <w:szCs w:val="20"/>
              </w:rPr>
            </w:pPr>
            <w:r w:rsidRPr="009F4382">
              <w:rPr>
                <w:rFonts w:ascii="Arial Narrow" w:hAnsi="Arial Narrow" w:cs="Arial"/>
                <w:sz w:val="20"/>
                <w:szCs w:val="20"/>
              </w:rPr>
              <w:t>6</w:t>
            </w:r>
          </w:p>
        </w:tc>
        <w:tc>
          <w:tcPr>
            <w:tcW w:w="799" w:type="dxa"/>
            <w:vMerge w:val="restart"/>
            <w:vAlign w:val="center"/>
          </w:tcPr>
          <w:p w14:paraId="759B30F0" w14:textId="77777777" w:rsidR="00E91BFE" w:rsidRPr="009F4382" w:rsidRDefault="00E91BFE" w:rsidP="00E91BFE">
            <w:pPr>
              <w:keepLines/>
              <w:jc w:val="center"/>
              <w:rPr>
                <w:rFonts w:ascii="Arial Narrow" w:hAnsi="Arial Narrow" w:cs="Arial"/>
                <w:sz w:val="20"/>
                <w:szCs w:val="20"/>
              </w:rPr>
            </w:pPr>
            <w:r w:rsidRPr="009F4382">
              <w:rPr>
                <w:rFonts w:ascii="Arial Narrow" w:hAnsi="Arial Narrow" w:cs="Arial"/>
                <w:sz w:val="20"/>
                <w:szCs w:val="20"/>
              </w:rPr>
              <w:t>Xolair</w:t>
            </w:r>
          </w:p>
        </w:tc>
      </w:tr>
      <w:tr w:rsidR="00E91BFE" w:rsidRPr="009F4382" w14:paraId="371C373A" w14:textId="77777777" w:rsidTr="79900132">
        <w:trPr>
          <w:cantSplit/>
          <w:trHeight w:val="20"/>
        </w:trPr>
        <w:tc>
          <w:tcPr>
            <w:tcW w:w="4531" w:type="dxa"/>
            <w:gridSpan w:val="2"/>
            <w:vAlign w:val="center"/>
          </w:tcPr>
          <w:p w14:paraId="79C6F9D9" w14:textId="77777777" w:rsidR="00E91BFE" w:rsidRPr="009F4382" w:rsidRDefault="00E91BFE" w:rsidP="00E91BFE">
            <w:pPr>
              <w:keepLines/>
              <w:rPr>
                <w:rFonts w:ascii="Arial Narrow" w:hAnsi="Arial Narrow" w:cs="Arial"/>
                <w:sz w:val="20"/>
                <w:szCs w:val="20"/>
              </w:rPr>
            </w:pPr>
            <w:r w:rsidRPr="009F4382">
              <w:rPr>
                <w:rFonts w:ascii="Arial Narrow" w:hAnsi="Arial Narrow" w:cs="Arial"/>
                <w:sz w:val="20"/>
                <w:szCs w:val="20"/>
              </w:rPr>
              <w:t>omalizumab 75 mg/0.5 mL injection, 0.5 mL syringe</w:t>
            </w:r>
          </w:p>
        </w:tc>
        <w:tc>
          <w:tcPr>
            <w:tcW w:w="1276" w:type="dxa"/>
          </w:tcPr>
          <w:p w14:paraId="616BF2EA" w14:textId="7252B7EB" w:rsidR="00E91BFE" w:rsidRPr="009F4382" w:rsidRDefault="00E91BFE" w:rsidP="00E91BFE">
            <w:pPr>
              <w:keepLines/>
              <w:jc w:val="center"/>
              <w:rPr>
                <w:rFonts w:ascii="Arial Narrow" w:hAnsi="Arial Narrow" w:cs="Arial"/>
                <w:sz w:val="20"/>
                <w:szCs w:val="20"/>
              </w:rPr>
            </w:pPr>
            <w:r w:rsidRPr="009F4382">
              <w:rPr>
                <w:rFonts w:ascii="Arial Narrow" w:hAnsi="Arial Narrow" w:cs="Arial"/>
                <w:sz w:val="20"/>
                <w:szCs w:val="20"/>
              </w:rPr>
              <w:t>10956P/ Private</w:t>
            </w:r>
          </w:p>
        </w:tc>
        <w:tc>
          <w:tcPr>
            <w:tcW w:w="803" w:type="dxa"/>
          </w:tcPr>
          <w:p w14:paraId="0552E93B" w14:textId="77777777" w:rsidR="00E91BFE" w:rsidRPr="009F4382" w:rsidRDefault="00E91BFE" w:rsidP="00E91BFE">
            <w:pPr>
              <w:keepLines/>
              <w:jc w:val="center"/>
              <w:rPr>
                <w:rFonts w:ascii="Arial Narrow" w:hAnsi="Arial Narrow" w:cs="Arial"/>
                <w:sz w:val="20"/>
                <w:szCs w:val="20"/>
              </w:rPr>
            </w:pPr>
            <w:r w:rsidRPr="009F4382">
              <w:rPr>
                <w:rFonts w:ascii="Arial Narrow" w:hAnsi="Arial Narrow" w:cs="Arial"/>
                <w:sz w:val="20"/>
                <w:szCs w:val="20"/>
              </w:rPr>
              <w:t>1</w:t>
            </w:r>
          </w:p>
        </w:tc>
        <w:tc>
          <w:tcPr>
            <w:tcW w:w="803" w:type="dxa"/>
          </w:tcPr>
          <w:p w14:paraId="58CA3753" w14:textId="77777777" w:rsidR="00E91BFE" w:rsidRPr="009F4382" w:rsidRDefault="00E91BFE" w:rsidP="00E91BFE">
            <w:pPr>
              <w:keepLines/>
              <w:jc w:val="center"/>
              <w:rPr>
                <w:rFonts w:ascii="Arial Narrow" w:hAnsi="Arial Narrow" w:cs="Arial"/>
                <w:sz w:val="20"/>
                <w:szCs w:val="20"/>
              </w:rPr>
            </w:pPr>
            <w:r w:rsidRPr="009F4382">
              <w:rPr>
                <w:rFonts w:ascii="Arial Narrow" w:hAnsi="Arial Narrow" w:cs="Arial"/>
                <w:sz w:val="20"/>
                <w:szCs w:val="20"/>
              </w:rPr>
              <w:t>1</w:t>
            </w:r>
          </w:p>
        </w:tc>
        <w:tc>
          <w:tcPr>
            <w:tcW w:w="804" w:type="dxa"/>
          </w:tcPr>
          <w:p w14:paraId="60B96283" w14:textId="64B364D5" w:rsidR="00E91BFE" w:rsidRPr="009F4382" w:rsidRDefault="00E91BFE" w:rsidP="00E91BFE">
            <w:pPr>
              <w:keepLines/>
              <w:jc w:val="center"/>
              <w:rPr>
                <w:rFonts w:ascii="Arial Narrow" w:hAnsi="Arial Narrow" w:cs="Arial"/>
                <w:sz w:val="20"/>
                <w:szCs w:val="20"/>
              </w:rPr>
            </w:pPr>
            <w:r w:rsidRPr="009F4382">
              <w:rPr>
                <w:rFonts w:ascii="Arial Narrow" w:hAnsi="Arial Narrow" w:cs="Arial"/>
                <w:sz w:val="20"/>
                <w:szCs w:val="20"/>
              </w:rPr>
              <w:t>6</w:t>
            </w:r>
          </w:p>
        </w:tc>
        <w:tc>
          <w:tcPr>
            <w:tcW w:w="799" w:type="dxa"/>
            <w:vMerge/>
            <w:vAlign w:val="center"/>
          </w:tcPr>
          <w:p w14:paraId="430522FE" w14:textId="77777777" w:rsidR="00E91BFE" w:rsidRPr="009F4382" w:rsidRDefault="00E91BFE" w:rsidP="00E91BFE">
            <w:pPr>
              <w:keepLines/>
              <w:rPr>
                <w:rFonts w:ascii="Arial Narrow" w:hAnsi="Arial Narrow" w:cs="Arial"/>
                <w:sz w:val="20"/>
                <w:szCs w:val="20"/>
              </w:rPr>
            </w:pPr>
          </w:p>
        </w:tc>
      </w:tr>
      <w:tr w:rsidR="00E91BFE" w:rsidRPr="009F4382" w14:paraId="05366526" w14:textId="77777777" w:rsidTr="79900132">
        <w:trPr>
          <w:cantSplit/>
          <w:trHeight w:val="20"/>
        </w:trPr>
        <w:tc>
          <w:tcPr>
            <w:tcW w:w="4531" w:type="dxa"/>
            <w:gridSpan w:val="2"/>
            <w:vAlign w:val="center"/>
          </w:tcPr>
          <w:p w14:paraId="1EB8EA9F" w14:textId="77777777" w:rsidR="00E91BFE" w:rsidRPr="009F4382" w:rsidRDefault="00E91BFE" w:rsidP="00E91BFE">
            <w:pPr>
              <w:keepLines/>
              <w:rPr>
                <w:rFonts w:ascii="Arial Narrow" w:hAnsi="Arial Narrow" w:cs="Arial"/>
                <w:sz w:val="20"/>
                <w:szCs w:val="20"/>
              </w:rPr>
            </w:pPr>
            <w:r w:rsidRPr="009F4382">
              <w:rPr>
                <w:rFonts w:ascii="Arial Narrow" w:hAnsi="Arial Narrow" w:cs="Arial"/>
                <w:sz w:val="20"/>
                <w:szCs w:val="20"/>
              </w:rPr>
              <w:t>omalizumab 150 mg/mL injection, 1 mL syringe</w:t>
            </w:r>
          </w:p>
        </w:tc>
        <w:tc>
          <w:tcPr>
            <w:tcW w:w="1276" w:type="dxa"/>
            <w:vAlign w:val="center"/>
          </w:tcPr>
          <w:p w14:paraId="370D9A52" w14:textId="02ED2A4F" w:rsidR="00E91BFE" w:rsidRPr="009F4382" w:rsidRDefault="00E91BFE" w:rsidP="00E91BFE">
            <w:pPr>
              <w:keepLines/>
              <w:jc w:val="center"/>
              <w:rPr>
                <w:rFonts w:ascii="Arial Narrow" w:hAnsi="Arial Narrow" w:cs="Arial"/>
                <w:sz w:val="20"/>
                <w:szCs w:val="20"/>
              </w:rPr>
            </w:pPr>
            <w:r w:rsidRPr="009F4382">
              <w:rPr>
                <w:rFonts w:ascii="Arial Narrow" w:hAnsi="Arial Narrow" w:cs="Arial"/>
                <w:sz w:val="20"/>
                <w:szCs w:val="20"/>
              </w:rPr>
              <w:t>10973M/ Public</w:t>
            </w:r>
          </w:p>
        </w:tc>
        <w:tc>
          <w:tcPr>
            <w:tcW w:w="803" w:type="dxa"/>
          </w:tcPr>
          <w:p w14:paraId="1FE61D59" w14:textId="77777777" w:rsidR="00E91BFE" w:rsidRPr="009F4382" w:rsidRDefault="00E91BFE" w:rsidP="00E91BFE">
            <w:pPr>
              <w:keepLines/>
              <w:jc w:val="center"/>
              <w:rPr>
                <w:rFonts w:ascii="Arial Narrow" w:hAnsi="Arial Narrow" w:cs="Arial"/>
                <w:sz w:val="20"/>
                <w:szCs w:val="20"/>
              </w:rPr>
            </w:pPr>
            <w:r w:rsidRPr="009F4382">
              <w:rPr>
                <w:rFonts w:ascii="Arial Narrow" w:hAnsi="Arial Narrow" w:cs="Arial"/>
                <w:sz w:val="20"/>
                <w:szCs w:val="20"/>
              </w:rPr>
              <w:t>1</w:t>
            </w:r>
          </w:p>
        </w:tc>
        <w:tc>
          <w:tcPr>
            <w:tcW w:w="803" w:type="dxa"/>
          </w:tcPr>
          <w:p w14:paraId="5A00A5D7" w14:textId="77777777" w:rsidR="00E91BFE" w:rsidRPr="009F4382" w:rsidRDefault="00E91BFE" w:rsidP="00E91BFE">
            <w:pPr>
              <w:keepLines/>
              <w:jc w:val="center"/>
              <w:rPr>
                <w:rFonts w:ascii="Arial Narrow" w:hAnsi="Arial Narrow" w:cs="Arial"/>
                <w:sz w:val="20"/>
                <w:szCs w:val="20"/>
              </w:rPr>
            </w:pPr>
            <w:r w:rsidRPr="009F4382">
              <w:rPr>
                <w:rFonts w:ascii="Arial Narrow" w:hAnsi="Arial Narrow" w:cs="Arial"/>
                <w:sz w:val="20"/>
                <w:szCs w:val="20"/>
              </w:rPr>
              <w:t>1</w:t>
            </w:r>
          </w:p>
        </w:tc>
        <w:tc>
          <w:tcPr>
            <w:tcW w:w="804" w:type="dxa"/>
          </w:tcPr>
          <w:p w14:paraId="65E70005" w14:textId="51303B03" w:rsidR="00E91BFE" w:rsidRPr="009F4382" w:rsidRDefault="00E91BFE" w:rsidP="00E91BFE">
            <w:pPr>
              <w:keepLines/>
              <w:jc w:val="center"/>
              <w:rPr>
                <w:rFonts w:ascii="Arial Narrow" w:hAnsi="Arial Narrow" w:cs="Arial"/>
                <w:sz w:val="20"/>
                <w:szCs w:val="20"/>
              </w:rPr>
            </w:pPr>
            <w:r w:rsidRPr="009F4382">
              <w:rPr>
                <w:rFonts w:ascii="Arial Narrow" w:hAnsi="Arial Narrow" w:cs="Arial"/>
                <w:sz w:val="20"/>
                <w:szCs w:val="20"/>
              </w:rPr>
              <w:t>6</w:t>
            </w:r>
          </w:p>
        </w:tc>
        <w:tc>
          <w:tcPr>
            <w:tcW w:w="799" w:type="dxa"/>
            <w:vMerge/>
            <w:vAlign w:val="center"/>
          </w:tcPr>
          <w:p w14:paraId="69F8B4A1" w14:textId="77777777" w:rsidR="00E91BFE" w:rsidRPr="009F4382" w:rsidRDefault="00E91BFE" w:rsidP="00E91BFE">
            <w:pPr>
              <w:keepLines/>
              <w:rPr>
                <w:rFonts w:ascii="Arial Narrow" w:hAnsi="Arial Narrow" w:cs="Arial"/>
                <w:sz w:val="20"/>
                <w:szCs w:val="20"/>
              </w:rPr>
            </w:pPr>
          </w:p>
        </w:tc>
      </w:tr>
      <w:tr w:rsidR="00E91BFE" w:rsidRPr="009F4382" w14:paraId="5B172E2B" w14:textId="77777777" w:rsidTr="79900132">
        <w:trPr>
          <w:cantSplit/>
          <w:trHeight w:val="20"/>
        </w:trPr>
        <w:tc>
          <w:tcPr>
            <w:tcW w:w="4531" w:type="dxa"/>
            <w:gridSpan w:val="2"/>
            <w:vAlign w:val="center"/>
          </w:tcPr>
          <w:p w14:paraId="12D3226C" w14:textId="77777777" w:rsidR="00E91BFE" w:rsidRPr="009F4382" w:rsidRDefault="00E91BFE" w:rsidP="00E91BFE">
            <w:pPr>
              <w:keepLines/>
              <w:rPr>
                <w:rFonts w:ascii="Arial Narrow" w:hAnsi="Arial Narrow" w:cs="Arial"/>
                <w:sz w:val="20"/>
                <w:szCs w:val="20"/>
              </w:rPr>
            </w:pPr>
            <w:r w:rsidRPr="009F4382">
              <w:rPr>
                <w:rFonts w:ascii="Arial Narrow" w:hAnsi="Arial Narrow" w:cs="Arial"/>
                <w:sz w:val="20"/>
                <w:szCs w:val="20"/>
              </w:rPr>
              <w:t>omalizumab 150 mg/mL injection, 1 mL syringe</w:t>
            </w:r>
          </w:p>
        </w:tc>
        <w:tc>
          <w:tcPr>
            <w:tcW w:w="1276" w:type="dxa"/>
            <w:vAlign w:val="center"/>
          </w:tcPr>
          <w:p w14:paraId="48DC44E1" w14:textId="0C4A1F64" w:rsidR="00E91BFE" w:rsidRPr="009F4382" w:rsidRDefault="00E91BFE" w:rsidP="00E91BFE">
            <w:pPr>
              <w:keepLines/>
              <w:jc w:val="center"/>
              <w:rPr>
                <w:rFonts w:ascii="Arial Narrow" w:hAnsi="Arial Narrow" w:cs="Arial"/>
                <w:sz w:val="20"/>
                <w:szCs w:val="20"/>
              </w:rPr>
            </w:pPr>
            <w:r w:rsidRPr="009F4382">
              <w:rPr>
                <w:rFonts w:ascii="Arial Narrow" w:hAnsi="Arial Narrow" w:cs="Arial"/>
                <w:sz w:val="20"/>
                <w:szCs w:val="20"/>
              </w:rPr>
              <w:t>10968G/ Private</w:t>
            </w:r>
          </w:p>
        </w:tc>
        <w:tc>
          <w:tcPr>
            <w:tcW w:w="803" w:type="dxa"/>
          </w:tcPr>
          <w:p w14:paraId="454B35B1" w14:textId="77777777" w:rsidR="00E91BFE" w:rsidRPr="009F4382" w:rsidRDefault="00E91BFE" w:rsidP="00E91BFE">
            <w:pPr>
              <w:keepLines/>
              <w:jc w:val="center"/>
              <w:rPr>
                <w:rFonts w:ascii="Arial Narrow" w:hAnsi="Arial Narrow" w:cs="Arial"/>
                <w:sz w:val="20"/>
                <w:szCs w:val="20"/>
              </w:rPr>
            </w:pPr>
            <w:r w:rsidRPr="009F4382">
              <w:rPr>
                <w:rFonts w:ascii="Arial Narrow" w:hAnsi="Arial Narrow" w:cs="Arial"/>
                <w:sz w:val="20"/>
                <w:szCs w:val="20"/>
              </w:rPr>
              <w:t>1</w:t>
            </w:r>
          </w:p>
        </w:tc>
        <w:tc>
          <w:tcPr>
            <w:tcW w:w="803" w:type="dxa"/>
          </w:tcPr>
          <w:p w14:paraId="7157ABDA" w14:textId="77777777" w:rsidR="00E91BFE" w:rsidRPr="009F4382" w:rsidRDefault="00E91BFE" w:rsidP="00E91BFE">
            <w:pPr>
              <w:keepLines/>
              <w:jc w:val="center"/>
              <w:rPr>
                <w:rFonts w:ascii="Arial Narrow" w:hAnsi="Arial Narrow" w:cs="Arial"/>
                <w:sz w:val="20"/>
                <w:szCs w:val="20"/>
              </w:rPr>
            </w:pPr>
            <w:r w:rsidRPr="009F4382">
              <w:rPr>
                <w:rFonts w:ascii="Arial Narrow" w:hAnsi="Arial Narrow" w:cs="Arial"/>
                <w:sz w:val="20"/>
                <w:szCs w:val="20"/>
              </w:rPr>
              <w:t>1</w:t>
            </w:r>
          </w:p>
        </w:tc>
        <w:tc>
          <w:tcPr>
            <w:tcW w:w="804" w:type="dxa"/>
          </w:tcPr>
          <w:p w14:paraId="4B68C142" w14:textId="4254B0B1" w:rsidR="00E91BFE" w:rsidRPr="009F4382" w:rsidRDefault="00E91BFE" w:rsidP="00E91BFE">
            <w:pPr>
              <w:keepLines/>
              <w:jc w:val="center"/>
              <w:rPr>
                <w:rFonts w:ascii="Arial Narrow" w:hAnsi="Arial Narrow" w:cs="Arial"/>
                <w:sz w:val="20"/>
                <w:szCs w:val="20"/>
              </w:rPr>
            </w:pPr>
            <w:r w:rsidRPr="009F4382">
              <w:rPr>
                <w:rFonts w:ascii="Arial Narrow" w:hAnsi="Arial Narrow" w:cs="Arial"/>
                <w:sz w:val="20"/>
                <w:szCs w:val="20"/>
              </w:rPr>
              <w:t>6</w:t>
            </w:r>
          </w:p>
        </w:tc>
        <w:tc>
          <w:tcPr>
            <w:tcW w:w="799" w:type="dxa"/>
            <w:vMerge/>
            <w:vAlign w:val="center"/>
          </w:tcPr>
          <w:p w14:paraId="0CCACC95" w14:textId="77777777" w:rsidR="00E91BFE" w:rsidRPr="009F4382" w:rsidRDefault="00E91BFE" w:rsidP="00E91BFE">
            <w:pPr>
              <w:keepLines/>
              <w:rPr>
                <w:rFonts w:ascii="Arial Narrow" w:hAnsi="Arial Narrow" w:cs="Arial"/>
                <w:sz w:val="20"/>
                <w:szCs w:val="20"/>
              </w:rPr>
            </w:pPr>
          </w:p>
        </w:tc>
      </w:tr>
      <w:tr w:rsidR="00D37A0D" w:rsidRPr="009F4382" w14:paraId="3CC0179A" w14:textId="77777777" w:rsidTr="79900132">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1EB26457" w14:textId="77777777" w:rsidR="00D37A0D" w:rsidRPr="009F4382" w:rsidRDefault="00D37A0D" w:rsidP="00B602E7">
            <w:pPr>
              <w:rPr>
                <w:rFonts w:ascii="Arial Narrow" w:hAnsi="Arial Narrow" w:cs="Arial"/>
                <w:sz w:val="20"/>
                <w:szCs w:val="20"/>
              </w:rPr>
            </w:pPr>
          </w:p>
        </w:tc>
      </w:tr>
      <w:tr w:rsidR="00D37A0D" w:rsidRPr="009F4382" w14:paraId="76D773D9" w14:textId="77777777" w:rsidTr="79900132">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3056390D" w14:textId="0273041A" w:rsidR="00D37A0D" w:rsidRPr="009F4382" w:rsidRDefault="00D37A0D" w:rsidP="00B602E7">
            <w:pPr>
              <w:keepLines/>
              <w:rPr>
                <w:rFonts w:ascii="Arial Narrow" w:hAnsi="Arial Narrow" w:cs="Arial"/>
                <w:b/>
                <w:sz w:val="20"/>
                <w:szCs w:val="20"/>
              </w:rPr>
            </w:pPr>
            <w:r w:rsidRPr="009F4382">
              <w:rPr>
                <w:rFonts w:ascii="Arial Narrow" w:hAnsi="Arial Narrow"/>
                <w:b/>
                <w:sz w:val="20"/>
                <w:szCs w:val="20"/>
              </w:rPr>
              <w:t>Restriction Summary 15</w:t>
            </w:r>
            <w:r w:rsidR="009C4728" w:rsidRPr="009F4382">
              <w:rPr>
                <w:rFonts w:ascii="Arial Narrow" w:hAnsi="Arial Narrow"/>
                <w:b/>
                <w:sz w:val="20"/>
                <w:szCs w:val="20"/>
              </w:rPr>
              <w:t>351</w:t>
            </w:r>
            <w:r w:rsidRPr="009F4382">
              <w:rPr>
                <w:rFonts w:ascii="Arial Narrow" w:hAnsi="Arial Narrow"/>
                <w:b/>
                <w:sz w:val="20"/>
                <w:szCs w:val="20"/>
              </w:rPr>
              <w:t>/ Treatment of Concept: 15</w:t>
            </w:r>
            <w:r w:rsidR="00D822E1" w:rsidRPr="009F4382">
              <w:rPr>
                <w:rFonts w:ascii="Arial Narrow" w:hAnsi="Arial Narrow"/>
                <w:b/>
                <w:sz w:val="20"/>
                <w:szCs w:val="20"/>
              </w:rPr>
              <w:t>350</w:t>
            </w:r>
          </w:p>
        </w:tc>
      </w:tr>
      <w:tr w:rsidR="00356E34" w:rsidRPr="009F4382" w14:paraId="33C0CE2E" w14:textId="77777777" w:rsidTr="79900132">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42843AA7" w14:textId="77777777" w:rsidR="00356E34" w:rsidRPr="009F4382" w:rsidRDefault="00356E34" w:rsidP="00B602E7">
            <w:pPr>
              <w:jc w:val="center"/>
              <w:rPr>
                <w:rFonts w:ascii="Arial Narrow" w:hAnsi="Arial Narrow" w:cs="Arial"/>
                <w:b/>
                <w:sz w:val="20"/>
                <w:szCs w:val="20"/>
              </w:rPr>
            </w:pPr>
            <w:r w:rsidRPr="009F4382">
              <w:rPr>
                <w:rFonts w:ascii="Arial Narrow" w:hAnsi="Arial Narrow" w:cs="Arial"/>
                <w:b/>
                <w:sz w:val="20"/>
                <w:szCs w:val="20"/>
              </w:rPr>
              <w:t xml:space="preserve">Concept ID </w:t>
            </w:r>
            <w:r w:rsidRPr="009F4382">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5CAE505" w14:textId="77777777" w:rsidR="00356E34" w:rsidRPr="009F4382" w:rsidRDefault="00356E34" w:rsidP="00B602E7">
            <w:pPr>
              <w:keepLines/>
              <w:rPr>
                <w:rFonts w:ascii="Arial Narrow" w:hAnsi="Arial Narrow" w:cs="Arial"/>
                <w:sz w:val="20"/>
                <w:szCs w:val="20"/>
              </w:rPr>
            </w:pPr>
            <w:r w:rsidRPr="009F4382">
              <w:rPr>
                <w:rFonts w:ascii="Arial Narrow" w:hAnsi="Arial Narrow" w:cs="Arial"/>
                <w:b/>
                <w:sz w:val="20"/>
                <w:szCs w:val="20"/>
              </w:rPr>
              <w:t>Category / Program:</w:t>
            </w:r>
            <w:r w:rsidRPr="009F4382">
              <w:rPr>
                <w:rFonts w:ascii="Arial Narrow" w:hAnsi="Arial Narrow" w:cs="Arial"/>
                <w:sz w:val="20"/>
                <w:szCs w:val="20"/>
              </w:rPr>
              <w:t xml:space="preserve"> </w:t>
            </w:r>
            <w:r w:rsidRPr="009F4382">
              <w:rPr>
                <w:rFonts w:ascii="Arial Narrow" w:eastAsia="Calibri" w:hAnsi="Arial Narrow" w:cs="Arial"/>
                <w:sz w:val="20"/>
                <w:szCs w:val="20"/>
              </w:rPr>
              <w:t>Section 100 – Highly Specialised Drugs Program – Public (Code HB)</w:t>
            </w:r>
            <w:r w:rsidRPr="009F4382">
              <w:rPr>
                <w:rFonts w:ascii="Arial Narrow" w:eastAsia="Calibri" w:hAnsi="Arial Narrow" w:cs="Arial"/>
                <w:color w:val="FF0000"/>
                <w:sz w:val="20"/>
                <w:szCs w:val="20"/>
              </w:rPr>
              <w:t xml:space="preserve"> </w:t>
            </w:r>
            <w:r w:rsidRPr="009F4382">
              <w:rPr>
                <w:rFonts w:ascii="Arial Narrow" w:eastAsia="Calibri" w:hAnsi="Arial Narrow" w:cs="Arial"/>
                <w:sz w:val="20"/>
                <w:szCs w:val="20"/>
              </w:rPr>
              <w:t>/ Private (Code HS)</w:t>
            </w:r>
          </w:p>
        </w:tc>
      </w:tr>
      <w:tr w:rsidR="00356E34" w:rsidRPr="009F4382" w14:paraId="7ABF2A68" w14:textId="77777777" w:rsidTr="79900132">
        <w:tblPrEx>
          <w:tblCellMar>
            <w:top w:w="15" w:type="dxa"/>
            <w:bottom w:w="15" w:type="dxa"/>
          </w:tblCellMar>
          <w:tblLook w:val="04A0" w:firstRow="1" w:lastRow="0" w:firstColumn="1" w:lastColumn="0" w:noHBand="0" w:noVBand="1"/>
        </w:tblPrEx>
        <w:trPr>
          <w:trHeight w:val="20"/>
        </w:trPr>
        <w:tc>
          <w:tcPr>
            <w:tcW w:w="1271" w:type="dxa"/>
            <w:vMerge/>
          </w:tcPr>
          <w:p w14:paraId="06B27AA1" w14:textId="77777777" w:rsidR="00356E34" w:rsidRPr="009F4382" w:rsidRDefault="00356E34" w:rsidP="00B602E7">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81723A5" w14:textId="77777777" w:rsidR="00356E34" w:rsidRPr="009F4382" w:rsidRDefault="00356E34" w:rsidP="00B602E7">
            <w:pPr>
              <w:keepLines/>
              <w:rPr>
                <w:rFonts w:ascii="Arial Narrow" w:hAnsi="Arial Narrow" w:cs="Arial"/>
                <w:b/>
                <w:sz w:val="20"/>
                <w:szCs w:val="20"/>
              </w:rPr>
            </w:pPr>
            <w:r w:rsidRPr="009F4382">
              <w:rPr>
                <w:rFonts w:ascii="Arial Narrow" w:hAnsi="Arial Narrow" w:cs="Arial"/>
                <w:b/>
                <w:sz w:val="20"/>
                <w:szCs w:val="20"/>
              </w:rPr>
              <w:t xml:space="preserve">Prescriber type: </w:t>
            </w:r>
            <w:r w:rsidRPr="009F4382">
              <w:rPr>
                <w:rFonts w:ascii="Arial Narrow" w:hAnsi="Arial Narrow" w:cs="Arial"/>
                <w:sz w:val="20"/>
                <w:szCs w:val="20"/>
              </w:rPr>
              <w:fldChar w:fldCharType="begin" w:fldLock="1">
                <w:ffData>
                  <w:name w:val=""/>
                  <w:enabled/>
                  <w:calcOnExit w:val="0"/>
                  <w:checkBox>
                    <w:sizeAuto/>
                    <w:default w:val="1"/>
                  </w:checkBox>
                </w:ffData>
              </w:fldChar>
            </w:r>
            <w:r w:rsidRPr="009F4382">
              <w:rPr>
                <w:rFonts w:ascii="Arial Narrow" w:hAnsi="Arial Narrow" w:cs="Arial"/>
                <w:sz w:val="20"/>
                <w:szCs w:val="20"/>
              </w:rPr>
              <w:instrText xml:space="preserve"> FORMCHECKBOX </w:instrText>
            </w:r>
            <w:r w:rsidRPr="009F4382">
              <w:rPr>
                <w:rFonts w:ascii="Arial Narrow" w:hAnsi="Arial Narrow" w:cs="Arial"/>
                <w:sz w:val="20"/>
                <w:szCs w:val="20"/>
              </w:rPr>
            </w:r>
            <w:r w:rsidRPr="009F4382">
              <w:rPr>
                <w:rFonts w:ascii="Arial Narrow" w:hAnsi="Arial Narrow" w:cs="Arial"/>
                <w:sz w:val="20"/>
                <w:szCs w:val="20"/>
              </w:rPr>
              <w:fldChar w:fldCharType="separate"/>
            </w:r>
            <w:r w:rsidRPr="009F4382">
              <w:rPr>
                <w:rFonts w:ascii="Arial Narrow" w:hAnsi="Arial Narrow" w:cs="Arial"/>
                <w:sz w:val="20"/>
                <w:szCs w:val="20"/>
              </w:rPr>
              <w:fldChar w:fldCharType="end"/>
            </w:r>
            <w:r w:rsidRPr="009F4382">
              <w:rPr>
                <w:rFonts w:ascii="Arial Narrow" w:hAnsi="Arial Narrow" w:cs="Arial"/>
                <w:sz w:val="20"/>
                <w:szCs w:val="20"/>
              </w:rPr>
              <w:t xml:space="preserve">Medical Practitioners </w:t>
            </w:r>
          </w:p>
        </w:tc>
      </w:tr>
      <w:tr w:rsidR="00356E34" w:rsidRPr="009F4382" w14:paraId="206C59A8" w14:textId="77777777" w:rsidTr="79900132">
        <w:tblPrEx>
          <w:tblCellMar>
            <w:top w:w="15" w:type="dxa"/>
            <w:bottom w:w="15" w:type="dxa"/>
          </w:tblCellMar>
          <w:tblLook w:val="04A0" w:firstRow="1" w:lastRow="0" w:firstColumn="1" w:lastColumn="0" w:noHBand="0" w:noVBand="1"/>
        </w:tblPrEx>
        <w:trPr>
          <w:trHeight w:val="20"/>
        </w:trPr>
        <w:tc>
          <w:tcPr>
            <w:tcW w:w="1271" w:type="dxa"/>
            <w:vMerge/>
          </w:tcPr>
          <w:p w14:paraId="12CAE433" w14:textId="77777777" w:rsidR="00356E34" w:rsidRPr="009F4382" w:rsidRDefault="00356E34" w:rsidP="00B602E7">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CA13B4B" w14:textId="77777777" w:rsidR="00356E34" w:rsidRPr="009F4382" w:rsidRDefault="00356E34" w:rsidP="00B602E7">
            <w:pPr>
              <w:keepLines/>
              <w:rPr>
                <w:rFonts w:ascii="Arial Narrow" w:eastAsia="Calibri" w:hAnsi="Arial Narrow" w:cs="Arial"/>
                <w:color w:val="FF0000"/>
                <w:sz w:val="20"/>
                <w:szCs w:val="20"/>
              </w:rPr>
            </w:pPr>
            <w:r w:rsidRPr="009F4382">
              <w:rPr>
                <w:rFonts w:ascii="Arial Narrow" w:hAnsi="Arial Narrow" w:cs="Arial"/>
                <w:b/>
                <w:sz w:val="20"/>
                <w:szCs w:val="20"/>
              </w:rPr>
              <w:t xml:space="preserve">Restriction type: </w:t>
            </w:r>
            <w:r w:rsidRPr="009F4382">
              <w:rPr>
                <w:rFonts w:ascii="Arial Narrow" w:eastAsia="Calibri" w:hAnsi="Arial Narrow" w:cs="Arial"/>
                <w:sz w:val="20"/>
                <w:szCs w:val="20"/>
              </w:rPr>
              <w:fldChar w:fldCharType="begin" w:fldLock="1">
                <w:ffData>
                  <w:name w:val=""/>
                  <w:enabled/>
                  <w:calcOnExit w:val="0"/>
                  <w:checkBox>
                    <w:sizeAuto/>
                    <w:default w:val="1"/>
                  </w:checkBox>
                </w:ffData>
              </w:fldChar>
            </w:r>
            <w:r w:rsidRPr="009F4382">
              <w:rPr>
                <w:rFonts w:ascii="Arial Narrow" w:eastAsia="Calibri" w:hAnsi="Arial Narrow" w:cs="Arial"/>
                <w:sz w:val="20"/>
                <w:szCs w:val="20"/>
              </w:rPr>
              <w:instrText xml:space="preserve"> FORMCHECKBOX </w:instrText>
            </w:r>
            <w:r w:rsidRPr="009F4382">
              <w:rPr>
                <w:rFonts w:ascii="Arial Narrow" w:eastAsia="Calibri" w:hAnsi="Arial Narrow" w:cs="Arial"/>
                <w:sz w:val="20"/>
                <w:szCs w:val="20"/>
              </w:rPr>
            </w:r>
            <w:r w:rsidRPr="009F4382">
              <w:rPr>
                <w:rFonts w:ascii="Arial Narrow" w:eastAsia="Calibri" w:hAnsi="Arial Narrow" w:cs="Arial"/>
                <w:sz w:val="20"/>
                <w:szCs w:val="20"/>
              </w:rPr>
              <w:fldChar w:fldCharType="separate"/>
            </w:r>
            <w:r w:rsidRPr="009F4382">
              <w:rPr>
                <w:rFonts w:ascii="Arial Narrow" w:eastAsia="Calibri" w:hAnsi="Arial Narrow" w:cs="Arial"/>
                <w:sz w:val="20"/>
                <w:szCs w:val="20"/>
              </w:rPr>
              <w:fldChar w:fldCharType="end"/>
            </w:r>
            <w:r w:rsidRPr="009F4382">
              <w:rPr>
                <w:rFonts w:ascii="Arial Narrow" w:eastAsia="Calibri" w:hAnsi="Arial Narrow" w:cs="Arial"/>
                <w:sz w:val="20"/>
                <w:szCs w:val="20"/>
              </w:rPr>
              <w:t>Authority Required (in writing only via post/HPOS upload)</w:t>
            </w:r>
          </w:p>
        </w:tc>
      </w:tr>
      <w:tr w:rsidR="00D37A0D" w:rsidRPr="009F4382" w14:paraId="08014EB2"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460DBEEB" w14:textId="3D603A3B" w:rsidR="00D37A0D" w:rsidRPr="009F4382" w:rsidRDefault="00932F72" w:rsidP="00B602E7">
            <w:pPr>
              <w:keepLines/>
              <w:jc w:val="center"/>
              <w:rPr>
                <w:rFonts w:ascii="Arial Narrow" w:hAnsi="Arial Narrow"/>
                <w:sz w:val="20"/>
                <w:szCs w:val="20"/>
              </w:rPr>
            </w:pPr>
            <w:r w:rsidRPr="009F4382">
              <w:rPr>
                <w:rFonts w:ascii="Arial Narrow" w:hAnsi="Arial Narrow"/>
                <w:sz w:val="20"/>
                <w:szCs w:val="20"/>
              </w:rPr>
              <w:t>11873</w:t>
            </w:r>
          </w:p>
        </w:tc>
        <w:tc>
          <w:tcPr>
            <w:tcW w:w="7745" w:type="dxa"/>
            <w:gridSpan w:val="6"/>
            <w:vAlign w:val="center"/>
            <w:hideMark/>
          </w:tcPr>
          <w:p w14:paraId="186223BA" w14:textId="2507CA3B" w:rsidR="00D37A0D" w:rsidRPr="009F4382" w:rsidRDefault="00D37A0D" w:rsidP="00B602E7">
            <w:pPr>
              <w:keepLines/>
              <w:rPr>
                <w:rFonts w:ascii="Arial Narrow" w:hAnsi="Arial Narrow"/>
                <w:color w:val="333333"/>
                <w:sz w:val="20"/>
                <w:szCs w:val="20"/>
              </w:rPr>
            </w:pPr>
            <w:r w:rsidRPr="009F4382">
              <w:rPr>
                <w:rFonts w:ascii="Arial Narrow" w:hAnsi="Arial Narrow"/>
                <w:b/>
                <w:bCs/>
                <w:sz w:val="20"/>
                <w:szCs w:val="20"/>
              </w:rPr>
              <w:t>Indication:</w:t>
            </w:r>
            <w:r w:rsidRPr="009F4382">
              <w:rPr>
                <w:rFonts w:ascii="Arial Narrow" w:hAnsi="Arial Narrow"/>
                <w:sz w:val="20"/>
                <w:szCs w:val="20"/>
              </w:rPr>
              <w:t xml:space="preserve"> </w:t>
            </w:r>
            <w:r w:rsidR="00F946A8" w:rsidRPr="009F4382">
              <w:rPr>
                <w:rFonts w:ascii="Arial Narrow" w:hAnsi="Arial Narrow"/>
                <w:sz w:val="20"/>
                <w:szCs w:val="20"/>
              </w:rPr>
              <w:t>Uncontrolled severe allergic asthma</w:t>
            </w:r>
          </w:p>
        </w:tc>
      </w:tr>
      <w:tr w:rsidR="00D37A0D" w:rsidRPr="009F4382" w14:paraId="646C7A67"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3534B804" w14:textId="77777777" w:rsidR="00D37A0D" w:rsidRPr="009F4382" w:rsidRDefault="00D37A0D" w:rsidP="00B602E7">
            <w:pPr>
              <w:jc w:val="center"/>
              <w:rPr>
                <w:rFonts w:ascii="Arial Narrow" w:hAnsi="Arial Narrow"/>
                <w:sz w:val="20"/>
                <w:szCs w:val="20"/>
              </w:rPr>
            </w:pPr>
          </w:p>
        </w:tc>
        <w:tc>
          <w:tcPr>
            <w:tcW w:w="7745" w:type="dxa"/>
            <w:gridSpan w:val="6"/>
            <w:vAlign w:val="center"/>
            <w:hideMark/>
          </w:tcPr>
          <w:p w14:paraId="42843184" w14:textId="6D62C330" w:rsidR="00D37A0D" w:rsidRPr="009F4382" w:rsidRDefault="00D37A0D" w:rsidP="00B602E7">
            <w:pPr>
              <w:rPr>
                <w:rFonts w:ascii="Arial Narrow" w:hAnsi="Arial Narrow"/>
                <w:sz w:val="20"/>
                <w:szCs w:val="20"/>
              </w:rPr>
            </w:pPr>
            <w:r w:rsidRPr="009F4382">
              <w:rPr>
                <w:rFonts w:ascii="Arial Narrow" w:hAnsi="Arial Narrow"/>
                <w:b/>
                <w:bCs/>
                <w:sz w:val="20"/>
                <w:szCs w:val="20"/>
              </w:rPr>
              <w:t>Treatment Phase:</w:t>
            </w:r>
            <w:r w:rsidRPr="009F4382">
              <w:rPr>
                <w:rFonts w:ascii="Arial Narrow" w:hAnsi="Arial Narrow"/>
                <w:sz w:val="20"/>
                <w:szCs w:val="20"/>
              </w:rPr>
              <w:t xml:space="preserve"> </w:t>
            </w:r>
            <w:r w:rsidR="00F946A8" w:rsidRPr="009F4382">
              <w:rPr>
                <w:rFonts w:ascii="Arial Narrow" w:hAnsi="Arial Narrow"/>
                <w:sz w:val="20"/>
                <w:szCs w:val="20"/>
              </w:rPr>
              <w:t>Initial treatment</w:t>
            </w:r>
          </w:p>
        </w:tc>
      </w:tr>
      <w:tr w:rsidR="003B5AD4" w:rsidRPr="009F4382" w14:paraId="6B0EB4DB"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tcPr>
          <w:p w14:paraId="268D1FC9" w14:textId="35AC65C4" w:rsidR="003B5AD4" w:rsidRPr="009F4382" w:rsidRDefault="05AF726B" w:rsidP="79900132">
            <w:pPr>
              <w:jc w:val="center"/>
              <w:rPr>
                <w:rFonts w:ascii="Arial Narrow" w:hAnsi="Arial Narrow"/>
                <w:iCs/>
                <w:sz w:val="20"/>
                <w:szCs w:val="20"/>
              </w:rPr>
            </w:pPr>
            <w:r w:rsidRPr="009F4382">
              <w:rPr>
                <w:rFonts w:ascii="Arial Narrow" w:hAnsi="Arial Narrow"/>
                <w:iCs/>
                <w:sz w:val="20"/>
                <w:szCs w:val="20"/>
              </w:rPr>
              <w:t>Caution</w:t>
            </w:r>
            <w:r w:rsidR="00040F6E" w:rsidRPr="009F4382">
              <w:rPr>
                <w:rFonts w:ascii="Arial Narrow" w:hAnsi="Arial Narrow"/>
                <w:iCs/>
                <w:sz w:val="20"/>
                <w:szCs w:val="20"/>
                <w:vertAlign w:val="superscript"/>
              </w:rPr>
              <w:t>1</w:t>
            </w:r>
            <w:r w:rsidR="76A65757" w:rsidRPr="009F4382">
              <w:rPr>
                <w:rFonts w:ascii="Arial Narrow" w:hAnsi="Arial Narrow"/>
                <w:iCs/>
                <w:sz w:val="20"/>
                <w:szCs w:val="20"/>
              </w:rPr>
              <w:t>[New</w:t>
            </w:r>
            <w:r w:rsidR="44899AAC" w:rsidRPr="009F4382">
              <w:rPr>
                <w:rFonts w:ascii="Arial Narrow" w:hAnsi="Arial Narrow"/>
                <w:iCs/>
                <w:sz w:val="20"/>
                <w:szCs w:val="20"/>
              </w:rPr>
              <w:t>]</w:t>
            </w:r>
          </w:p>
        </w:tc>
        <w:tc>
          <w:tcPr>
            <w:tcW w:w="7745" w:type="dxa"/>
            <w:gridSpan w:val="6"/>
            <w:vAlign w:val="center"/>
          </w:tcPr>
          <w:p w14:paraId="0F0918F2" w14:textId="09D004BF" w:rsidR="003B5AD4" w:rsidRPr="009F4382" w:rsidRDefault="653BE9C6" w:rsidP="79900132">
            <w:pPr>
              <w:rPr>
                <w:rFonts w:ascii="Arial Narrow" w:hAnsi="Arial Narrow"/>
                <w:iCs/>
                <w:sz w:val="20"/>
                <w:szCs w:val="20"/>
              </w:rPr>
            </w:pPr>
            <w:r w:rsidRPr="009F4382">
              <w:rPr>
                <w:rFonts w:ascii="Arial Narrow" w:hAnsi="Arial Narrow"/>
                <w:iCs/>
                <w:sz w:val="20"/>
                <w:szCs w:val="20"/>
              </w:rPr>
              <w:t xml:space="preserve">The </w:t>
            </w:r>
            <w:r w:rsidR="62D3DA31" w:rsidRPr="009F4382">
              <w:rPr>
                <w:rFonts w:ascii="Arial Narrow" w:hAnsi="Arial Narrow"/>
                <w:iCs/>
                <w:sz w:val="20"/>
                <w:szCs w:val="20"/>
              </w:rPr>
              <w:t>o</w:t>
            </w:r>
            <w:r w:rsidRPr="009F4382">
              <w:rPr>
                <w:rFonts w:ascii="Arial Narrow" w:hAnsi="Arial Narrow"/>
                <w:iCs/>
                <w:sz w:val="20"/>
                <w:szCs w:val="20"/>
              </w:rPr>
              <w:t>malizumab p</w:t>
            </w:r>
            <w:r w:rsidR="45DAA434" w:rsidRPr="009F4382">
              <w:rPr>
                <w:rFonts w:ascii="Arial Narrow" w:hAnsi="Arial Narrow"/>
                <w:iCs/>
                <w:sz w:val="20"/>
                <w:szCs w:val="20"/>
              </w:rPr>
              <w:t xml:space="preserve">en device is not intended for use in children below 12 years of age. For children below 12 years of age with </w:t>
            </w:r>
            <w:r w:rsidR="5889DBDF" w:rsidRPr="009F4382">
              <w:rPr>
                <w:rFonts w:ascii="Arial Narrow" w:hAnsi="Arial Narrow"/>
                <w:iCs/>
                <w:sz w:val="20"/>
                <w:szCs w:val="20"/>
              </w:rPr>
              <w:t xml:space="preserve">uncontrolled </w:t>
            </w:r>
            <w:r w:rsidR="45DAA434" w:rsidRPr="009F4382">
              <w:rPr>
                <w:rFonts w:ascii="Arial Narrow" w:hAnsi="Arial Narrow"/>
                <w:iCs/>
                <w:sz w:val="20"/>
                <w:szCs w:val="20"/>
              </w:rPr>
              <w:t xml:space="preserve">severe allergic asthma, </w:t>
            </w:r>
            <w:r w:rsidR="5E24D2BC" w:rsidRPr="009F4382">
              <w:rPr>
                <w:rFonts w:ascii="Arial Narrow" w:hAnsi="Arial Narrow"/>
                <w:iCs/>
                <w:sz w:val="20"/>
                <w:szCs w:val="20"/>
              </w:rPr>
              <w:t xml:space="preserve">the </w:t>
            </w:r>
            <w:r w:rsidR="34B3EAB6" w:rsidRPr="009F4382">
              <w:rPr>
                <w:rFonts w:ascii="Arial Narrow" w:hAnsi="Arial Narrow"/>
                <w:iCs/>
                <w:sz w:val="20"/>
                <w:szCs w:val="20"/>
              </w:rPr>
              <w:t>o</w:t>
            </w:r>
            <w:r w:rsidR="5E24D2BC" w:rsidRPr="009F4382">
              <w:rPr>
                <w:rFonts w:ascii="Arial Narrow" w:hAnsi="Arial Narrow"/>
                <w:iCs/>
                <w:sz w:val="20"/>
                <w:szCs w:val="20"/>
              </w:rPr>
              <w:t xml:space="preserve">malizumab </w:t>
            </w:r>
            <w:r w:rsidR="45DAA434" w:rsidRPr="009F4382">
              <w:rPr>
                <w:rFonts w:ascii="Arial Narrow" w:hAnsi="Arial Narrow"/>
                <w:iCs/>
                <w:sz w:val="20"/>
                <w:szCs w:val="20"/>
              </w:rPr>
              <w:t>syringe is the appropriate form for this population.</w:t>
            </w:r>
          </w:p>
        </w:tc>
      </w:tr>
      <w:tr w:rsidR="00040F6E" w:rsidRPr="009F4382" w14:paraId="4A0F1564" w14:textId="77777777" w:rsidTr="00040F6E">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tcPr>
          <w:p w14:paraId="1E7975E2" w14:textId="77777777" w:rsidR="00040F6E" w:rsidRPr="009F4382" w:rsidRDefault="00040F6E" w:rsidP="0047127C">
            <w:pPr>
              <w:jc w:val="center"/>
              <w:rPr>
                <w:rFonts w:ascii="Arial Narrow" w:hAnsi="Arial Narrow"/>
                <w:iCs/>
                <w:sz w:val="20"/>
                <w:szCs w:val="20"/>
              </w:rPr>
            </w:pPr>
            <w:r w:rsidRPr="009F4382">
              <w:rPr>
                <w:rFonts w:ascii="Arial Narrow" w:hAnsi="Arial Narrow"/>
                <w:iCs/>
                <w:sz w:val="20"/>
                <w:szCs w:val="20"/>
              </w:rPr>
              <w:t>Caution</w:t>
            </w:r>
            <w:r w:rsidRPr="009F4382">
              <w:rPr>
                <w:rFonts w:ascii="Arial Narrow" w:hAnsi="Arial Narrow"/>
                <w:iCs/>
                <w:sz w:val="20"/>
                <w:szCs w:val="20"/>
                <w:vertAlign w:val="superscript"/>
              </w:rPr>
              <w:t>2</w:t>
            </w:r>
            <w:r w:rsidRPr="009F4382">
              <w:rPr>
                <w:rFonts w:ascii="Arial Narrow" w:hAnsi="Arial Narrow"/>
                <w:iCs/>
                <w:sz w:val="20"/>
                <w:szCs w:val="20"/>
              </w:rPr>
              <w:t>[New]</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4AC1E31" w14:textId="4F25C684" w:rsidR="00040F6E" w:rsidRPr="009F4382" w:rsidRDefault="00040F6E" w:rsidP="0047127C">
            <w:pPr>
              <w:rPr>
                <w:rFonts w:ascii="Arial Narrow" w:hAnsi="Arial Narrow"/>
                <w:iCs/>
                <w:sz w:val="20"/>
                <w:szCs w:val="20"/>
              </w:rPr>
            </w:pPr>
            <w:r w:rsidRPr="009F4382">
              <w:rPr>
                <w:rFonts w:ascii="Arial Narrow" w:hAnsi="Arial Narrow"/>
                <w:iCs/>
                <w:sz w:val="20"/>
                <w:szCs w:val="20"/>
              </w:rPr>
              <w:t>The 300</w:t>
            </w:r>
            <w:r w:rsidR="00913506" w:rsidRPr="009F4382">
              <w:rPr>
                <w:rFonts w:ascii="Arial Narrow" w:hAnsi="Arial Narrow"/>
                <w:iCs/>
                <w:sz w:val="20"/>
                <w:szCs w:val="20"/>
              </w:rPr>
              <w:t xml:space="preserve"> </w:t>
            </w:r>
            <w:r w:rsidRPr="009F4382">
              <w:rPr>
                <w:rFonts w:ascii="Arial Narrow" w:hAnsi="Arial Narrow"/>
                <w:iCs/>
                <w:sz w:val="20"/>
                <w:szCs w:val="20"/>
              </w:rPr>
              <w:t>mg/2</w:t>
            </w:r>
            <w:r w:rsidR="00913506" w:rsidRPr="009F4382">
              <w:rPr>
                <w:rFonts w:ascii="Arial Narrow" w:hAnsi="Arial Narrow"/>
                <w:iCs/>
                <w:sz w:val="20"/>
                <w:szCs w:val="20"/>
              </w:rPr>
              <w:t xml:space="preserve"> </w:t>
            </w:r>
            <w:r w:rsidRPr="009F4382">
              <w:rPr>
                <w:rFonts w:ascii="Arial Narrow" w:hAnsi="Arial Narrow"/>
                <w:iCs/>
                <w:sz w:val="20"/>
                <w:szCs w:val="20"/>
              </w:rPr>
              <w:t>mL omalizumab syringe device is not intended for use in children under 12 years of age for this indication.</w:t>
            </w:r>
          </w:p>
        </w:tc>
      </w:tr>
    </w:tbl>
    <w:p w14:paraId="60219A56" w14:textId="77777777" w:rsidR="00E7594F" w:rsidRDefault="00E7594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w:tblDescription w:val="Indication: Uncontrolled severe allergic asthma&#10;Treatment phase: Continuing treatment"/>
      </w:tblPr>
      <w:tblGrid>
        <w:gridCol w:w="1271"/>
        <w:gridCol w:w="3260"/>
        <w:gridCol w:w="1276"/>
        <w:gridCol w:w="803"/>
        <w:gridCol w:w="803"/>
        <w:gridCol w:w="804"/>
        <w:gridCol w:w="799"/>
      </w:tblGrid>
      <w:tr w:rsidR="0005033B" w:rsidRPr="009F4382" w14:paraId="399C3A59" w14:textId="77777777" w:rsidTr="79900132">
        <w:trPr>
          <w:cantSplit/>
          <w:trHeight w:val="20"/>
        </w:trPr>
        <w:tc>
          <w:tcPr>
            <w:tcW w:w="4531" w:type="dxa"/>
            <w:gridSpan w:val="2"/>
            <w:vAlign w:val="center"/>
          </w:tcPr>
          <w:p w14:paraId="5E8877CA" w14:textId="77777777" w:rsidR="0005033B" w:rsidRPr="009F4382" w:rsidRDefault="0005033B" w:rsidP="00B602E7">
            <w:pPr>
              <w:keepLines/>
              <w:rPr>
                <w:rFonts w:ascii="Arial Narrow" w:hAnsi="Arial Narrow" w:cs="Arial"/>
                <w:b/>
                <w:bCs/>
                <w:sz w:val="20"/>
                <w:szCs w:val="20"/>
              </w:rPr>
            </w:pPr>
            <w:r w:rsidRPr="009F4382">
              <w:rPr>
                <w:rFonts w:ascii="Arial Narrow" w:hAnsi="Arial Narrow" w:cs="Arial"/>
                <w:b/>
                <w:bCs/>
                <w:sz w:val="20"/>
                <w:szCs w:val="20"/>
              </w:rPr>
              <w:t>MEDICINAL PRODUCT</w:t>
            </w:r>
          </w:p>
          <w:p w14:paraId="34687AF7" w14:textId="77777777" w:rsidR="0005033B" w:rsidRPr="009F4382" w:rsidRDefault="0005033B" w:rsidP="00B602E7">
            <w:pPr>
              <w:keepLines/>
              <w:rPr>
                <w:rFonts w:ascii="Arial Narrow" w:hAnsi="Arial Narrow" w:cs="Arial"/>
                <w:b/>
                <w:sz w:val="20"/>
                <w:szCs w:val="20"/>
              </w:rPr>
            </w:pPr>
            <w:r w:rsidRPr="009F4382">
              <w:rPr>
                <w:rFonts w:ascii="Arial Narrow" w:hAnsi="Arial Narrow" w:cs="Arial"/>
                <w:b/>
                <w:bCs/>
                <w:sz w:val="20"/>
                <w:szCs w:val="20"/>
              </w:rPr>
              <w:t>medicinal product pack</w:t>
            </w:r>
          </w:p>
        </w:tc>
        <w:tc>
          <w:tcPr>
            <w:tcW w:w="1276" w:type="dxa"/>
            <w:vAlign w:val="center"/>
          </w:tcPr>
          <w:p w14:paraId="274235DE" w14:textId="77777777" w:rsidR="0005033B" w:rsidRPr="009F4382" w:rsidRDefault="0005033B" w:rsidP="00B602E7">
            <w:pPr>
              <w:keepLines/>
              <w:jc w:val="center"/>
              <w:rPr>
                <w:rFonts w:ascii="Arial Narrow" w:hAnsi="Arial Narrow" w:cs="Arial"/>
                <w:b/>
                <w:sz w:val="20"/>
                <w:szCs w:val="20"/>
              </w:rPr>
            </w:pPr>
            <w:r w:rsidRPr="009F4382">
              <w:rPr>
                <w:rFonts w:ascii="Arial Narrow" w:hAnsi="Arial Narrow" w:cs="Arial"/>
                <w:b/>
                <w:sz w:val="20"/>
                <w:szCs w:val="20"/>
              </w:rPr>
              <w:t>PBS item code</w:t>
            </w:r>
          </w:p>
        </w:tc>
        <w:tc>
          <w:tcPr>
            <w:tcW w:w="803" w:type="dxa"/>
            <w:vAlign w:val="center"/>
          </w:tcPr>
          <w:p w14:paraId="32193AD9" w14:textId="77777777" w:rsidR="0005033B" w:rsidRPr="009F4382" w:rsidRDefault="0005033B" w:rsidP="00B602E7">
            <w:pPr>
              <w:keepLines/>
              <w:jc w:val="center"/>
              <w:rPr>
                <w:rFonts w:ascii="Arial Narrow" w:hAnsi="Arial Narrow" w:cs="Arial"/>
                <w:b/>
                <w:sz w:val="20"/>
                <w:szCs w:val="20"/>
              </w:rPr>
            </w:pPr>
            <w:r w:rsidRPr="009F4382">
              <w:rPr>
                <w:rFonts w:ascii="Arial Narrow" w:hAnsi="Arial Narrow" w:cs="Arial"/>
                <w:b/>
                <w:sz w:val="20"/>
                <w:szCs w:val="20"/>
              </w:rPr>
              <w:t>Max. qty packs</w:t>
            </w:r>
          </w:p>
        </w:tc>
        <w:tc>
          <w:tcPr>
            <w:tcW w:w="803" w:type="dxa"/>
            <w:vAlign w:val="center"/>
          </w:tcPr>
          <w:p w14:paraId="0CF36F53" w14:textId="77777777" w:rsidR="0005033B" w:rsidRPr="009F4382" w:rsidRDefault="0005033B" w:rsidP="00B602E7">
            <w:pPr>
              <w:keepLines/>
              <w:jc w:val="center"/>
              <w:rPr>
                <w:rFonts w:ascii="Arial Narrow" w:hAnsi="Arial Narrow" w:cs="Arial"/>
                <w:b/>
                <w:sz w:val="20"/>
                <w:szCs w:val="20"/>
              </w:rPr>
            </w:pPr>
            <w:r w:rsidRPr="009F4382">
              <w:rPr>
                <w:rFonts w:ascii="Arial Narrow" w:hAnsi="Arial Narrow" w:cs="Arial"/>
                <w:b/>
                <w:sz w:val="20"/>
                <w:szCs w:val="20"/>
              </w:rPr>
              <w:t>Max. qty units</w:t>
            </w:r>
          </w:p>
        </w:tc>
        <w:tc>
          <w:tcPr>
            <w:tcW w:w="804" w:type="dxa"/>
            <w:vAlign w:val="center"/>
          </w:tcPr>
          <w:p w14:paraId="72028A7B" w14:textId="71319D67" w:rsidR="0005033B" w:rsidRPr="009F4382" w:rsidRDefault="12EAF85B" w:rsidP="79900132">
            <w:pPr>
              <w:keepLines/>
              <w:jc w:val="center"/>
              <w:rPr>
                <w:rFonts w:ascii="Arial Narrow" w:hAnsi="Arial Narrow" w:cs="Arial"/>
                <w:b/>
                <w:bCs/>
                <w:sz w:val="20"/>
                <w:szCs w:val="20"/>
              </w:rPr>
            </w:pPr>
            <w:proofErr w:type="gramStart"/>
            <w:r w:rsidRPr="009F4382">
              <w:rPr>
                <w:rFonts w:ascii="Arial Narrow" w:hAnsi="Arial Narrow" w:cs="Arial"/>
                <w:b/>
                <w:bCs/>
                <w:sz w:val="20"/>
                <w:szCs w:val="20"/>
              </w:rPr>
              <w:t>№.of</w:t>
            </w:r>
            <w:proofErr w:type="gramEnd"/>
          </w:p>
          <w:p w14:paraId="66878DE3" w14:textId="69380AD9" w:rsidR="0005033B" w:rsidRPr="009F4382" w:rsidRDefault="12EAF85B" w:rsidP="79900132">
            <w:pPr>
              <w:keepLines/>
              <w:jc w:val="center"/>
              <w:rPr>
                <w:rFonts w:ascii="Arial Narrow" w:hAnsi="Arial Narrow" w:cs="Arial"/>
                <w:b/>
                <w:bCs/>
                <w:sz w:val="20"/>
                <w:szCs w:val="20"/>
              </w:rPr>
            </w:pPr>
            <w:r w:rsidRPr="009F4382">
              <w:rPr>
                <w:rFonts w:ascii="Arial Narrow" w:hAnsi="Arial Narrow" w:cs="Arial"/>
                <w:b/>
                <w:bCs/>
                <w:sz w:val="20"/>
                <w:szCs w:val="20"/>
              </w:rPr>
              <w:t>Rpts</w:t>
            </w:r>
          </w:p>
        </w:tc>
        <w:tc>
          <w:tcPr>
            <w:tcW w:w="799" w:type="dxa"/>
            <w:vAlign w:val="center"/>
          </w:tcPr>
          <w:p w14:paraId="795B2B62" w14:textId="77777777" w:rsidR="0005033B" w:rsidRPr="009F4382" w:rsidRDefault="0005033B" w:rsidP="00B602E7">
            <w:pPr>
              <w:keepLines/>
              <w:rPr>
                <w:rFonts w:ascii="Arial Narrow" w:hAnsi="Arial Narrow" w:cs="Arial"/>
                <w:b/>
                <w:sz w:val="20"/>
                <w:szCs w:val="20"/>
                <w:lang w:val="fr-FR"/>
              </w:rPr>
            </w:pPr>
            <w:r w:rsidRPr="009F4382">
              <w:rPr>
                <w:rFonts w:ascii="Arial Narrow" w:hAnsi="Arial Narrow" w:cs="Arial"/>
                <w:b/>
                <w:sz w:val="20"/>
                <w:szCs w:val="20"/>
              </w:rPr>
              <w:t>Available brands</w:t>
            </w:r>
          </w:p>
        </w:tc>
      </w:tr>
      <w:tr w:rsidR="0005033B" w:rsidRPr="009F4382" w14:paraId="305D5635" w14:textId="77777777" w:rsidTr="79900132">
        <w:trPr>
          <w:cantSplit/>
          <w:trHeight w:val="20"/>
        </w:trPr>
        <w:tc>
          <w:tcPr>
            <w:tcW w:w="9016" w:type="dxa"/>
            <w:gridSpan w:val="7"/>
            <w:vAlign w:val="center"/>
          </w:tcPr>
          <w:p w14:paraId="397749F7" w14:textId="77777777" w:rsidR="0005033B" w:rsidRPr="009F4382" w:rsidRDefault="0005033B" w:rsidP="00B602E7">
            <w:pPr>
              <w:keepLines/>
              <w:rPr>
                <w:rFonts w:ascii="Arial Narrow" w:hAnsi="Arial Narrow" w:cs="Arial"/>
                <w:sz w:val="20"/>
                <w:szCs w:val="20"/>
              </w:rPr>
            </w:pPr>
            <w:r w:rsidRPr="009F4382">
              <w:rPr>
                <w:rFonts w:ascii="Arial Narrow" w:hAnsi="Arial Narrow" w:cs="Arial"/>
                <w:sz w:val="20"/>
                <w:szCs w:val="20"/>
              </w:rPr>
              <w:t>OMALIZUMAB</w:t>
            </w:r>
          </w:p>
        </w:tc>
      </w:tr>
      <w:tr w:rsidR="00D96BBC" w:rsidRPr="009F4382" w14:paraId="6CE9DD11" w14:textId="77777777" w:rsidTr="79900132">
        <w:trPr>
          <w:cantSplit/>
          <w:trHeight w:val="20"/>
        </w:trPr>
        <w:tc>
          <w:tcPr>
            <w:tcW w:w="4531" w:type="dxa"/>
            <w:gridSpan w:val="2"/>
            <w:vAlign w:val="center"/>
          </w:tcPr>
          <w:p w14:paraId="07C1020E" w14:textId="77777777" w:rsidR="00D96BBC" w:rsidRPr="009F4382" w:rsidRDefault="00D96BBC" w:rsidP="00D96BBC">
            <w:pPr>
              <w:keepLines/>
              <w:rPr>
                <w:rFonts w:ascii="Arial Narrow" w:hAnsi="Arial Narrow" w:cs="Arial"/>
                <w:sz w:val="20"/>
                <w:szCs w:val="20"/>
              </w:rPr>
            </w:pPr>
            <w:r w:rsidRPr="009F4382">
              <w:rPr>
                <w:rFonts w:ascii="Arial Narrow" w:hAnsi="Arial Narrow" w:cs="Arial"/>
                <w:sz w:val="20"/>
                <w:szCs w:val="20"/>
              </w:rPr>
              <w:t>omalizumab 75 mg/0.5 mL injection, 0.5 mL syringe</w:t>
            </w:r>
          </w:p>
        </w:tc>
        <w:tc>
          <w:tcPr>
            <w:tcW w:w="1276" w:type="dxa"/>
          </w:tcPr>
          <w:p w14:paraId="12787B8D" w14:textId="2486A0DA" w:rsidR="00D96BBC" w:rsidRPr="009F4382" w:rsidRDefault="00D96BBC" w:rsidP="00D96BBC">
            <w:pPr>
              <w:keepLines/>
              <w:jc w:val="center"/>
              <w:rPr>
                <w:rFonts w:ascii="Arial Narrow" w:hAnsi="Arial Narrow" w:cs="Arial"/>
                <w:sz w:val="20"/>
                <w:szCs w:val="20"/>
              </w:rPr>
            </w:pPr>
            <w:r w:rsidRPr="009F4382">
              <w:rPr>
                <w:rFonts w:ascii="Arial Narrow" w:hAnsi="Arial Narrow" w:cs="Arial"/>
                <w:sz w:val="20"/>
                <w:szCs w:val="20"/>
              </w:rPr>
              <w:t>11946R/ Public</w:t>
            </w:r>
          </w:p>
        </w:tc>
        <w:tc>
          <w:tcPr>
            <w:tcW w:w="803" w:type="dxa"/>
          </w:tcPr>
          <w:p w14:paraId="332886FF" w14:textId="77777777" w:rsidR="00D96BBC" w:rsidRPr="009F4382" w:rsidRDefault="00D96BBC" w:rsidP="00D96BBC">
            <w:pPr>
              <w:keepLines/>
              <w:jc w:val="center"/>
              <w:rPr>
                <w:rFonts w:ascii="Arial Narrow" w:hAnsi="Arial Narrow" w:cs="Arial"/>
                <w:sz w:val="20"/>
                <w:szCs w:val="20"/>
              </w:rPr>
            </w:pPr>
            <w:r w:rsidRPr="009F4382">
              <w:rPr>
                <w:rFonts w:ascii="Arial Narrow" w:hAnsi="Arial Narrow" w:cs="Arial"/>
                <w:sz w:val="20"/>
                <w:szCs w:val="20"/>
              </w:rPr>
              <w:t>1</w:t>
            </w:r>
          </w:p>
        </w:tc>
        <w:tc>
          <w:tcPr>
            <w:tcW w:w="803" w:type="dxa"/>
          </w:tcPr>
          <w:p w14:paraId="34CFB603" w14:textId="77777777" w:rsidR="00D96BBC" w:rsidRPr="009F4382" w:rsidRDefault="00D96BBC" w:rsidP="00D96BBC">
            <w:pPr>
              <w:keepLines/>
              <w:jc w:val="center"/>
              <w:rPr>
                <w:rFonts w:ascii="Arial Narrow" w:hAnsi="Arial Narrow" w:cs="Arial"/>
                <w:sz w:val="20"/>
                <w:szCs w:val="20"/>
              </w:rPr>
            </w:pPr>
            <w:r w:rsidRPr="009F4382">
              <w:rPr>
                <w:rFonts w:ascii="Arial Narrow" w:hAnsi="Arial Narrow" w:cs="Arial"/>
                <w:sz w:val="20"/>
                <w:szCs w:val="20"/>
              </w:rPr>
              <w:t>1</w:t>
            </w:r>
          </w:p>
        </w:tc>
        <w:tc>
          <w:tcPr>
            <w:tcW w:w="804" w:type="dxa"/>
          </w:tcPr>
          <w:p w14:paraId="1F864E9C" w14:textId="3EC66EA8" w:rsidR="00D96BBC" w:rsidRPr="009F4382" w:rsidRDefault="00D96BBC" w:rsidP="00D96BBC">
            <w:pPr>
              <w:keepLines/>
              <w:jc w:val="center"/>
              <w:rPr>
                <w:rFonts w:ascii="Arial Narrow" w:hAnsi="Arial Narrow" w:cs="Arial"/>
                <w:sz w:val="20"/>
                <w:szCs w:val="20"/>
              </w:rPr>
            </w:pPr>
            <w:r w:rsidRPr="009F4382">
              <w:rPr>
                <w:rFonts w:ascii="Arial Narrow" w:hAnsi="Arial Narrow" w:cs="Arial"/>
                <w:sz w:val="20"/>
                <w:szCs w:val="20"/>
              </w:rPr>
              <w:t>5</w:t>
            </w:r>
          </w:p>
        </w:tc>
        <w:tc>
          <w:tcPr>
            <w:tcW w:w="799" w:type="dxa"/>
            <w:vMerge w:val="restart"/>
            <w:vAlign w:val="center"/>
          </w:tcPr>
          <w:p w14:paraId="7E826F04" w14:textId="77777777" w:rsidR="00D96BBC" w:rsidRPr="009F4382" w:rsidRDefault="00D96BBC" w:rsidP="00D96BBC">
            <w:pPr>
              <w:keepLines/>
              <w:jc w:val="center"/>
              <w:rPr>
                <w:rFonts w:ascii="Arial Narrow" w:hAnsi="Arial Narrow" w:cs="Arial"/>
                <w:sz w:val="20"/>
                <w:szCs w:val="20"/>
              </w:rPr>
            </w:pPr>
            <w:r w:rsidRPr="009F4382">
              <w:rPr>
                <w:rFonts w:ascii="Arial Narrow" w:hAnsi="Arial Narrow" w:cs="Arial"/>
                <w:sz w:val="20"/>
                <w:szCs w:val="20"/>
              </w:rPr>
              <w:t>Xolair</w:t>
            </w:r>
          </w:p>
        </w:tc>
      </w:tr>
      <w:tr w:rsidR="00D96BBC" w:rsidRPr="009F4382" w14:paraId="7BE6F23D" w14:textId="77777777" w:rsidTr="79900132">
        <w:trPr>
          <w:cantSplit/>
          <w:trHeight w:val="20"/>
        </w:trPr>
        <w:tc>
          <w:tcPr>
            <w:tcW w:w="4531" w:type="dxa"/>
            <w:gridSpan w:val="2"/>
            <w:vAlign w:val="center"/>
          </w:tcPr>
          <w:p w14:paraId="62D2D5AD" w14:textId="77777777" w:rsidR="00D96BBC" w:rsidRPr="009F4382" w:rsidRDefault="00D96BBC" w:rsidP="00D96BBC">
            <w:pPr>
              <w:keepLines/>
              <w:rPr>
                <w:rFonts w:ascii="Arial Narrow" w:hAnsi="Arial Narrow" w:cs="Arial"/>
                <w:sz w:val="20"/>
                <w:szCs w:val="20"/>
              </w:rPr>
            </w:pPr>
            <w:r w:rsidRPr="009F4382">
              <w:rPr>
                <w:rFonts w:ascii="Arial Narrow" w:hAnsi="Arial Narrow" w:cs="Arial"/>
                <w:sz w:val="20"/>
                <w:szCs w:val="20"/>
              </w:rPr>
              <w:t>omalizumab 75 mg/0.5 mL injection, 0.5 mL syringe</w:t>
            </w:r>
          </w:p>
        </w:tc>
        <w:tc>
          <w:tcPr>
            <w:tcW w:w="1276" w:type="dxa"/>
          </w:tcPr>
          <w:p w14:paraId="4D5C3B78" w14:textId="37C5A9DE" w:rsidR="00D96BBC" w:rsidRPr="009F4382" w:rsidRDefault="00D96BBC" w:rsidP="00D96BBC">
            <w:pPr>
              <w:keepLines/>
              <w:jc w:val="center"/>
              <w:rPr>
                <w:rFonts w:ascii="Arial Narrow" w:hAnsi="Arial Narrow" w:cs="Arial"/>
                <w:sz w:val="20"/>
                <w:szCs w:val="20"/>
              </w:rPr>
            </w:pPr>
            <w:r w:rsidRPr="009F4382">
              <w:rPr>
                <w:rFonts w:ascii="Arial Narrow" w:hAnsi="Arial Narrow" w:cs="Arial"/>
                <w:sz w:val="20"/>
                <w:szCs w:val="20"/>
              </w:rPr>
              <w:t>11952C/ Private</w:t>
            </w:r>
          </w:p>
        </w:tc>
        <w:tc>
          <w:tcPr>
            <w:tcW w:w="803" w:type="dxa"/>
          </w:tcPr>
          <w:p w14:paraId="66623A77" w14:textId="77777777" w:rsidR="00D96BBC" w:rsidRPr="009F4382" w:rsidRDefault="00D96BBC" w:rsidP="00D96BBC">
            <w:pPr>
              <w:keepLines/>
              <w:jc w:val="center"/>
              <w:rPr>
                <w:rFonts w:ascii="Arial Narrow" w:hAnsi="Arial Narrow" w:cs="Arial"/>
                <w:sz w:val="20"/>
                <w:szCs w:val="20"/>
              </w:rPr>
            </w:pPr>
            <w:r w:rsidRPr="009F4382">
              <w:rPr>
                <w:rFonts w:ascii="Arial Narrow" w:hAnsi="Arial Narrow" w:cs="Arial"/>
                <w:sz w:val="20"/>
                <w:szCs w:val="20"/>
              </w:rPr>
              <w:t>1</w:t>
            </w:r>
          </w:p>
        </w:tc>
        <w:tc>
          <w:tcPr>
            <w:tcW w:w="803" w:type="dxa"/>
          </w:tcPr>
          <w:p w14:paraId="6169D932" w14:textId="77777777" w:rsidR="00D96BBC" w:rsidRPr="009F4382" w:rsidRDefault="00D96BBC" w:rsidP="00D96BBC">
            <w:pPr>
              <w:keepLines/>
              <w:jc w:val="center"/>
              <w:rPr>
                <w:rFonts w:ascii="Arial Narrow" w:hAnsi="Arial Narrow" w:cs="Arial"/>
                <w:sz w:val="20"/>
                <w:szCs w:val="20"/>
              </w:rPr>
            </w:pPr>
            <w:r w:rsidRPr="009F4382">
              <w:rPr>
                <w:rFonts w:ascii="Arial Narrow" w:hAnsi="Arial Narrow" w:cs="Arial"/>
                <w:sz w:val="20"/>
                <w:szCs w:val="20"/>
              </w:rPr>
              <w:t>1</w:t>
            </w:r>
          </w:p>
        </w:tc>
        <w:tc>
          <w:tcPr>
            <w:tcW w:w="804" w:type="dxa"/>
          </w:tcPr>
          <w:p w14:paraId="34BE3792" w14:textId="5D8FE737" w:rsidR="00D96BBC" w:rsidRPr="009F4382" w:rsidRDefault="00D96BBC" w:rsidP="00D96BBC">
            <w:pPr>
              <w:keepLines/>
              <w:jc w:val="center"/>
              <w:rPr>
                <w:rFonts w:ascii="Arial Narrow" w:hAnsi="Arial Narrow" w:cs="Arial"/>
                <w:sz w:val="20"/>
                <w:szCs w:val="20"/>
              </w:rPr>
            </w:pPr>
            <w:r w:rsidRPr="009F4382">
              <w:rPr>
                <w:rFonts w:ascii="Arial Narrow" w:hAnsi="Arial Narrow" w:cs="Arial"/>
                <w:sz w:val="20"/>
                <w:szCs w:val="20"/>
              </w:rPr>
              <w:t>5</w:t>
            </w:r>
          </w:p>
        </w:tc>
        <w:tc>
          <w:tcPr>
            <w:tcW w:w="799" w:type="dxa"/>
            <w:vMerge/>
            <w:vAlign w:val="center"/>
          </w:tcPr>
          <w:p w14:paraId="00669ECE" w14:textId="77777777" w:rsidR="00D96BBC" w:rsidRPr="009F4382" w:rsidRDefault="00D96BBC" w:rsidP="00D96BBC">
            <w:pPr>
              <w:keepLines/>
              <w:rPr>
                <w:rFonts w:ascii="Arial Narrow" w:hAnsi="Arial Narrow" w:cs="Arial"/>
                <w:sz w:val="20"/>
                <w:szCs w:val="20"/>
              </w:rPr>
            </w:pPr>
          </w:p>
        </w:tc>
      </w:tr>
      <w:tr w:rsidR="00D96BBC" w:rsidRPr="009F4382" w14:paraId="17ABB5E2" w14:textId="77777777" w:rsidTr="79900132">
        <w:trPr>
          <w:cantSplit/>
          <w:trHeight w:val="20"/>
        </w:trPr>
        <w:tc>
          <w:tcPr>
            <w:tcW w:w="4531" w:type="dxa"/>
            <w:gridSpan w:val="2"/>
            <w:vAlign w:val="center"/>
          </w:tcPr>
          <w:p w14:paraId="65E81136" w14:textId="77777777" w:rsidR="00D96BBC" w:rsidRPr="009F4382" w:rsidRDefault="00D96BBC" w:rsidP="00D96BBC">
            <w:pPr>
              <w:keepLines/>
              <w:rPr>
                <w:rFonts w:ascii="Arial Narrow" w:hAnsi="Arial Narrow" w:cs="Arial"/>
                <w:sz w:val="20"/>
                <w:szCs w:val="20"/>
              </w:rPr>
            </w:pPr>
            <w:r w:rsidRPr="009F4382">
              <w:rPr>
                <w:rFonts w:ascii="Arial Narrow" w:hAnsi="Arial Narrow" w:cs="Arial"/>
                <w:sz w:val="20"/>
                <w:szCs w:val="20"/>
              </w:rPr>
              <w:t>omalizumab 150 mg/mL injection, 1 mL syringe</w:t>
            </w:r>
          </w:p>
        </w:tc>
        <w:tc>
          <w:tcPr>
            <w:tcW w:w="1276" w:type="dxa"/>
            <w:vAlign w:val="center"/>
          </w:tcPr>
          <w:p w14:paraId="12E92102" w14:textId="01E5922C" w:rsidR="00D96BBC" w:rsidRPr="009F4382" w:rsidRDefault="00D96BBC" w:rsidP="00D96BBC">
            <w:pPr>
              <w:keepLines/>
              <w:jc w:val="center"/>
              <w:rPr>
                <w:rFonts w:ascii="Arial Narrow" w:hAnsi="Arial Narrow" w:cs="Arial"/>
                <w:sz w:val="20"/>
                <w:szCs w:val="20"/>
              </w:rPr>
            </w:pPr>
            <w:r w:rsidRPr="009F4382">
              <w:rPr>
                <w:rFonts w:ascii="Arial Narrow" w:hAnsi="Arial Narrow" w:cs="Arial"/>
                <w:sz w:val="20"/>
                <w:szCs w:val="20"/>
              </w:rPr>
              <w:t>11945Q/ Public</w:t>
            </w:r>
          </w:p>
        </w:tc>
        <w:tc>
          <w:tcPr>
            <w:tcW w:w="803" w:type="dxa"/>
          </w:tcPr>
          <w:p w14:paraId="14A3FBC8" w14:textId="77777777" w:rsidR="00D96BBC" w:rsidRPr="009F4382" w:rsidRDefault="00D96BBC" w:rsidP="00D96BBC">
            <w:pPr>
              <w:keepLines/>
              <w:jc w:val="center"/>
              <w:rPr>
                <w:rFonts w:ascii="Arial Narrow" w:hAnsi="Arial Narrow" w:cs="Arial"/>
                <w:sz w:val="20"/>
                <w:szCs w:val="20"/>
              </w:rPr>
            </w:pPr>
            <w:r w:rsidRPr="009F4382">
              <w:rPr>
                <w:rFonts w:ascii="Arial Narrow" w:hAnsi="Arial Narrow" w:cs="Arial"/>
                <w:sz w:val="20"/>
                <w:szCs w:val="20"/>
              </w:rPr>
              <w:t>1</w:t>
            </w:r>
          </w:p>
        </w:tc>
        <w:tc>
          <w:tcPr>
            <w:tcW w:w="803" w:type="dxa"/>
          </w:tcPr>
          <w:p w14:paraId="71FEE804" w14:textId="77777777" w:rsidR="00D96BBC" w:rsidRPr="009F4382" w:rsidRDefault="00D96BBC" w:rsidP="00D96BBC">
            <w:pPr>
              <w:keepLines/>
              <w:jc w:val="center"/>
              <w:rPr>
                <w:rFonts w:ascii="Arial Narrow" w:hAnsi="Arial Narrow" w:cs="Arial"/>
                <w:sz w:val="20"/>
                <w:szCs w:val="20"/>
              </w:rPr>
            </w:pPr>
            <w:r w:rsidRPr="009F4382">
              <w:rPr>
                <w:rFonts w:ascii="Arial Narrow" w:hAnsi="Arial Narrow" w:cs="Arial"/>
                <w:sz w:val="20"/>
                <w:szCs w:val="20"/>
              </w:rPr>
              <w:t>1</w:t>
            </w:r>
          </w:p>
        </w:tc>
        <w:tc>
          <w:tcPr>
            <w:tcW w:w="804" w:type="dxa"/>
          </w:tcPr>
          <w:p w14:paraId="5B17E2C7" w14:textId="74A60E0E" w:rsidR="00D96BBC" w:rsidRPr="009F4382" w:rsidRDefault="00D96BBC" w:rsidP="00D96BBC">
            <w:pPr>
              <w:keepLines/>
              <w:jc w:val="center"/>
              <w:rPr>
                <w:rFonts w:ascii="Arial Narrow" w:hAnsi="Arial Narrow" w:cs="Arial"/>
                <w:sz w:val="20"/>
                <w:szCs w:val="20"/>
              </w:rPr>
            </w:pPr>
            <w:r w:rsidRPr="009F4382">
              <w:rPr>
                <w:rFonts w:ascii="Arial Narrow" w:hAnsi="Arial Narrow" w:cs="Arial"/>
                <w:sz w:val="20"/>
                <w:szCs w:val="20"/>
              </w:rPr>
              <w:t>5</w:t>
            </w:r>
          </w:p>
        </w:tc>
        <w:tc>
          <w:tcPr>
            <w:tcW w:w="799" w:type="dxa"/>
            <w:vMerge/>
            <w:vAlign w:val="center"/>
          </w:tcPr>
          <w:p w14:paraId="3E63D9EA" w14:textId="77777777" w:rsidR="00D96BBC" w:rsidRPr="009F4382" w:rsidRDefault="00D96BBC" w:rsidP="00D96BBC">
            <w:pPr>
              <w:keepLines/>
              <w:rPr>
                <w:rFonts w:ascii="Arial Narrow" w:hAnsi="Arial Narrow" w:cs="Arial"/>
                <w:sz w:val="20"/>
                <w:szCs w:val="20"/>
              </w:rPr>
            </w:pPr>
          </w:p>
        </w:tc>
      </w:tr>
      <w:tr w:rsidR="00D96BBC" w:rsidRPr="009F4382" w14:paraId="79960A6E" w14:textId="77777777" w:rsidTr="79900132">
        <w:trPr>
          <w:cantSplit/>
          <w:trHeight w:val="20"/>
        </w:trPr>
        <w:tc>
          <w:tcPr>
            <w:tcW w:w="4531" w:type="dxa"/>
            <w:gridSpan w:val="2"/>
            <w:vAlign w:val="center"/>
          </w:tcPr>
          <w:p w14:paraId="316D6AB5" w14:textId="77777777" w:rsidR="00D96BBC" w:rsidRPr="009F4382" w:rsidRDefault="00D96BBC" w:rsidP="00D96BBC">
            <w:pPr>
              <w:keepLines/>
              <w:rPr>
                <w:rFonts w:ascii="Arial Narrow" w:hAnsi="Arial Narrow" w:cs="Arial"/>
                <w:sz w:val="20"/>
                <w:szCs w:val="20"/>
              </w:rPr>
            </w:pPr>
            <w:r w:rsidRPr="009F4382">
              <w:rPr>
                <w:rFonts w:ascii="Arial Narrow" w:hAnsi="Arial Narrow" w:cs="Arial"/>
                <w:sz w:val="20"/>
                <w:szCs w:val="20"/>
              </w:rPr>
              <w:t>omalizumab 150 mg/mL injection, 1 mL syringe</w:t>
            </w:r>
          </w:p>
        </w:tc>
        <w:tc>
          <w:tcPr>
            <w:tcW w:w="1276" w:type="dxa"/>
            <w:vAlign w:val="center"/>
          </w:tcPr>
          <w:p w14:paraId="4DA35FCB" w14:textId="6FAA505A" w:rsidR="00D96BBC" w:rsidRPr="009F4382" w:rsidRDefault="00D96BBC" w:rsidP="00D96BBC">
            <w:pPr>
              <w:keepLines/>
              <w:jc w:val="center"/>
              <w:rPr>
                <w:rFonts w:ascii="Arial Narrow" w:hAnsi="Arial Narrow" w:cs="Arial"/>
                <w:sz w:val="20"/>
                <w:szCs w:val="20"/>
              </w:rPr>
            </w:pPr>
            <w:r w:rsidRPr="009F4382">
              <w:rPr>
                <w:rFonts w:ascii="Arial Narrow" w:hAnsi="Arial Narrow" w:cs="Arial"/>
                <w:sz w:val="20"/>
                <w:szCs w:val="20"/>
              </w:rPr>
              <w:t>11953D/ Private</w:t>
            </w:r>
          </w:p>
        </w:tc>
        <w:tc>
          <w:tcPr>
            <w:tcW w:w="803" w:type="dxa"/>
          </w:tcPr>
          <w:p w14:paraId="0F9ED7E0" w14:textId="77777777" w:rsidR="00D96BBC" w:rsidRPr="009F4382" w:rsidRDefault="00D96BBC" w:rsidP="00D96BBC">
            <w:pPr>
              <w:keepLines/>
              <w:jc w:val="center"/>
              <w:rPr>
                <w:rFonts w:ascii="Arial Narrow" w:hAnsi="Arial Narrow" w:cs="Arial"/>
                <w:sz w:val="20"/>
                <w:szCs w:val="20"/>
              </w:rPr>
            </w:pPr>
            <w:r w:rsidRPr="009F4382">
              <w:rPr>
                <w:rFonts w:ascii="Arial Narrow" w:hAnsi="Arial Narrow" w:cs="Arial"/>
                <w:sz w:val="20"/>
                <w:szCs w:val="20"/>
              </w:rPr>
              <w:t>1</w:t>
            </w:r>
          </w:p>
        </w:tc>
        <w:tc>
          <w:tcPr>
            <w:tcW w:w="803" w:type="dxa"/>
          </w:tcPr>
          <w:p w14:paraId="5BCC59C8" w14:textId="77777777" w:rsidR="00D96BBC" w:rsidRPr="009F4382" w:rsidRDefault="00D96BBC" w:rsidP="00D96BBC">
            <w:pPr>
              <w:keepLines/>
              <w:jc w:val="center"/>
              <w:rPr>
                <w:rFonts w:ascii="Arial Narrow" w:hAnsi="Arial Narrow" w:cs="Arial"/>
                <w:sz w:val="20"/>
                <w:szCs w:val="20"/>
              </w:rPr>
            </w:pPr>
            <w:r w:rsidRPr="009F4382">
              <w:rPr>
                <w:rFonts w:ascii="Arial Narrow" w:hAnsi="Arial Narrow" w:cs="Arial"/>
                <w:sz w:val="20"/>
                <w:szCs w:val="20"/>
              </w:rPr>
              <w:t>1</w:t>
            </w:r>
          </w:p>
        </w:tc>
        <w:tc>
          <w:tcPr>
            <w:tcW w:w="804" w:type="dxa"/>
          </w:tcPr>
          <w:p w14:paraId="499D2A58" w14:textId="21763090" w:rsidR="00D96BBC" w:rsidRPr="009F4382" w:rsidRDefault="00D96BBC" w:rsidP="00D96BBC">
            <w:pPr>
              <w:keepLines/>
              <w:jc w:val="center"/>
              <w:rPr>
                <w:rFonts w:ascii="Arial Narrow" w:hAnsi="Arial Narrow" w:cs="Arial"/>
                <w:sz w:val="20"/>
                <w:szCs w:val="20"/>
              </w:rPr>
            </w:pPr>
            <w:r w:rsidRPr="009F4382">
              <w:rPr>
                <w:rFonts w:ascii="Arial Narrow" w:hAnsi="Arial Narrow" w:cs="Arial"/>
                <w:sz w:val="20"/>
                <w:szCs w:val="20"/>
              </w:rPr>
              <w:t>5</w:t>
            </w:r>
          </w:p>
        </w:tc>
        <w:tc>
          <w:tcPr>
            <w:tcW w:w="799" w:type="dxa"/>
            <w:vMerge/>
            <w:vAlign w:val="center"/>
          </w:tcPr>
          <w:p w14:paraId="2D6E3FE5" w14:textId="77777777" w:rsidR="00D96BBC" w:rsidRPr="009F4382" w:rsidRDefault="00D96BBC" w:rsidP="00D96BBC">
            <w:pPr>
              <w:keepLines/>
              <w:rPr>
                <w:rFonts w:ascii="Arial Narrow" w:hAnsi="Arial Narrow" w:cs="Arial"/>
                <w:sz w:val="20"/>
                <w:szCs w:val="20"/>
              </w:rPr>
            </w:pPr>
          </w:p>
        </w:tc>
      </w:tr>
      <w:tr w:rsidR="0005033B" w:rsidRPr="009F4382" w14:paraId="07C59E8F" w14:textId="77777777" w:rsidTr="79900132">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0C1B20CA" w14:textId="77777777" w:rsidR="0005033B" w:rsidRPr="009F4382" w:rsidRDefault="0005033B" w:rsidP="00B602E7">
            <w:pPr>
              <w:rPr>
                <w:rFonts w:ascii="Arial Narrow" w:hAnsi="Arial Narrow" w:cs="Arial"/>
                <w:sz w:val="20"/>
                <w:szCs w:val="20"/>
              </w:rPr>
            </w:pPr>
          </w:p>
        </w:tc>
      </w:tr>
      <w:tr w:rsidR="0005033B" w:rsidRPr="009F4382" w14:paraId="66DF6D4C" w14:textId="77777777" w:rsidTr="79900132">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436077C4" w14:textId="4F70EED8" w:rsidR="0005033B" w:rsidRPr="009F4382" w:rsidRDefault="0005033B" w:rsidP="00B602E7">
            <w:pPr>
              <w:keepLines/>
              <w:rPr>
                <w:rFonts w:ascii="Arial Narrow" w:hAnsi="Arial Narrow" w:cs="Arial"/>
                <w:b/>
                <w:sz w:val="20"/>
                <w:szCs w:val="20"/>
              </w:rPr>
            </w:pPr>
            <w:r w:rsidRPr="009F4382">
              <w:rPr>
                <w:rFonts w:ascii="Arial Narrow" w:hAnsi="Arial Narrow"/>
                <w:b/>
                <w:sz w:val="20"/>
                <w:szCs w:val="20"/>
              </w:rPr>
              <w:t>Restriction Summary 153</w:t>
            </w:r>
            <w:r w:rsidR="0063264F" w:rsidRPr="009F4382">
              <w:rPr>
                <w:rFonts w:ascii="Arial Narrow" w:hAnsi="Arial Narrow"/>
                <w:b/>
                <w:sz w:val="20"/>
                <w:szCs w:val="20"/>
              </w:rPr>
              <w:t>82</w:t>
            </w:r>
            <w:r w:rsidRPr="009F4382">
              <w:rPr>
                <w:rFonts w:ascii="Arial Narrow" w:hAnsi="Arial Narrow"/>
                <w:b/>
                <w:sz w:val="20"/>
                <w:szCs w:val="20"/>
              </w:rPr>
              <w:t>/ Treatment of Concept: 1535</w:t>
            </w:r>
            <w:r w:rsidR="0063264F" w:rsidRPr="009F4382">
              <w:rPr>
                <w:rFonts w:ascii="Arial Narrow" w:hAnsi="Arial Narrow"/>
                <w:b/>
                <w:sz w:val="20"/>
                <w:szCs w:val="20"/>
              </w:rPr>
              <w:t>2</w:t>
            </w:r>
          </w:p>
        </w:tc>
      </w:tr>
      <w:tr w:rsidR="00356E34" w:rsidRPr="009F4382" w14:paraId="6B6FE590" w14:textId="77777777" w:rsidTr="79900132">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2470E74F" w14:textId="77777777" w:rsidR="00356E34" w:rsidRPr="009F4382" w:rsidRDefault="00356E34" w:rsidP="00B602E7">
            <w:pPr>
              <w:jc w:val="center"/>
              <w:rPr>
                <w:rFonts w:ascii="Arial Narrow" w:hAnsi="Arial Narrow" w:cs="Arial"/>
                <w:b/>
                <w:sz w:val="20"/>
                <w:szCs w:val="20"/>
              </w:rPr>
            </w:pPr>
            <w:r w:rsidRPr="009F4382">
              <w:rPr>
                <w:rFonts w:ascii="Arial Narrow" w:hAnsi="Arial Narrow" w:cs="Arial"/>
                <w:b/>
                <w:sz w:val="20"/>
                <w:szCs w:val="20"/>
              </w:rPr>
              <w:lastRenderedPageBreak/>
              <w:t xml:space="preserve">Concept ID </w:t>
            </w:r>
            <w:r w:rsidRPr="009F4382">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A668E5A" w14:textId="77777777" w:rsidR="00356E34" w:rsidRPr="009F4382" w:rsidRDefault="00356E34" w:rsidP="00B602E7">
            <w:pPr>
              <w:keepLines/>
              <w:rPr>
                <w:rFonts w:ascii="Arial Narrow" w:hAnsi="Arial Narrow" w:cs="Arial"/>
                <w:sz w:val="20"/>
                <w:szCs w:val="20"/>
              </w:rPr>
            </w:pPr>
            <w:r w:rsidRPr="009F4382">
              <w:rPr>
                <w:rFonts w:ascii="Arial Narrow" w:hAnsi="Arial Narrow" w:cs="Arial"/>
                <w:b/>
                <w:sz w:val="20"/>
                <w:szCs w:val="20"/>
              </w:rPr>
              <w:t>Category / Program:</w:t>
            </w:r>
            <w:r w:rsidRPr="009F4382">
              <w:rPr>
                <w:rFonts w:ascii="Arial Narrow" w:hAnsi="Arial Narrow" w:cs="Arial"/>
                <w:sz w:val="20"/>
                <w:szCs w:val="20"/>
              </w:rPr>
              <w:t xml:space="preserve"> </w:t>
            </w:r>
            <w:r w:rsidRPr="009F4382">
              <w:rPr>
                <w:rFonts w:ascii="Arial Narrow" w:eastAsia="Calibri" w:hAnsi="Arial Narrow" w:cs="Arial"/>
                <w:sz w:val="20"/>
                <w:szCs w:val="20"/>
              </w:rPr>
              <w:t>Section 100 – Highly Specialised Drugs Program – Public (Code HB)</w:t>
            </w:r>
            <w:r w:rsidRPr="009F4382">
              <w:rPr>
                <w:rFonts w:ascii="Arial Narrow" w:eastAsia="Calibri" w:hAnsi="Arial Narrow" w:cs="Arial"/>
                <w:color w:val="FF0000"/>
                <w:sz w:val="20"/>
                <w:szCs w:val="20"/>
              </w:rPr>
              <w:t xml:space="preserve"> </w:t>
            </w:r>
            <w:r w:rsidRPr="009F4382">
              <w:rPr>
                <w:rFonts w:ascii="Arial Narrow" w:eastAsia="Calibri" w:hAnsi="Arial Narrow" w:cs="Arial"/>
                <w:sz w:val="20"/>
                <w:szCs w:val="20"/>
              </w:rPr>
              <w:t>/ Private (Code HS)</w:t>
            </w:r>
          </w:p>
        </w:tc>
      </w:tr>
      <w:tr w:rsidR="00356E34" w:rsidRPr="009F4382" w14:paraId="0E5C9F4B" w14:textId="77777777" w:rsidTr="79900132">
        <w:tblPrEx>
          <w:tblCellMar>
            <w:top w:w="15" w:type="dxa"/>
            <w:bottom w:w="15" w:type="dxa"/>
          </w:tblCellMar>
          <w:tblLook w:val="04A0" w:firstRow="1" w:lastRow="0" w:firstColumn="1" w:lastColumn="0" w:noHBand="0" w:noVBand="1"/>
        </w:tblPrEx>
        <w:trPr>
          <w:trHeight w:val="20"/>
        </w:trPr>
        <w:tc>
          <w:tcPr>
            <w:tcW w:w="1271" w:type="dxa"/>
            <w:vMerge/>
          </w:tcPr>
          <w:p w14:paraId="3EC6C178" w14:textId="77777777" w:rsidR="00356E34" w:rsidRPr="009F4382" w:rsidRDefault="00356E34" w:rsidP="00B602E7">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9F8F1AE" w14:textId="77777777" w:rsidR="00356E34" w:rsidRPr="009F4382" w:rsidRDefault="00356E34" w:rsidP="00B602E7">
            <w:pPr>
              <w:keepLines/>
              <w:rPr>
                <w:rFonts w:ascii="Arial Narrow" w:hAnsi="Arial Narrow" w:cs="Arial"/>
                <w:b/>
                <w:sz w:val="20"/>
                <w:szCs w:val="20"/>
              </w:rPr>
            </w:pPr>
            <w:r w:rsidRPr="009F4382">
              <w:rPr>
                <w:rFonts w:ascii="Arial Narrow" w:hAnsi="Arial Narrow" w:cs="Arial"/>
                <w:b/>
                <w:sz w:val="20"/>
                <w:szCs w:val="20"/>
              </w:rPr>
              <w:t xml:space="preserve">Prescriber type: </w:t>
            </w:r>
            <w:r w:rsidRPr="009F4382">
              <w:rPr>
                <w:rFonts w:ascii="Arial Narrow" w:hAnsi="Arial Narrow" w:cs="Arial"/>
                <w:sz w:val="20"/>
                <w:szCs w:val="20"/>
              </w:rPr>
              <w:fldChar w:fldCharType="begin" w:fldLock="1">
                <w:ffData>
                  <w:name w:val=""/>
                  <w:enabled/>
                  <w:calcOnExit w:val="0"/>
                  <w:checkBox>
                    <w:sizeAuto/>
                    <w:default w:val="1"/>
                  </w:checkBox>
                </w:ffData>
              </w:fldChar>
            </w:r>
            <w:r w:rsidRPr="009F4382">
              <w:rPr>
                <w:rFonts w:ascii="Arial Narrow" w:hAnsi="Arial Narrow" w:cs="Arial"/>
                <w:sz w:val="20"/>
                <w:szCs w:val="20"/>
              </w:rPr>
              <w:instrText xml:space="preserve"> FORMCHECKBOX </w:instrText>
            </w:r>
            <w:r w:rsidRPr="009F4382">
              <w:rPr>
                <w:rFonts w:ascii="Arial Narrow" w:hAnsi="Arial Narrow" w:cs="Arial"/>
                <w:sz w:val="20"/>
                <w:szCs w:val="20"/>
              </w:rPr>
            </w:r>
            <w:r w:rsidRPr="009F4382">
              <w:rPr>
                <w:rFonts w:ascii="Arial Narrow" w:hAnsi="Arial Narrow" w:cs="Arial"/>
                <w:sz w:val="20"/>
                <w:szCs w:val="20"/>
              </w:rPr>
              <w:fldChar w:fldCharType="separate"/>
            </w:r>
            <w:r w:rsidRPr="009F4382">
              <w:rPr>
                <w:rFonts w:ascii="Arial Narrow" w:hAnsi="Arial Narrow" w:cs="Arial"/>
                <w:sz w:val="20"/>
                <w:szCs w:val="20"/>
              </w:rPr>
              <w:fldChar w:fldCharType="end"/>
            </w:r>
            <w:r w:rsidRPr="009F4382">
              <w:rPr>
                <w:rFonts w:ascii="Arial Narrow" w:hAnsi="Arial Narrow" w:cs="Arial"/>
                <w:sz w:val="20"/>
                <w:szCs w:val="20"/>
              </w:rPr>
              <w:t xml:space="preserve">Medical Practitioners </w:t>
            </w:r>
          </w:p>
        </w:tc>
      </w:tr>
      <w:tr w:rsidR="00356E34" w:rsidRPr="009F4382" w14:paraId="79347AA0" w14:textId="77777777" w:rsidTr="79900132">
        <w:tblPrEx>
          <w:tblCellMar>
            <w:top w:w="15" w:type="dxa"/>
            <w:bottom w:w="15" w:type="dxa"/>
          </w:tblCellMar>
          <w:tblLook w:val="04A0" w:firstRow="1" w:lastRow="0" w:firstColumn="1" w:lastColumn="0" w:noHBand="0" w:noVBand="1"/>
        </w:tblPrEx>
        <w:trPr>
          <w:trHeight w:val="20"/>
        </w:trPr>
        <w:tc>
          <w:tcPr>
            <w:tcW w:w="1271" w:type="dxa"/>
            <w:vMerge/>
          </w:tcPr>
          <w:p w14:paraId="1257B61F" w14:textId="77777777" w:rsidR="00356E34" w:rsidRPr="009F4382" w:rsidRDefault="00356E34" w:rsidP="00B602E7">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9F28DBD" w14:textId="4E973E60" w:rsidR="00356E34" w:rsidRPr="009F4382" w:rsidRDefault="00356E34" w:rsidP="00B602E7">
            <w:pPr>
              <w:keepLines/>
              <w:rPr>
                <w:rFonts w:ascii="Arial Narrow" w:eastAsia="Calibri" w:hAnsi="Arial Narrow" w:cs="Arial"/>
                <w:color w:val="FF0000"/>
                <w:sz w:val="20"/>
                <w:szCs w:val="20"/>
              </w:rPr>
            </w:pPr>
            <w:r w:rsidRPr="009F4382">
              <w:rPr>
                <w:rFonts w:ascii="Arial Narrow" w:hAnsi="Arial Narrow" w:cs="Arial"/>
                <w:b/>
                <w:sz w:val="20"/>
                <w:szCs w:val="20"/>
              </w:rPr>
              <w:t xml:space="preserve">Restriction type: </w:t>
            </w:r>
            <w:r w:rsidRPr="009F4382">
              <w:rPr>
                <w:rFonts w:ascii="Arial Narrow" w:eastAsia="Calibri" w:hAnsi="Arial Narrow" w:cs="Arial"/>
                <w:sz w:val="20"/>
                <w:szCs w:val="20"/>
              </w:rPr>
              <w:fldChar w:fldCharType="begin" w:fldLock="1">
                <w:ffData>
                  <w:name w:val=""/>
                  <w:enabled/>
                  <w:calcOnExit w:val="0"/>
                  <w:checkBox>
                    <w:sizeAuto/>
                    <w:default w:val="1"/>
                  </w:checkBox>
                </w:ffData>
              </w:fldChar>
            </w:r>
            <w:r w:rsidRPr="009F4382">
              <w:rPr>
                <w:rFonts w:ascii="Arial Narrow" w:eastAsia="Calibri" w:hAnsi="Arial Narrow" w:cs="Arial"/>
                <w:sz w:val="20"/>
                <w:szCs w:val="20"/>
              </w:rPr>
              <w:instrText xml:space="preserve"> FORMCHECKBOX </w:instrText>
            </w:r>
            <w:r w:rsidRPr="009F4382">
              <w:rPr>
                <w:rFonts w:ascii="Arial Narrow" w:eastAsia="Calibri" w:hAnsi="Arial Narrow" w:cs="Arial"/>
                <w:sz w:val="20"/>
                <w:szCs w:val="20"/>
              </w:rPr>
            </w:r>
            <w:r w:rsidRPr="009F4382">
              <w:rPr>
                <w:rFonts w:ascii="Arial Narrow" w:eastAsia="Calibri" w:hAnsi="Arial Narrow" w:cs="Arial"/>
                <w:sz w:val="20"/>
                <w:szCs w:val="20"/>
              </w:rPr>
              <w:fldChar w:fldCharType="separate"/>
            </w:r>
            <w:r w:rsidRPr="009F4382">
              <w:rPr>
                <w:rFonts w:ascii="Arial Narrow" w:eastAsia="Calibri" w:hAnsi="Arial Narrow" w:cs="Arial"/>
                <w:sz w:val="20"/>
                <w:szCs w:val="20"/>
              </w:rPr>
              <w:fldChar w:fldCharType="end"/>
            </w:r>
            <w:r w:rsidRPr="009F4382">
              <w:rPr>
                <w:rFonts w:ascii="Arial Narrow" w:eastAsia="Calibri" w:hAnsi="Arial Narrow" w:cs="Arial"/>
                <w:sz w:val="20"/>
                <w:szCs w:val="20"/>
              </w:rPr>
              <w:t>Authority Required (telephone/online PBS Authorities system)</w:t>
            </w:r>
          </w:p>
        </w:tc>
      </w:tr>
      <w:tr w:rsidR="0005033B" w:rsidRPr="009F4382" w14:paraId="6816AD3F"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6621CA20" w14:textId="77777777" w:rsidR="0005033B" w:rsidRPr="009F4382" w:rsidRDefault="0005033B" w:rsidP="00B602E7">
            <w:pPr>
              <w:keepLines/>
              <w:jc w:val="center"/>
              <w:rPr>
                <w:rFonts w:ascii="Arial Narrow" w:hAnsi="Arial Narrow"/>
                <w:sz w:val="20"/>
                <w:szCs w:val="20"/>
              </w:rPr>
            </w:pPr>
            <w:r w:rsidRPr="009F4382">
              <w:rPr>
                <w:rFonts w:ascii="Arial Narrow" w:hAnsi="Arial Narrow"/>
                <w:sz w:val="20"/>
                <w:szCs w:val="20"/>
              </w:rPr>
              <w:t>11873</w:t>
            </w:r>
          </w:p>
        </w:tc>
        <w:tc>
          <w:tcPr>
            <w:tcW w:w="7745" w:type="dxa"/>
            <w:gridSpan w:val="6"/>
            <w:vAlign w:val="center"/>
            <w:hideMark/>
          </w:tcPr>
          <w:p w14:paraId="39540A2A" w14:textId="77777777" w:rsidR="0005033B" w:rsidRPr="009F4382" w:rsidRDefault="0005033B" w:rsidP="00B602E7">
            <w:pPr>
              <w:keepLines/>
              <w:rPr>
                <w:rFonts w:ascii="Arial Narrow" w:hAnsi="Arial Narrow"/>
                <w:color w:val="333333"/>
                <w:sz w:val="20"/>
                <w:szCs w:val="20"/>
              </w:rPr>
            </w:pPr>
            <w:r w:rsidRPr="009F4382">
              <w:rPr>
                <w:rFonts w:ascii="Arial Narrow" w:hAnsi="Arial Narrow"/>
                <w:b/>
                <w:bCs/>
                <w:sz w:val="20"/>
                <w:szCs w:val="20"/>
              </w:rPr>
              <w:t>Indication:</w:t>
            </w:r>
            <w:r w:rsidRPr="009F4382">
              <w:rPr>
                <w:rFonts w:ascii="Arial Narrow" w:hAnsi="Arial Narrow"/>
                <w:sz w:val="20"/>
                <w:szCs w:val="20"/>
              </w:rPr>
              <w:t xml:space="preserve"> Uncontrolled severe allergic asthma</w:t>
            </w:r>
          </w:p>
        </w:tc>
      </w:tr>
      <w:tr w:rsidR="0005033B" w:rsidRPr="009F4382" w14:paraId="7DED9121"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4901285F" w14:textId="77777777" w:rsidR="0005033B" w:rsidRPr="009F4382" w:rsidRDefault="0005033B" w:rsidP="00B602E7">
            <w:pPr>
              <w:jc w:val="center"/>
              <w:rPr>
                <w:rFonts w:ascii="Arial Narrow" w:hAnsi="Arial Narrow"/>
                <w:sz w:val="20"/>
                <w:szCs w:val="20"/>
              </w:rPr>
            </w:pPr>
          </w:p>
        </w:tc>
        <w:tc>
          <w:tcPr>
            <w:tcW w:w="7745" w:type="dxa"/>
            <w:gridSpan w:val="6"/>
            <w:vAlign w:val="center"/>
            <w:hideMark/>
          </w:tcPr>
          <w:p w14:paraId="4C76A039" w14:textId="07E9AF43" w:rsidR="0005033B" w:rsidRPr="009F4382" w:rsidRDefault="0005033B" w:rsidP="00B602E7">
            <w:pPr>
              <w:rPr>
                <w:rFonts w:ascii="Arial Narrow" w:hAnsi="Arial Narrow"/>
                <w:sz w:val="20"/>
                <w:szCs w:val="20"/>
              </w:rPr>
            </w:pPr>
            <w:r w:rsidRPr="009F4382">
              <w:rPr>
                <w:rFonts w:ascii="Arial Narrow" w:hAnsi="Arial Narrow"/>
                <w:b/>
                <w:bCs/>
                <w:sz w:val="20"/>
                <w:szCs w:val="20"/>
              </w:rPr>
              <w:t>Treatment Phase:</w:t>
            </w:r>
            <w:r w:rsidRPr="009F4382">
              <w:rPr>
                <w:rFonts w:ascii="Arial Narrow" w:hAnsi="Arial Narrow"/>
                <w:sz w:val="20"/>
                <w:szCs w:val="20"/>
              </w:rPr>
              <w:t xml:space="preserve"> </w:t>
            </w:r>
            <w:r w:rsidR="004B4835" w:rsidRPr="009F4382">
              <w:rPr>
                <w:rFonts w:ascii="Arial Narrow" w:hAnsi="Arial Narrow"/>
                <w:sz w:val="20"/>
                <w:szCs w:val="20"/>
              </w:rPr>
              <w:t>Continuing treatment</w:t>
            </w:r>
          </w:p>
        </w:tc>
      </w:tr>
      <w:tr w:rsidR="00F64B4C" w:rsidRPr="009F4382" w14:paraId="290B3A57"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tcPr>
          <w:p w14:paraId="1890AADB" w14:textId="24E22C1F" w:rsidR="00F64B4C" w:rsidRPr="009F4382" w:rsidRDefault="00F64B4C" w:rsidP="00F64B4C">
            <w:pPr>
              <w:jc w:val="center"/>
              <w:rPr>
                <w:rFonts w:ascii="Arial Narrow" w:hAnsi="Arial Narrow"/>
                <w:sz w:val="20"/>
                <w:szCs w:val="20"/>
              </w:rPr>
            </w:pPr>
            <w:r w:rsidRPr="009F4382">
              <w:rPr>
                <w:rFonts w:ascii="Arial Narrow" w:hAnsi="Arial Narrow"/>
                <w:iCs/>
                <w:sz w:val="20"/>
                <w:szCs w:val="20"/>
              </w:rPr>
              <w:t>Caution</w:t>
            </w:r>
            <w:r w:rsidR="009E620E" w:rsidRPr="009F4382">
              <w:rPr>
                <w:rFonts w:ascii="Arial Narrow" w:hAnsi="Arial Narrow"/>
                <w:iCs/>
                <w:sz w:val="20"/>
                <w:szCs w:val="20"/>
                <w:vertAlign w:val="superscript"/>
              </w:rPr>
              <w:t>1</w:t>
            </w:r>
            <w:r w:rsidRPr="009F4382">
              <w:rPr>
                <w:rFonts w:ascii="Arial Narrow" w:hAnsi="Arial Narrow"/>
                <w:iCs/>
                <w:sz w:val="20"/>
                <w:szCs w:val="20"/>
              </w:rPr>
              <w:t xml:space="preserve"> [New</w:t>
            </w:r>
            <w:r w:rsidR="009E620E" w:rsidRPr="009F4382">
              <w:rPr>
                <w:rFonts w:ascii="Arial Narrow" w:hAnsi="Arial Narrow"/>
                <w:iCs/>
                <w:sz w:val="20"/>
                <w:szCs w:val="20"/>
              </w:rPr>
              <w:t>]</w:t>
            </w:r>
          </w:p>
        </w:tc>
        <w:tc>
          <w:tcPr>
            <w:tcW w:w="7745" w:type="dxa"/>
            <w:gridSpan w:val="6"/>
            <w:vAlign w:val="center"/>
          </w:tcPr>
          <w:p w14:paraId="00F7447E" w14:textId="1889BEA6" w:rsidR="00F64B4C" w:rsidRPr="009F4382" w:rsidRDefault="3267ED02" w:rsidP="79900132">
            <w:pPr>
              <w:rPr>
                <w:rFonts w:ascii="Arial Narrow" w:hAnsi="Arial Narrow"/>
                <w:b/>
                <w:bCs/>
                <w:sz w:val="20"/>
                <w:szCs w:val="20"/>
              </w:rPr>
            </w:pPr>
            <w:r w:rsidRPr="009F4382">
              <w:rPr>
                <w:rFonts w:ascii="Arial Narrow" w:hAnsi="Arial Narrow"/>
                <w:iCs/>
                <w:sz w:val="20"/>
                <w:szCs w:val="20"/>
              </w:rPr>
              <w:t xml:space="preserve">The </w:t>
            </w:r>
            <w:r w:rsidR="47224393" w:rsidRPr="009F4382">
              <w:rPr>
                <w:rFonts w:ascii="Arial Narrow" w:hAnsi="Arial Narrow"/>
                <w:iCs/>
                <w:sz w:val="20"/>
                <w:szCs w:val="20"/>
              </w:rPr>
              <w:t>o</w:t>
            </w:r>
            <w:r w:rsidRPr="009F4382">
              <w:rPr>
                <w:rFonts w:ascii="Arial Narrow" w:hAnsi="Arial Narrow"/>
                <w:iCs/>
                <w:sz w:val="20"/>
                <w:szCs w:val="20"/>
              </w:rPr>
              <w:t>malizumab p</w:t>
            </w:r>
            <w:r w:rsidR="07B3AF90" w:rsidRPr="009F4382">
              <w:rPr>
                <w:rFonts w:ascii="Arial Narrow" w:hAnsi="Arial Narrow"/>
                <w:iCs/>
                <w:sz w:val="20"/>
                <w:szCs w:val="20"/>
              </w:rPr>
              <w:t xml:space="preserve">en device is not intended for use in children below 12 years of age. For children below 12 years of age with </w:t>
            </w:r>
            <w:r w:rsidR="473777DD" w:rsidRPr="009F4382">
              <w:rPr>
                <w:rFonts w:ascii="Arial Narrow" w:hAnsi="Arial Narrow"/>
                <w:iCs/>
                <w:sz w:val="20"/>
                <w:szCs w:val="20"/>
              </w:rPr>
              <w:t xml:space="preserve">uncontrolled </w:t>
            </w:r>
            <w:r w:rsidR="07B3AF90" w:rsidRPr="009F4382">
              <w:rPr>
                <w:rFonts w:ascii="Arial Narrow" w:hAnsi="Arial Narrow"/>
                <w:iCs/>
                <w:sz w:val="20"/>
                <w:szCs w:val="20"/>
              </w:rPr>
              <w:t>severe allergic asthma,</w:t>
            </w:r>
            <w:r w:rsidR="568E1747" w:rsidRPr="009F4382">
              <w:rPr>
                <w:rFonts w:ascii="Arial Narrow" w:hAnsi="Arial Narrow"/>
                <w:iCs/>
                <w:sz w:val="20"/>
                <w:szCs w:val="20"/>
              </w:rPr>
              <w:t xml:space="preserve"> the omalizumab</w:t>
            </w:r>
            <w:r w:rsidR="07B3AF90" w:rsidRPr="009F4382">
              <w:rPr>
                <w:rFonts w:ascii="Arial Narrow" w:hAnsi="Arial Narrow"/>
                <w:iCs/>
                <w:sz w:val="20"/>
                <w:szCs w:val="20"/>
              </w:rPr>
              <w:t xml:space="preserve"> syringe is the appropriate form for this population.</w:t>
            </w:r>
          </w:p>
        </w:tc>
      </w:tr>
      <w:tr w:rsidR="00040F6E" w:rsidRPr="009F4382" w14:paraId="6E1197FD" w14:textId="77777777" w:rsidTr="00040F6E">
        <w:tblPrEx>
          <w:tblCellMar>
            <w:top w:w="15" w:type="dxa"/>
            <w:bottom w:w="15" w:type="dxa"/>
          </w:tblCellMar>
          <w:tblLook w:val="04A0" w:firstRow="1" w:lastRow="0" w:firstColumn="1" w:lastColumn="0" w:noHBand="0" w:noVBand="1"/>
        </w:tblPrEx>
        <w:trPr>
          <w:cantSplit/>
          <w:trHeight w:val="20"/>
        </w:trPr>
        <w:tc>
          <w:tcPr>
            <w:tcW w:w="1271" w:type="dxa"/>
            <w:tcBorders>
              <w:top w:val="single" w:sz="4" w:space="0" w:color="auto"/>
              <w:left w:val="single" w:sz="4" w:space="0" w:color="auto"/>
              <w:bottom w:val="single" w:sz="4" w:space="0" w:color="auto"/>
              <w:right w:val="single" w:sz="4" w:space="0" w:color="auto"/>
            </w:tcBorders>
            <w:vAlign w:val="center"/>
          </w:tcPr>
          <w:p w14:paraId="0E34AEBD" w14:textId="77777777" w:rsidR="00040F6E" w:rsidRPr="009F4382" w:rsidRDefault="00040F6E" w:rsidP="0047127C">
            <w:pPr>
              <w:jc w:val="center"/>
              <w:rPr>
                <w:rFonts w:ascii="Arial Narrow" w:hAnsi="Arial Narrow"/>
                <w:iCs/>
                <w:sz w:val="20"/>
                <w:szCs w:val="20"/>
              </w:rPr>
            </w:pPr>
            <w:r w:rsidRPr="009F4382">
              <w:rPr>
                <w:rFonts w:ascii="Arial Narrow" w:hAnsi="Arial Narrow"/>
                <w:iCs/>
                <w:sz w:val="20"/>
                <w:szCs w:val="20"/>
              </w:rPr>
              <w:t>Caution</w:t>
            </w:r>
            <w:r w:rsidRPr="009F4382">
              <w:rPr>
                <w:rFonts w:ascii="Arial Narrow" w:hAnsi="Arial Narrow"/>
                <w:iCs/>
                <w:sz w:val="20"/>
                <w:szCs w:val="20"/>
                <w:vertAlign w:val="superscript"/>
              </w:rPr>
              <w:t>2</w:t>
            </w:r>
            <w:r w:rsidRPr="009F4382">
              <w:rPr>
                <w:rFonts w:ascii="Arial Narrow" w:hAnsi="Arial Narrow"/>
                <w:iCs/>
                <w:sz w:val="20"/>
                <w:szCs w:val="20"/>
              </w:rPr>
              <w:t>[New]</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6203EB0" w14:textId="77777777" w:rsidR="00040F6E" w:rsidRPr="009F4382" w:rsidRDefault="00040F6E" w:rsidP="0047127C">
            <w:pPr>
              <w:rPr>
                <w:rFonts w:ascii="Arial Narrow" w:hAnsi="Arial Narrow"/>
                <w:iCs/>
                <w:sz w:val="20"/>
                <w:szCs w:val="20"/>
              </w:rPr>
            </w:pPr>
            <w:r w:rsidRPr="009F4382">
              <w:rPr>
                <w:rFonts w:ascii="Arial Narrow" w:hAnsi="Arial Narrow"/>
                <w:iCs/>
                <w:sz w:val="20"/>
                <w:szCs w:val="20"/>
              </w:rPr>
              <w:t>The 300mg/2mL omalizumab syringe device is not intended for use in children under 12 years of age for this indication.</w:t>
            </w:r>
          </w:p>
        </w:tc>
      </w:tr>
    </w:tbl>
    <w:p w14:paraId="299359AF" w14:textId="77777777" w:rsidR="00722DE8" w:rsidRPr="009F4382" w:rsidRDefault="00722DE8">
      <w:pPr>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w:tblDescription w:val="Indication: Uncontrolled severe allergic asthma&#10;Treatment phase: Balance of supply in a patient aged 6 to 12 years"/>
      </w:tblPr>
      <w:tblGrid>
        <w:gridCol w:w="1271"/>
        <w:gridCol w:w="3260"/>
        <w:gridCol w:w="1276"/>
        <w:gridCol w:w="803"/>
        <w:gridCol w:w="803"/>
        <w:gridCol w:w="804"/>
        <w:gridCol w:w="799"/>
      </w:tblGrid>
      <w:tr w:rsidR="00947378" w:rsidRPr="009F4382" w14:paraId="19A801D1" w14:textId="77777777" w:rsidTr="79900132">
        <w:trPr>
          <w:cantSplit/>
          <w:trHeight w:val="20"/>
        </w:trPr>
        <w:tc>
          <w:tcPr>
            <w:tcW w:w="4531" w:type="dxa"/>
            <w:gridSpan w:val="2"/>
            <w:vAlign w:val="center"/>
          </w:tcPr>
          <w:p w14:paraId="5C89B79B" w14:textId="77777777" w:rsidR="00947378" w:rsidRPr="009F4382" w:rsidRDefault="00947378" w:rsidP="00B602E7">
            <w:pPr>
              <w:keepLines/>
              <w:rPr>
                <w:rFonts w:ascii="Arial Narrow" w:hAnsi="Arial Narrow" w:cs="Arial"/>
                <w:b/>
                <w:bCs/>
                <w:sz w:val="20"/>
                <w:szCs w:val="20"/>
              </w:rPr>
            </w:pPr>
            <w:r w:rsidRPr="009F4382">
              <w:rPr>
                <w:rFonts w:ascii="Arial Narrow" w:hAnsi="Arial Narrow" w:cs="Arial"/>
                <w:b/>
                <w:bCs/>
                <w:sz w:val="20"/>
                <w:szCs w:val="20"/>
              </w:rPr>
              <w:t>MEDICINAL PRODUCT</w:t>
            </w:r>
          </w:p>
          <w:p w14:paraId="2A55A301" w14:textId="77777777" w:rsidR="00947378" w:rsidRPr="009F4382" w:rsidRDefault="00947378" w:rsidP="00B602E7">
            <w:pPr>
              <w:keepLines/>
              <w:rPr>
                <w:rFonts w:ascii="Arial Narrow" w:hAnsi="Arial Narrow" w:cs="Arial"/>
                <w:b/>
                <w:sz w:val="20"/>
                <w:szCs w:val="20"/>
              </w:rPr>
            </w:pPr>
            <w:r w:rsidRPr="009F4382">
              <w:rPr>
                <w:rFonts w:ascii="Arial Narrow" w:hAnsi="Arial Narrow" w:cs="Arial"/>
                <w:b/>
                <w:bCs/>
                <w:sz w:val="20"/>
                <w:szCs w:val="20"/>
              </w:rPr>
              <w:t>medicinal product pack</w:t>
            </w:r>
          </w:p>
        </w:tc>
        <w:tc>
          <w:tcPr>
            <w:tcW w:w="1276" w:type="dxa"/>
            <w:vAlign w:val="center"/>
          </w:tcPr>
          <w:p w14:paraId="325B3435" w14:textId="77777777" w:rsidR="00947378" w:rsidRPr="009F4382" w:rsidRDefault="00947378" w:rsidP="00B602E7">
            <w:pPr>
              <w:keepLines/>
              <w:jc w:val="center"/>
              <w:rPr>
                <w:rFonts w:ascii="Arial Narrow" w:hAnsi="Arial Narrow" w:cs="Arial"/>
                <w:b/>
                <w:sz w:val="20"/>
                <w:szCs w:val="20"/>
              </w:rPr>
            </w:pPr>
            <w:r w:rsidRPr="009F4382">
              <w:rPr>
                <w:rFonts w:ascii="Arial Narrow" w:hAnsi="Arial Narrow" w:cs="Arial"/>
                <w:b/>
                <w:sz w:val="20"/>
                <w:szCs w:val="20"/>
              </w:rPr>
              <w:t>PBS item code</w:t>
            </w:r>
          </w:p>
        </w:tc>
        <w:tc>
          <w:tcPr>
            <w:tcW w:w="803" w:type="dxa"/>
            <w:vAlign w:val="center"/>
          </w:tcPr>
          <w:p w14:paraId="6FEE9CBC" w14:textId="77777777" w:rsidR="00947378" w:rsidRPr="009F4382" w:rsidRDefault="00947378" w:rsidP="00B602E7">
            <w:pPr>
              <w:keepLines/>
              <w:jc w:val="center"/>
              <w:rPr>
                <w:rFonts w:ascii="Arial Narrow" w:hAnsi="Arial Narrow" w:cs="Arial"/>
                <w:b/>
                <w:sz w:val="20"/>
                <w:szCs w:val="20"/>
              </w:rPr>
            </w:pPr>
            <w:r w:rsidRPr="009F4382">
              <w:rPr>
                <w:rFonts w:ascii="Arial Narrow" w:hAnsi="Arial Narrow" w:cs="Arial"/>
                <w:b/>
                <w:sz w:val="20"/>
                <w:szCs w:val="20"/>
              </w:rPr>
              <w:t>Max. qty packs</w:t>
            </w:r>
          </w:p>
        </w:tc>
        <w:tc>
          <w:tcPr>
            <w:tcW w:w="803" w:type="dxa"/>
            <w:vAlign w:val="center"/>
          </w:tcPr>
          <w:p w14:paraId="2FFFBD14" w14:textId="77777777" w:rsidR="00947378" w:rsidRPr="009F4382" w:rsidRDefault="00947378" w:rsidP="00B602E7">
            <w:pPr>
              <w:keepLines/>
              <w:jc w:val="center"/>
              <w:rPr>
                <w:rFonts w:ascii="Arial Narrow" w:hAnsi="Arial Narrow" w:cs="Arial"/>
                <w:b/>
                <w:sz w:val="20"/>
                <w:szCs w:val="20"/>
              </w:rPr>
            </w:pPr>
            <w:r w:rsidRPr="009F4382">
              <w:rPr>
                <w:rFonts w:ascii="Arial Narrow" w:hAnsi="Arial Narrow" w:cs="Arial"/>
                <w:b/>
                <w:sz w:val="20"/>
                <w:szCs w:val="20"/>
              </w:rPr>
              <w:t>Max. qty units</w:t>
            </w:r>
          </w:p>
        </w:tc>
        <w:tc>
          <w:tcPr>
            <w:tcW w:w="804" w:type="dxa"/>
            <w:vAlign w:val="center"/>
          </w:tcPr>
          <w:p w14:paraId="01056796" w14:textId="692A26FA" w:rsidR="00947378" w:rsidRPr="009F4382" w:rsidRDefault="315B31FE" w:rsidP="79900132">
            <w:pPr>
              <w:keepLines/>
              <w:jc w:val="center"/>
              <w:rPr>
                <w:rFonts w:ascii="Arial Narrow" w:hAnsi="Arial Narrow" w:cs="Arial"/>
                <w:b/>
                <w:bCs/>
                <w:sz w:val="20"/>
                <w:szCs w:val="20"/>
              </w:rPr>
            </w:pPr>
            <w:proofErr w:type="gramStart"/>
            <w:r w:rsidRPr="009F4382">
              <w:rPr>
                <w:rFonts w:ascii="Arial Narrow" w:hAnsi="Arial Narrow" w:cs="Arial"/>
                <w:b/>
                <w:bCs/>
                <w:sz w:val="20"/>
                <w:szCs w:val="20"/>
              </w:rPr>
              <w:t>№.of</w:t>
            </w:r>
            <w:proofErr w:type="gramEnd"/>
          </w:p>
          <w:p w14:paraId="47638543" w14:textId="02F176B1" w:rsidR="00947378" w:rsidRPr="009F4382" w:rsidRDefault="315B31FE" w:rsidP="79900132">
            <w:pPr>
              <w:keepLines/>
              <w:jc w:val="center"/>
              <w:rPr>
                <w:rFonts w:ascii="Arial Narrow" w:hAnsi="Arial Narrow" w:cs="Arial"/>
                <w:b/>
                <w:bCs/>
                <w:sz w:val="20"/>
                <w:szCs w:val="20"/>
              </w:rPr>
            </w:pPr>
            <w:r w:rsidRPr="009F4382">
              <w:rPr>
                <w:rFonts w:ascii="Arial Narrow" w:hAnsi="Arial Narrow" w:cs="Arial"/>
                <w:b/>
                <w:bCs/>
                <w:sz w:val="20"/>
                <w:szCs w:val="20"/>
              </w:rPr>
              <w:t>Rpts</w:t>
            </w:r>
          </w:p>
        </w:tc>
        <w:tc>
          <w:tcPr>
            <w:tcW w:w="799" w:type="dxa"/>
            <w:vAlign w:val="center"/>
          </w:tcPr>
          <w:p w14:paraId="4FFC35C7" w14:textId="77777777" w:rsidR="00947378" w:rsidRPr="009F4382" w:rsidRDefault="00947378" w:rsidP="00B602E7">
            <w:pPr>
              <w:keepLines/>
              <w:rPr>
                <w:rFonts w:ascii="Arial Narrow" w:hAnsi="Arial Narrow" w:cs="Arial"/>
                <w:b/>
                <w:sz w:val="20"/>
                <w:szCs w:val="20"/>
                <w:lang w:val="fr-FR"/>
              </w:rPr>
            </w:pPr>
            <w:r w:rsidRPr="009F4382">
              <w:rPr>
                <w:rFonts w:ascii="Arial Narrow" w:hAnsi="Arial Narrow" w:cs="Arial"/>
                <w:b/>
                <w:sz w:val="20"/>
                <w:szCs w:val="20"/>
              </w:rPr>
              <w:t>Available brands</w:t>
            </w:r>
          </w:p>
        </w:tc>
      </w:tr>
      <w:tr w:rsidR="00947378" w:rsidRPr="009F4382" w14:paraId="6F080064" w14:textId="77777777" w:rsidTr="79900132">
        <w:trPr>
          <w:cantSplit/>
          <w:trHeight w:val="20"/>
        </w:trPr>
        <w:tc>
          <w:tcPr>
            <w:tcW w:w="9016" w:type="dxa"/>
            <w:gridSpan w:val="7"/>
            <w:vAlign w:val="center"/>
          </w:tcPr>
          <w:p w14:paraId="5D5A5F54" w14:textId="77777777" w:rsidR="00947378" w:rsidRPr="009F4382" w:rsidRDefault="00947378" w:rsidP="00B602E7">
            <w:pPr>
              <w:keepLines/>
              <w:rPr>
                <w:rFonts w:ascii="Arial Narrow" w:hAnsi="Arial Narrow" w:cs="Arial"/>
                <w:sz w:val="20"/>
                <w:szCs w:val="20"/>
              </w:rPr>
            </w:pPr>
            <w:r w:rsidRPr="009F4382">
              <w:rPr>
                <w:rFonts w:ascii="Arial Narrow" w:hAnsi="Arial Narrow" w:cs="Arial"/>
                <w:sz w:val="20"/>
                <w:szCs w:val="20"/>
              </w:rPr>
              <w:t>OMALIZUMAB</w:t>
            </w:r>
          </w:p>
        </w:tc>
      </w:tr>
      <w:tr w:rsidR="00750A76" w:rsidRPr="009F4382" w14:paraId="2ED7C17E" w14:textId="77777777" w:rsidTr="79900132">
        <w:trPr>
          <w:cantSplit/>
          <w:trHeight w:val="20"/>
        </w:trPr>
        <w:tc>
          <w:tcPr>
            <w:tcW w:w="4531" w:type="dxa"/>
            <w:gridSpan w:val="2"/>
            <w:vAlign w:val="center"/>
          </w:tcPr>
          <w:p w14:paraId="2103E53B" w14:textId="77777777" w:rsidR="00750A76" w:rsidRPr="009F4382" w:rsidRDefault="00750A76" w:rsidP="00750A76">
            <w:pPr>
              <w:keepLines/>
              <w:rPr>
                <w:rFonts w:ascii="Arial Narrow" w:hAnsi="Arial Narrow" w:cs="Arial"/>
                <w:sz w:val="20"/>
                <w:szCs w:val="20"/>
              </w:rPr>
            </w:pPr>
            <w:r w:rsidRPr="009F4382">
              <w:rPr>
                <w:rFonts w:ascii="Arial Narrow" w:hAnsi="Arial Narrow" w:cs="Arial"/>
                <w:sz w:val="20"/>
                <w:szCs w:val="20"/>
              </w:rPr>
              <w:t>omalizumab 75 mg/0.5 mL injection, 0.5 mL syringe</w:t>
            </w:r>
          </w:p>
        </w:tc>
        <w:tc>
          <w:tcPr>
            <w:tcW w:w="1276" w:type="dxa"/>
          </w:tcPr>
          <w:p w14:paraId="2D7DC74D" w14:textId="5AA9D105" w:rsidR="00750A76" w:rsidRPr="009F4382" w:rsidRDefault="00750A76" w:rsidP="00750A76">
            <w:pPr>
              <w:keepLines/>
              <w:jc w:val="center"/>
              <w:rPr>
                <w:rFonts w:ascii="Arial Narrow" w:hAnsi="Arial Narrow" w:cs="Arial"/>
                <w:sz w:val="20"/>
                <w:szCs w:val="20"/>
              </w:rPr>
            </w:pPr>
            <w:r w:rsidRPr="009F4382">
              <w:rPr>
                <w:rFonts w:ascii="Arial Narrow" w:hAnsi="Arial Narrow" w:cs="Arial"/>
                <w:sz w:val="20"/>
                <w:szCs w:val="20"/>
              </w:rPr>
              <w:t>11962N/ Public</w:t>
            </w:r>
          </w:p>
        </w:tc>
        <w:tc>
          <w:tcPr>
            <w:tcW w:w="803" w:type="dxa"/>
          </w:tcPr>
          <w:p w14:paraId="4D5397A9" w14:textId="77777777" w:rsidR="00750A76" w:rsidRPr="009F4382" w:rsidRDefault="00750A76" w:rsidP="00750A76">
            <w:pPr>
              <w:keepLines/>
              <w:jc w:val="center"/>
              <w:rPr>
                <w:rFonts w:ascii="Arial Narrow" w:hAnsi="Arial Narrow" w:cs="Arial"/>
                <w:sz w:val="20"/>
                <w:szCs w:val="20"/>
              </w:rPr>
            </w:pPr>
            <w:r w:rsidRPr="009F4382">
              <w:rPr>
                <w:rFonts w:ascii="Arial Narrow" w:hAnsi="Arial Narrow" w:cs="Arial"/>
                <w:sz w:val="20"/>
                <w:szCs w:val="20"/>
              </w:rPr>
              <w:t>1</w:t>
            </w:r>
          </w:p>
        </w:tc>
        <w:tc>
          <w:tcPr>
            <w:tcW w:w="803" w:type="dxa"/>
          </w:tcPr>
          <w:p w14:paraId="1AEDFB33" w14:textId="77777777" w:rsidR="00750A76" w:rsidRPr="009F4382" w:rsidRDefault="00750A76" w:rsidP="00750A76">
            <w:pPr>
              <w:keepLines/>
              <w:jc w:val="center"/>
              <w:rPr>
                <w:rFonts w:ascii="Arial Narrow" w:hAnsi="Arial Narrow" w:cs="Arial"/>
                <w:sz w:val="20"/>
                <w:szCs w:val="20"/>
              </w:rPr>
            </w:pPr>
            <w:r w:rsidRPr="009F4382">
              <w:rPr>
                <w:rFonts w:ascii="Arial Narrow" w:hAnsi="Arial Narrow" w:cs="Arial"/>
                <w:sz w:val="20"/>
                <w:szCs w:val="20"/>
              </w:rPr>
              <w:t>1</w:t>
            </w:r>
          </w:p>
        </w:tc>
        <w:tc>
          <w:tcPr>
            <w:tcW w:w="804" w:type="dxa"/>
          </w:tcPr>
          <w:p w14:paraId="36CA8DF9" w14:textId="6302762F" w:rsidR="00750A76" w:rsidRPr="009F4382" w:rsidRDefault="00750A76" w:rsidP="00750A76">
            <w:pPr>
              <w:keepLines/>
              <w:jc w:val="center"/>
              <w:rPr>
                <w:rFonts w:ascii="Arial Narrow" w:hAnsi="Arial Narrow" w:cs="Arial"/>
                <w:sz w:val="20"/>
                <w:szCs w:val="20"/>
              </w:rPr>
            </w:pPr>
            <w:r w:rsidRPr="009F4382">
              <w:rPr>
                <w:rFonts w:ascii="Arial Narrow" w:hAnsi="Arial Narrow" w:cs="Arial"/>
                <w:sz w:val="20"/>
                <w:szCs w:val="20"/>
              </w:rPr>
              <w:t>0</w:t>
            </w:r>
          </w:p>
        </w:tc>
        <w:tc>
          <w:tcPr>
            <w:tcW w:w="799" w:type="dxa"/>
            <w:vMerge w:val="restart"/>
            <w:vAlign w:val="center"/>
          </w:tcPr>
          <w:p w14:paraId="13B55703" w14:textId="77777777" w:rsidR="00750A76" w:rsidRPr="009F4382" w:rsidRDefault="00750A76" w:rsidP="00750A76">
            <w:pPr>
              <w:keepLines/>
              <w:jc w:val="center"/>
              <w:rPr>
                <w:rFonts w:ascii="Arial Narrow" w:hAnsi="Arial Narrow" w:cs="Arial"/>
                <w:sz w:val="20"/>
                <w:szCs w:val="20"/>
              </w:rPr>
            </w:pPr>
            <w:r w:rsidRPr="009F4382">
              <w:rPr>
                <w:rFonts w:ascii="Arial Narrow" w:hAnsi="Arial Narrow" w:cs="Arial"/>
                <w:sz w:val="20"/>
                <w:szCs w:val="20"/>
              </w:rPr>
              <w:t>Xolair</w:t>
            </w:r>
          </w:p>
        </w:tc>
      </w:tr>
      <w:tr w:rsidR="00750A76" w:rsidRPr="009F4382" w14:paraId="7CCF2060" w14:textId="77777777" w:rsidTr="79900132">
        <w:trPr>
          <w:cantSplit/>
          <w:trHeight w:val="20"/>
        </w:trPr>
        <w:tc>
          <w:tcPr>
            <w:tcW w:w="4531" w:type="dxa"/>
            <w:gridSpan w:val="2"/>
            <w:vAlign w:val="center"/>
          </w:tcPr>
          <w:p w14:paraId="2626C97B" w14:textId="77777777" w:rsidR="00750A76" w:rsidRPr="009F4382" w:rsidRDefault="00750A76" w:rsidP="00750A76">
            <w:pPr>
              <w:keepLines/>
              <w:rPr>
                <w:rFonts w:ascii="Arial Narrow" w:hAnsi="Arial Narrow" w:cs="Arial"/>
                <w:sz w:val="20"/>
                <w:szCs w:val="20"/>
              </w:rPr>
            </w:pPr>
            <w:r w:rsidRPr="009F4382">
              <w:rPr>
                <w:rFonts w:ascii="Arial Narrow" w:hAnsi="Arial Narrow" w:cs="Arial"/>
                <w:sz w:val="20"/>
                <w:szCs w:val="20"/>
              </w:rPr>
              <w:t>omalizumab 75 mg/0.5 mL injection, 0.5 mL syringe</w:t>
            </w:r>
          </w:p>
        </w:tc>
        <w:tc>
          <w:tcPr>
            <w:tcW w:w="1276" w:type="dxa"/>
          </w:tcPr>
          <w:p w14:paraId="390C2AD5" w14:textId="0A8BD9C9" w:rsidR="00750A76" w:rsidRPr="009F4382" w:rsidRDefault="00750A76" w:rsidP="00750A76">
            <w:pPr>
              <w:keepLines/>
              <w:jc w:val="center"/>
              <w:rPr>
                <w:rFonts w:ascii="Arial Narrow" w:hAnsi="Arial Narrow" w:cs="Arial"/>
                <w:sz w:val="20"/>
                <w:szCs w:val="20"/>
              </w:rPr>
            </w:pPr>
            <w:r w:rsidRPr="009F4382">
              <w:rPr>
                <w:rFonts w:ascii="Arial Narrow" w:hAnsi="Arial Narrow" w:cs="Arial"/>
                <w:sz w:val="20"/>
                <w:szCs w:val="20"/>
              </w:rPr>
              <w:t>11958J/ Private</w:t>
            </w:r>
          </w:p>
        </w:tc>
        <w:tc>
          <w:tcPr>
            <w:tcW w:w="803" w:type="dxa"/>
          </w:tcPr>
          <w:p w14:paraId="22D3FB3B" w14:textId="77777777" w:rsidR="00750A76" w:rsidRPr="009F4382" w:rsidRDefault="00750A76" w:rsidP="00750A76">
            <w:pPr>
              <w:keepLines/>
              <w:jc w:val="center"/>
              <w:rPr>
                <w:rFonts w:ascii="Arial Narrow" w:hAnsi="Arial Narrow" w:cs="Arial"/>
                <w:sz w:val="20"/>
                <w:szCs w:val="20"/>
              </w:rPr>
            </w:pPr>
            <w:r w:rsidRPr="009F4382">
              <w:rPr>
                <w:rFonts w:ascii="Arial Narrow" w:hAnsi="Arial Narrow" w:cs="Arial"/>
                <w:sz w:val="20"/>
                <w:szCs w:val="20"/>
              </w:rPr>
              <w:t>1</w:t>
            </w:r>
          </w:p>
        </w:tc>
        <w:tc>
          <w:tcPr>
            <w:tcW w:w="803" w:type="dxa"/>
          </w:tcPr>
          <w:p w14:paraId="3959D5B5" w14:textId="77777777" w:rsidR="00750A76" w:rsidRPr="009F4382" w:rsidRDefault="00750A76" w:rsidP="00750A76">
            <w:pPr>
              <w:keepLines/>
              <w:jc w:val="center"/>
              <w:rPr>
                <w:rFonts w:ascii="Arial Narrow" w:hAnsi="Arial Narrow" w:cs="Arial"/>
                <w:sz w:val="20"/>
                <w:szCs w:val="20"/>
              </w:rPr>
            </w:pPr>
            <w:r w:rsidRPr="009F4382">
              <w:rPr>
                <w:rFonts w:ascii="Arial Narrow" w:hAnsi="Arial Narrow" w:cs="Arial"/>
                <w:sz w:val="20"/>
                <w:szCs w:val="20"/>
              </w:rPr>
              <w:t>1</w:t>
            </w:r>
          </w:p>
        </w:tc>
        <w:tc>
          <w:tcPr>
            <w:tcW w:w="804" w:type="dxa"/>
          </w:tcPr>
          <w:p w14:paraId="46686156" w14:textId="707CC84E" w:rsidR="00750A76" w:rsidRPr="009F4382" w:rsidRDefault="00750A76" w:rsidP="00750A76">
            <w:pPr>
              <w:keepLines/>
              <w:jc w:val="center"/>
              <w:rPr>
                <w:rFonts w:ascii="Arial Narrow" w:hAnsi="Arial Narrow" w:cs="Arial"/>
                <w:sz w:val="20"/>
                <w:szCs w:val="20"/>
              </w:rPr>
            </w:pPr>
            <w:r w:rsidRPr="009F4382">
              <w:rPr>
                <w:rFonts w:ascii="Arial Narrow" w:hAnsi="Arial Narrow" w:cs="Arial"/>
                <w:sz w:val="20"/>
                <w:szCs w:val="20"/>
              </w:rPr>
              <w:t>0</w:t>
            </w:r>
          </w:p>
        </w:tc>
        <w:tc>
          <w:tcPr>
            <w:tcW w:w="799" w:type="dxa"/>
            <w:vMerge/>
            <w:vAlign w:val="center"/>
          </w:tcPr>
          <w:p w14:paraId="2D6AFF41" w14:textId="77777777" w:rsidR="00750A76" w:rsidRPr="009F4382" w:rsidRDefault="00750A76" w:rsidP="00750A76">
            <w:pPr>
              <w:keepLines/>
              <w:rPr>
                <w:rFonts w:ascii="Arial Narrow" w:hAnsi="Arial Narrow" w:cs="Arial"/>
                <w:sz w:val="20"/>
                <w:szCs w:val="20"/>
              </w:rPr>
            </w:pPr>
          </w:p>
        </w:tc>
      </w:tr>
      <w:tr w:rsidR="00750A76" w:rsidRPr="009F4382" w14:paraId="5F77397E" w14:textId="77777777" w:rsidTr="79900132">
        <w:trPr>
          <w:cantSplit/>
          <w:trHeight w:val="20"/>
        </w:trPr>
        <w:tc>
          <w:tcPr>
            <w:tcW w:w="4531" w:type="dxa"/>
            <w:gridSpan w:val="2"/>
            <w:vAlign w:val="center"/>
          </w:tcPr>
          <w:p w14:paraId="3119F2D2" w14:textId="77777777" w:rsidR="00750A76" w:rsidRPr="009F4382" w:rsidRDefault="00750A76" w:rsidP="00750A76">
            <w:pPr>
              <w:keepLines/>
              <w:rPr>
                <w:rFonts w:ascii="Arial Narrow" w:hAnsi="Arial Narrow" w:cs="Arial"/>
                <w:sz w:val="20"/>
                <w:szCs w:val="20"/>
              </w:rPr>
            </w:pPr>
            <w:r w:rsidRPr="009F4382">
              <w:rPr>
                <w:rFonts w:ascii="Arial Narrow" w:hAnsi="Arial Narrow" w:cs="Arial"/>
                <w:sz w:val="20"/>
                <w:szCs w:val="20"/>
              </w:rPr>
              <w:t>omalizumab 150 mg/mL injection, 1 mL syringe</w:t>
            </w:r>
          </w:p>
        </w:tc>
        <w:tc>
          <w:tcPr>
            <w:tcW w:w="1276" w:type="dxa"/>
            <w:vAlign w:val="center"/>
          </w:tcPr>
          <w:p w14:paraId="4B852427" w14:textId="521BDBBD" w:rsidR="00750A76" w:rsidRPr="009F4382" w:rsidRDefault="00750A76" w:rsidP="00750A76">
            <w:pPr>
              <w:keepLines/>
              <w:jc w:val="center"/>
              <w:rPr>
                <w:rFonts w:ascii="Arial Narrow" w:hAnsi="Arial Narrow" w:cs="Arial"/>
                <w:sz w:val="20"/>
                <w:szCs w:val="20"/>
              </w:rPr>
            </w:pPr>
            <w:r w:rsidRPr="009F4382">
              <w:rPr>
                <w:rFonts w:ascii="Arial Narrow" w:hAnsi="Arial Narrow" w:cs="Arial"/>
                <w:sz w:val="20"/>
                <w:szCs w:val="20"/>
              </w:rPr>
              <w:t>11950Y/ Public</w:t>
            </w:r>
          </w:p>
        </w:tc>
        <w:tc>
          <w:tcPr>
            <w:tcW w:w="803" w:type="dxa"/>
          </w:tcPr>
          <w:p w14:paraId="4DC8B90B" w14:textId="77777777" w:rsidR="00750A76" w:rsidRPr="009F4382" w:rsidRDefault="00750A76" w:rsidP="00750A76">
            <w:pPr>
              <w:keepLines/>
              <w:jc w:val="center"/>
              <w:rPr>
                <w:rFonts w:ascii="Arial Narrow" w:hAnsi="Arial Narrow" w:cs="Arial"/>
                <w:sz w:val="20"/>
                <w:szCs w:val="20"/>
              </w:rPr>
            </w:pPr>
            <w:r w:rsidRPr="009F4382">
              <w:rPr>
                <w:rFonts w:ascii="Arial Narrow" w:hAnsi="Arial Narrow" w:cs="Arial"/>
                <w:sz w:val="20"/>
                <w:szCs w:val="20"/>
              </w:rPr>
              <w:t>1</w:t>
            </w:r>
          </w:p>
        </w:tc>
        <w:tc>
          <w:tcPr>
            <w:tcW w:w="803" w:type="dxa"/>
          </w:tcPr>
          <w:p w14:paraId="286FC2C6" w14:textId="77777777" w:rsidR="00750A76" w:rsidRPr="009F4382" w:rsidRDefault="00750A76" w:rsidP="00750A76">
            <w:pPr>
              <w:keepLines/>
              <w:jc w:val="center"/>
              <w:rPr>
                <w:rFonts w:ascii="Arial Narrow" w:hAnsi="Arial Narrow" w:cs="Arial"/>
                <w:sz w:val="20"/>
                <w:szCs w:val="20"/>
              </w:rPr>
            </w:pPr>
            <w:r w:rsidRPr="009F4382">
              <w:rPr>
                <w:rFonts w:ascii="Arial Narrow" w:hAnsi="Arial Narrow" w:cs="Arial"/>
                <w:sz w:val="20"/>
                <w:szCs w:val="20"/>
              </w:rPr>
              <w:t>1</w:t>
            </w:r>
          </w:p>
        </w:tc>
        <w:tc>
          <w:tcPr>
            <w:tcW w:w="804" w:type="dxa"/>
          </w:tcPr>
          <w:p w14:paraId="628FEF5C" w14:textId="7E1D535D" w:rsidR="00750A76" w:rsidRPr="009F4382" w:rsidRDefault="00750A76" w:rsidP="00750A76">
            <w:pPr>
              <w:keepLines/>
              <w:jc w:val="center"/>
              <w:rPr>
                <w:rFonts w:ascii="Arial Narrow" w:hAnsi="Arial Narrow" w:cs="Arial"/>
                <w:sz w:val="20"/>
                <w:szCs w:val="20"/>
              </w:rPr>
            </w:pPr>
            <w:r w:rsidRPr="009F4382">
              <w:rPr>
                <w:rFonts w:ascii="Arial Narrow" w:hAnsi="Arial Narrow" w:cs="Arial"/>
                <w:sz w:val="20"/>
                <w:szCs w:val="20"/>
              </w:rPr>
              <w:t>0</w:t>
            </w:r>
          </w:p>
        </w:tc>
        <w:tc>
          <w:tcPr>
            <w:tcW w:w="799" w:type="dxa"/>
            <w:vMerge/>
            <w:vAlign w:val="center"/>
          </w:tcPr>
          <w:p w14:paraId="46DE768F" w14:textId="77777777" w:rsidR="00750A76" w:rsidRPr="009F4382" w:rsidRDefault="00750A76" w:rsidP="00750A76">
            <w:pPr>
              <w:keepLines/>
              <w:rPr>
                <w:rFonts w:ascii="Arial Narrow" w:hAnsi="Arial Narrow" w:cs="Arial"/>
                <w:sz w:val="20"/>
                <w:szCs w:val="20"/>
              </w:rPr>
            </w:pPr>
          </w:p>
        </w:tc>
      </w:tr>
      <w:tr w:rsidR="00750A76" w:rsidRPr="009F4382" w14:paraId="4F7A43C0" w14:textId="77777777" w:rsidTr="79900132">
        <w:trPr>
          <w:cantSplit/>
          <w:trHeight w:val="20"/>
        </w:trPr>
        <w:tc>
          <w:tcPr>
            <w:tcW w:w="4531" w:type="dxa"/>
            <w:gridSpan w:val="2"/>
            <w:vAlign w:val="center"/>
          </w:tcPr>
          <w:p w14:paraId="7BE5860A" w14:textId="77777777" w:rsidR="00750A76" w:rsidRPr="009F4382" w:rsidRDefault="00750A76" w:rsidP="00750A76">
            <w:pPr>
              <w:keepLines/>
              <w:rPr>
                <w:rFonts w:ascii="Arial Narrow" w:hAnsi="Arial Narrow" w:cs="Arial"/>
                <w:sz w:val="20"/>
                <w:szCs w:val="20"/>
              </w:rPr>
            </w:pPr>
            <w:r w:rsidRPr="009F4382">
              <w:rPr>
                <w:rFonts w:ascii="Arial Narrow" w:hAnsi="Arial Narrow" w:cs="Arial"/>
                <w:sz w:val="20"/>
                <w:szCs w:val="20"/>
              </w:rPr>
              <w:t>omalizumab 150 mg/mL injection, 1 mL syringe</w:t>
            </w:r>
          </w:p>
        </w:tc>
        <w:tc>
          <w:tcPr>
            <w:tcW w:w="1276" w:type="dxa"/>
            <w:vAlign w:val="center"/>
          </w:tcPr>
          <w:p w14:paraId="2F5423B9" w14:textId="3587C44C" w:rsidR="00750A76" w:rsidRPr="009F4382" w:rsidRDefault="00750A76" w:rsidP="00750A76">
            <w:pPr>
              <w:keepLines/>
              <w:jc w:val="center"/>
              <w:rPr>
                <w:rFonts w:ascii="Arial Narrow" w:hAnsi="Arial Narrow" w:cs="Arial"/>
                <w:sz w:val="20"/>
                <w:szCs w:val="20"/>
              </w:rPr>
            </w:pPr>
            <w:r w:rsidRPr="009F4382">
              <w:rPr>
                <w:rFonts w:ascii="Arial Narrow" w:hAnsi="Arial Narrow" w:cs="Arial"/>
                <w:sz w:val="20"/>
                <w:szCs w:val="20"/>
              </w:rPr>
              <w:t>11932B/ Private</w:t>
            </w:r>
          </w:p>
        </w:tc>
        <w:tc>
          <w:tcPr>
            <w:tcW w:w="803" w:type="dxa"/>
          </w:tcPr>
          <w:p w14:paraId="49EB2DDF" w14:textId="77777777" w:rsidR="00750A76" w:rsidRPr="009F4382" w:rsidRDefault="00750A76" w:rsidP="00750A76">
            <w:pPr>
              <w:keepLines/>
              <w:jc w:val="center"/>
              <w:rPr>
                <w:rFonts w:ascii="Arial Narrow" w:hAnsi="Arial Narrow" w:cs="Arial"/>
                <w:sz w:val="20"/>
                <w:szCs w:val="20"/>
              </w:rPr>
            </w:pPr>
            <w:r w:rsidRPr="009F4382">
              <w:rPr>
                <w:rFonts w:ascii="Arial Narrow" w:hAnsi="Arial Narrow" w:cs="Arial"/>
                <w:sz w:val="20"/>
                <w:szCs w:val="20"/>
              </w:rPr>
              <w:t>1</w:t>
            </w:r>
          </w:p>
        </w:tc>
        <w:tc>
          <w:tcPr>
            <w:tcW w:w="803" w:type="dxa"/>
          </w:tcPr>
          <w:p w14:paraId="5E4BB0A8" w14:textId="77777777" w:rsidR="00750A76" w:rsidRPr="009F4382" w:rsidRDefault="00750A76" w:rsidP="00750A76">
            <w:pPr>
              <w:keepLines/>
              <w:jc w:val="center"/>
              <w:rPr>
                <w:rFonts w:ascii="Arial Narrow" w:hAnsi="Arial Narrow" w:cs="Arial"/>
                <w:sz w:val="20"/>
                <w:szCs w:val="20"/>
              </w:rPr>
            </w:pPr>
            <w:r w:rsidRPr="009F4382">
              <w:rPr>
                <w:rFonts w:ascii="Arial Narrow" w:hAnsi="Arial Narrow" w:cs="Arial"/>
                <w:sz w:val="20"/>
                <w:szCs w:val="20"/>
              </w:rPr>
              <w:t>1</w:t>
            </w:r>
          </w:p>
        </w:tc>
        <w:tc>
          <w:tcPr>
            <w:tcW w:w="804" w:type="dxa"/>
          </w:tcPr>
          <w:p w14:paraId="18C50569" w14:textId="461420E1" w:rsidR="00750A76" w:rsidRPr="009F4382" w:rsidRDefault="00750A76" w:rsidP="00750A76">
            <w:pPr>
              <w:keepLines/>
              <w:jc w:val="center"/>
              <w:rPr>
                <w:rFonts w:ascii="Arial Narrow" w:hAnsi="Arial Narrow" w:cs="Arial"/>
                <w:sz w:val="20"/>
                <w:szCs w:val="20"/>
              </w:rPr>
            </w:pPr>
            <w:r w:rsidRPr="009F4382">
              <w:rPr>
                <w:rFonts w:ascii="Arial Narrow" w:hAnsi="Arial Narrow" w:cs="Arial"/>
                <w:sz w:val="20"/>
                <w:szCs w:val="20"/>
              </w:rPr>
              <w:t>0</w:t>
            </w:r>
          </w:p>
        </w:tc>
        <w:tc>
          <w:tcPr>
            <w:tcW w:w="799" w:type="dxa"/>
            <w:vMerge/>
            <w:vAlign w:val="center"/>
          </w:tcPr>
          <w:p w14:paraId="596D4198" w14:textId="77777777" w:rsidR="00750A76" w:rsidRPr="009F4382" w:rsidRDefault="00750A76" w:rsidP="00750A76">
            <w:pPr>
              <w:keepLines/>
              <w:rPr>
                <w:rFonts w:ascii="Arial Narrow" w:hAnsi="Arial Narrow" w:cs="Arial"/>
                <w:sz w:val="20"/>
                <w:szCs w:val="20"/>
              </w:rPr>
            </w:pPr>
          </w:p>
        </w:tc>
      </w:tr>
      <w:tr w:rsidR="00947378" w:rsidRPr="009F4382" w14:paraId="51B8C957" w14:textId="77777777" w:rsidTr="79900132">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20860D4B" w14:textId="77777777" w:rsidR="00947378" w:rsidRPr="009F4382" w:rsidRDefault="00947378" w:rsidP="00B602E7">
            <w:pPr>
              <w:rPr>
                <w:rFonts w:ascii="Arial Narrow" w:hAnsi="Arial Narrow" w:cs="Arial"/>
                <w:sz w:val="20"/>
                <w:szCs w:val="20"/>
              </w:rPr>
            </w:pPr>
          </w:p>
        </w:tc>
      </w:tr>
      <w:tr w:rsidR="00947378" w:rsidRPr="009F4382" w14:paraId="5B38F1FC" w14:textId="77777777" w:rsidTr="79900132">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3910F94E" w14:textId="01E72C25" w:rsidR="00947378" w:rsidRPr="009F4382" w:rsidRDefault="00947378" w:rsidP="00B602E7">
            <w:pPr>
              <w:keepLines/>
              <w:rPr>
                <w:rFonts w:ascii="Arial Narrow" w:hAnsi="Arial Narrow" w:cs="Arial"/>
                <w:b/>
                <w:sz w:val="20"/>
                <w:szCs w:val="20"/>
              </w:rPr>
            </w:pPr>
            <w:r w:rsidRPr="009F4382">
              <w:rPr>
                <w:rFonts w:ascii="Arial Narrow" w:hAnsi="Arial Narrow"/>
                <w:b/>
                <w:sz w:val="20"/>
                <w:szCs w:val="20"/>
              </w:rPr>
              <w:t>Restriction Summary 1538</w:t>
            </w:r>
            <w:r w:rsidR="007A41CE" w:rsidRPr="009F4382">
              <w:rPr>
                <w:rFonts w:ascii="Arial Narrow" w:hAnsi="Arial Narrow"/>
                <w:b/>
                <w:sz w:val="20"/>
                <w:szCs w:val="20"/>
              </w:rPr>
              <w:t>1</w:t>
            </w:r>
            <w:r w:rsidRPr="009F4382">
              <w:rPr>
                <w:rFonts w:ascii="Arial Narrow" w:hAnsi="Arial Narrow"/>
                <w:b/>
                <w:sz w:val="20"/>
                <w:szCs w:val="20"/>
              </w:rPr>
              <w:t>/ Treatment of Concept: 15</w:t>
            </w:r>
            <w:r w:rsidR="007A41CE" w:rsidRPr="009F4382">
              <w:rPr>
                <w:rFonts w:ascii="Arial Narrow" w:hAnsi="Arial Narrow"/>
                <w:b/>
                <w:sz w:val="20"/>
                <w:szCs w:val="20"/>
              </w:rPr>
              <w:t>403</w:t>
            </w:r>
          </w:p>
        </w:tc>
      </w:tr>
      <w:tr w:rsidR="00947378" w:rsidRPr="009F4382" w14:paraId="4F453BCB" w14:textId="77777777" w:rsidTr="79900132">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32A849C8" w14:textId="77777777" w:rsidR="00947378" w:rsidRPr="009F4382" w:rsidRDefault="00947378" w:rsidP="00B602E7">
            <w:pPr>
              <w:jc w:val="center"/>
              <w:rPr>
                <w:rFonts w:ascii="Arial Narrow" w:hAnsi="Arial Narrow" w:cs="Arial"/>
                <w:b/>
                <w:sz w:val="20"/>
                <w:szCs w:val="20"/>
              </w:rPr>
            </w:pPr>
            <w:r w:rsidRPr="009F4382">
              <w:rPr>
                <w:rFonts w:ascii="Arial Narrow" w:hAnsi="Arial Narrow" w:cs="Arial"/>
                <w:b/>
                <w:sz w:val="20"/>
                <w:szCs w:val="20"/>
              </w:rPr>
              <w:t xml:space="preserve">Concept ID </w:t>
            </w:r>
            <w:r w:rsidRPr="009F4382">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D235372" w14:textId="77777777" w:rsidR="00947378" w:rsidRPr="009F4382" w:rsidRDefault="00947378" w:rsidP="00B602E7">
            <w:pPr>
              <w:keepLines/>
              <w:rPr>
                <w:rFonts w:ascii="Arial Narrow" w:hAnsi="Arial Narrow" w:cs="Arial"/>
                <w:sz w:val="20"/>
                <w:szCs w:val="20"/>
              </w:rPr>
            </w:pPr>
            <w:r w:rsidRPr="009F4382">
              <w:rPr>
                <w:rFonts w:ascii="Arial Narrow" w:hAnsi="Arial Narrow" w:cs="Arial"/>
                <w:b/>
                <w:sz w:val="20"/>
                <w:szCs w:val="20"/>
              </w:rPr>
              <w:t>Category / Program:</w:t>
            </w:r>
            <w:r w:rsidRPr="009F4382">
              <w:rPr>
                <w:rFonts w:ascii="Arial Narrow" w:hAnsi="Arial Narrow" w:cs="Arial"/>
                <w:sz w:val="20"/>
                <w:szCs w:val="20"/>
              </w:rPr>
              <w:t xml:space="preserve"> </w:t>
            </w:r>
            <w:r w:rsidRPr="009F4382">
              <w:rPr>
                <w:rFonts w:ascii="Arial Narrow" w:eastAsia="Calibri" w:hAnsi="Arial Narrow" w:cs="Arial"/>
                <w:sz w:val="20"/>
                <w:szCs w:val="20"/>
              </w:rPr>
              <w:t>Section 100 – Highly Specialised Drugs Program – Public (Code HB)</w:t>
            </w:r>
            <w:r w:rsidRPr="009F4382">
              <w:rPr>
                <w:rFonts w:ascii="Arial Narrow" w:eastAsia="Calibri" w:hAnsi="Arial Narrow" w:cs="Arial"/>
                <w:color w:val="FF0000"/>
                <w:sz w:val="20"/>
                <w:szCs w:val="20"/>
              </w:rPr>
              <w:t xml:space="preserve"> </w:t>
            </w:r>
            <w:r w:rsidRPr="009F4382">
              <w:rPr>
                <w:rFonts w:ascii="Arial Narrow" w:eastAsia="Calibri" w:hAnsi="Arial Narrow" w:cs="Arial"/>
                <w:sz w:val="20"/>
                <w:szCs w:val="20"/>
              </w:rPr>
              <w:t>/ Private (Code HS)</w:t>
            </w:r>
          </w:p>
        </w:tc>
      </w:tr>
      <w:tr w:rsidR="00947378" w:rsidRPr="009F4382" w14:paraId="33D56875" w14:textId="77777777" w:rsidTr="79900132">
        <w:tblPrEx>
          <w:tblCellMar>
            <w:top w:w="15" w:type="dxa"/>
            <w:bottom w:w="15" w:type="dxa"/>
          </w:tblCellMar>
          <w:tblLook w:val="04A0" w:firstRow="1" w:lastRow="0" w:firstColumn="1" w:lastColumn="0" w:noHBand="0" w:noVBand="1"/>
        </w:tblPrEx>
        <w:trPr>
          <w:trHeight w:val="20"/>
        </w:trPr>
        <w:tc>
          <w:tcPr>
            <w:tcW w:w="1271" w:type="dxa"/>
            <w:vMerge/>
          </w:tcPr>
          <w:p w14:paraId="2E13AC7F" w14:textId="77777777" w:rsidR="00947378" w:rsidRPr="009F4382" w:rsidRDefault="00947378" w:rsidP="00B602E7">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3CD3E22" w14:textId="77777777" w:rsidR="00947378" w:rsidRPr="009F4382" w:rsidRDefault="00947378" w:rsidP="00B602E7">
            <w:pPr>
              <w:keepLines/>
              <w:rPr>
                <w:rFonts w:ascii="Arial Narrow" w:hAnsi="Arial Narrow" w:cs="Arial"/>
                <w:b/>
                <w:sz w:val="20"/>
                <w:szCs w:val="20"/>
              </w:rPr>
            </w:pPr>
            <w:r w:rsidRPr="009F4382">
              <w:rPr>
                <w:rFonts w:ascii="Arial Narrow" w:hAnsi="Arial Narrow" w:cs="Arial"/>
                <w:b/>
                <w:sz w:val="20"/>
                <w:szCs w:val="20"/>
              </w:rPr>
              <w:t xml:space="preserve">Prescriber type: </w:t>
            </w:r>
            <w:r w:rsidRPr="009F4382">
              <w:rPr>
                <w:rFonts w:ascii="Arial Narrow" w:hAnsi="Arial Narrow" w:cs="Arial"/>
                <w:sz w:val="20"/>
                <w:szCs w:val="20"/>
              </w:rPr>
              <w:fldChar w:fldCharType="begin" w:fldLock="1">
                <w:ffData>
                  <w:name w:val=""/>
                  <w:enabled/>
                  <w:calcOnExit w:val="0"/>
                  <w:checkBox>
                    <w:sizeAuto/>
                    <w:default w:val="1"/>
                  </w:checkBox>
                </w:ffData>
              </w:fldChar>
            </w:r>
            <w:r w:rsidRPr="009F4382">
              <w:rPr>
                <w:rFonts w:ascii="Arial Narrow" w:hAnsi="Arial Narrow" w:cs="Arial"/>
                <w:sz w:val="20"/>
                <w:szCs w:val="20"/>
              </w:rPr>
              <w:instrText xml:space="preserve"> FORMCHECKBOX </w:instrText>
            </w:r>
            <w:r w:rsidRPr="009F4382">
              <w:rPr>
                <w:rFonts w:ascii="Arial Narrow" w:hAnsi="Arial Narrow" w:cs="Arial"/>
                <w:sz w:val="20"/>
                <w:szCs w:val="20"/>
              </w:rPr>
            </w:r>
            <w:r w:rsidRPr="009F4382">
              <w:rPr>
                <w:rFonts w:ascii="Arial Narrow" w:hAnsi="Arial Narrow" w:cs="Arial"/>
                <w:sz w:val="20"/>
                <w:szCs w:val="20"/>
              </w:rPr>
              <w:fldChar w:fldCharType="separate"/>
            </w:r>
            <w:r w:rsidRPr="009F4382">
              <w:rPr>
                <w:rFonts w:ascii="Arial Narrow" w:hAnsi="Arial Narrow" w:cs="Arial"/>
                <w:sz w:val="20"/>
                <w:szCs w:val="20"/>
              </w:rPr>
              <w:fldChar w:fldCharType="end"/>
            </w:r>
            <w:r w:rsidRPr="009F4382">
              <w:rPr>
                <w:rFonts w:ascii="Arial Narrow" w:hAnsi="Arial Narrow" w:cs="Arial"/>
                <w:sz w:val="20"/>
                <w:szCs w:val="20"/>
              </w:rPr>
              <w:t xml:space="preserve">Medical Practitioners </w:t>
            </w:r>
          </w:p>
        </w:tc>
      </w:tr>
      <w:tr w:rsidR="00947378" w:rsidRPr="009F4382" w14:paraId="470811FA" w14:textId="77777777" w:rsidTr="79900132">
        <w:tblPrEx>
          <w:tblCellMar>
            <w:top w:w="15" w:type="dxa"/>
            <w:bottom w:w="15" w:type="dxa"/>
          </w:tblCellMar>
          <w:tblLook w:val="04A0" w:firstRow="1" w:lastRow="0" w:firstColumn="1" w:lastColumn="0" w:noHBand="0" w:noVBand="1"/>
        </w:tblPrEx>
        <w:trPr>
          <w:trHeight w:val="20"/>
        </w:trPr>
        <w:tc>
          <w:tcPr>
            <w:tcW w:w="1271" w:type="dxa"/>
            <w:vMerge/>
          </w:tcPr>
          <w:p w14:paraId="1D151CA2" w14:textId="77777777" w:rsidR="00947378" w:rsidRPr="009F4382" w:rsidRDefault="00947378" w:rsidP="00B602E7">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DF83B4F" w14:textId="77777777" w:rsidR="00947378" w:rsidRPr="009F4382" w:rsidRDefault="00947378" w:rsidP="00B602E7">
            <w:pPr>
              <w:keepLines/>
              <w:rPr>
                <w:rFonts w:ascii="Arial Narrow" w:eastAsia="Calibri" w:hAnsi="Arial Narrow" w:cs="Arial"/>
                <w:color w:val="FF0000"/>
                <w:sz w:val="20"/>
                <w:szCs w:val="20"/>
              </w:rPr>
            </w:pPr>
            <w:r w:rsidRPr="009F4382">
              <w:rPr>
                <w:rFonts w:ascii="Arial Narrow" w:hAnsi="Arial Narrow" w:cs="Arial"/>
                <w:b/>
                <w:sz w:val="20"/>
                <w:szCs w:val="20"/>
              </w:rPr>
              <w:t xml:space="preserve">Restriction type: </w:t>
            </w:r>
            <w:r w:rsidRPr="009F4382">
              <w:rPr>
                <w:rFonts w:ascii="Arial Narrow" w:eastAsia="Calibri" w:hAnsi="Arial Narrow" w:cs="Arial"/>
                <w:sz w:val="20"/>
                <w:szCs w:val="20"/>
              </w:rPr>
              <w:fldChar w:fldCharType="begin" w:fldLock="1">
                <w:ffData>
                  <w:name w:val=""/>
                  <w:enabled/>
                  <w:calcOnExit w:val="0"/>
                  <w:checkBox>
                    <w:sizeAuto/>
                    <w:default w:val="1"/>
                  </w:checkBox>
                </w:ffData>
              </w:fldChar>
            </w:r>
            <w:r w:rsidRPr="009F4382">
              <w:rPr>
                <w:rFonts w:ascii="Arial Narrow" w:eastAsia="Calibri" w:hAnsi="Arial Narrow" w:cs="Arial"/>
                <w:sz w:val="20"/>
                <w:szCs w:val="20"/>
              </w:rPr>
              <w:instrText xml:space="preserve"> FORMCHECKBOX </w:instrText>
            </w:r>
            <w:r w:rsidRPr="009F4382">
              <w:rPr>
                <w:rFonts w:ascii="Arial Narrow" w:eastAsia="Calibri" w:hAnsi="Arial Narrow" w:cs="Arial"/>
                <w:sz w:val="20"/>
                <w:szCs w:val="20"/>
              </w:rPr>
            </w:r>
            <w:r w:rsidRPr="009F4382">
              <w:rPr>
                <w:rFonts w:ascii="Arial Narrow" w:eastAsia="Calibri" w:hAnsi="Arial Narrow" w:cs="Arial"/>
                <w:sz w:val="20"/>
                <w:szCs w:val="20"/>
              </w:rPr>
              <w:fldChar w:fldCharType="separate"/>
            </w:r>
            <w:r w:rsidRPr="009F4382">
              <w:rPr>
                <w:rFonts w:ascii="Arial Narrow" w:eastAsia="Calibri" w:hAnsi="Arial Narrow" w:cs="Arial"/>
                <w:sz w:val="20"/>
                <w:szCs w:val="20"/>
              </w:rPr>
              <w:fldChar w:fldCharType="end"/>
            </w:r>
            <w:r w:rsidRPr="009F4382">
              <w:rPr>
                <w:rFonts w:ascii="Arial Narrow" w:eastAsia="Calibri" w:hAnsi="Arial Narrow" w:cs="Arial"/>
                <w:sz w:val="20"/>
                <w:szCs w:val="20"/>
              </w:rPr>
              <w:t>Authority Required (telephone/online PBS Authorities system)</w:t>
            </w:r>
          </w:p>
        </w:tc>
      </w:tr>
      <w:tr w:rsidR="00947378" w:rsidRPr="009F4382" w14:paraId="33C2F499"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1BA67A37" w14:textId="77777777" w:rsidR="00947378" w:rsidRPr="009F4382" w:rsidRDefault="00947378" w:rsidP="00B602E7">
            <w:pPr>
              <w:keepLines/>
              <w:jc w:val="center"/>
              <w:rPr>
                <w:rFonts w:ascii="Arial Narrow" w:hAnsi="Arial Narrow"/>
                <w:sz w:val="20"/>
                <w:szCs w:val="20"/>
              </w:rPr>
            </w:pPr>
            <w:r w:rsidRPr="009F4382">
              <w:rPr>
                <w:rFonts w:ascii="Arial Narrow" w:hAnsi="Arial Narrow"/>
                <w:sz w:val="20"/>
                <w:szCs w:val="20"/>
              </w:rPr>
              <w:t>11873</w:t>
            </w:r>
          </w:p>
        </w:tc>
        <w:tc>
          <w:tcPr>
            <w:tcW w:w="7745" w:type="dxa"/>
            <w:gridSpan w:val="6"/>
            <w:vAlign w:val="center"/>
            <w:hideMark/>
          </w:tcPr>
          <w:p w14:paraId="5CAB5404" w14:textId="77777777" w:rsidR="00947378" w:rsidRPr="009F4382" w:rsidRDefault="00947378" w:rsidP="00B602E7">
            <w:pPr>
              <w:keepLines/>
              <w:rPr>
                <w:rFonts w:ascii="Arial Narrow" w:hAnsi="Arial Narrow"/>
                <w:color w:val="333333"/>
                <w:sz w:val="20"/>
                <w:szCs w:val="20"/>
              </w:rPr>
            </w:pPr>
            <w:r w:rsidRPr="009F4382">
              <w:rPr>
                <w:rFonts w:ascii="Arial Narrow" w:hAnsi="Arial Narrow"/>
                <w:b/>
                <w:bCs/>
                <w:sz w:val="20"/>
                <w:szCs w:val="20"/>
              </w:rPr>
              <w:t>Indication:</w:t>
            </w:r>
            <w:r w:rsidRPr="009F4382">
              <w:rPr>
                <w:rFonts w:ascii="Arial Narrow" w:hAnsi="Arial Narrow"/>
                <w:sz w:val="20"/>
                <w:szCs w:val="20"/>
              </w:rPr>
              <w:t xml:space="preserve"> Uncontrolled severe allergic asthma</w:t>
            </w:r>
          </w:p>
        </w:tc>
      </w:tr>
      <w:tr w:rsidR="00947378" w:rsidRPr="009F4382" w14:paraId="0A4460C5"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592E4E93" w14:textId="77777777" w:rsidR="00947378" w:rsidRPr="009F4382" w:rsidRDefault="00947378" w:rsidP="00B602E7">
            <w:pPr>
              <w:jc w:val="center"/>
              <w:rPr>
                <w:rFonts w:ascii="Arial Narrow" w:hAnsi="Arial Narrow"/>
                <w:sz w:val="20"/>
                <w:szCs w:val="20"/>
              </w:rPr>
            </w:pPr>
          </w:p>
        </w:tc>
        <w:tc>
          <w:tcPr>
            <w:tcW w:w="7745" w:type="dxa"/>
            <w:gridSpan w:val="6"/>
            <w:vAlign w:val="center"/>
            <w:hideMark/>
          </w:tcPr>
          <w:p w14:paraId="608931B2" w14:textId="6174A7BA" w:rsidR="00947378" w:rsidRPr="009F4382" w:rsidRDefault="00947378" w:rsidP="00B602E7">
            <w:pPr>
              <w:rPr>
                <w:rFonts w:ascii="Arial Narrow" w:hAnsi="Arial Narrow"/>
                <w:sz w:val="20"/>
                <w:szCs w:val="20"/>
              </w:rPr>
            </w:pPr>
            <w:r w:rsidRPr="009F4382">
              <w:rPr>
                <w:rFonts w:ascii="Arial Narrow" w:hAnsi="Arial Narrow"/>
                <w:b/>
                <w:bCs/>
                <w:sz w:val="20"/>
                <w:szCs w:val="20"/>
              </w:rPr>
              <w:t>Treatment Phase:</w:t>
            </w:r>
            <w:r w:rsidRPr="009F4382">
              <w:rPr>
                <w:rFonts w:ascii="Arial Narrow" w:hAnsi="Arial Narrow"/>
                <w:sz w:val="20"/>
                <w:szCs w:val="20"/>
              </w:rPr>
              <w:t xml:space="preserve"> </w:t>
            </w:r>
            <w:r w:rsidR="007A41CE" w:rsidRPr="009F4382">
              <w:rPr>
                <w:rFonts w:ascii="Arial Narrow" w:hAnsi="Arial Narrow"/>
                <w:sz w:val="20"/>
                <w:szCs w:val="20"/>
              </w:rPr>
              <w:t>Balance of supply in a patient aged 6 to 12 years</w:t>
            </w:r>
          </w:p>
        </w:tc>
      </w:tr>
      <w:tr w:rsidR="00F64B4C" w:rsidRPr="009F4382" w14:paraId="01751C97"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tcPr>
          <w:p w14:paraId="4F697D61" w14:textId="0229131A" w:rsidR="00F64B4C" w:rsidRPr="009F4382" w:rsidRDefault="00F64B4C" w:rsidP="00F64B4C">
            <w:pPr>
              <w:jc w:val="center"/>
              <w:rPr>
                <w:rFonts w:ascii="Arial Narrow" w:hAnsi="Arial Narrow"/>
                <w:sz w:val="20"/>
                <w:szCs w:val="20"/>
              </w:rPr>
            </w:pPr>
            <w:r w:rsidRPr="009F4382">
              <w:rPr>
                <w:rFonts w:ascii="Arial Narrow" w:hAnsi="Arial Narrow"/>
                <w:iCs/>
                <w:sz w:val="20"/>
                <w:szCs w:val="20"/>
              </w:rPr>
              <w:t>Caution</w:t>
            </w:r>
            <w:r w:rsidR="009E620E" w:rsidRPr="009F4382">
              <w:rPr>
                <w:rFonts w:ascii="Arial Narrow" w:hAnsi="Arial Narrow"/>
                <w:iCs/>
                <w:sz w:val="20"/>
                <w:szCs w:val="20"/>
                <w:vertAlign w:val="superscript"/>
              </w:rPr>
              <w:t>1</w:t>
            </w:r>
            <w:r w:rsidRPr="009F4382">
              <w:rPr>
                <w:rFonts w:ascii="Arial Narrow" w:hAnsi="Arial Narrow"/>
                <w:iCs/>
                <w:sz w:val="20"/>
                <w:szCs w:val="20"/>
              </w:rPr>
              <w:t xml:space="preserve"> [New</w:t>
            </w:r>
            <w:r w:rsidR="009E620E" w:rsidRPr="009F4382">
              <w:rPr>
                <w:rFonts w:ascii="Arial Narrow" w:hAnsi="Arial Narrow"/>
                <w:iCs/>
                <w:sz w:val="20"/>
                <w:szCs w:val="20"/>
              </w:rPr>
              <w:t>]</w:t>
            </w:r>
          </w:p>
        </w:tc>
        <w:tc>
          <w:tcPr>
            <w:tcW w:w="7745" w:type="dxa"/>
            <w:gridSpan w:val="6"/>
            <w:vAlign w:val="center"/>
          </w:tcPr>
          <w:p w14:paraId="1CFBC303" w14:textId="3D84BAED" w:rsidR="00F64B4C" w:rsidRPr="009F4382" w:rsidRDefault="45FC69AF" w:rsidP="79900132">
            <w:pPr>
              <w:rPr>
                <w:rFonts w:ascii="Arial Narrow" w:hAnsi="Arial Narrow"/>
                <w:b/>
                <w:bCs/>
                <w:sz w:val="20"/>
                <w:szCs w:val="20"/>
              </w:rPr>
            </w:pPr>
            <w:r w:rsidRPr="009F4382">
              <w:rPr>
                <w:rFonts w:ascii="Arial Narrow" w:hAnsi="Arial Narrow"/>
                <w:iCs/>
                <w:sz w:val="20"/>
                <w:szCs w:val="20"/>
              </w:rPr>
              <w:t>The omalizumab p</w:t>
            </w:r>
            <w:r w:rsidR="07B3AF90" w:rsidRPr="009F4382">
              <w:rPr>
                <w:rFonts w:ascii="Arial Narrow" w:hAnsi="Arial Narrow"/>
                <w:iCs/>
                <w:sz w:val="20"/>
                <w:szCs w:val="20"/>
              </w:rPr>
              <w:t xml:space="preserve">en device is not intended for use in children below 12 years of age. For children below 12 years of age with </w:t>
            </w:r>
            <w:r w:rsidR="66FDEE3F" w:rsidRPr="009F4382">
              <w:rPr>
                <w:rFonts w:ascii="Arial Narrow" w:hAnsi="Arial Narrow"/>
                <w:iCs/>
                <w:sz w:val="20"/>
                <w:szCs w:val="20"/>
              </w:rPr>
              <w:t xml:space="preserve">uncontrolled </w:t>
            </w:r>
            <w:r w:rsidR="07B3AF90" w:rsidRPr="009F4382">
              <w:rPr>
                <w:rFonts w:ascii="Arial Narrow" w:hAnsi="Arial Narrow"/>
                <w:iCs/>
                <w:sz w:val="20"/>
                <w:szCs w:val="20"/>
              </w:rPr>
              <w:t>severe allergic asthma,</w:t>
            </w:r>
            <w:r w:rsidR="0FCAE689" w:rsidRPr="009F4382">
              <w:rPr>
                <w:rFonts w:ascii="Arial Narrow" w:hAnsi="Arial Narrow"/>
                <w:iCs/>
                <w:sz w:val="20"/>
                <w:szCs w:val="20"/>
              </w:rPr>
              <w:t xml:space="preserve"> the omalizumab</w:t>
            </w:r>
            <w:r w:rsidR="07B3AF90" w:rsidRPr="009F4382">
              <w:rPr>
                <w:rFonts w:ascii="Arial Narrow" w:hAnsi="Arial Narrow"/>
                <w:iCs/>
                <w:sz w:val="20"/>
                <w:szCs w:val="20"/>
              </w:rPr>
              <w:t xml:space="preserve"> syringe is the appropriate form for this population.</w:t>
            </w:r>
          </w:p>
        </w:tc>
      </w:tr>
      <w:tr w:rsidR="009E620E" w:rsidRPr="009F4382" w14:paraId="6FA1EA9D"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tcPr>
          <w:p w14:paraId="4E1DC793" w14:textId="7A4DE8E7" w:rsidR="009E620E" w:rsidRPr="009F4382" w:rsidRDefault="009E620E" w:rsidP="009E620E">
            <w:pPr>
              <w:jc w:val="center"/>
              <w:rPr>
                <w:rFonts w:ascii="Arial Narrow" w:hAnsi="Arial Narrow"/>
                <w:iCs/>
                <w:sz w:val="20"/>
                <w:szCs w:val="20"/>
              </w:rPr>
            </w:pPr>
            <w:r w:rsidRPr="009F4382">
              <w:rPr>
                <w:rFonts w:ascii="Arial Narrow" w:hAnsi="Arial Narrow"/>
                <w:iCs/>
                <w:sz w:val="20"/>
                <w:szCs w:val="20"/>
              </w:rPr>
              <w:t>Caution</w:t>
            </w:r>
            <w:r w:rsidRPr="009F4382">
              <w:rPr>
                <w:rFonts w:ascii="Arial Narrow" w:hAnsi="Arial Narrow"/>
                <w:iCs/>
                <w:sz w:val="20"/>
                <w:szCs w:val="20"/>
                <w:vertAlign w:val="superscript"/>
              </w:rPr>
              <w:t>2</w:t>
            </w:r>
            <w:r w:rsidRPr="009F4382">
              <w:rPr>
                <w:rFonts w:ascii="Arial Narrow" w:hAnsi="Arial Narrow"/>
                <w:iCs/>
                <w:sz w:val="20"/>
                <w:szCs w:val="20"/>
              </w:rPr>
              <w:t>[New]</w:t>
            </w:r>
          </w:p>
        </w:tc>
        <w:tc>
          <w:tcPr>
            <w:tcW w:w="7745" w:type="dxa"/>
            <w:gridSpan w:val="6"/>
            <w:vAlign w:val="center"/>
          </w:tcPr>
          <w:p w14:paraId="677E341B" w14:textId="6395E3BB" w:rsidR="009E620E" w:rsidRPr="009F4382" w:rsidRDefault="009E620E" w:rsidP="009E620E">
            <w:pPr>
              <w:rPr>
                <w:rFonts w:ascii="Arial Narrow" w:hAnsi="Arial Narrow"/>
                <w:iCs/>
                <w:sz w:val="20"/>
                <w:szCs w:val="20"/>
              </w:rPr>
            </w:pPr>
            <w:r w:rsidRPr="009F4382">
              <w:rPr>
                <w:rFonts w:ascii="Arial Narrow" w:hAnsi="Arial Narrow"/>
                <w:iCs/>
                <w:sz w:val="20"/>
                <w:szCs w:val="20"/>
              </w:rPr>
              <w:t>The 300</w:t>
            </w:r>
            <w:r w:rsidR="00290921" w:rsidRPr="009F4382">
              <w:rPr>
                <w:rFonts w:ascii="Arial Narrow" w:hAnsi="Arial Narrow"/>
                <w:iCs/>
                <w:sz w:val="20"/>
                <w:szCs w:val="20"/>
              </w:rPr>
              <w:t xml:space="preserve"> </w:t>
            </w:r>
            <w:r w:rsidRPr="009F4382">
              <w:rPr>
                <w:rFonts w:ascii="Arial Narrow" w:hAnsi="Arial Narrow"/>
                <w:iCs/>
                <w:sz w:val="20"/>
                <w:szCs w:val="20"/>
              </w:rPr>
              <w:t>mg/2</w:t>
            </w:r>
            <w:r w:rsidR="00290921" w:rsidRPr="009F4382">
              <w:rPr>
                <w:rFonts w:ascii="Arial Narrow" w:hAnsi="Arial Narrow"/>
                <w:iCs/>
                <w:sz w:val="20"/>
                <w:szCs w:val="20"/>
              </w:rPr>
              <w:t xml:space="preserve"> </w:t>
            </w:r>
            <w:r w:rsidRPr="009F4382">
              <w:rPr>
                <w:rFonts w:ascii="Arial Narrow" w:hAnsi="Arial Narrow"/>
                <w:iCs/>
                <w:sz w:val="20"/>
                <w:szCs w:val="20"/>
              </w:rPr>
              <w:t>mL omalizumab syringe device is not intended for use in children under 12 years of age for this indication.</w:t>
            </w:r>
          </w:p>
        </w:tc>
      </w:tr>
    </w:tbl>
    <w:p w14:paraId="566DEA57" w14:textId="0E3253A2" w:rsidR="00C6532E" w:rsidRPr="00400AF5" w:rsidRDefault="00F251CC" w:rsidP="00400AF5">
      <w:pPr>
        <w:pStyle w:val="4-SubsectionHeading"/>
      </w:pPr>
      <w:r w:rsidRPr="00400AF5">
        <w:t>Severe c</w:t>
      </w:r>
      <w:r w:rsidR="00C6532E" w:rsidRPr="00400AF5">
        <w:t>hronic spontaneous urticaria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w:tblDescription w:val="Indication: Severe chronic spontaneous urticaria&#10;Treatment phase: Initial treatment"/>
      </w:tblPr>
      <w:tblGrid>
        <w:gridCol w:w="1271"/>
        <w:gridCol w:w="3260"/>
        <w:gridCol w:w="1276"/>
        <w:gridCol w:w="803"/>
        <w:gridCol w:w="803"/>
        <w:gridCol w:w="804"/>
        <w:gridCol w:w="799"/>
      </w:tblGrid>
      <w:tr w:rsidR="005A4AD9" w:rsidRPr="009F4382" w14:paraId="4100E51D" w14:textId="77777777" w:rsidTr="79900132">
        <w:trPr>
          <w:cantSplit/>
          <w:trHeight w:val="20"/>
        </w:trPr>
        <w:tc>
          <w:tcPr>
            <w:tcW w:w="4531" w:type="dxa"/>
            <w:gridSpan w:val="2"/>
            <w:vAlign w:val="center"/>
          </w:tcPr>
          <w:p w14:paraId="0CDAE5B8" w14:textId="77777777" w:rsidR="005A4AD9" w:rsidRPr="009F4382" w:rsidRDefault="005A4AD9" w:rsidP="00B602E7">
            <w:pPr>
              <w:keepLines/>
              <w:rPr>
                <w:rFonts w:ascii="Arial Narrow" w:hAnsi="Arial Narrow" w:cs="Arial"/>
                <w:b/>
                <w:bCs/>
                <w:sz w:val="20"/>
                <w:szCs w:val="20"/>
              </w:rPr>
            </w:pPr>
            <w:r w:rsidRPr="009F4382">
              <w:rPr>
                <w:rFonts w:ascii="Arial Narrow" w:hAnsi="Arial Narrow" w:cs="Arial"/>
                <w:b/>
                <w:bCs/>
                <w:sz w:val="20"/>
                <w:szCs w:val="20"/>
              </w:rPr>
              <w:t>MEDICINAL PRODUCT</w:t>
            </w:r>
          </w:p>
          <w:p w14:paraId="44AB6CFB" w14:textId="77777777" w:rsidR="005A4AD9" w:rsidRPr="009F4382" w:rsidRDefault="005A4AD9" w:rsidP="00B602E7">
            <w:pPr>
              <w:keepLines/>
              <w:rPr>
                <w:rFonts w:ascii="Arial Narrow" w:hAnsi="Arial Narrow" w:cs="Arial"/>
                <w:b/>
                <w:sz w:val="20"/>
                <w:szCs w:val="20"/>
              </w:rPr>
            </w:pPr>
            <w:r w:rsidRPr="009F4382">
              <w:rPr>
                <w:rFonts w:ascii="Arial Narrow" w:hAnsi="Arial Narrow" w:cs="Arial"/>
                <w:b/>
                <w:bCs/>
                <w:sz w:val="20"/>
                <w:szCs w:val="20"/>
              </w:rPr>
              <w:t>medicinal product pack</w:t>
            </w:r>
          </w:p>
        </w:tc>
        <w:tc>
          <w:tcPr>
            <w:tcW w:w="1276" w:type="dxa"/>
            <w:vAlign w:val="center"/>
          </w:tcPr>
          <w:p w14:paraId="7F80A84E" w14:textId="77777777" w:rsidR="005A4AD9" w:rsidRPr="009F4382" w:rsidRDefault="005A4AD9" w:rsidP="00B602E7">
            <w:pPr>
              <w:keepLines/>
              <w:jc w:val="center"/>
              <w:rPr>
                <w:rFonts w:ascii="Arial Narrow" w:hAnsi="Arial Narrow" w:cs="Arial"/>
                <w:b/>
                <w:sz w:val="20"/>
                <w:szCs w:val="20"/>
              </w:rPr>
            </w:pPr>
            <w:r w:rsidRPr="009F4382">
              <w:rPr>
                <w:rFonts w:ascii="Arial Narrow" w:hAnsi="Arial Narrow" w:cs="Arial"/>
                <w:b/>
                <w:sz w:val="20"/>
                <w:szCs w:val="20"/>
              </w:rPr>
              <w:t>PBS item code</w:t>
            </w:r>
          </w:p>
        </w:tc>
        <w:tc>
          <w:tcPr>
            <w:tcW w:w="803" w:type="dxa"/>
            <w:vAlign w:val="center"/>
          </w:tcPr>
          <w:p w14:paraId="05C5B159" w14:textId="77777777" w:rsidR="005A4AD9" w:rsidRPr="009F4382" w:rsidRDefault="005A4AD9" w:rsidP="00B602E7">
            <w:pPr>
              <w:keepLines/>
              <w:jc w:val="center"/>
              <w:rPr>
                <w:rFonts w:ascii="Arial Narrow" w:hAnsi="Arial Narrow" w:cs="Arial"/>
                <w:b/>
                <w:sz w:val="20"/>
                <w:szCs w:val="20"/>
              </w:rPr>
            </w:pPr>
            <w:r w:rsidRPr="009F4382">
              <w:rPr>
                <w:rFonts w:ascii="Arial Narrow" w:hAnsi="Arial Narrow" w:cs="Arial"/>
                <w:b/>
                <w:sz w:val="20"/>
                <w:szCs w:val="20"/>
              </w:rPr>
              <w:t>Max. qty packs</w:t>
            </w:r>
          </w:p>
        </w:tc>
        <w:tc>
          <w:tcPr>
            <w:tcW w:w="803" w:type="dxa"/>
            <w:vAlign w:val="center"/>
          </w:tcPr>
          <w:p w14:paraId="0C31644C" w14:textId="77777777" w:rsidR="005A4AD9" w:rsidRPr="009F4382" w:rsidRDefault="005A4AD9" w:rsidP="00B602E7">
            <w:pPr>
              <w:keepLines/>
              <w:jc w:val="center"/>
              <w:rPr>
                <w:rFonts w:ascii="Arial Narrow" w:hAnsi="Arial Narrow" w:cs="Arial"/>
                <w:b/>
                <w:sz w:val="20"/>
                <w:szCs w:val="20"/>
              </w:rPr>
            </w:pPr>
            <w:r w:rsidRPr="009F4382">
              <w:rPr>
                <w:rFonts w:ascii="Arial Narrow" w:hAnsi="Arial Narrow" w:cs="Arial"/>
                <w:b/>
                <w:sz w:val="20"/>
                <w:szCs w:val="20"/>
              </w:rPr>
              <w:t>Max. qty units</w:t>
            </w:r>
          </w:p>
        </w:tc>
        <w:tc>
          <w:tcPr>
            <w:tcW w:w="804" w:type="dxa"/>
            <w:vAlign w:val="center"/>
          </w:tcPr>
          <w:p w14:paraId="5DE17D97" w14:textId="0D911158" w:rsidR="005A4AD9" w:rsidRPr="009F4382" w:rsidRDefault="031E9F7F" w:rsidP="79900132">
            <w:pPr>
              <w:keepLines/>
              <w:jc w:val="center"/>
              <w:rPr>
                <w:rFonts w:ascii="Arial Narrow" w:hAnsi="Arial Narrow" w:cs="Arial"/>
                <w:b/>
                <w:bCs/>
                <w:sz w:val="20"/>
                <w:szCs w:val="20"/>
              </w:rPr>
            </w:pPr>
            <w:proofErr w:type="gramStart"/>
            <w:r w:rsidRPr="009F4382">
              <w:rPr>
                <w:rFonts w:ascii="Arial Narrow" w:hAnsi="Arial Narrow" w:cs="Arial"/>
                <w:b/>
                <w:bCs/>
                <w:sz w:val="20"/>
                <w:szCs w:val="20"/>
              </w:rPr>
              <w:t>№.of</w:t>
            </w:r>
            <w:proofErr w:type="gramEnd"/>
          </w:p>
          <w:p w14:paraId="2E9BFCB9" w14:textId="589BC422" w:rsidR="005A4AD9" w:rsidRPr="009F4382" w:rsidRDefault="031E9F7F" w:rsidP="79900132">
            <w:pPr>
              <w:keepLines/>
              <w:jc w:val="center"/>
              <w:rPr>
                <w:rFonts w:ascii="Arial Narrow" w:hAnsi="Arial Narrow" w:cs="Arial"/>
                <w:b/>
                <w:bCs/>
                <w:sz w:val="20"/>
                <w:szCs w:val="20"/>
              </w:rPr>
            </w:pPr>
            <w:r w:rsidRPr="009F4382">
              <w:rPr>
                <w:rFonts w:ascii="Arial Narrow" w:hAnsi="Arial Narrow" w:cs="Arial"/>
                <w:b/>
                <w:bCs/>
                <w:sz w:val="20"/>
                <w:szCs w:val="20"/>
              </w:rPr>
              <w:t>Rpts</w:t>
            </w:r>
          </w:p>
        </w:tc>
        <w:tc>
          <w:tcPr>
            <w:tcW w:w="799" w:type="dxa"/>
            <w:vAlign w:val="center"/>
          </w:tcPr>
          <w:p w14:paraId="313B0A24" w14:textId="77777777" w:rsidR="005A4AD9" w:rsidRPr="009F4382" w:rsidRDefault="005A4AD9" w:rsidP="00B602E7">
            <w:pPr>
              <w:keepLines/>
              <w:rPr>
                <w:rFonts w:ascii="Arial Narrow" w:hAnsi="Arial Narrow" w:cs="Arial"/>
                <w:b/>
                <w:sz w:val="20"/>
                <w:szCs w:val="20"/>
                <w:lang w:val="fr-FR"/>
              </w:rPr>
            </w:pPr>
            <w:r w:rsidRPr="009F4382">
              <w:rPr>
                <w:rFonts w:ascii="Arial Narrow" w:hAnsi="Arial Narrow" w:cs="Arial"/>
                <w:b/>
                <w:sz w:val="20"/>
                <w:szCs w:val="20"/>
              </w:rPr>
              <w:t>Available brands</w:t>
            </w:r>
          </w:p>
        </w:tc>
      </w:tr>
      <w:tr w:rsidR="005A4AD9" w:rsidRPr="009F4382" w14:paraId="0B4ECE44" w14:textId="77777777" w:rsidTr="79900132">
        <w:trPr>
          <w:cantSplit/>
          <w:trHeight w:val="20"/>
        </w:trPr>
        <w:tc>
          <w:tcPr>
            <w:tcW w:w="9016" w:type="dxa"/>
            <w:gridSpan w:val="7"/>
            <w:vAlign w:val="center"/>
          </w:tcPr>
          <w:p w14:paraId="5A6261CD" w14:textId="77777777" w:rsidR="005A4AD9" w:rsidRPr="009F4382" w:rsidRDefault="005A4AD9" w:rsidP="00B602E7">
            <w:pPr>
              <w:keepLines/>
              <w:rPr>
                <w:rFonts w:ascii="Arial Narrow" w:hAnsi="Arial Narrow" w:cs="Arial"/>
                <w:sz w:val="20"/>
                <w:szCs w:val="20"/>
              </w:rPr>
            </w:pPr>
            <w:r w:rsidRPr="009F4382">
              <w:rPr>
                <w:rFonts w:ascii="Arial Narrow" w:hAnsi="Arial Narrow" w:cs="Arial"/>
                <w:sz w:val="20"/>
                <w:szCs w:val="20"/>
              </w:rPr>
              <w:t>OMALIZUMAB</w:t>
            </w:r>
          </w:p>
        </w:tc>
      </w:tr>
      <w:tr w:rsidR="006120C1" w:rsidRPr="009F4382" w14:paraId="01C26644" w14:textId="77777777" w:rsidTr="79900132">
        <w:trPr>
          <w:cantSplit/>
          <w:trHeight w:val="20"/>
        </w:trPr>
        <w:tc>
          <w:tcPr>
            <w:tcW w:w="4531" w:type="dxa"/>
            <w:gridSpan w:val="2"/>
            <w:vAlign w:val="center"/>
          </w:tcPr>
          <w:p w14:paraId="0866CD67" w14:textId="77777777" w:rsidR="006120C1" w:rsidRPr="009F4382" w:rsidRDefault="006120C1" w:rsidP="006120C1">
            <w:pPr>
              <w:keepLines/>
              <w:rPr>
                <w:rFonts w:ascii="Arial Narrow" w:hAnsi="Arial Narrow" w:cs="Arial"/>
                <w:sz w:val="20"/>
                <w:szCs w:val="20"/>
              </w:rPr>
            </w:pPr>
            <w:r w:rsidRPr="009F4382">
              <w:rPr>
                <w:rFonts w:ascii="Arial Narrow" w:hAnsi="Arial Narrow" w:cs="Arial"/>
                <w:sz w:val="20"/>
                <w:szCs w:val="20"/>
              </w:rPr>
              <w:t>omalizumab 150 mg/mL injection, 1 mL syringe</w:t>
            </w:r>
          </w:p>
        </w:tc>
        <w:tc>
          <w:tcPr>
            <w:tcW w:w="1276" w:type="dxa"/>
            <w:vAlign w:val="center"/>
          </w:tcPr>
          <w:p w14:paraId="6AE290CD" w14:textId="777E121A" w:rsidR="006120C1" w:rsidRPr="009F4382" w:rsidRDefault="006120C1" w:rsidP="006120C1">
            <w:pPr>
              <w:keepLines/>
              <w:jc w:val="center"/>
              <w:rPr>
                <w:rFonts w:ascii="Arial Narrow" w:hAnsi="Arial Narrow" w:cs="Arial"/>
                <w:sz w:val="20"/>
                <w:szCs w:val="20"/>
              </w:rPr>
            </w:pPr>
            <w:r w:rsidRPr="009F4382">
              <w:rPr>
                <w:rFonts w:ascii="Arial Narrow" w:hAnsi="Arial Narrow" w:cs="Arial"/>
                <w:sz w:val="20"/>
                <w:szCs w:val="20"/>
              </w:rPr>
              <w:t>11176F/ Public</w:t>
            </w:r>
          </w:p>
        </w:tc>
        <w:tc>
          <w:tcPr>
            <w:tcW w:w="803" w:type="dxa"/>
          </w:tcPr>
          <w:p w14:paraId="10DA0502" w14:textId="07C2727D" w:rsidR="006120C1" w:rsidRPr="009F4382" w:rsidRDefault="006120C1" w:rsidP="006120C1">
            <w:pPr>
              <w:keepLines/>
              <w:jc w:val="center"/>
              <w:rPr>
                <w:rFonts w:ascii="Arial Narrow" w:hAnsi="Arial Narrow" w:cs="Arial"/>
                <w:sz w:val="20"/>
                <w:szCs w:val="20"/>
              </w:rPr>
            </w:pPr>
            <w:r w:rsidRPr="009F4382">
              <w:rPr>
                <w:rFonts w:ascii="Arial Narrow" w:hAnsi="Arial Narrow" w:cs="Arial"/>
                <w:sz w:val="20"/>
                <w:szCs w:val="20"/>
              </w:rPr>
              <w:t>2</w:t>
            </w:r>
          </w:p>
        </w:tc>
        <w:tc>
          <w:tcPr>
            <w:tcW w:w="803" w:type="dxa"/>
          </w:tcPr>
          <w:p w14:paraId="16FECD02" w14:textId="49AEED0B" w:rsidR="006120C1" w:rsidRPr="009F4382" w:rsidRDefault="006120C1" w:rsidP="006120C1">
            <w:pPr>
              <w:keepLines/>
              <w:jc w:val="center"/>
              <w:rPr>
                <w:rFonts w:ascii="Arial Narrow" w:hAnsi="Arial Narrow" w:cs="Arial"/>
                <w:sz w:val="20"/>
                <w:szCs w:val="20"/>
              </w:rPr>
            </w:pPr>
            <w:r w:rsidRPr="009F4382">
              <w:rPr>
                <w:rFonts w:ascii="Arial Narrow" w:hAnsi="Arial Narrow" w:cs="Arial"/>
                <w:sz w:val="20"/>
                <w:szCs w:val="20"/>
              </w:rPr>
              <w:t>2</w:t>
            </w:r>
          </w:p>
        </w:tc>
        <w:tc>
          <w:tcPr>
            <w:tcW w:w="804" w:type="dxa"/>
          </w:tcPr>
          <w:p w14:paraId="480B90CE" w14:textId="56C88B59" w:rsidR="006120C1" w:rsidRPr="009F4382" w:rsidRDefault="006120C1" w:rsidP="006120C1">
            <w:pPr>
              <w:keepLines/>
              <w:jc w:val="center"/>
              <w:rPr>
                <w:rFonts w:ascii="Arial Narrow" w:hAnsi="Arial Narrow" w:cs="Arial"/>
                <w:sz w:val="20"/>
                <w:szCs w:val="20"/>
              </w:rPr>
            </w:pPr>
            <w:r w:rsidRPr="009F4382">
              <w:rPr>
                <w:rFonts w:ascii="Arial Narrow" w:hAnsi="Arial Narrow" w:cs="Arial"/>
                <w:sz w:val="20"/>
                <w:szCs w:val="20"/>
              </w:rPr>
              <w:t>2</w:t>
            </w:r>
          </w:p>
        </w:tc>
        <w:tc>
          <w:tcPr>
            <w:tcW w:w="799" w:type="dxa"/>
            <w:vMerge w:val="restart"/>
            <w:vAlign w:val="center"/>
          </w:tcPr>
          <w:p w14:paraId="7EBF08D2" w14:textId="05526A57" w:rsidR="006120C1" w:rsidRPr="009F4382" w:rsidRDefault="006120C1" w:rsidP="006120C1">
            <w:pPr>
              <w:keepLines/>
              <w:rPr>
                <w:rFonts w:ascii="Arial Narrow" w:hAnsi="Arial Narrow" w:cs="Arial"/>
                <w:sz w:val="20"/>
                <w:szCs w:val="20"/>
              </w:rPr>
            </w:pPr>
            <w:r w:rsidRPr="009F4382">
              <w:rPr>
                <w:rFonts w:ascii="Arial Narrow" w:hAnsi="Arial Narrow" w:cs="Arial"/>
                <w:sz w:val="20"/>
                <w:szCs w:val="20"/>
              </w:rPr>
              <w:t>Xolair</w:t>
            </w:r>
          </w:p>
        </w:tc>
      </w:tr>
      <w:tr w:rsidR="006120C1" w:rsidRPr="009F4382" w14:paraId="6E42431A" w14:textId="77777777" w:rsidTr="79900132">
        <w:trPr>
          <w:cantSplit/>
          <w:trHeight w:val="20"/>
        </w:trPr>
        <w:tc>
          <w:tcPr>
            <w:tcW w:w="4531" w:type="dxa"/>
            <w:gridSpan w:val="2"/>
            <w:vAlign w:val="center"/>
          </w:tcPr>
          <w:p w14:paraId="19D9E97D" w14:textId="77777777" w:rsidR="006120C1" w:rsidRPr="009F4382" w:rsidRDefault="006120C1" w:rsidP="006120C1">
            <w:pPr>
              <w:keepLines/>
              <w:rPr>
                <w:rFonts w:ascii="Arial Narrow" w:hAnsi="Arial Narrow" w:cs="Arial"/>
                <w:sz w:val="20"/>
                <w:szCs w:val="20"/>
              </w:rPr>
            </w:pPr>
            <w:r w:rsidRPr="009F4382">
              <w:rPr>
                <w:rFonts w:ascii="Arial Narrow" w:hAnsi="Arial Narrow" w:cs="Arial"/>
                <w:sz w:val="20"/>
                <w:szCs w:val="20"/>
              </w:rPr>
              <w:t>omalizumab 150 mg/mL injection, 1 mL syringe</w:t>
            </w:r>
          </w:p>
        </w:tc>
        <w:tc>
          <w:tcPr>
            <w:tcW w:w="1276" w:type="dxa"/>
            <w:vAlign w:val="center"/>
          </w:tcPr>
          <w:p w14:paraId="57DF2F63" w14:textId="3DEF5AB7" w:rsidR="006120C1" w:rsidRPr="009F4382" w:rsidRDefault="006120C1" w:rsidP="006120C1">
            <w:pPr>
              <w:keepLines/>
              <w:jc w:val="center"/>
              <w:rPr>
                <w:rFonts w:ascii="Arial Narrow" w:hAnsi="Arial Narrow" w:cs="Arial"/>
                <w:sz w:val="20"/>
                <w:szCs w:val="20"/>
              </w:rPr>
            </w:pPr>
            <w:r w:rsidRPr="009F4382">
              <w:rPr>
                <w:rFonts w:ascii="Arial Narrow" w:hAnsi="Arial Narrow" w:cs="Arial"/>
                <w:sz w:val="20"/>
                <w:szCs w:val="20"/>
              </w:rPr>
              <w:t>11175E/ Private</w:t>
            </w:r>
          </w:p>
        </w:tc>
        <w:tc>
          <w:tcPr>
            <w:tcW w:w="803" w:type="dxa"/>
          </w:tcPr>
          <w:p w14:paraId="2829C4AE" w14:textId="6696B2B1" w:rsidR="006120C1" w:rsidRPr="009F4382" w:rsidRDefault="006120C1" w:rsidP="006120C1">
            <w:pPr>
              <w:keepLines/>
              <w:jc w:val="center"/>
              <w:rPr>
                <w:rFonts w:ascii="Arial Narrow" w:hAnsi="Arial Narrow" w:cs="Arial"/>
                <w:sz w:val="20"/>
                <w:szCs w:val="20"/>
              </w:rPr>
            </w:pPr>
            <w:r w:rsidRPr="009F4382">
              <w:rPr>
                <w:rFonts w:ascii="Arial Narrow" w:hAnsi="Arial Narrow" w:cs="Arial"/>
                <w:sz w:val="20"/>
                <w:szCs w:val="20"/>
              </w:rPr>
              <w:t>2</w:t>
            </w:r>
          </w:p>
        </w:tc>
        <w:tc>
          <w:tcPr>
            <w:tcW w:w="803" w:type="dxa"/>
          </w:tcPr>
          <w:p w14:paraId="656B0746" w14:textId="3E521694" w:rsidR="006120C1" w:rsidRPr="009F4382" w:rsidRDefault="006120C1" w:rsidP="006120C1">
            <w:pPr>
              <w:keepLines/>
              <w:jc w:val="center"/>
              <w:rPr>
                <w:rFonts w:ascii="Arial Narrow" w:hAnsi="Arial Narrow" w:cs="Arial"/>
                <w:sz w:val="20"/>
                <w:szCs w:val="20"/>
              </w:rPr>
            </w:pPr>
            <w:r w:rsidRPr="009F4382">
              <w:rPr>
                <w:rFonts w:ascii="Arial Narrow" w:hAnsi="Arial Narrow" w:cs="Arial"/>
                <w:sz w:val="20"/>
                <w:szCs w:val="20"/>
              </w:rPr>
              <w:t>2</w:t>
            </w:r>
          </w:p>
        </w:tc>
        <w:tc>
          <w:tcPr>
            <w:tcW w:w="804" w:type="dxa"/>
          </w:tcPr>
          <w:p w14:paraId="5602EDE2" w14:textId="6E390348" w:rsidR="006120C1" w:rsidRPr="009F4382" w:rsidRDefault="006120C1" w:rsidP="006120C1">
            <w:pPr>
              <w:keepLines/>
              <w:jc w:val="center"/>
              <w:rPr>
                <w:rFonts w:ascii="Arial Narrow" w:hAnsi="Arial Narrow" w:cs="Arial"/>
                <w:sz w:val="20"/>
                <w:szCs w:val="20"/>
              </w:rPr>
            </w:pPr>
            <w:r w:rsidRPr="009F4382">
              <w:rPr>
                <w:rFonts w:ascii="Arial Narrow" w:hAnsi="Arial Narrow" w:cs="Arial"/>
                <w:sz w:val="20"/>
                <w:szCs w:val="20"/>
              </w:rPr>
              <w:t>2</w:t>
            </w:r>
          </w:p>
        </w:tc>
        <w:tc>
          <w:tcPr>
            <w:tcW w:w="799" w:type="dxa"/>
            <w:vMerge/>
            <w:vAlign w:val="center"/>
          </w:tcPr>
          <w:p w14:paraId="496CCEB1" w14:textId="77777777" w:rsidR="006120C1" w:rsidRPr="009F4382" w:rsidRDefault="006120C1" w:rsidP="006120C1">
            <w:pPr>
              <w:keepLines/>
              <w:rPr>
                <w:rFonts w:ascii="Arial Narrow" w:hAnsi="Arial Narrow" w:cs="Arial"/>
                <w:sz w:val="20"/>
                <w:szCs w:val="20"/>
              </w:rPr>
            </w:pPr>
          </w:p>
        </w:tc>
      </w:tr>
      <w:tr w:rsidR="00380DE5" w:rsidRPr="009F4382" w14:paraId="32B2B055" w14:textId="77777777" w:rsidTr="79900132">
        <w:trPr>
          <w:cantSplit/>
          <w:trHeight w:val="20"/>
        </w:trPr>
        <w:tc>
          <w:tcPr>
            <w:tcW w:w="4531" w:type="dxa"/>
            <w:gridSpan w:val="2"/>
            <w:vAlign w:val="center"/>
          </w:tcPr>
          <w:p w14:paraId="7F151E60" w14:textId="77777777" w:rsidR="00380DE5" w:rsidRPr="009F4382" w:rsidRDefault="00380DE5" w:rsidP="00380DE5">
            <w:pPr>
              <w:keepLines/>
              <w:rPr>
                <w:rFonts w:ascii="Arial Narrow" w:hAnsi="Arial Narrow" w:cs="Arial"/>
                <w:sz w:val="20"/>
                <w:szCs w:val="20"/>
              </w:rPr>
            </w:pPr>
            <w:r w:rsidRPr="009F4382">
              <w:rPr>
                <w:rFonts w:ascii="Arial Narrow" w:hAnsi="Arial Narrow" w:cs="Arial"/>
                <w:sz w:val="20"/>
                <w:szCs w:val="20"/>
              </w:rPr>
              <w:t>omalizumab 150 mg/mL injection, 1 mL pen device</w:t>
            </w:r>
          </w:p>
        </w:tc>
        <w:tc>
          <w:tcPr>
            <w:tcW w:w="1276" w:type="dxa"/>
            <w:vAlign w:val="center"/>
          </w:tcPr>
          <w:p w14:paraId="683B324C" w14:textId="7734D73F"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NEW/ Public</w:t>
            </w:r>
          </w:p>
        </w:tc>
        <w:tc>
          <w:tcPr>
            <w:tcW w:w="803" w:type="dxa"/>
          </w:tcPr>
          <w:p w14:paraId="42057D54" w14:textId="1C3FC0FE" w:rsidR="00380DE5" w:rsidRPr="009F4382" w:rsidRDefault="00380DE5" w:rsidP="00380DE5">
            <w:pPr>
              <w:keepLines/>
              <w:jc w:val="center"/>
              <w:rPr>
                <w:rFonts w:ascii="Arial Narrow" w:hAnsi="Arial Narrow" w:cs="Arial"/>
                <w:sz w:val="20"/>
                <w:szCs w:val="20"/>
              </w:rPr>
            </w:pPr>
            <w:r w:rsidRPr="009F4382">
              <w:rPr>
                <w:rFonts w:ascii="Arial Narrow" w:hAnsi="Arial Narrow" w:cs="Arial"/>
                <w:sz w:val="20"/>
                <w:szCs w:val="20"/>
              </w:rPr>
              <w:t>2</w:t>
            </w:r>
          </w:p>
        </w:tc>
        <w:tc>
          <w:tcPr>
            <w:tcW w:w="803" w:type="dxa"/>
          </w:tcPr>
          <w:p w14:paraId="67A5D2AF" w14:textId="54DB9009" w:rsidR="00380DE5" w:rsidRPr="009F4382" w:rsidRDefault="00380DE5" w:rsidP="00380DE5">
            <w:pPr>
              <w:keepLines/>
              <w:jc w:val="center"/>
              <w:rPr>
                <w:rFonts w:ascii="Arial Narrow" w:hAnsi="Arial Narrow" w:cs="Arial"/>
                <w:sz w:val="20"/>
                <w:szCs w:val="20"/>
              </w:rPr>
            </w:pPr>
            <w:r w:rsidRPr="009F4382">
              <w:rPr>
                <w:rFonts w:ascii="Arial Narrow" w:hAnsi="Arial Narrow" w:cs="Arial"/>
                <w:sz w:val="20"/>
                <w:szCs w:val="20"/>
              </w:rPr>
              <w:t>2</w:t>
            </w:r>
          </w:p>
        </w:tc>
        <w:tc>
          <w:tcPr>
            <w:tcW w:w="804" w:type="dxa"/>
          </w:tcPr>
          <w:p w14:paraId="5F90753D" w14:textId="06319937" w:rsidR="00380DE5" w:rsidRPr="009F4382" w:rsidRDefault="00380DE5" w:rsidP="00380DE5">
            <w:pPr>
              <w:keepLines/>
              <w:jc w:val="center"/>
              <w:rPr>
                <w:rFonts w:ascii="Arial Narrow" w:hAnsi="Arial Narrow" w:cs="Arial"/>
                <w:sz w:val="20"/>
                <w:szCs w:val="20"/>
              </w:rPr>
            </w:pPr>
            <w:r w:rsidRPr="009F4382">
              <w:rPr>
                <w:rFonts w:ascii="Arial Narrow" w:hAnsi="Arial Narrow" w:cs="Arial"/>
                <w:sz w:val="20"/>
                <w:szCs w:val="20"/>
              </w:rPr>
              <w:t>2</w:t>
            </w:r>
          </w:p>
        </w:tc>
        <w:tc>
          <w:tcPr>
            <w:tcW w:w="799" w:type="dxa"/>
            <w:vMerge/>
            <w:vAlign w:val="center"/>
          </w:tcPr>
          <w:p w14:paraId="43EE940E" w14:textId="77777777" w:rsidR="00380DE5" w:rsidRPr="009F4382" w:rsidRDefault="00380DE5" w:rsidP="00380DE5">
            <w:pPr>
              <w:keepLines/>
              <w:rPr>
                <w:rFonts w:ascii="Arial Narrow" w:hAnsi="Arial Narrow" w:cs="Arial"/>
                <w:sz w:val="20"/>
                <w:szCs w:val="20"/>
              </w:rPr>
            </w:pPr>
          </w:p>
        </w:tc>
      </w:tr>
      <w:tr w:rsidR="00380DE5" w:rsidRPr="009F4382" w14:paraId="4728E09D" w14:textId="77777777" w:rsidTr="79900132">
        <w:trPr>
          <w:cantSplit/>
          <w:trHeight w:val="20"/>
        </w:trPr>
        <w:tc>
          <w:tcPr>
            <w:tcW w:w="4531" w:type="dxa"/>
            <w:gridSpan w:val="2"/>
            <w:vAlign w:val="center"/>
          </w:tcPr>
          <w:p w14:paraId="0C237F27" w14:textId="77777777" w:rsidR="00380DE5" w:rsidRPr="009F4382" w:rsidRDefault="00380DE5" w:rsidP="00380DE5">
            <w:pPr>
              <w:keepLines/>
              <w:rPr>
                <w:rFonts w:ascii="Arial Narrow" w:hAnsi="Arial Narrow" w:cs="Arial"/>
                <w:sz w:val="20"/>
                <w:szCs w:val="20"/>
              </w:rPr>
            </w:pPr>
            <w:r w:rsidRPr="009F4382">
              <w:rPr>
                <w:rFonts w:ascii="Arial Narrow" w:hAnsi="Arial Narrow" w:cs="Arial"/>
                <w:sz w:val="20"/>
                <w:szCs w:val="20"/>
              </w:rPr>
              <w:t>omalizumab 150 mg/mL injection, 1 mL pen device</w:t>
            </w:r>
          </w:p>
        </w:tc>
        <w:tc>
          <w:tcPr>
            <w:tcW w:w="1276" w:type="dxa"/>
            <w:vAlign w:val="center"/>
          </w:tcPr>
          <w:p w14:paraId="48D1BF94" w14:textId="4132705E"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NEW/ Private</w:t>
            </w:r>
          </w:p>
        </w:tc>
        <w:tc>
          <w:tcPr>
            <w:tcW w:w="803" w:type="dxa"/>
          </w:tcPr>
          <w:p w14:paraId="31AF6463" w14:textId="37CF94B2" w:rsidR="00380DE5" w:rsidRPr="009F4382" w:rsidRDefault="00380DE5" w:rsidP="00380DE5">
            <w:pPr>
              <w:keepLines/>
              <w:jc w:val="center"/>
              <w:rPr>
                <w:rFonts w:ascii="Arial Narrow" w:hAnsi="Arial Narrow" w:cs="Arial"/>
                <w:sz w:val="20"/>
                <w:szCs w:val="20"/>
              </w:rPr>
            </w:pPr>
            <w:r w:rsidRPr="009F4382">
              <w:rPr>
                <w:rFonts w:ascii="Arial Narrow" w:hAnsi="Arial Narrow" w:cs="Arial"/>
                <w:sz w:val="20"/>
                <w:szCs w:val="20"/>
              </w:rPr>
              <w:t>2</w:t>
            </w:r>
          </w:p>
        </w:tc>
        <w:tc>
          <w:tcPr>
            <w:tcW w:w="803" w:type="dxa"/>
          </w:tcPr>
          <w:p w14:paraId="30AAF8B7" w14:textId="31882F9B" w:rsidR="00380DE5" w:rsidRPr="009F4382" w:rsidRDefault="00380DE5" w:rsidP="00380DE5">
            <w:pPr>
              <w:keepLines/>
              <w:jc w:val="center"/>
              <w:rPr>
                <w:rFonts w:ascii="Arial Narrow" w:hAnsi="Arial Narrow" w:cs="Arial"/>
                <w:sz w:val="20"/>
                <w:szCs w:val="20"/>
              </w:rPr>
            </w:pPr>
            <w:r w:rsidRPr="009F4382">
              <w:rPr>
                <w:rFonts w:ascii="Arial Narrow" w:hAnsi="Arial Narrow" w:cs="Arial"/>
                <w:sz w:val="20"/>
                <w:szCs w:val="20"/>
              </w:rPr>
              <w:t>2</w:t>
            </w:r>
          </w:p>
        </w:tc>
        <w:tc>
          <w:tcPr>
            <w:tcW w:w="804" w:type="dxa"/>
          </w:tcPr>
          <w:p w14:paraId="2A145AA6" w14:textId="509716F6" w:rsidR="00380DE5" w:rsidRPr="009F4382" w:rsidRDefault="00380DE5" w:rsidP="00380DE5">
            <w:pPr>
              <w:keepLines/>
              <w:jc w:val="center"/>
              <w:rPr>
                <w:rFonts w:ascii="Arial Narrow" w:hAnsi="Arial Narrow" w:cs="Arial"/>
                <w:sz w:val="20"/>
                <w:szCs w:val="20"/>
              </w:rPr>
            </w:pPr>
            <w:r w:rsidRPr="009F4382">
              <w:rPr>
                <w:rFonts w:ascii="Arial Narrow" w:hAnsi="Arial Narrow" w:cs="Arial"/>
                <w:sz w:val="20"/>
                <w:szCs w:val="20"/>
              </w:rPr>
              <w:t>2</w:t>
            </w:r>
          </w:p>
        </w:tc>
        <w:tc>
          <w:tcPr>
            <w:tcW w:w="799" w:type="dxa"/>
            <w:vMerge/>
            <w:vAlign w:val="center"/>
          </w:tcPr>
          <w:p w14:paraId="69E667CC" w14:textId="77777777" w:rsidR="00380DE5" w:rsidRPr="009F4382" w:rsidRDefault="00380DE5" w:rsidP="00380DE5">
            <w:pPr>
              <w:keepLines/>
              <w:rPr>
                <w:rFonts w:ascii="Arial Narrow" w:hAnsi="Arial Narrow" w:cs="Arial"/>
                <w:sz w:val="20"/>
                <w:szCs w:val="20"/>
              </w:rPr>
            </w:pPr>
          </w:p>
        </w:tc>
      </w:tr>
      <w:tr w:rsidR="00380DE5" w:rsidRPr="009F4382" w14:paraId="0204EF6D" w14:textId="77777777" w:rsidTr="79900132">
        <w:trPr>
          <w:cantSplit/>
          <w:trHeight w:val="20"/>
        </w:trPr>
        <w:tc>
          <w:tcPr>
            <w:tcW w:w="4531" w:type="dxa"/>
            <w:gridSpan w:val="2"/>
            <w:vAlign w:val="center"/>
          </w:tcPr>
          <w:p w14:paraId="063DC945" w14:textId="77777777" w:rsidR="00380DE5" w:rsidRPr="009F4382" w:rsidRDefault="00380DE5" w:rsidP="00380DE5">
            <w:pPr>
              <w:keepLines/>
              <w:rPr>
                <w:rFonts w:ascii="Arial Narrow" w:hAnsi="Arial Narrow" w:cs="Arial"/>
                <w:sz w:val="20"/>
                <w:szCs w:val="20"/>
              </w:rPr>
            </w:pPr>
            <w:r w:rsidRPr="009F4382">
              <w:rPr>
                <w:rFonts w:ascii="Arial Narrow" w:hAnsi="Arial Narrow" w:cs="Arial"/>
                <w:sz w:val="20"/>
                <w:szCs w:val="20"/>
              </w:rPr>
              <w:t>omalizumab 300 mg/2 mL injection, 2 mL syringe</w:t>
            </w:r>
          </w:p>
        </w:tc>
        <w:tc>
          <w:tcPr>
            <w:tcW w:w="1276" w:type="dxa"/>
            <w:vAlign w:val="center"/>
          </w:tcPr>
          <w:p w14:paraId="0B5F1491" w14:textId="470D8FF4"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NEW/ Public</w:t>
            </w:r>
          </w:p>
        </w:tc>
        <w:tc>
          <w:tcPr>
            <w:tcW w:w="803" w:type="dxa"/>
          </w:tcPr>
          <w:p w14:paraId="59A4B080" w14:textId="4F58CA69"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1</w:t>
            </w:r>
          </w:p>
        </w:tc>
        <w:tc>
          <w:tcPr>
            <w:tcW w:w="803" w:type="dxa"/>
          </w:tcPr>
          <w:p w14:paraId="1E1416B0" w14:textId="1C59FF54"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1</w:t>
            </w:r>
          </w:p>
        </w:tc>
        <w:tc>
          <w:tcPr>
            <w:tcW w:w="804" w:type="dxa"/>
          </w:tcPr>
          <w:p w14:paraId="03B71EE8" w14:textId="43A5038B"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2</w:t>
            </w:r>
          </w:p>
        </w:tc>
        <w:tc>
          <w:tcPr>
            <w:tcW w:w="799" w:type="dxa"/>
            <w:vMerge/>
            <w:vAlign w:val="center"/>
          </w:tcPr>
          <w:p w14:paraId="232949E7" w14:textId="77777777" w:rsidR="00380DE5" w:rsidRPr="009F4382" w:rsidRDefault="00380DE5" w:rsidP="00380DE5">
            <w:pPr>
              <w:keepLines/>
              <w:rPr>
                <w:rFonts w:ascii="Arial Narrow" w:hAnsi="Arial Narrow" w:cs="Arial"/>
                <w:sz w:val="20"/>
                <w:szCs w:val="20"/>
              </w:rPr>
            </w:pPr>
          </w:p>
        </w:tc>
      </w:tr>
      <w:tr w:rsidR="00380DE5" w:rsidRPr="009F4382" w14:paraId="4354D14A" w14:textId="77777777" w:rsidTr="79900132">
        <w:trPr>
          <w:cantSplit/>
          <w:trHeight w:val="20"/>
        </w:trPr>
        <w:tc>
          <w:tcPr>
            <w:tcW w:w="4531" w:type="dxa"/>
            <w:gridSpan w:val="2"/>
            <w:vAlign w:val="center"/>
          </w:tcPr>
          <w:p w14:paraId="1261C72C" w14:textId="77777777" w:rsidR="00380DE5" w:rsidRPr="009F4382" w:rsidRDefault="00380DE5" w:rsidP="00380DE5">
            <w:pPr>
              <w:keepLines/>
              <w:rPr>
                <w:rFonts w:ascii="Arial Narrow" w:hAnsi="Arial Narrow" w:cs="Arial"/>
                <w:sz w:val="20"/>
                <w:szCs w:val="20"/>
              </w:rPr>
            </w:pPr>
            <w:r w:rsidRPr="009F4382">
              <w:rPr>
                <w:rFonts w:ascii="Arial Narrow" w:hAnsi="Arial Narrow" w:cs="Arial"/>
                <w:sz w:val="20"/>
                <w:szCs w:val="20"/>
              </w:rPr>
              <w:t>omalizumab 300 mg/2 mL injection, 2 mL syringe</w:t>
            </w:r>
          </w:p>
        </w:tc>
        <w:tc>
          <w:tcPr>
            <w:tcW w:w="1276" w:type="dxa"/>
            <w:vAlign w:val="center"/>
          </w:tcPr>
          <w:p w14:paraId="4C229AA8" w14:textId="6E585A41"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NEW/ Private</w:t>
            </w:r>
          </w:p>
        </w:tc>
        <w:tc>
          <w:tcPr>
            <w:tcW w:w="803" w:type="dxa"/>
          </w:tcPr>
          <w:p w14:paraId="66940E4C" w14:textId="2C85D705"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1</w:t>
            </w:r>
          </w:p>
        </w:tc>
        <w:tc>
          <w:tcPr>
            <w:tcW w:w="803" w:type="dxa"/>
          </w:tcPr>
          <w:p w14:paraId="58F56FB2" w14:textId="2596A765"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1</w:t>
            </w:r>
          </w:p>
        </w:tc>
        <w:tc>
          <w:tcPr>
            <w:tcW w:w="804" w:type="dxa"/>
          </w:tcPr>
          <w:p w14:paraId="5ACAE3B1" w14:textId="1FA09999"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2</w:t>
            </w:r>
          </w:p>
        </w:tc>
        <w:tc>
          <w:tcPr>
            <w:tcW w:w="799" w:type="dxa"/>
            <w:vMerge/>
            <w:vAlign w:val="center"/>
          </w:tcPr>
          <w:p w14:paraId="348DE9F3" w14:textId="77777777" w:rsidR="00380DE5" w:rsidRPr="009F4382" w:rsidRDefault="00380DE5" w:rsidP="00380DE5">
            <w:pPr>
              <w:keepLines/>
              <w:rPr>
                <w:rFonts w:ascii="Arial Narrow" w:hAnsi="Arial Narrow" w:cs="Arial"/>
                <w:sz w:val="20"/>
                <w:szCs w:val="20"/>
              </w:rPr>
            </w:pPr>
          </w:p>
        </w:tc>
      </w:tr>
      <w:tr w:rsidR="00380DE5" w:rsidRPr="009F4382" w14:paraId="283DCB9E" w14:textId="77777777" w:rsidTr="79900132">
        <w:trPr>
          <w:cantSplit/>
          <w:trHeight w:val="20"/>
        </w:trPr>
        <w:tc>
          <w:tcPr>
            <w:tcW w:w="4531" w:type="dxa"/>
            <w:gridSpan w:val="2"/>
            <w:vAlign w:val="center"/>
          </w:tcPr>
          <w:p w14:paraId="27EDDEB3" w14:textId="77777777" w:rsidR="00380DE5" w:rsidRPr="009F4382" w:rsidRDefault="00380DE5" w:rsidP="00380DE5">
            <w:pPr>
              <w:keepLines/>
              <w:rPr>
                <w:rFonts w:ascii="Arial Narrow" w:hAnsi="Arial Narrow" w:cs="Arial"/>
                <w:sz w:val="20"/>
                <w:szCs w:val="20"/>
              </w:rPr>
            </w:pPr>
            <w:r w:rsidRPr="009F4382">
              <w:rPr>
                <w:rFonts w:ascii="Arial Narrow" w:hAnsi="Arial Narrow" w:cs="Arial"/>
                <w:sz w:val="20"/>
                <w:szCs w:val="20"/>
              </w:rPr>
              <w:lastRenderedPageBreak/>
              <w:t>omalizumab 300 mg/2 mL injection, 2 mL pen device</w:t>
            </w:r>
          </w:p>
        </w:tc>
        <w:tc>
          <w:tcPr>
            <w:tcW w:w="1276" w:type="dxa"/>
            <w:vAlign w:val="center"/>
          </w:tcPr>
          <w:p w14:paraId="6B853232" w14:textId="4E8B6EEA"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NEW/ Public</w:t>
            </w:r>
          </w:p>
        </w:tc>
        <w:tc>
          <w:tcPr>
            <w:tcW w:w="803" w:type="dxa"/>
          </w:tcPr>
          <w:p w14:paraId="6FE398B4" w14:textId="6F313621"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1</w:t>
            </w:r>
          </w:p>
        </w:tc>
        <w:tc>
          <w:tcPr>
            <w:tcW w:w="803" w:type="dxa"/>
          </w:tcPr>
          <w:p w14:paraId="09662B01" w14:textId="4DF68EFE"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1</w:t>
            </w:r>
          </w:p>
        </w:tc>
        <w:tc>
          <w:tcPr>
            <w:tcW w:w="804" w:type="dxa"/>
          </w:tcPr>
          <w:p w14:paraId="2F8C7159" w14:textId="06D87B9F"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2</w:t>
            </w:r>
          </w:p>
        </w:tc>
        <w:tc>
          <w:tcPr>
            <w:tcW w:w="799" w:type="dxa"/>
            <w:vMerge/>
            <w:vAlign w:val="center"/>
          </w:tcPr>
          <w:p w14:paraId="39E52EB6" w14:textId="77777777" w:rsidR="00380DE5" w:rsidRPr="009F4382" w:rsidRDefault="00380DE5" w:rsidP="00380DE5">
            <w:pPr>
              <w:keepLines/>
              <w:rPr>
                <w:rFonts w:ascii="Arial Narrow" w:hAnsi="Arial Narrow" w:cs="Arial"/>
                <w:sz w:val="20"/>
                <w:szCs w:val="20"/>
              </w:rPr>
            </w:pPr>
          </w:p>
        </w:tc>
      </w:tr>
      <w:tr w:rsidR="00380DE5" w:rsidRPr="009F4382" w14:paraId="6B5F67E0" w14:textId="77777777" w:rsidTr="79900132">
        <w:trPr>
          <w:cantSplit/>
          <w:trHeight w:val="20"/>
        </w:trPr>
        <w:tc>
          <w:tcPr>
            <w:tcW w:w="4531" w:type="dxa"/>
            <w:gridSpan w:val="2"/>
            <w:vAlign w:val="center"/>
          </w:tcPr>
          <w:p w14:paraId="65B93B85" w14:textId="77777777" w:rsidR="00380DE5" w:rsidRPr="009F4382" w:rsidRDefault="00380DE5" w:rsidP="00380DE5">
            <w:pPr>
              <w:keepLines/>
              <w:rPr>
                <w:rFonts w:ascii="Arial Narrow" w:hAnsi="Arial Narrow" w:cs="Arial"/>
                <w:sz w:val="20"/>
                <w:szCs w:val="20"/>
              </w:rPr>
            </w:pPr>
            <w:r w:rsidRPr="009F4382">
              <w:rPr>
                <w:rFonts w:ascii="Arial Narrow" w:hAnsi="Arial Narrow" w:cs="Arial"/>
                <w:sz w:val="20"/>
                <w:szCs w:val="20"/>
              </w:rPr>
              <w:t>omalizumab 300 mg/2 mL injection, 2 mL pen device</w:t>
            </w:r>
          </w:p>
        </w:tc>
        <w:tc>
          <w:tcPr>
            <w:tcW w:w="1276" w:type="dxa"/>
            <w:vAlign w:val="center"/>
          </w:tcPr>
          <w:p w14:paraId="0E2D5654" w14:textId="562AF839"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NEW/ Private</w:t>
            </w:r>
          </w:p>
        </w:tc>
        <w:tc>
          <w:tcPr>
            <w:tcW w:w="803" w:type="dxa"/>
          </w:tcPr>
          <w:p w14:paraId="7C559566" w14:textId="3A0B31F8"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1</w:t>
            </w:r>
          </w:p>
        </w:tc>
        <w:tc>
          <w:tcPr>
            <w:tcW w:w="803" w:type="dxa"/>
          </w:tcPr>
          <w:p w14:paraId="7A5175CB" w14:textId="5A88BB34"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1</w:t>
            </w:r>
          </w:p>
        </w:tc>
        <w:tc>
          <w:tcPr>
            <w:tcW w:w="804" w:type="dxa"/>
          </w:tcPr>
          <w:p w14:paraId="2220E3CF" w14:textId="4A829800"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2</w:t>
            </w:r>
          </w:p>
        </w:tc>
        <w:tc>
          <w:tcPr>
            <w:tcW w:w="799" w:type="dxa"/>
            <w:vMerge/>
            <w:vAlign w:val="center"/>
          </w:tcPr>
          <w:p w14:paraId="62D047CD" w14:textId="77777777" w:rsidR="00380DE5" w:rsidRPr="009F4382" w:rsidRDefault="00380DE5" w:rsidP="00380DE5">
            <w:pPr>
              <w:keepLines/>
              <w:rPr>
                <w:rFonts w:ascii="Arial Narrow" w:hAnsi="Arial Narrow" w:cs="Arial"/>
                <w:sz w:val="20"/>
                <w:szCs w:val="20"/>
              </w:rPr>
            </w:pPr>
          </w:p>
        </w:tc>
      </w:tr>
      <w:tr w:rsidR="005A4AD9" w:rsidRPr="009F4382" w14:paraId="77113357" w14:textId="77777777" w:rsidTr="79900132">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4620E580" w14:textId="77777777" w:rsidR="005A4AD9" w:rsidRPr="009F4382" w:rsidRDefault="005A4AD9" w:rsidP="00B602E7">
            <w:pPr>
              <w:rPr>
                <w:rFonts w:ascii="Arial Narrow" w:hAnsi="Arial Narrow" w:cs="Arial"/>
                <w:sz w:val="20"/>
                <w:szCs w:val="20"/>
              </w:rPr>
            </w:pPr>
          </w:p>
        </w:tc>
      </w:tr>
      <w:tr w:rsidR="005A4AD9" w:rsidRPr="009F4382" w14:paraId="0E97B615" w14:textId="77777777" w:rsidTr="79900132">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69EB9A9F" w14:textId="2F18583F" w:rsidR="005A4AD9" w:rsidRPr="009F4382" w:rsidRDefault="005A4AD9" w:rsidP="00B602E7">
            <w:pPr>
              <w:keepLines/>
              <w:rPr>
                <w:rFonts w:ascii="Arial Narrow" w:hAnsi="Arial Narrow" w:cs="Arial"/>
                <w:b/>
                <w:sz w:val="20"/>
                <w:szCs w:val="20"/>
              </w:rPr>
            </w:pPr>
            <w:r w:rsidRPr="009F4382">
              <w:rPr>
                <w:rFonts w:ascii="Arial Narrow" w:hAnsi="Arial Narrow"/>
                <w:b/>
                <w:sz w:val="20"/>
                <w:szCs w:val="20"/>
              </w:rPr>
              <w:t xml:space="preserve">Restriction Summary </w:t>
            </w:r>
            <w:r w:rsidR="005F2B0C" w:rsidRPr="009F4382">
              <w:rPr>
                <w:rFonts w:ascii="Arial Narrow" w:hAnsi="Arial Narrow"/>
                <w:b/>
                <w:sz w:val="20"/>
                <w:szCs w:val="20"/>
              </w:rPr>
              <w:t>7055</w:t>
            </w:r>
            <w:r w:rsidRPr="009F4382">
              <w:rPr>
                <w:rFonts w:ascii="Arial Narrow" w:hAnsi="Arial Narrow"/>
                <w:b/>
                <w:sz w:val="20"/>
                <w:szCs w:val="20"/>
              </w:rPr>
              <w:t>/ Treatment of Concept:</w:t>
            </w:r>
            <w:r w:rsidR="00197DA8" w:rsidRPr="009F4382">
              <w:rPr>
                <w:rFonts w:ascii="Arial Narrow" w:hAnsi="Arial Narrow"/>
                <w:b/>
                <w:sz w:val="20"/>
                <w:szCs w:val="20"/>
              </w:rPr>
              <w:t>7055</w:t>
            </w:r>
          </w:p>
        </w:tc>
      </w:tr>
      <w:tr w:rsidR="005A4AD9" w:rsidRPr="009F4382" w14:paraId="352FA684" w14:textId="77777777" w:rsidTr="79900132">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6D3101D1" w14:textId="77777777" w:rsidR="005A4AD9" w:rsidRPr="009F4382" w:rsidRDefault="005A4AD9" w:rsidP="00B602E7">
            <w:pPr>
              <w:jc w:val="center"/>
              <w:rPr>
                <w:rFonts w:ascii="Arial Narrow" w:hAnsi="Arial Narrow" w:cs="Arial"/>
                <w:b/>
                <w:sz w:val="20"/>
                <w:szCs w:val="20"/>
              </w:rPr>
            </w:pPr>
            <w:r w:rsidRPr="009F4382">
              <w:rPr>
                <w:rFonts w:ascii="Arial Narrow" w:hAnsi="Arial Narrow" w:cs="Arial"/>
                <w:b/>
                <w:sz w:val="20"/>
                <w:szCs w:val="20"/>
              </w:rPr>
              <w:t xml:space="preserve">Concept ID </w:t>
            </w:r>
            <w:r w:rsidRPr="009F4382">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C1FA5FE" w14:textId="77777777" w:rsidR="005A4AD9" w:rsidRPr="009F4382" w:rsidRDefault="005A4AD9" w:rsidP="00B602E7">
            <w:pPr>
              <w:keepLines/>
              <w:rPr>
                <w:rFonts w:ascii="Arial Narrow" w:hAnsi="Arial Narrow" w:cs="Arial"/>
                <w:sz w:val="20"/>
                <w:szCs w:val="20"/>
              </w:rPr>
            </w:pPr>
            <w:r w:rsidRPr="009F4382">
              <w:rPr>
                <w:rFonts w:ascii="Arial Narrow" w:hAnsi="Arial Narrow" w:cs="Arial"/>
                <w:b/>
                <w:sz w:val="20"/>
                <w:szCs w:val="20"/>
              </w:rPr>
              <w:t>Category / Program:</w:t>
            </w:r>
            <w:r w:rsidRPr="009F4382">
              <w:rPr>
                <w:rFonts w:ascii="Arial Narrow" w:hAnsi="Arial Narrow" w:cs="Arial"/>
                <w:sz w:val="20"/>
                <w:szCs w:val="20"/>
              </w:rPr>
              <w:t xml:space="preserve"> </w:t>
            </w:r>
            <w:r w:rsidRPr="009F4382">
              <w:rPr>
                <w:rFonts w:ascii="Arial Narrow" w:eastAsia="Calibri" w:hAnsi="Arial Narrow" w:cs="Arial"/>
                <w:sz w:val="20"/>
                <w:szCs w:val="20"/>
              </w:rPr>
              <w:t>Section 100 – Highly Specialised Drugs Program – Public (Code HB)</w:t>
            </w:r>
            <w:r w:rsidRPr="009F4382">
              <w:rPr>
                <w:rFonts w:ascii="Arial Narrow" w:eastAsia="Calibri" w:hAnsi="Arial Narrow" w:cs="Arial"/>
                <w:color w:val="FF0000"/>
                <w:sz w:val="20"/>
                <w:szCs w:val="20"/>
              </w:rPr>
              <w:t xml:space="preserve"> </w:t>
            </w:r>
            <w:r w:rsidRPr="009F4382">
              <w:rPr>
                <w:rFonts w:ascii="Arial Narrow" w:eastAsia="Calibri" w:hAnsi="Arial Narrow" w:cs="Arial"/>
                <w:sz w:val="20"/>
                <w:szCs w:val="20"/>
              </w:rPr>
              <w:t>/ Private (Code HS)</w:t>
            </w:r>
          </w:p>
        </w:tc>
      </w:tr>
      <w:tr w:rsidR="005A4AD9" w:rsidRPr="009F4382" w14:paraId="2CEE3CD4" w14:textId="77777777" w:rsidTr="79900132">
        <w:tblPrEx>
          <w:tblCellMar>
            <w:top w:w="15" w:type="dxa"/>
            <w:bottom w:w="15" w:type="dxa"/>
          </w:tblCellMar>
          <w:tblLook w:val="04A0" w:firstRow="1" w:lastRow="0" w:firstColumn="1" w:lastColumn="0" w:noHBand="0" w:noVBand="1"/>
        </w:tblPrEx>
        <w:trPr>
          <w:trHeight w:val="20"/>
        </w:trPr>
        <w:tc>
          <w:tcPr>
            <w:tcW w:w="1271" w:type="dxa"/>
            <w:vMerge/>
          </w:tcPr>
          <w:p w14:paraId="0013D3FF" w14:textId="77777777" w:rsidR="005A4AD9" w:rsidRPr="009F4382" w:rsidRDefault="005A4AD9" w:rsidP="00B602E7">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3B8A067" w14:textId="77777777" w:rsidR="005A4AD9" w:rsidRPr="009F4382" w:rsidRDefault="005A4AD9" w:rsidP="00B602E7">
            <w:pPr>
              <w:keepLines/>
              <w:rPr>
                <w:rFonts w:ascii="Arial Narrow" w:hAnsi="Arial Narrow" w:cs="Arial"/>
                <w:b/>
                <w:sz w:val="20"/>
                <w:szCs w:val="20"/>
              </w:rPr>
            </w:pPr>
            <w:r w:rsidRPr="009F4382">
              <w:rPr>
                <w:rFonts w:ascii="Arial Narrow" w:hAnsi="Arial Narrow" w:cs="Arial"/>
                <w:b/>
                <w:sz w:val="20"/>
                <w:szCs w:val="20"/>
              </w:rPr>
              <w:t xml:space="preserve">Prescriber type: </w:t>
            </w:r>
            <w:r w:rsidRPr="009F4382">
              <w:rPr>
                <w:rFonts w:ascii="Arial Narrow" w:hAnsi="Arial Narrow" w:cs="Arial"/>
                <w:sz w:val="20"/>
                <w:szCs w:val="20"/>
              </w:rPr>
              <w:fldChar w:fldCharType="begin" w:fldLock="1">
                <w:ffData>
                  <w:name w:val=""/>
                  <w:enabled/>
                  <w:calcOnExit w:val="0"/>
                  <w:checkBox>
                    <w:sizeAuto/>
                    <w:default w:val="1"/>
                  </w:checkBox>
                </w:ffData>
              </w:fldChar>
            </w:r>
            <w:r w:rsidRPr="009F4382">
              <w:rPr>
                <w:rFonts w:ascii="Arial Narrow" w:hAnsi="Arial Narrow" w:cs="Arial"/>
                <w:sz w:val="20"/>
                <w:szCs w:val="20"/>
              </w:rPr>
              <w:instrText xml:space="preserve"> FORMCHECKBOX </w:instrText>
            </w:r>
            <w:r w:rsidRPr="009F4382">
              <w:rPr>
                <w:rFonts w:ascii="Arial Narrow" w:hAnsi="Arial Narrow" w:cs="Arial"/>
                <w:sz w:val="20"/>
                <w:szCs w:val="20"/>
              </w:rPr>
            </w:r>
            <w:r w:rsidRPr="009F4382">
              <w:rPr>
                <w:rFonts w:ascii="Arial Narrow" w:hAnsi="Arial Narrow" w:cs="Arial"/>
                <w:sz w:val="20"/>
                <w:szCs w:val="20"/>
              </w:rPr>
              <w:fldChar w:fldCharType="separate"/>
            </w:r>
            <w:r w:rsidRPr="009F4382">
              <w:rPr>
                <w:rFonts w:ascii="Arial Narrow" w:hAnsi="Arial Narrow" w:cs="Arial"/>
                <w:sz w:val="20"/>
                <w:szCs w:val="20"/>
              </w:rPr>
              <w:fldChar w:fldCharType="end"/>
            </w:r>
            <w:r w:rsidRPr="009F4382">
              <w:rPr>
                <w:rFonts w:ascii="Arial Narrow" w:hAnsi="Arial Narrow" w:cs="Arial"/>
                <w:sz w:val="20"/>
                <w:szCs w:val="20"/>
              </w:rPr>
              <w:t xml:space="preserve">Medical Practitioners </w:t>
            </w:r>
          </w:p>
        </w:tc>
      </w:tr>
      <w:tr w:rsidR="005A4AD9" w:rsidRPr="009F4382" w14:paraId="30513C41" w14:textId="77777777" w:rsidTr="79900132">
        <w:tblPrEx>
          <w:tblCellMar>
            <w:top w:w="15" w:type="dxa"/>
            <w:bottom w:w="15" w:type="dxa"/>
          </w:tblCellMar>
          <w:tblLook w:val="04A0" w:firstRow="1" w:lastRow="0" w:firstColumn="1" w:lastColumn="0" w:noHBand="0" w:noVBand="1"/>
        </w:tblPrEx>
        <w:trPr>
          <w:trHeight w:val="20"/>
        </w:trPr>
        <w:tc>
          <w:tcPr>
            <w:tcW w:w="1271" w:type="dxa"/>
            <w:vMerge/>
          </w:tcPr>
          <w:p w14:paraId="4AA054FE" w14:textId="77777777" w:rsidR="005A4AD9" w:rsidRPr="009F4382" w:rsidRDefault="005A4AD9" w:rsidP="00B602E7">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3E982F2" w14:textId="77777777" w:rsidR="005A4AD9" w:rsidRPr="009F4382" w:rsidRDefault="005A4AD9" w:rsidP="00B602E7">
            <w:pPr>
              <w:keepLines/>
              <w:rPr>
                <w:rFonts w:ascii="Arial Narrow" w:eastAsia="Calibri" w:hAnsi="Arial Narrow" w:cs="Arial"/>
                <w:color w:val="FF0000"/>
                <w:sz w:val="20"/>
                <w:szCs w:val="20"/>
              </w:rPr>
            </w:pPr>
            <w:r w:rsidRPr="009F4382">
              <w:rPr>
                <w:rFonts w:ascii="Arial Narrow" w:hAnsi="Arial Narrow" w:cs="Arial"/>
                <w:b/>
                <w:sz w:val="20"/>
                <w:szCs w:val="20"/>
              </w:rPr>
              <w:t xml:space="preserve">Restriction type: </w:t>
            </w:r>
            <w:r w:rsidRPr="009F4382">
              <w:rPr>
                <w:rFonts w:ascii="Arial Narrow" w:eastAsia="Calibri" w:hAnsi="Arial Narrow" w:cs="Arial"/>
                <w:sz w:val="20"/>
                <w:szCs w:val="20"/>
              </w:rPr>
              <w:fldChar w:fldCharType="begin" w:fldLock="1">
                <w:ffData>
                  <w:name w:val=""/>
                  <w:enabled/>
                  <w:calcOnExit w:val="0"/>
                  <w:checkBox>
                    <w:sizeAuto/>
                    <w:default w:val="1"/>
                  </w:checkBox>
                </w:ffData>
              </w:fldChar>
            </w:r>
            <w:r w:rsidRPr="009F4382">
              <w:rPr>
                <w:rFonts w:ascii="Arial Narrow" w:eastAsia="Calibri" w:hAnsi="Arial Narrow" w:cs="Arial"/>
                <w:sz w:val="20"/>
                <w:szCs w:val="20"/>
              </w:rPr>
              <w:instrText xml:space="preserve"> FORMCHECKBOX </w:instrText>
            </w:r>
            <w:r w:rsidRPr="009F4382">
              <w:rPr>
                <w:rFonts w:ascii="Arial Narrow" w:eastAsia="Calibri" w:hAnsi="Arial Narrow" w:cs="Arial"/>
                <w:sz w:val="20"/>
                <w:szCs w:val="20"/>
              </w:rPr>
            </w:r>
            <w:r w:rsidRPr="009F4382">
              <w:rPr>
                <w:rFonts w:ascii="Arial Narrow" w:eastAsia="Calibri" w:hAnsi="Arial Narrow" w:cs="Arial"/>
                <w:sz w:val="20"/>
                <w:szCs w:val="20"/>
              </w:rPr>
              <w:fldChar w:fldCharType="separate"/>
            </w:r>
            <w:r w:rsidRPr="009F4382">
              <w:rPr>
                <w:rFonts w:ascii="Arial Narrow" w:eastAsia="Calibri" w:hAnsi="Arial Narrow" w:cs="Arial"/>
                <w:sz w:val="20"/>
                <w:szCs w:val="20"/>
              </w:rPr>
              <w:fldChar w:fldCharType="end"/>
            </w:r>
            <w:r w:rsidRPr="009F4382">
              <w:rPr>
                <w:rFonts w:ascii="Arial Narrow" w:eastAsia="Calibri" w:hAnsi="Arial Narrow" w:cs="Arial"/>
                <w:sz w:val="20"/>
                <w:szCs w:val="20"/>
              </w:rPr>
              <w:t>Authority Required (in writing only via post/HPOS upload)</w:t>
            </w:r>
          </w:p>
        </w:tc>
      </w:tr>
      <w:tr w:rsidR="005A4AD9" w:rsidRPr="009F4382" w14:paraId="7DF9BEC1" w14:textId="77777777" w:rsidTr="79900132">
        <w:tblPrEx>
          <w:tblCellMar>
            <w:top w:w="15" w:type="dxa"/>
            <w:bottom w:w="15" w:type="dxa"/>
          </w:tblCellMar>
          <w:tblLook w:val="04A0" w:firstRow="1" w:lastRow="0" w:firstColumn="1" w:lastColumn="0" w:noHBand="0" w:noVBand="1"/>
        </w:tblPrEx>
        <w:trPr>
          <w:cantSplit/>
          <w:trHeight w:val="20"/>
        </w:trPr>
        <w:tc>
          <w:tcPr>
            <w:tcW w:w="9016" w:type="dxa"/>
            <w:gridSpan w:val="7"/>
            <w:vAlign w:val="center"/>
          </w:tcPr>
          <w:p w14:paraId="06C2E5E2" w14:textId="77777777" w:rsidR="005A4AD9" w:rsidRPr="009F4382" w:rsidRDefault="005A4AD9" w:rsidP="00B602E7">
            <w:pPr>
              <w:rPr>
                <w:rFonts w:ascii="Arial Narrow" w:hAnsi="Arial Narrow"/>
                <w:b/>
                <w:bCs/>
                <w:sz w:val="20"/>
                <w:szCs w:val="20"/>
              </w:rPr>
            </w:pPr>
            <w:r w:rsidRPr="009F4382">
              <w:rPr>
                <w:rFonts w:ascii="Arial Narrow" w:hAnsi="Arial Narrow"/>
                <w:b/>
                <w:bCs/>
                <w:sz w:val="20"/>
                <w:szCs w:val="20"/>
              </w:rPr>
              <w:t>Restriction Summary 15883 / Treatment of Concept: 15870: Authority Required</w:t>
            </w:r>
          </w:p>
        </w:tc>
      </w:tr>
      <w:tr w:rsidR="005A4AD9" w:rsidRPr="009F4382" w14:paraId="13DC8E19"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tcPr>
          <w:p w14:paraId="7117E008" w14:textId="25DD9580" w:rsidR="005A4AD9" w:rsidRPr="009F4382" w:rsidRDefault="00197DA8" w:rsidP="00B602E7">
            <w:pPr>
              <w:jc w:val="center"/>
              <w:rPr>
                <w:rFonts w:ascii="Arial Narrow" w:hAnsi="Arial Narrow"/>
                <w:sz w:val="20"/>
                <w:szCs w:val="20"/>
              </w:rPr>
            </w:pPr>
            <w:r w:rsidRPr="009F4382">
              <w:rPr>
                <w:rFonts w:ascii="Arial Narrow" w:hAnsi="Arial Narrow"/>
                <w:sz w:val="20"/>
                <w:szCs w:val="20"/>
              </w:rPr>
              <w:t>17467</w:t>
            </w:r>
          </w:p>
        </w:tc>
        <w:tc>
          <w:tcPr>
            <w:tcW w:w="7745" w:type="dxa"/>
            <w:gridSpan w:val="6"/>
            <w:vAlign w:val="center"/>
          </w:tcPr>
          <w:p w14:paraId="3BFA7EBB" w14:textId="52FD835C" w:rsidR="005A4AD9" w:rsidRPr="009F4382" w:rsidRDefault="005A4AD9" w:rsidP="00B602E7">
            <w:pPr>
              <w:rPr>
                <w:rFonts w:ascii="Arial Narrow" w:hAnsi="Arial Narrow"/>
                <w:sz w:val="20"/>
                <w:szCs w:val="20"/>
              </w:rPr>
            </w:pPr>
            <w:r w:rsidRPr="009F4382">
              <w:rPr>
                <w:rFonts w:ascii="Arial Narrow" w:hAnsi="Arial Narrow"/>
                <w:b/>
                <w:bCs/>
                <w:sz w:val="20"/>
                <w:szCs w:val="20"/>
              </w:rPr>
              <w:t>Indication:</w:t>
            </w:r>
            <w:r w:rsidRPr="009F4382">
              <w:rPr>
                <w:rFonts w:ascii="Arial Narrow" w:hAnsi="Arial Narrow"/>
                <w:sz w:val="20"/>
                <w:szCs w:val="20"/>
              </w:rPr>
              <w:t xml:space="preserve"> </w:t>
            </w:r>
            <w:r w:rsidR="00172B2F" w:rsidRPr="009F4382">
              <w:rPr>
                <w:rFonts w:ascii="Arial Narrow" w:hAnsi="Arial Narrow"/>
                <w:sz w:val="20"/>
                <w:szCs w:val="20"/>
              </w:rPr>
              <w:t>Severe chronic spontaneous urticaria</w:t>
            </w:r>
          </w:p>
        </w:tc>
      </w:tr>
      <w:tr w:rsidR="005A4AD9" w:rsidRPr="009F4382" w14:paraId="72FE2864"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tcPr>
          <w:p w14:paraId="0F441779" w14:textId="77777777" w:rsidR="005A4AD9" w:rsidRPr="009F4382" w:rsidRDefault="005A4AD9" w:rsidP="00B602E7">
            <w:pPr>
              <w:jc w:val="center"/>
              <w:rPr>
                <w:rFonts w:ascii="Arial Narrow" w:hAnsi="Arial Narrow"/>
                <w:sz w:val="20"/>
                <w:szCs w:val="20"/>
              </w:rPr>
            </w:pPr>
          </w:p>
        </w:tc>
        <w:tc>
          <w:tcPr>
            <w:tcW w:w="7745" w:type="dxa"/>
            <w:gridSpan w:val="6"/>
            <w:vAlign w:val="center"/>
          </w:tcPr>
          <w:p w14:paraId="42452DE3" w14:textId="27E428D5" w:rsidR="005A4AD9" w:rsidRPr="009F4382" w:rsidRDefault="005A4AD9" w:rsidP="00B602E7">
            <w:pPr>
              <w:rPr>
                <w:rFonts w:ascii="Arial Narrow" w:hAnsi="Arial Narrow"/>
                <w:sz w:val="20"/>
                <w:szCs w:val="20"/>
              </w:rPr>
            </w:pPr>
            <w:r w:rsidRPr="009F4382">
              <w:rPr>
                <w:rFonts w:ascii="Arial Narrow" w:hAnsi="Arial Narrow"/>
                <w:b/>
                <w:bCs/>
                <w:sz w:val="20"/>
                <w:szCs w:val="20"/>
              </w:rPr>
              <w:t>Treatment Phase</w:t>
            </w:r>
            <w:r w:rsidRPr="009F4382">
              <w:rPr>
                <w:rFonts w:ascii="Arial Narrow" w:hAnsi="Arial Narrow"/>
                <w:sz w:val="20"/>
                <w:szCs w:val="20"/>
              </w:rPr>
              <w:t xml:space="preserve">: </w:t>
            </w:r>
            <w:r w:rsidR="00172B2F" w:rsidRPr="009F4382">
              <w:rPr>
                <w:rFonts w:ascii="Arial Narrow" w:hAnsi="Arial Narrow"/>
                <w:sz w:val="20"/>
                <w:szCs w:val="20"/>
              </w:rPr>
              <w:t>Initial treatment</w:t>
            </w:r>
          </w:p>
        </w:tc>
      </w:tr>
      <w:tr w:rsidR="002526C8" w:rsidRPr="009F4382" w14:paraId="233159A7"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tcPr>
          <w:p w14:paraId="5613C75F" w14:textId="0C43E04A" w:rsidR="002526C8" w:rsidRPr="009F4382" w:rsidRDefault="002526C8" w:rsidP="002526C8">
            <w:pPr>
              <w:jc w:val="center"/>
              <w:rPr>
                <w:rFonts w:ascii="Arial Narrow" w:hAnsi="Arial Narrow"/>
                <w:sz w:val="20"/>
                <w:szCs w:val="20"/>
              </w:rPr>
            </w:pPr>
            <w:r w:rsidRPr="009F4382">
              <w:rPr>
                <w:rFonts w:ascii="Arial Narrow" w:hAnsi="Arial Narrow"/>
                <w:iCs/>
                <w:sz w:val="20"/>
                <w:szCs w:val="20"/>
              </w:rPr>
              <w:t>Administrative Advice [New]</w:t>
            </w:r>
            <w:r w:rsidRPr="009F4382">
              <w:rPr>
                <w:rFonts w:ascii="Arial Narrow" w:hAnsi="Arial Narrow"/>
                <w:iCs/>
                <w:sz w:val="20"/>
                <w:szCs w:val="20"/>
                <w:vertAlign w:val="superscript"/>
              </w:rPr>
              <w:t>2</w:t>
            </w:r>
          </w:p>
        </w:tc>
        <w:tc>
          <w:tcPr>
            <w:tcW w:w="7745" w:type="dxa"/>
            <w:gridSpan w:val="6"/>
            <w:vAlign w:val="center"/>
          </w:tcPr>
          <w:p w14:paraId="23001E99" w14:textId="77777777" w:rsidR="002526C8" w:rsidRPr="00385AA4" w:rsidRDefault="002526C8" w:rsidP="002526C8">
            <w:pPr>
              <w:textAlignment w:val="baseline"/>
              <w:rPr>
                <w:rFonts w:ascii="Arial Narrow" w:eastAsia="Calibri" w:hAnsi="Arial Narrow"/>
                <w:b/>
                <w:iCs/>
                <w:color w:val="333333"/>
                <w:sz w:val="20"/>
                <w:szCs w:val="20"/>
              </w:rPr>
            </w:pPr>
            <w:r w:rsidRPr="00385AA4">
              <w:rPr>
                <w:rFonts w:ascii="Arial Narrow" w:eastAsia="Calibri" w:hAnsi="Arial Narrow"/>
                <w:b/>
                <w:iCs/>
                <w:color w:val="333333"/>
                <w:sz w:val="20"/>
                <w:szCs w:val="20"/>
              </w:rPr>
              <w:t xml:space="preserve">Administrative Advice: </w:t>
            </w:r>
          </w:p>
          <w:p w14:paraId="4FD46B9E" w14:textId="56A29166" w:rsidR="002526C8" w:rsidRPr="009F4382" w:rsidRDefault="002526C8" w:rsidP="002526C8">
            <w:pPr>
              <w:rPr>
                <w:rFonts w:ascii="Arial Narrow" w:hAnsi="Arial Narrow"/>
                <w:b/>
                <w:bCs/>
                <w:sz w:val="20"/>
                <w:szCs w:val="20"/>
              </w:rPr>
            </w:pPr>
            <w:r w:rsidRPr="009F4382">
              <w:rPr>
                <w:rFonts w:ascii="Arial Narrow" w:hAnsi="Arial Narrow"/>
                <w:iCs/>
                <w:sz w:val="20"/>
                <w:szCs w:val="20"/>
              </w:rPr>
              <w:t xml:space="preserve">Pharmaceutical benefits that have the form omalizumab </w:t>
            </w:r>
            <w:r w:rsidRPr="009F4382">
              <w:rPr>
                <w:rFonts w:ascii="Arial Narrow" w:hAnsi="Arial Narrow" w:cs="Arial"/>
                <w:iCs/>
                <w:sz w:val="20"/>
                <w:szCs w:val="20"/>
              </w:rPr>
              <w:t xml:space="preserve">150 mg/mL </w:t>
            </w:r>
            <w:r w:rsidRPr="009F4382">
              <w:rPr>
                <w:rFonts w:ascii="Arial Narrow" w:hAnsi="Arial Narrow"/>
                <w:iCs/>
                <w:sz w:val="20"/>
                <w:szCs w:val="20"/>
              </w:rPr>
              <w:t xml:space="preserve">syringes and pharmaceutical benefits that have the form omalizumab </w:t>
            </w:r>
            <w:r w:rsidRPr="009F4382">
              <w:rPr>
                <w:rFonts w:ascii="Arial Narrow" w:hAnsi="Arial Narrow" w:cs="Arial"/>
                <w:iCs/>
                <w:sz w:val="20"/>
                <w:szCs w:val="20"/>
              </w:rPr>
              <w:t xml:space="preserve">150 mg/mL </w:t>
            </w:r>
            <w:r w:rsidRPr="009F4382">
              <w:rPr>
                <w:rFonts w:ascii="Arial Narrow" w:hAnsi="Arial Narrow"/>
                <w:iCs/>
                <w:sz w:val="20"/>
                <w:szCs w:val="20"/>
              </w:rPr>
              <w:t>pen devices are equivalent for the purposes of substitution.</w:t>
            </w:r>
          </w:p>
        </w:tc>
      </w:tr>
      <w:tr w:rsidR="002526C8" w:rsidRPr="009F4382" w14:paraId="7C22F81E"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tcPr>
          <w:p w14:paraId="5754208A" w14:textId="35B0CA46" w:rsidR="002526C8" w:rsidRPr="009F4382" w:rsidRDefault="002526C8" w:rsidP="002526C8">
            <w:pPr>
              <w:jc w:val="center"/>
              <w:rPr>
                <w:rFonts w:ascii="Arial Narrow" w:hAnsi="Arial Narrow"/>
                <w:sz w:val="20"/>
                <w:szCs w:val="20"/>
              </w:rPr>
            </w:pPr>
            <w:r w:rsidRPr="009F4382">
              <w:rPr>
                <w:rFonts w:ascii="Arial Narrow" w:hAnsi="Arial Narrow"/>
                <w:iCs/>
                <w:sz w:val="20"/>
                <w:szCs w:val="20"/>
              </w:rPr>
              <w:t>Administrative Advice [New]</w:t>
            </w:r>
            <w:r w:rsidRPr="009F4382">
              <w:rPr>
                <w:rFonts w:ascii="Arial Narrow" w:hAnsi="Arial Narrow"/>
                <w:iCs/>
                <w:sz w:val="20"/>
                <w:szCs w:val="20"/>
                <w:vertAlign w:val="superscript"/>
              </w:rPr>
              <w:t>3</w:t>
            </w:r>
          </w:p>
        </w:tc>
        <w:tc>
          <w:tcPr>
            <w:tcW w:w="7745" w:type="dxa"/>
            <w:gridSpan w:val="6"/>
            <w:vAlign w:val="center"/>
          </w:tcPr>
          <w:p w14:paraId="5A4CBF90" w14:textId="77777777" w:rsidR="002526C8" w:rsidRPr="00385AA4" w:rsidRDefault="002526C8" w:rsidP="002526C8">
            <w:pPr>
              <w:textAlignment w:val="baseline"/>
              <w:rPr>
                <w:rFonts w:ascii="Arial Narrow" w:eastAsia="Calibri" w:hAnsi="Arial Narrow"/>
                <w:b/>
                <w:iCs/>
                <w:color w:val="333333"/>
                <w:sz w:val="20"/>
                <w:szCs w:val="20"/>
              </w:rPr>
            </w:pPr>
            <w:r w:rsidRPr="00385AA4">
              <w:rPr>
                <w:rFonts w:ascii="Arial Narrow" w:eastAsia="Calibri" w:hAnsi="Arial Narrow"/>
                <w:b/>
                <w:iCs/>
                <w:color w:val="333333"/>
                <w:sz w:val="20"/>
                <w:szCs w:val="20"/>
              </w:rPr>
              <w:t xml:space="preserve">Administrative Advice: </w:t>
            </w:r>
          </w:p>
          <w:p w14:paraId="5171219A" w14:textId="4D5DD2E0" w:rsidR="002526C8" w:rsidRPr="009F4382" w:rsidRDefault="002526C8" w:rsidP="002526C8">
            <w:pPr>
              <w:rPr>
                <w:rFonts w:ascii="Arial Narrow" w:hAnsi="Arial Narrow"/>
                <w:b/>
                <w:bCs/>
                <w:sz w:val="20"/>
                <w:szCs w:val="20"/>
              </w:rPr>
            </w:pPr>
            <w:r w:rsidRPr="009F4382">
              <w:rPr>
                <w:rFonts w:ascii="Arial Narrow" w:hAnsi="Arial Narrow"/>
                <w:iCs/>
                <w:sz w:val="20"/>
                <w:szCs w:val="20"/>
              </w:rPr>
              <w:t xml:space="preserve">Pharmaceutical benefits that have the form omalizumab </w:t>
            </w:r>
            <w:r w:rsidRPr="009F4382">
              <w:rPr>
                <w:rFonts w:ascii="Arial Narrow" w:hAnsi="Arial Narrow" w:cs="Arial"/>
                <w:iCs/>
                <w:sz w:val="20"/>
                <w:szCs w:val="20"/>
              </w:rPr>
              <w:t xml:space="preserve">300 mg/2 mL </w:t>
            </w:r>
            <w:r w:rsidRPr="009F4382">
              <w:rPr>
                <w:rFonts w:ascii="Arial Narrow" w:hAnsi="Arial Narrow"/>
                <w:iCs/>
                <w:sz w:val="20"/>
                <w:szCs w:val="20"/>
              </w:rPr>
              <w:t xml:space="preserve">syringes and pharmaceutical benefits that have the form omalizumab </w:t>
            </w:r>
            <w:r w:rsidRPr="009F4382">
              <w:rPr>
                <w:rFonts w:ascii="Arial Narrow" w:hAnsi="Arial Narrow" w:cs="Arial"/>
                <w:iCs/>
                <w:sz w:val="20"/>
                <w:szCs w:val="20"/>
              </w:rPr>
              <w:t xml:space="preserve">300 mg/2 mL </w:t>
            </w:r>
            <w:r w:rsidRPr="009F4382">
              <w:rPr>
                <w:rFonts w:ascii="Arial Narrow" w:hAnsi="Arial Narrow"/>
                <w:iCs/>
                <w:sz w:val="20"/>
                <w:szCs w:val="20"/>
              </w:rPr>
              <w:t>pen devices are equivalent for the purposes of substitution.</w:t>
            </w:r>
          </w:p>
        </w:tc>
      </w:tr>
    </w:tbl>
    <w:p w14:paraId="1A0FD99C" w14:textId="77777777" w:rsidR="00722DE8" w:rsidRPr="009F4382" w:rsidRDefault="00722DE8">
      <w:pPr>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w:tblDescription w:val="Indication: Severe chronic spontaneous urticaria&#10;Treatment phase: Continuing treatment"/>
      </w:tblPr>
      <w:tblGrid>
        <w:gridCol w:w="1271"/>
        <w:gridCol w:w="3260"/>
        <w:gridCol w:w="1276"/>
        <w:gridCol w:w="803"/>
        <w:gridCol w:w="803"/>
        <w:gridCol w:w="804"/>
        <w:gridCol w:w="799"/>
      </w:tblGrid>
      <w:tr w:rsidR="006C090A" w:rsidRPr="009F4382" w14:paraId="3AEEA67B" w14:textId="77777777" w:rsidTr="79900132">
        <w:trPr>
          <w:cantSplit/>
          <w:trHeight w:val="20"/>
        </w:trPr>
        <w:tc>
          <w:tcPr>
            <w:tcW w:w="4531" w:type="dxa"/>
            <w:gridSpan w:val="2"/>
            <w:vAlign w:val="center"/>
          </w:tcPr>
          <w:p w14:paraId="07AEDF91" w14:textId="77777777" w:rsidR="006C090A" w:rsidRPr="009F4382" w:rsidRDefault="006C090A" w:rsidP="00B602E7">
            <w:pPr>
              <w:keepLines/>
              <w:rPr>
                <w:rFonts w:ascii="Arial Narrow" w:hAnsi="Arial Narrow" w:cs="Arial"/>
                <w:b/>
                <w:bCs/>
                <w:sz w:val="20"/>
                <w:szCs w:val="20"/>
              </w:rPr>
            </w:pPr>
            <w:r w:rsidRPr="009F4382">
              <w:rPr>
                <w:rFonts w:ascii="Arial Narrow" w:hAnsi="Arial Narrow" w:cs="Arial"/>
                <w:b/>
                <w:bCs/>
                <w:sz w:val="20"/>
                <w:szCs w:val="20"/>
              </w:rPr>
              <w:t>MEDICINAL PRODUCT</w:t>
            </w:r>
          </w:p>
          <w:p w14:paraId="5AC381B6" w14:textId="77777777" w:rsidR="006C090A" w:rsidRPr="009F4382" w:rsidRDefault="006C090A" w:rsidP="00B602E7">
            <w:pPr>
              <w:keepLines/>
              <w:rPr>
                <w:rFonts w:ascii="Arial Narrow" w:hAnsi="Arial Narrow" w:cs="Arial"/>
                <w:b/>
                <w:sz w:val="20"/>
                <w:szCs w:val="20"/>
              </w:rPr>
            </w:pPr>
            <w:r w:rsidRPr="009F4382">
              <w:rPr>
                <w:rFonts w:ascii="Arial Narrow" w:hAnsi="Arial Narrow" w:cs="Arial"/>
                <w:b/>
                <w:bCs/>
                <w:sz w:val="20"/>
                <w:szCs w:val="20"/>
              </w:rPr>
              <w:t>medicinal product pack</w:t>
            </w:r>
          </w:p>
        </w:tc>
        <w:tc>
          <w:tcPr>
            <w:tcW w:w="1276" w:type="dxa"/>
            <w:vAlign w:val="center"/>
          </w:tcPr>
          <w:p w14:paraId="1953FA43" w14:textId="77777777" w:rsidR="006C090A" w:rsidRPr="009F4382" w:rsidRDefault="006C090A" w:rsidP="00B602E7">
            <w:pPr>
              <w:keepLines/>
              <w:jc w:val="center"/>
              <w:rPr>
                <w:rFonts w:ascii="Arial Narrow" w:hAnsi="Arial Narrow" w:cs="Arial"/>
                <w:b/>
                <w:sz w:val="20"/>
                <w:szCs w:val="20"/>
              </w:rPr>
            </w:pPr>
            <w:r w:rsidRPr="009F4382">
              <w:rPr>
                <w:rFonts w:ascii="Arial Narrow" w:hAnsi="Arial Narrow" w:cs="Arial"/>
                <w:b/>
                <w:sz w:val="20"/>
                <w:szCs w:val="20"/>
              </w:rPr>
              <w:t>PBS item code</w:t>
            </w:r>
          </w:p>
        </w:tc>
        <w:tc>
          <w:tcPr>
            <w:tcW w:w="803" w:type="dxa"/>
            <w:vAlign w:val="center"/>
          </w:tcPr>
          <w:p w14:paraId="45B49955" w14:textId="77777777" w:rsidR="006C090A" w:rsidRPr="009F4382" w:rsidRDefault="006C090A" w:rsidP="00B602E7">
            <w:pPr>
              <w:keepLines/>
              <w:jc w:val="center"/>
              <w:rPr>
                <w:rFonts w:ascii="Arial Narrow" w:hAnsi="Arial Narrow" w:cs="Arial"/>
                <w:b/>
                <w:sz w:val="20"/>
                <w:szCs w:val="20"/>
              </w:rPr>
            </w:pPr>
            <w:r w:rsidRPr="009F4382">
              <w:rPr>
                <w:rFonts w:ascii="Arial Narrow" w:hAnsi="Arial Narrow" w:cs="Arial"/>
                <w:b/>
                <w:sz w:val="20"/>
                <w:szCs w:val="20"/>
              </w:rPr>
              <w:t>Max. qty packs</w:t>
            </w:r>
          </w:p>
        </w:tc>
        <w:tc>
          <w:tcPr>
            <w:tcW w:w="803" w:type="dxa"/>
            <w:vAlign w:val="center"/>
          </w:tcPr>
          <w:p w14:paraId="3C6B262C" w14:textId="77777777" w:rsidR="006C090A" w:rsidRPr="009F4382" w:rsidRDefault="006C090A" w:rsidP="00B602E7">
            <w:pPr>
              <w:keepLines/>
              <w:jc w:val="center"/>
              <w:rPr>
                <w:rFonts w:ascii="Arial Narrow" w:hAnsi="Arial Narrow" w:cs="Arial"/>
                <w:b/>
                <w:sz w:val="20"/>
                <w:szCs w:val="20"/>
              </w:rPr>
            </w:pPr>
            <w:r w:rsidRPr="009F4382">
              <w:rPr>
                <w:rFonts w:ascii="Arial Narrow" w:hAnsi="Arial Narrow" w:cs="Arial"/>
                <w:b/>
                <w:sz w:val="20"/>
                <w:szCs w:val="20"/>
              </w:rPr>
              <w:t>Max. qty units</w:t>
            </w:r>
          </w:p>
        </w:tc>
        <w:tc>
          <w:tcPr>
            <w:tcW w:w="804" w:type="dxa"/>
            <w:vAlign w:val="center"/>
          </w:tcPr>
          <w:p w14:paraId="75A44D15" w14:textId="2382E808" w:rsidR="006C090A" w:rsidRPr="009F4382" w:rsidRDefault="7B2BA9E8" w:rsidP="79900132">
            <w:pPr>
              <w:keepLines/>
              <w:jc w:val="center"/>
              <w:rPr>
                <w:rFonts w:ascii="Arial Narrow" w:hAnsi="Arial Narrow" w:cs="Arial"/>
                <w:b/>
                <w:bCs/>
                <w:sz w:val="20"/>
                <w:szCs w:val="20"/>
              </w:rPr>
            </w:pPr>
            <w:proofErr w:type="gramStart"/>
            <w:r w:rsidRPr="009F4382">
              <w:rPr>
                <w:rFonts w:ascii="Arial Narrow" w:hAnsi="Arial Narrow" w:cs="Arial"/>
                <w:b/>
                <w:bCs/>
                <w:sz w:val="20"/>
                <w:szCs w:val="20"/>
              </w:rPr>
              <w:t>№.of</w:t>
            </w:r>
            <w:proofErr w:type="gramEnd"/>
          </w:p>
          <w:p w14:paraId="3B2E1C6F" w14:textId="17C03596" w:rsidR="006C090A" w:rsidRPr="009F4382" w:rsidRDefault="7B2BA9E8" w:rsidP="79900132">
            <w:pPr>
              <w:keepLines/>
              <w:jc w:val="center"/>
              <w:rPr>
                <w:rFonts w:ascii="Arial Narrow" w:hAnsi="Arial Narrow" w:cs="Arial"/>
                <w:b/>
                <w:bCs/>
                <w:sz w:val="20"/>
                <w:szCs w:val="20"/>
              </w:rPr>
            </w:pPr>
            <w:r w:rsidRPr="009F4382">
              <w:rPr>
                <w:rFonts w:ascii="Arial Narrow" w:hAnsi="Arial Narrow" w:cs="Arial"/>
                <w:b/>
                <w:bCs/>
                <w:sz w:val="20"/>
                <w:szCs w:val="20"/>
              </w:rPr>
              <w:t>Rpts</w:t>
            </w:r>
          </w:p>
        </w:tc>
        <w:tc>
          <w:tcPr>
            <w:tcW w:w="799" w:type="dxa"/>
            <w:vAlign w:val="center"/>
          </w:tcPr>
          <w:p w14:paraId="7305A743" w14:textId="77777777" w:rsidR="006C090A" w:rsidRPr="009F4382" w:rsidRDefault="006C090A" w:rsidP="00B602E7">
            <w:pPr>
              <w:keepLines/>
              <w:rPr>
                <w:rFonts w:ascii="Arial Narrow" w:hAnsi="Arial Narrow" w:cs="Arial"/>
                <w:b/>
                <w:sz w:val="20"/>
                <w:szCs w:val="20"/>
                <w:lang w:val="fr-FR"/>
              </w:rPr>
            </w:pPr>
            <w:r w:rsidRPr="009F4382">
              <w:rPr>
                <w:rFonts w:ascii="Arial Narrow" w:hAnsi="Arial Narrow" w:cs="Arial"/>
                <w:b/>
                <w:sz w:val="20"/>
                <w:szCs w:val="20"/>
              </w:rPr>
              <w:t>Available brands</w:t>
            </w:r>
          </w:p>
        </w:tc>
      </w:tr>
      <w:tr w:rsidR="006C090A" w:rsidRPr="009F4382" w14:paraId="6BBA51BA" w14:textId="77777777" w:rsidTr="79900132">
        <w:trPr>
          <w:cantSplit/>
          <w:trHeight w:val="20"/>
        </w:trPr>
        <w:tc>
          <w:tcPr>
            <w:tcW w:w="9016" w:type="dxa"/>
            <w:gridSpan w:val="7"/>
            <w:vAlign w:val="center"/>
          </w:tcPr>
          <w:p w14:paraId="7075A14F" w14:textId="77777777" w:rsidR="006C090A" w:rsidRPr="009F4382" w:rsidRDefault="006C090A" w:rsidP="00B602E7">
            <w:pPr>
              <w:keepLines/>
              <w:rPr>
                <w:rFonts w:ascii="Arial Narrow" w:hAnsi="Arial Narrow" w:cs="Arial"/>
                <w:sz w:val="20"/>
                <w:szCs w:val="20"/>
              </w:rPr>
            </w:pPr>
            <w:r w:rsidRPr="009F4382">
              <w:rPr>
                <w:rFonts w:ascii="Arial Narrow" w:hAnsi="Arial Narrow" w:cs="Arial"/>
                <w:sz w:val="20"/>
                <w:szCs w:val="20"/>
              </w:rPr>
              <w:t>OMALIZUMAB</w:t>
            </w:r>
          </w:p>
        </w:tc>
      </w:tr>
      <w:tr w:rsidR="00812586" w:rsidRPr="009F4382" w14:paraId="4EACEEB1" w14:textId="77777777" w:rsidTr="79900132">
        <w:trPr>
          <w:cantSplit/>
          <w:trHeight w:val="20"/>
        </w:trPr>
        <w:tc>
          <w:tcPr>
            <w:tcW w:w="4531" w:type="dxa"/>
            <w:gridSpan w:val="2"/>
            <w:vAlign w:val="center"/>
          </w:tcPr>
          <w:p w14:paraId="65DE3A7D" w14:textId="77777777" w:rsidR="00812586" w:rsidRPr="009F4382" w:rsidRDefault="00812586" w:rsidP="00812586">
            <w:pPr>
              <w:keepLines/>
              <w:rPr>
                <w:rFonts w:ascii="Arial Narrow" w:hAnsi="Arial Narrow" w:cs="Arial"/>
                <w:sz w:val="20"/>
                <w:szCs w:val="20"/>
              </w:rPr>
            </w:pPr>
            <w:r w:rsidRPr="009F4382">
              <w:rPr>
                <w:rFonts w:ascii="Arial Narrow" w:hAnsi="Arial Narrow" w:cs="Arial"/>
                <w:sz w:val="20"/>
                <w:szCs w:val="20"/>
              </w:rPr>
              <w:t>omalizumab 150 mg/mL injection, 1 mL syringe</w:t>
            </w:r>
          </w:p>
        </w:tc>
        <w:tc>
          <w:tcPr>
            <w:tcW w:w="1276" w:type="dxa"/>
            <w:vAlign w:val="center"/>
          </w:tcPr>
          <w:p w14:paraId="1976B93C" w14:textId="3DCCF8CF" w:rsidR="00812586" w:rsidRPr="009F4382" w:rsidRDefault="001451C7" w:rsidP="00812586">
            <w:pPr>
              <w:keepLines/>
              <w:jc w:val="center"/>
              <w:rPr>
                <w:rFonts w:ascii="Arial Narrow" w:hAnsi="Arial Narrow" w:cs="Arial"/>
                <w:sz w:val="20"/>
                <w:szCs w:val="20"/>
              </w:rPr>
            </w:pPr>
            <w:r w:rsidRPr="009F4382">
              <w:rPr>
                <w:rFonts w:ascii="Arial Narrow" w:hAnsi="Arial Narrow" w:cs="Arial"/>
                <w:sz w:val="20"/>
                <w:szCs w:val="20"/>
              </w:rPr>
              <w:t>11168T</w:t>
            </w:r>
            <w:r w:rsidR="00812586" w:rsidRPr="009F4382">
              <w:rPr>
                <w:rFonts w:ascii="Arial Narrow" w:hAnsi="Arial Narrow" w:cs="Arial"/>
                <w:sz w:val="20"/>
                <w:szCs w:val="20"/>
              </w:rPr>
              <w:t>/ Public</w:t>
            </w:r>
          </w:p>
        </w:tc>
        <w:tc>
          <w:tcPr>
            <w:tcW w:w="803" w:type="dxa"/>
          </w:tcPr>
          <w:p w14:paraId="7AACF4E1" w14:textId="53603220" w:rsidR="00812586" w:rsidRPr="009F4382" w:rsidRDefault="00812586" w:rsidP="00812586">
            <w:pPr>
              <w:keepLines/>
              <w:jc w:val="center"/>
              <w:rPr>
                <w:rFonts w:ascii="Arial Narrow" w:hAnsi="Arial Narrow" w:cs="Arial"/>
                <w:sz w:val="20"/>
                <w:szCs w:val="20"/>
              </w:rPr>
            </w:pPr>
            <w:r w:rsidRPr="009F4382">
              <w:rPr>
                <w:rFonts w:ascii="Arial Narrow" w:hAnsi="Arial Narrow" w:cs="Arial"/>
                <w:sz w:val="20"/>
                <w:szCs w:val="20"/>
              </w:rPr>
              <w:t>2</w:t>
            </w:r>
          </w:p>
        </w:tc>
        <w:tc>
          <w:tcPr>
            <w:tcW w:w="803" w:type="dxa"/>
          </w:tcPr>
          <w:p w14:paraId="583B63E2" w14:textId="2C6FCBF2" w:rsidR="00812586" w:rsidRPr="009F4382" w:rsidRDefault="00812586" w:rsidP="00812586">
            <w:pPr>
              <w:keepLines/>
              <w:jc w:val="center"/>
              <w:rPr>
                <w:rFonts w:ascii="Arial Narrow" w:hAnsi="Arial Narrow" w:cs="Arial"/>
                <w:sz w:val="20"/>
                <w:szCs w:val="20"/>
              </w:rPr>
            </w:pPr>
            <w:r w:rsidRPr="009F4382">
              <w:rPr>
                <w:rFonts w:ascii="Arial Narrow" w:hAnsi="Arial Narrow" w:cs="Arial"/>
                <w:sz w:val="20"/>
                <w:szCs w:val="20"/>
              </w:rPr>
              <w:t>2</w:t>
            </w:r>
          </w:p>
        </w:tc>
        <w:tc>
          <w:tcPr>
            <w:tcW w:w="804" w:type="dxa"/>
          </w:tcPr>
          <w:p w14:paraId="7973B096" w14:textId="57EFBFFB" w:rsidR="00812586" w:rsidRPr="009F4382" w:rsidRDefault="00812586" w:rsidP="00812586">
            <w:pPr>
              <w:keepLines/>
              <w:jc w:val="center"/>
              <w:rPr>
                <w:rFonts w:ascii="Arial Narrow" w:hAnsi="Arial Narrow" w:cs="Arial"/>
                <w:sz w:val="20"/>
                <w:szCs w:val="20"/>
              </w:rPr>
            </w:pPr>
            <w:r w:rsidRPr="009F4382">
              <w:rPr>
                <w:rFonts w:ascii="Arial Narrow" w:hAnsi="Arial Narrow" w:cs="Arial"/>
                <w:sz w:val="20"/>
                <w:szCs w:val="20"/>
              </w:rPr>
              <w:t>5</w:t>
            </w:r>
          </w:p>
        </w:tc>
        <w:tc>
          <w:tcPr>
            <w:tcW w:w="799" w:type="dxa"/>
            <w:vMerge w:val="restart"/>
            <w:vAlign w:val="center"/>
          </w:tcPr>
          <w:p w14:paraId="664A6260" w14:textId="77777777" w:rsidR="00812586" w:rsidRPr="009F4382" w:rsidRDefault="00812586" w:rsidP="00812586">
            <w:pPr>
              <w:keepLines/>
              <w:rPr>
                <w:rFonts w:ascii="Arial Narrow" w:hAnsi="Arial Narrow" w:cs="Arial"/>
                <w:sz w:val="20"/>
                <w:szCs w:val="20"/>
              </w:rPr>
            </w:pPr>
            <w:r w:rsidRPr="009F4382">
              <w:rPr>
                <w:rFonts w:ascii="Arial Narrow" w:hAnsi="Arial Narrow" w:cs="Arial"/>
                <w:sz w:val="20"/>
                <w:szCs w:val="20"/>
              </w:rPr>
              <w:t>Xolair</w:t>
            </w:r>
          </w:p>
        </w:tc>
      </w:tr>
      <w:tr w:rsidR="00812586" w:rsidRPr="009F4382" w14:paraId="22786AD0" w14:textId="77777777" w:rsidTr="79900132">
        <w:trPr>
          <w:cantSplit/>
          <w:trHeight w:val="20"/>
        </w:trPr>
        <w:tc>
          <w:tcPr>
            <w:tcW w:w="4531" w:type="dxa"/>
            <w:gridSpan w:val="2"/>
            <w:vAlign w:val="center"/>
          </w:tcPr>
          <w:p w14:paraId="5B4DD2C4" w14:textId="77777777" w:rsidR="00812586" w:rsidRPr="009F4382" w:rsidRDefault="00812586" w:rsidP="00812586">
            <w:pPr>
              <w:keepLines/>
              <w:rPr>
                <w:rFonts w:ascii="Arial Narrow" w:hAnsi="Arial Narrow" w:cs="Arial"/>
                <w:sz w:val="20"/>
                <w:szCs w:val="20"/>
              </w:rPr>
            </w:pPr>
            <w:r w:rsidRPr="009F4382">
              <w:rPr>
                <w:rFonts w:ascii="Arial Narrow" w:hAnsi="Arial Narrow" w:cs="Arial"/>
                <w:sz w:val="20"/>
                <w:szCs w:val="20"/>
              </w:rPr>
              <w:t>omalizumab 150 mg/mL injection, 1 mL syringe</w:t>
            </w:r>
          </w:p>
        </w:tc>
        <w:tc>
          <w:tcPr>
            <w:tcW w:w="1276" w:type="dxa"/>
            <w:vAlign w:val="center"/>
          </w:tcPr>
          <w:p w14:paraId="539B9A92" w14:textId="61AB8857" w:rsidR="00812586" w:rsidRPr="009F4382" w:rsidRDefault="00EB6024" w:rsidP="00812586">
            <w:pPr>
              <w:keepLines/>
              <w:jc w:val="center"/>
              <w:rPr>
                <w:rFonts w:ascii="Arial Narrow" w:hAnsi="Arial Narrow" w:cs="Arial"/>
                <w:sz w:val="20"/>
                <w:szCs w:val="20"/>
              </w:rPr>
            </w:pPr>
            <w:r w:rsidRPr="009F4382">
              <w:rPr>
                <w:rFonts w:ascii="Arial Narrow" w:hAnsi="Arial Narrow" w:cs="Arial"/>
                <w:sz w:val="20"/>
                <w:szCs w:val="20"/>
              </w:rPr>
              <w:t>11163M</w:t>
            </w:r>
            <w:r w:rsidR="00812586" w:rsidRPr="009F4382">
              <w:rPr>
                <w:rFonts w:ascii="Arial Narrow" w:hAnsi="Arial Narrow" w:cs="Arial"/>
                <w:sz w:val="20"/>
                <w:szCs w:val="20"/>
              </w:rPr>
              <w:t>/ Private</w:t>
            </w:r>
          </w:p>
        </w:tc>
        <w:tc>
          <w:tcPr>
            <w:tcW w:w="803" w:type="dxa"/>
          </w:tcPr>
          <w:p w14:paraId="1385A610" w14:textId="23A4DB73" w:rsidR="00812586" w:rsidRPr="009F4382" w:rsidRDefault="00812586" w:rsidP="00812586">
            <w:pPr>
              <w:keepLines/>
              <w:jc w:val="center"/>
              <w:rPr>
                <w:rFonts w:ascii="Arial Narrow" w:hAnsi="Arial Narrow" w:cs="Arial"/>
                <w:sz w:val="20"/>
                <w:szCs w:val="20"/>
              </w:rPr>
            </w:pPr>
            <w:r w:rsidRPr="009F4382">
              <w:rPr>
                <w:rFonts w:ascii="Arial Narrow" w:hAnsi="Arial Narrow" w:cs="Arial"/>
                <w:sz w:val="20"/>
                <w:szCs w:val="20"/>
              </w:rPr>
              <w:t>2</w:t>
            </w:r>
          </w:p>
        </w:tc>
        <w:tc>
          <w:tcPr>
            <w:tcW w:w="803" w:type="dxa"/>
          </w:tcPr>
          <w:p w14:paraId="0940712F" w14:textId="06838766" w:rsidR="00812586" w:rsidRPr="009F4382" w:rsidRDefault="00812586" w:rsidP="00812586">
            <w:pPr>
              <w:keepLines/>
              <w:jc w:val="center"/>
              <w:rPr>
                <w:rFonts w:ascii="Arial Narrow" w:hAnsi="Arial Narrow" w:cs="Arial"/>
                <w:sz w:val="20"/>
                <w:szCs w:val="20"/>
              </w:rPr>
            </w:pPr>
            <w:r w:rsidRPr="009F4382">
              <w:rPr>
                <w:rFonts w:ascii="Arial Narrow" w:hAnsi="Arial Narrow" w:cs="Arial"/>
                <w:sz w:val="20"/>
                <w:szCs w:val="20"/>
              </w:rPr>
              <w:t>2</w:t>
            </w:r>
          </w:p>
        </w:tc>
        <w:tc>
          <w:tcPr>
            <w:tcW w:w="804" w:type="dxa"/>
          </w:tcPr>
          <w:p w14:paraId="0842C27D" w14:textId="7EEE0581" w:rsidR="00812586" w:rsidRPr="009F4382" w:rsidRDefault="00812586" w:rsidP="00812586">
            <w:pPr>
              <w:keepLines/>
              <w:jc w:val="center"/>
              <w:rPr>
                <w:rFonts w:ascii="Arial Narrow" w:hAnsi="Arial Narrow" w:cs="Arial"/>
                <w:sz w:val="20"/>
                <w:szCs w:val="20"/>
              </w:rPr>
            </w:pPr>
            <w:r w:rsidRPr="009F4382">
              <w:rPr>
                <w:rFonts w:ascii="Arial Narrow" w:hAnsi="Arial Narrow" w:cs="Arial"/>
                <w:sz w:val="20"/>
                <w:szCs w:val="20"/>
              </w:rPr>
              <w:t>5</w:t>
            </w:r>
          </w:p>
        </w:tc>
        <w:tc>
          <w:tcPr>
            <w:tcW w:w="799" w:type="dxa"/>
            <w:vMerge/>
            <w:vAlign w:val="center"/>
          </w:tcPr>
          <w:p w14:paraId="042BE18C" w14:textId="77777777" w:rsidR="00812586" w:rsidRPr="009F4382" w:rsidRDefault="00812586" w:rsidP="00812586">
            <w:pPr>
              <w:keepLines/>
              <w:rPr>
                <w:rFonts w:ascii="Arial Narrow" w:hAnsi="Arial Narrow" w:cs="Arial"/>
                <w:sz w:val="20"/>
                <w:szCs w:val="20"/>
              </w:rPr>
            </w:pPr>
          </w:p>
        </w:tc>
      </w:tr>
      <w:tr w:rsidR="00380DE5" w:rsidRPr="009F4382" w14:paraId="2BE81712" w14:textId="77777777" w:rsidTr="79900132">
        <w:trPr>
          <w:cantSplit/>
          <w:trHeight w:val="20"/>
        </w:trPr>
        <w:tc>
          <w:tcPr>
            <w:tcW w:w="4531" w:type="dxa"/>
            <w:gridSpan w:val="2"/>
            <w:vAlign w:val="center"/>
          </w:tcPr>
          <w:p w14:paraId="00A674D3" w14:textId="77777777" w:rsidR="00380DE5" w:rsidRPr="009F4382" w:rsidRDefault="00380DE5" w:rsidP="00380DE5">
            <w:pPr>
              <w:keepLines/>
              <w:rPr>
                <w:rFonts w:ascii="Arial Narrow" w:hAnsi="Arial Narrow" w:cs="Arial"/>
                <w:sz w:val="20"/>
                <w:szCs w:val="20"/>
              </w:rPr>
            </w:pPr>
            <w:r w:rsidRPr="009F4382">
              <w:rPr>
                <w:rFonts w:ascii="Arial Narrow" w:hAnsi="Arial Narrow" w:cs="Arial"/>
                <w:sz w:val="20"/>
                <w:szCs w:val="20"/>
              </w:rPr>
              <w:t>omalizumab 150 mg/mL injection, 1 mL pen device</w:t>
            </w:r>
          </w:p>
        </w:tc>
        <w:tc>
          <w:tcPr>
            <w:tcW w:w="1276" w:type="dxa"/>
            <w:vAlign w:val="center"/>
          </w:tcPr>
          <w:p w14:paraId="0CDC6C2B" w14:textId="49818E27"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NEW/ Public</w:t>
            </w:r>
          </w:p>
        </w:tc>
        <w:tc>
          <w:tcPr>
            <w:tcW w:w="803" w:type="dxa"/>
          </w:tcPr>
          <w:p w14:paraId="7F2E52DC" w14:textId="0C562193" w:rsidR="00380DE5" w:rsidRPr="009F4382" w:rsidRDefault="00380DE5" w:rsidP="00380DE5">
            <w:pPr>
              <w:keepLines/>
              <w:jc w:val="center"/>
              <w:rPr>
                <w:rFonts w:ascii="Arial Narrow" w:hAnsi="Arial Narrow" w:cs="Arial"/>
                <w:sz w:val="20"/>
                <w:szCs w:val="20"/>
              </w:rPr>
            </w:pPr>
            <w:r w:rsidRPr="009F4382">
              <w:rPr>
                <w:rFonts w:ascii="Arial Narrow" w:hAnsi="Arial Narrow" w:cs="Arial"/>
                <w:sz w:val="20"/>
                <w:szCs w:val="20"/>
              </w:rPr>
              <w:t>2</w:t>
            </w:r>
          </w:p>
        </w:tc>
        <w:tc>
          <w:tcPr>
            <w:tcW w:w="803" w:type="dxa"/>
          </w:tcPr>
          <w:p w14:paraId="2F2DB1D4" w14:textId="5F52B3AE" w:rsidR="00380DE5" w:rsidRPr="009F4382" w:rsidRDefault="00380DE5" w:rsidP="00380DE5">
            <w:pPr>
              <w:keepLines/>
              <w:jc w:val="center"/>
              <w:rPr>
                <w:rFonts w:ascii="Arial Narrow" w:hAnsi="Arial Narrow" w:cs="Arial"/>
                <w:sz w:val="20"/>
                <w:szCs w:val="20"/>
              </w:rPr>
            </w:pPr>
            <w:r w:rsidRPr="009F4382">
              <w:rPr>
                <w:rFonts w:ascii="Arial Narrow" w:hAnsi="Arial Narrow" w:cs="Arial"/>
                <w:sz w:val="20"/>
                <w:szCs w:val="20"/>
              </w:rPr>
              <w:t>2</w:t>
            </w:r>
          </w:p>
        </w:tc>
        <w:tc>
          <w:tcPr>
            <w:tcW w:w="804" w:type="dxa"/>
          </w:tcPr>
          <w:p w14:paraId="070BE377" w14:textId="02C40BA8" w:rsidR="00380DE5" w:rsidRPr="009F4382" w:rsidRDefault="00380DE5" w:rsidP="00380DE5">
            <w:pPr>
              <w:keepLines/>
              <w:jc w:val="center"/>
              <w:rPr>
                <w:rFonts w:ascii="Arial Narrow" w:hAnsi="Arial Narrow" w:cs="Arial"/>
                <w:sz w:val="20"/>
                <w:szCs w:val="20"/>
              </w:rPr>
            </w:pPr>
            <w:r w:rsidRPr="009F4382">
              <w:rPr>
                <w:rFonts w:ascii="Arial Narrow" w:hAnsi="Arial Narrow" w:cs="Arial"/>
                <w:sz w:val="20"/>
                <w:szCs w:val="20"/>
              </w:rPr>
              <w:t>5</w:t>
            </w:r>
          </w:p>
        </w:tc>
        <w:tc>
          <w:tcPr>
            <w:tcW w:w="799" w:type="dxa"/>
            <w:vMerge/>
            <w:vAlign w:val="center"/>
          </w:tcPr>
          <w:p w14:paraId="6E2210B6" w14:textId="77777777" w:rsidR="00380DE5" w:rsidRPr="009F4382" w:rsidRDefault="00380DE5" w:rsidP="00380DE5">
            <w:pPr>
              <w:keepLines/>
              <w:rPr>
                <w:rFonts w:ascii="Arial Narrow" w:hAnsi="Arial Narrow" w:cs="Arial"/>
                <w:sz w:val="20"/>
                <w:szCs w:val="20"/>
              </w:rPr>
            </w:pPr>
          </w:p>
        </w:tc>
      </w:tr>
      <w:tr w:rsidR="00380DE5" w:rsidRPr="009F4382" w14:paraId="3C12FFC5" w14:textId="77777777" w:rsidTr="79900132">
        <w:trPr>
          <w:cantSplit/>
          <w:trHeight w:val="20"/>
        </w:trPr>
        <w:tc>
          <w:tcPr>
            <w:tcW w:w="4531" w:type="dxa"/>
            <w:gridSpan w:val="2"/>
            <w:vAlign w:val="center"/>
          </w:tcPr>
          <w:p w14:paraId="01C9D83F" w14:textId="77777777" w:rsidR="00380DE5" w:rsidRPr="009F4382" w:rsidRDefault="00380DE5" w:rsidP="00380DE5">
            <w:pPr>
              <w:keepLines/>
              <w:rPr>
                <w:rFonts w:ascii="Arial Narrow" w:hAnsi="Arial Narrow" w:cs="Arial"/>
                <w:sz w:val="20"/>
                <w:szCs w:val="20"/>
              </w:rPr>
            </w:pPr>
            <w:r w:rsidRPr="009F4382">
              <w:rPr>
                <w:rFonts w:ascii="Arial Narrow" w:hAnsi="Arial Narrow" w:cs="Arial"/>
                <w:sz w:val="20"/>
                <w:szCs w:val="20"/>
              </w:rPr>
              <w:t>omalizumab 150 mg/mL injection, 1 mL pen device</w:t>
            </w:r>
          </w:p>
        </w:tc>
        <w:tc>
          <w:tcPr>
            <w:tcW w:w="1276" w:type="dxa"/>
            <w:vAlign w:val="center"/>
          </w:tcPr>
          <w:p w14:paraId="3779A009" w14:textId="51C3BE01"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NEW/ Private</w:t>
            </w:r>
          </w:p>
        </w:tc>
        <w:tc>
          <w:tcPr>
            <w:tcW w:w="803" w:type="dxa"/>
          </w:tcPr>
          <w:p w14:paraId="4FFD471F" w14:textId="35FFDFA8" w:rsidR="00380DE5" w:rsidRPr="009F4382" w:rsidRDefault="00380DE5" w:rsidP="00380DE5">
            <w:pPr>
              <w:keepLines/>
              <w:jc w:val="center"/>
              <w:rPr>
                <w:rFonts w:ascii="Arial Narrow" w:hAnsi="Arial Narrow" w:cs="Arial"/>
                <w:sz w:val="20"/>
                <w:szCs w:val="20"/>
              </w:rPr>
            </w:pPr>
            <w:r w:rsidRPr="009F4382">
              <w:rPr>
                <w:rFonts w:ascii="Arial Narrow" w:hAnsi="Arial Narrow" w:cs="Arial"/>
                <w:sz w:val="20"/>
                <w:szCs w:val="20"/>
              </w:rPr>
              <w:t>2</w:t>
            </w:r>
          </w:p>
        </w:tc>
        <w:tc>
          <w:tcPr>
            <w:tcW w:w="803" w:type="dxa"/>
          </w:tcPr>
          <w:p w14:paraId="429E568A" w14:textId="34340FA5" w:rsidR="00380DE5" w:rsidRPr="009F4382" w:rsidRDefault="00380DE5" w:rsidP="00380DE5">
            <w:pPr>
              <w:keepLines/>
              <w:jc w:val="center"/>
              <w:rPr>
                <w:rFonts w:ascii="Arial Narrow" w:hAnsi="Arial Narrow" w:cs="Arial"/>
                <w:sz w:val="20"/>
                <w:szCs w:val="20"/>
              </w:rPr>
            </w:pPr>
            <w:r w:rsidRPr="009F4382">
              <w:rPr>
                <w:rFonts w:ascii="Arial Narrow" w:hAnsi="Arial Narrow" w:cs="Arial"/>
                <w:sz w:val="20"/>
                <w:szCs w:val="20"/>
              </w:rPr>
              <w:t>2</w:t>
            </w:r>
          </w:p>
        </w:tc>
        <w:tc>
          <w:tcPr>
            <w:tcW w:w="804" w:type="dxa"/>
          </w:tcPr>
          <w:p w14:paraId="4F6AC3A6" w14:textId="4C48EEBA" w:rsidR="00380DE5" w:rsidRPr="009F4382" w:rsidRDefault="00380DE5" w:rsidP="00380DE5">
            <w:pPr>
              <w:keepLines/>
              <w:jc w:val="center"/>
              <w:rPr>
                <w:rFonts w:ascii="Arial Narrow" w:hAnsi="Arial Narrow" w:cs="Arial"/>
                <w:sz w:val="20"/>
                <w:szCs w:val="20"/>
              </w:rPr>
            </w:pPr>
            <w:r w:rsidRPr="009F4382">
              <w:rPr>
                <w:rFonts w:ascii="Arial Narrow" w:hAnsi="Arial Narrow" w:cs="Arial"/>
                <w:sz w:val="20"/>
                <w:szCs w:val="20"/>
              </w:rPr>
              <w:t>5</w:t>
            </w:r>
          </w:p>
        </w:tc>
        <w:tc>
          <w:tcPr>
            <w:tcW w:w="799" w:type="dxa"/>
            <w:vMerge/>
            <w:vAlign w:val="center"/>
          </w:tcPr>
          <w:p w14:paraId="4DE09723" w14:textId="77777777" w:rsidR="00380DE5" w:rsidRPr="009F4382" w:rsidRDefault="00380DE5" w:rsidP="00380DE5">
            <w:pPr>
              <w:keepLines/>
              <w:rPr>
                <w:rFonts w:ascii="Arial Narrow" w:hAnsi="Arial Narrow" w:cs="Arial"/>
                <w:sz w:val="20"/>
                <w:szCs w:val="20"/>
              </w:rPr>
            </w:pPr>
          </w:p>
        </w:tc>
      </w:tr>
      <w:tr w:rsidR="00380DE5" w:rsidRPr="009F4382" w14:paraId="70A21484" w14:textId="77777777" w:rsidTr="79900132">
        <w:trPr>
          <w:cantSplit/>
          <w:trHeight w:val="20"/>
        </w:trPr>
        <w:tc>
          <w:tcPr>
            <w:tcW w:w="4531" w:type="dxa"/>
            <w:gridSpan w:val="2"/>
            <w:vAlign w:val="center"/>
          </w:tcPr>
          <w:p w14:paraId="3FEAEB2E" w14:textId="77777777" w:rsidR="00380DE5" w:rsidRPr="009F4382" w:rsidRDefault="00380DE5" w:rsidP="00380DE5">
            <w:pPr>
              <w:keepLines/>
              <w:rPr>
                <w:rFonts w:ascii="Arial Narrow" w:hAnsi="Arial Narrow" w:cs="Arial"/>
                <w:sz w:val="20"/>
                <w:szCs w:val="20"/>
              </w:rPr>
            </w:pPr>
            <w:r w:rsidRPr="009F4382">
              <w:rPr>
                <w:rFonts w:ascii="Arial Narrow" w:hAnsi="Arial Narrow" w:cs="Arial"/>
                <w:sz w:val="20"/>
                <w:szCs w:val="20"/>
              </w:rPr>
              <w:t>omalizumab 300 mg/2 mL injection, 2 mL syringe</w:t>
            </w:r>
          </w:p>
        </w:tc>
        <w:tc>
          <w:tcPr>
            <w:tcW w:w="1276" w:type="dxa"/>
            <w:vAlign w:val="center"/>
          </w:tcPr>
          <w:p w14:paraId="324D098C" w14:textId="5D5D1D94"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NEW/ Public</w:t>
            </w:r>
          </w:p>
        </w:tc>
        <w:tc>
          <w:tcPr>
            <w:tcW w:w="803" w:type="dxa"/>
          </w:tcPr>
          <w:p w14:paraId="5073FE6C" w14:textId="24FB41D8"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1</w:t>
            </w:r>
          </w:p>
        </w:tc>
        <w:tc>
          <w:tcPr>
            <w:tcW w:w="803" w:type="dxa"/>
          </w:tcPr>
          <w:p w14:paraId="0CF468C7" w14:textId="5619C100"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1</w:t>
            </w:r>
          </w:p>
        </w:tc>
        <w:tc>
          <w:tcPr>
            <w:tcW w:w="804" w:type="dxa"/>
          </w:tcPr>
          <w:p w14:paraId="17645138" w14:textId="350E0C6B"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5</w:t>
            </w:r>
          </w:p>
        </w:tc>
        <w:tc>
          <w:tcPr>
            <w:tcW w:w="799" w:type="dxa"/>
            <w:vMerge/>
            <w:vAlign w:val="center"/>
          </w:tcPr>
          <w:p w14:paraId="7E8C8A49" w14:textId="77777777" w:rsidR="00380DE5" w:rsidRPr="009F4382" w:rsidRDefault="00380DE5" w:rsidP="00380DE5">
            <w:pPr>
              <w:keepLines/>
              <w:rPr>
                <w:rFonts w:ascii="Arial Narrow" w:hAnsi="Arial Narrow" w:cs="Arial"/>
                <w:sz w:val="20"/>
                <w:szCs w:val="20"/>
              </w:rPr>
            </w:pPr>
          </w:p>
        </w:tc>
      </w:tr>
      <w:tr w:rsidR="00380DE5" w:rsidRPr="009F4382" w14:paraId="53BC70B0" w14:textId="77777777" w:rsidTr="79900132">
        <w:trPr>
          <w:cantSplit/>
          <w:trHeight w:val="20"/>
        </w:trPr>
        <w:tc>
          <w:tcPr>
            <w:tcW w:w="4531" w:type="dxa"/>
            <w:gridSpan w:val="2"/>
            <w:vAlign w:val="center"/>
          </w:tcPr>
          <w:p w14:paraId="14FA11DA" w14:textId="77777777" w:rsidR="00380DE5" w:rsidRPr="009F4382" w:rsidRDefault="00380DE5" w:rsidP="00380DE5">
            <w:pPr>
              <w:keepLines/>
              <w:rPr>
                <w:rFonts w:ascii="Arial Narrow" w:hAnsi="Arial Narrow" w:cs="Arial"/>
                <w:sz w:val="20"/>
                <w:szCs w:val="20"/>
              </w:rPr>
            </w:pPr>
            <w:r w:rsidRPr="009F4382">
              <w:rPr>
                <w:rFonts w:ascii="Arial Narrow" w:hAnsi="Arial Narrow" w:cs="Arial"/>
                <w:sz w:val="20"/>
                <w:szCs w:val="20"/>
              </w:rPr>
              <w:t>omalizumab 300 mg/2 mL injection, 2 mL syringe</w:t>
            </w:r>
          </w:p>
        </w:tc>
        <w:tc>
          <w:tcPr>
            <w:tcW w:w="1276" w:type="dxa"/>
            <w:vAlign w:val="center"/>
          </w:tcPr>
          <w:p w14:paraId="588BA273" w14:textId="5844A236"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NEW/ Private</w:t>
            </w:r>
          </w:p>
        </w:tc>
        <w:tc>
          <w:tcPr>
            <w:tcW w:w="803" w:type="dxa"/>
          </w:tcPr>
          <w:p w14:paraId="7FE3EFD6" w14:textId="76FF4287"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1</w:t>
            </w:r>
          </w:p>
        </w:tc>
        <w:tc>
          <w:tcPr>
            <w:tcW w:w="803" w:type="dxa"/>
          </w:tcPr>
          <w:p w14:paraId="6674F1AE" w14:textId="39A83732"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1</w:t>
            </w:r>
          </w:p>
        </w:tc>
        <w:tc>
          <w:tcPr>
            <w:tcW w:w="804" w:type="dxa"/>
          </w:tcPr>
          <w:p w14:paraId="2F6893AD" w14:textId="055A4046"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5</w:t>
            </w:r>
          </w:p>
        </w:tc>
        <w:tc>
          <w:tcPr>
            <w:tcW w:w="799" w:type="dxa"/>
            <w:vMerge/>
            <w:vAlign w:val="center"/>
          </w:tcPr>
          <w:p w14:paraId="59F62A2A" w14:textId="77777777" w:rsidR="00380DE5" w:rsidRPr="009F4382" w:rsidRDefault="00380DE5" w:rsidP="00380DE5">
            <w:pPr>
              <w:keepLines/>
              <w:rPr>
                <w:rFonts w:ascii="Arial Narrow" w:hAnsi="Arial Narrow" w:cs="Arial"/>
                <w:sz w:val="20"/>
                <w:szCs w:val="20"/>
              </w:rPr>
            </w:pPr>
          </w:p>
        </w:tc>
      </w:tr>
      <w:tr w:rsidR="00380DE5" w:rsidRPr="009F4382" w14:paraId="782CA6FB" w14:textId="77777777" w:rsidTr="79900132">
        <w:trPr>
          <w:cantSplit/>
          <w:trHeight w:val="20"/>
        </w:trPr>
        <w:tc>
          <w:tcPr>
            <w:tcW w:w="4531" w:type="dxa"/>
            <w:gridSpan w:val="2"/>
            <w:vAlign w:val="center"/>
          </w:tcPr>
          <w:p w14:paraId="7F3BEB32" w14:textId="77777777" w:rsidR="00380DE5" w:rsidRPr="009F4382" w:rsidRDefault="00380DE5" w:rsidP="00380DE5">
            <w:pPr>
              <w:keepLines/>
              <w:rPr>
                <w:rFonts w:ascii="Arial Narrow" w:hAnsi="Arial Narrow" w:cs="Arial"/>
                <w:sz w:val="20"/>
                <w:szCs w:val="20"/>
              </w:rPr>
            </w:pPr>
            <w:r w:rsidRPr="009F4382">
              <w:rPr>
                <w:rFonts w:ascii="Arial Narrow" w:hAnsi="Arial Narrow" w:cs="Arial"/>
                <w:sz w:val="20"/>
                <w:szCs w:val="20"/>
              </w:rPr>
              <w:t>omalizumab 300 mg/2 mL injection, 2 mL pen device</w:t>
            </w:r>
          </w:p>
        </w:tc>
        <w:tc>
          <w:tcPr>
            <w:tcW w:w="1276" w:type="dxa"/>
            <w:vAlign w:val="center"/>
          </w:tcPr>
          <w:p w14:paraId="38BAE682" w14:textId="5C0FDD96"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NEW/ Public</w:t>
            </w:r>
          </w:p>
        </w:tc>
        <w:tc>
          <w:tcPr>
            <w:tcW w:w="803" w:type="dxa"/>
          </w:tcPr>
          <w:p w14:paraId="7529E11D" w14:textId="72607F5D"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1</w:t>
            </w:r>
          </w:p>
        </w:tc>
        <w:tc>
          <w:tcPr>
            <w:tcW w:w="803" w:type="dxa"/>
          </w:tcPr>
          <w:p w14:paraId="62AE1835" w14:textId="7B030CFD"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1</w:t>
            </w:r>
          </w:p>
        </w:tc>
        <w:tc>
          <w:tcPr>
            <w:tcW w:w="804" w:type="dxa"/>
          </w:tcPr>
          <w:p w14:paraId="4BE3A110" w14:textId="3F165001"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5</w:t>
            </w:r>
          </w:p>
        </w:tc>
        <w:tc>
          <w:tcPr>
            <w:tcW w:w="799" w:type="dxa"/>
            <w:vMerge/>
            <w:vAlign w:val="center"/>
          </w:tcPr>
          <w:p w14:paraId="76A6CDA8" w14:textId="77777777" w:rsidR="00380DE5" w:rsidRPr="009F4382" w:rsidRDefault="00380DE5" w:rsidP="00380DE5">
            <w:pPr>
              <w:keepLines/>
              <w:rPr>
                <w:rFonts w:ascii="Arial Narrow" w:hAnsi="Arial Narrow" w:cs="Arial"/>
                <w:sz w:val="20"/>
                <w:szCs w:val="20"/>
              </w:rPr>
            </w:pPr>
          </w:p>
        </w:tc>
      </w:tr>
      <w:tr w:rsidR="00380DE5" w:rsidRPr="009F4382" w14:paraId="57476274" w14:textId="77777777" w:rsidTr="79900132">
        <w:trPr>
          <w:cantSplit/>
          <w:trHeight w:val="20"/>
        </w:trPr>
        <w:tc>
          <w:tcPr>
            <w:tcW w:w="4531" w:type="dxa"/>
            <w:gridSpan w:val="2"/>
            <w:vAlign w:val="center"/>
          </w:tcPr>
          <w:p w14:paraId="640EDC40" w14:textId="77777777" w:rsidR="00380DE5" w:rsidRPr="009F4382" w:rsidRDefault="00380DE5" w:rsidP="00380DE5">
            <w:pPr>
              <w:keepLines/>
              <w:rPr>
                <w:rFonts w:ascii="Arial Narrow" w:hAnsi="Arial Narrow" w:cs="Arial"/>
                <w:sz w:val="20"/>
                <w:szCs w:val="20"/>
              </w:rPr>
            </w:pPr>
            <w:r w:rsidRPr="009F4382">
              <w:rPr>
                <w:rFonts w:ascii="Arial Narrow" w:hAnsi="Arial Narrow" w:cs="Arial"/>
                <w:sz w:val="20"/>
                <w:szCs w:val="20"/>
              </w:rPr>
              <w:t>omalizumab 300 mg/2 mL injection, 2 mL pen device</w:t>
            </w:r>
          </w:p>
        </w:tc>
        <w:tc>
          <w:tcPr>
            <w:tcW w:w="1276" w:type="dxa"/>
            <w:vAlign w:val="center"/>
          </w:tcPr>
          <w:p w14:paraId="292460D6" w14:textId="67B4B9E0"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NEW/ Private</w:t>
            </w:r>
          </w:p>
        </w:tc>
        <w:tc>
          <w:tcPr>
            <w:tcW w:w="803" w:type="dxa"/>
          </w:tcPr>
          <w:p w14:paraId="73A3C68F" w14:textId="56080736"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1</w:t>
            </w:r>
          </w:p>
        </w:tc>
        <w:tc>
          <w:tcPr>
            <w:tcW w:w="803" w:type="dxa"/>
          </w:tcPr>
          <w:p w14:paraId="6D054D77" w14:textId="0D097C16"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1</w:t>
            </w:r>
          </w:p>
        </w:tc>
        <w:tc>
          <w:tcPr>
            <w:tcW w:w="804" w:type="dxa"/>
          </w:tcPr>
          <w:p w14:paraId="7F79AF42" w14:textId="3FEA06D3" w:rsidR="00380DE5" w:rsidRPr="009F4382" w:rsidRDefault="00380DE5" w:rsidP="00380DE5">
            <w:pPr>
              <w:keepLines/>
              <w:jc w:val="center"/>
              <w:rPr>
                <w:rFonts w:ascii="Arial Narrow" w:hAnsi="Arial Narrow" w:cs="Arial"/>
                <w:iCs/>
                <w:sz w:val="20"/>
                <w:szCs w:val="20"/>
              </w:rPr>
            </w:pPr>
            <w:r w:rsidRPr="009F4382">
              <w:rPr>
                <w:rFonts w:ascii="Arial Narrow" w:hAnsi="Arial Narrow" w:cs="Arial"/>
                <w:iCs/>
                <w:sz w:val="20"/>
                <w:szCs w:val="20"/>
              </w:rPr>
              <w:t>5</w:t>
            </w:r>
          </w:p>
        </w:tc>
        <w:tc>
          <w:tcPr>
            <w:tcW w:w="799" w:type="dxa"/>
            <w:vMerge/>
            <w:vAlign w:val="center"/>
          </w:tcPr>
          <w:p w14:paraId="7A457FDE" w14:textId="77777777" w:rsidR="00380DE5" w:rsidRPr="009F4382" w:rsidRDefault="00380DE5" w:rsidP="00380DE5">
            <w:pPr>
              <w:keepLines/>
              <w:rPr>
                <w:rFonts w:ascii="Arial Narrow" w:hAnsi="Arial Narrow" w:cs="Arial"/>
                <w:sz w:val="20"/>
                <w:szCs w:val="20"/>
              </w:rPr>
            </w:pPr>
          </w:p>
        </w:tc>
      </w:tr>
      <w:tr w:rsidR="00812586" w:rsidRPr="009F4382" w14:paraId="4E6C20C8" w14:textId="77777777" w:rsidTr="79900132">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6898F140" w14:textId="77777777" w:rsidR="00812586" w:rsidRPr="009F4382" w:rsidRDefault="00812586" w:rsidP="00812586">
            <w:pPr>
              <w:rPr>
                <w:rFonts w:ascii="Arial Narrow" w:hAnsi="Arial Narrow" w:cs="Arial"/>
                <w:sz w:val="20"/>
                <w:szCs w:val="20"/>
              </w:rPr>
            </w:pPr>
          </w:p>
        </w:tc>
      </w:tr>
      <w:tr w:rsidR="00812586" w:rsidRPr="009F4382" w14:paraId="1AB88B50" w14:textId="77777777" w:rsidTr="79900132">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25326E27" w14:textId="39DACD8F" w:rsidR="00812586" w:rsidRPr="009F4382" w:rsidRDefault="00812586" w:rsidP="00812586">
            <w:pPr>
              <w:keepLines/>
              <w:rPr>
                <w:rFonts w:ascii="Arial Narrow" w:hAnsi="Arial Narrow" w:cs="Arial"/>
                <w:b/>
                <w:sz w:val="20"/>
                <w:szCs w:val="20"/>
              </w:rPr>
            </w:pPr>
            <w:r w:rsidRPr="009F4382">
              <w:rPr>
                <w:rFonts w:ascii="Arial Narrow" w:hAnsi="Arial Narrow"/>
                <w:b/>
                <w:sz w:val="20"/>
                <w:szCs w:val="20"/>
              </w:rPr>
              <w:t xml:space="preserve">Restriction Summary </w:t>
            </w:r>
            <w:r w:rsidR="00A56C8E" w:rsidRPr="009F4382">
              <w:rPr>
                <w:rFonts w:ascii="Arial Narrow" w:hAnsi="Arial Narrow"/>
                <w:b/>
                <w:sz w:val="20"/>
                <w:szCs w:val="20"/>
              </w:rPr>
              <w:t>10734</w:t>
            </w:r>
            <w:r w:rsidRPr="009F4382">
              <w:rPr>
                <w:rFonts w:ascii="Arial Narrow" w:hAnsi="Arial Narrow"/>
                <w:b/>
                <w:sz w:val="20"/>
                <w:szCs w:val="20"/>
              </w:rPr>
              <w:t>/ Treatment of Concept:</w:t>
            </w:r>
            <w:r w:rsidR="00A56C8E" w:rsidRPr="009F4382">
              <w:rPr>
                <w:rFonts w:ascii="Arial Narrow" w:hAnsi="Arial Narrow"/>
                <w:b/>
                <w:sz w:val="20"/>
                <w:szCs w:val="20"/>
              </w:rPr>
              <w:t>7046</w:t>
            </w:r>
          </w:p>
        </w:tc>
      </w:tr>
      <w:tr w:rsidR="00812586" w:rsidRPr="009F4382" w14:paraId="418415FB" w14:textId="77777777" w:rsidTr="79900132">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34C537EE" w14:textId="77777777" w:rsidR="00812586" w:rsidRPr="009F4382" w:rsidRDefault="00812586" w:rsidP="00812586">
            <w:pPr>
              <w:jc w:val="center"/>
              <w:rPr>
                <w:rFonts w:ascii="Arial Narrow" w:hAnsi="Arial Narrow" w:cs="Arial"/>
                <w:b/>
                <w:sz w:val="20"/>
                <w:szCs w:val="20"/>
              </w:rPr>
            </w:pPr>
            <w:r w:rsidRPr="009F4382">
              <w:rPr>
                <w:rFonts w:ascii="Arial Narrow" w:hAnsi="Arial Narrow" w:cs="Arial"/>
                <w:b/>
                <w:sz w:val="20"/>
                <w:szCs w:val="20"/>
              </w:rPr>
              <w:t xml:space="preserve">Concept ID </w:t>
            </w:r>
            <w:r w:rsidRPr="009F4382">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CFF8453" w14:textId="77777777" w:rsidR="00812586" w:rsidRPr="009F4382" w:rsidRDefault="00812586" w:rsidP="00812586">
            <w:pPr>
              <w:keepLines/>
              <w:rPr>
                <w:rFonts w:ascii="Arial Narrow" w:hAnsi="Arial Narrow" w:cs="Arial"/>
                <w:sz w:val="20"/>
                <w:szCs w:val="20"/>
              </w:rPr>
            </w:pPr>
            <w:r w:rsidRPr="009F4382">
              <w:rPr>
                <w:rFonts w:ascii="Arial Narrow" w:hAnsi="Arial Narrow" w:cs="Arial"/>
                <w:b/>
                <w:sz w:val="20"/>
                <w:szCs w:val="20"/>
              </w:rPr>
              <w:t>Category / Program:</w:t>
            </w:r>
            <w:r w:rsidRPr="009F4382">
              <w:rPr>
                <w:rFonts w:ascii="Arial Narrow" w:hAnsi="Arial Narrow" w:cs="Arial"/>
                <w:sz w:val="20"/>
                <w:szCs w:val="20"/>
              </w:rPr>
              <w:t xml:space="preserve"> </w:t>
            </w:r>
            <w:r w:rsidRPr="009F4382">
              <w:rPr>
                <w:rFonts w:ascii="Arial Narrow" w:eastAsia="Calibri" w:hAnsi="Arial Narrow" w:cs="Arial"/>
                <w:sz w:val="20"/>
                <w:szCs w:val="20"/>
              </w:rPr>
              <w:t>Section 100 – Highly Specialised Drugs Program – Public (Code HB)</w:t>
            </w:r>
            <w:r w:rsidRPr="009F4382">
              <w:rPr>
                <w:rFonts w:ascii="Arial Narrow" w:eastAsia="Calibri" w:hAnsi="Arial Narrow" w:cs="Arial"/>
                <w:color w:val="FF0000"/>
                <w:sz w:val="20"/>
                <w:szCs w:val="20"/>
              </w:rPr>
              <w:t xml:space="preserve"> </w:t>
            </w:r>
            <w:r w:rsidRPr="009F4382">
              <w:rPr>
                <w:rFonts w:ascii="Arial Narrow" w:eastAsia="Calibri" w:hAnsi="Arial Narrow" w:cs="Arial"/>
                <w:sz w:val="20"/>
                <w:szCs w:val="20"/>
              </w:rPr>
              <w:t>/ Private (Code HS)</w:t>
            </w:r>
          </w:p>
        </w:tc>
      </w:tr>
      <w:tr w:rsidR="00812586" w:rsidRPr="009F4382" w14:paraId="0D5B954A" w14:textId="77777777" w:rsidTr="79900132">
        <w:tblPrEx>
          <w:tblCellMar>
            <w:top w:w="15" w:type="dxa"/>
            <w:bottom w:w="15" w:type="dxa"/>
          </w:tblCellMar>
          <w:tblLook w:val="04A0" w:firstRow="1" w:lastRow="0" w:firstColumn="1" w:lastColumn="0" w:noHBand="0" w:noVBand="1"/>
        </w:tblPrEx>
        <w:trPr>
          <w:trHeight w:val="20"/>
        </w:trPr>
        <w:tc>
          <w:tcPr>
            <w:tcW w:w="1271" w:type="dxa"/>
            <w:vMerge/>
          </w:tcPr>
          <w:p w14:paraId="034C1002" w14:textId="77777777" w:rsidR="00812586" w:rsidRPr="009F4382" w:rsidRDefault="00812586" w:rsidP="00812586">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80EDDB1" w14:textId="77777777" w:rsidR="00812586" w:rsidRPr="009F4382" w:rsidRDefault="00812586" w:rsidP="00812586">
            <w:pPr>
              <w:keepLines/>
              <w:rPr>
                <w:rFonts w:ascii="Arial Narrow" w:hAnsi="Arial Narrow" w:cs="Arial"/>
                <w:b/>
                <w:sz w:val="20"/>
                <w:szCs w:val="20"/>
              </w:rPr>
            </w:pPr>
            <w:r w:rsidRPr="009F4382">
              <w:rPr>
                <w:rFonts w:ascii="Arial Narrow" w:hAnsi="Arial Narrow" w:cs="Arial"/>
                <w:b/>
                <w:sz w:val="20"/>
                <w:szCs w:val="20"/>
              </w:rPr>
              <w:t xml:space="preserve">Prescriber type: </w:t>
            </w:r>
            <w:r w:rsidRPr="009F4382">
              <w:rPr>
                <w:rFonts w:ascii="Arial Narrow" w:hAnsi="Arial Narrow" w:cs="Arial"/>
                <w:sz w:val="20"/>
                <w:szCs w:val="20"/>
              </w:rPr>
              <w:fldChar w:fldCharType="begin" w:fldLock="1">
                <w:ffData>
                  <w:name w:val=""/>
                  <w:enabled/>
                  <w:calcOnExit w:val="0"/>
                  <w:checkBox>
                    <w:sizeAuto/>
                    <w:default w:val="1"/>
                  </w:checkBox>
                </w:ffData>
              </w:fldChar>
            </w:r>
            <w:r w:rsidRPr="009F4382">
              <w:rPr>
                <w:rFonts w:ascii="Arial Narrow" w:hAnsi="Arial Narrow" w:cs="Arial"/>
                <w:sz w:val="20"/>
                <w:szCs w:val="20"/>
              </w:rPr>
              <w:instrText xml:space="preserve"> FORMCHECKBOX </w:instrText>
            </w:r>
            <w:r w:rsidRPr="009F4382">
              <w:rPr>
                <w:rFonts w:ascii="Arial Narrow" w:hAnsi="Arial Narrow" w:cs="Arial"/>
                <w:sz w:val="20"/>
                <w:szCs w:val="20"/>
              </w:rPr>
            </w:r>
            <w:r w:rsidRPr="009F4382">
              <w:rPr>
                <w:rFonts w:ascii="Arial Narrow" w:hAnsi="Arial Narrow" w:cs="Arial"/>
                <w:sz w:val="20"/>
                <w:szCs w:val="20"/>
              </w:rPr>
              <w:fldChar w:fldCharType="separate"/>
            </w:r>
            <w:r w:rsidRPr="009F4382">
              <w:rPr>
                <w:rFonts w:ascii="Arial Narrow" w:hAnsi="Arial Narrow" w:cs="Arial"/>
                <w:sz w:val="20"/>
                <w:szCs w:val="20"/>
              </w:rPr>
              <w:fldChar w:fldCharType="end"/>
            </w:r>
            <w:r w:rsidRPr="009F4382">
              <w:rPr>
                <w:rFonts w:ascii="Arial Narrow" w:hAnsi="Arial Narrow" w:cs="Arial"/>
                <w:sz w:val="20"/>
                <w:szCs w:val="20"/>
              </w:rPr>
              <w:t xml:space="preserve">Medical Practitioners </w:t>
            </w:r>
          </w:p>
        </w:tc>
      </w:tr>
      <w:tr w:rsidR="00812586" w:rsidRPr="009F4382" w14:paraId="2239A002" w14:textId="77777777" w:rsidTr="79900132">
        <w:tblPrEx>
          <w:tblCellMar>
            <w:top w:w="15" w:type="dxa"/>
            <w:bottom w:w="15" w:type="dxa"/>
          </w:tblCellMar>
          <w:tblLook w:val="04A0" w:firstRow="1" w:lastRow="0" w:firstColumn="1" w:lastColumn="0" w:noHBand="0" w:noVBand="1"/>
        </w:tblPrEx>
        <w:trPr>
          <w:trHeight w:val="20"/>
        </w:trPr>
        <w:tc>
          <w:tcPr>
            <w:tcW w:w="1271" w:type="dxa"/>
            <w:vMerge/>
          </w:tcPr>
          <w:p w14:paraId="0D7AF507" w14:textId="77777777" w:rsidR="00812586" w:rsidRPr="009F4382" w:rsidRDefault="00812586" w:rsidP="00812586">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116C969" w14:textId="749DDF22" w:rsidR="00812586" w:rsidRPr="009F4382" w:rsidRDefault="00812586" w:rsidP="00812586">
            <w:pPr>
              <w:keepLines/>
              <w:rPr>
                <w:rFonts w:ascii="Arial Narrow" w:eastAsia="Calibri" w:hAnsi="Arial Narrow" w:cs="Arial"/>
                <w:color w:val="FF0000"/>
                <w:sz w:val="20"/>
                <w:szCs w:val="20"/>
              </w:rPr>
            </w:pPr>
            <w:r w:rsidRPr="009F4382">
              <w:rPr>
                <w:rFonts w:ascii="Arial Narrow" w:hAnsi="Arial Narrow" w:cs="Arial"/>
                <w:b/>
                <w:sz w:val="20"/>
                <w:szCs w:val="20"/>
              </w:rPr>
              <w:t xml:space="preserve">Restriction type: </w:t>
            </w:r>
            <w:r w:rsidRPr="009F4382">
              <w:rPr>
                <w:rFonts w:ascii="Arial Narrow" w:eastAsia="Calibri" w:hAnsi="Arial Narrow" w:cs="Arial"/>
                <w:sz w:val="20"/>
                <w:szCs w:val="20"/>
              </w:rPr>
              <w:fldChar w:fldCharType="begin" w:fldLock="1">
                <w:ffData>
                  <w:name w:val=""/>
                  <w:enabled/>
                  <w:calcOnExit w:val="0"/>
                  <w:checkBox>
                    <w:sizeAuto/>
                    <w:default w:val="1"/>
                  </w:checkBox>
                </w:ffData>
              </w:fldChar>
            </w:r>
            <w:r w:rsidRPr="009F4382">
              <w:rPr>
                <w:rFonts w:ascii="Arial Narrow" w:eastAsia="Calibri" w:hAnsi="Arial Narrow" w:cs="Arial"/>
                <w:sz w:val="20"/>
                <w:szCs w:val="20"/>
              </w:rPr>
              <w:instrText xml:space="preserve"> FORMCHECKBOX </w:instrText>
            </w:r>
            <w:r w:rsidRPr="009F4382">
              <w:rPr>
                <w:rFonts w:ascii="Arial Narrow" w:eastAsia="Calibri" w:hAnsi="Arial Narrow" w:cs="Arial"/>
                <w:sz w:val="20"/>
                <w:szCs w:val="20"/>
              </w:rPr>
            </w:r>
            <w:r w:rsidRPr="009F4382">
              <w:rPr>
                <w:rFonts w:ascii="Arial Narrow" w:eastAsia="Calibri" w:hAnsi="Arial Narrow" w:cs="Arial"/>
                <w:sz w:val="20"/>
                <w:szCs w:val="20"/>
              </w:rPr>
              <w:fldChar w:fldCharType="separate"/>
            </w:r>
            <w:r w:rsidRPr="009F4382">
              <w:rPr>
                <w:rFonts w:ascii="Arial Narrow" w:eastAsia="Calibri" w:hAnsi="Arial Narrow" w:cs="Arial"/>
                <w:sz w:val="20"/>
                <w:szCs w:val="20"/>
              </w:rPr>
              <w:fldChar w:fldCharType="end"/>
            </w:r>
            <w:r w:rsidRPr="009F4382">
              <w:rPr>
                <w:rFonts w:ascii="Arial Narrow" w:eastAsia="Calibri" w:hAnsi="Arial Narrow" w:cs="Arial"/>
                <w:sz w:val="20"/>
                <w:szCs w:val="20"/>
              </w:rPr>
              <w:t xml:space="preserve">Authority Required </w:t>
            </w:r>
            <w:r w:rsidR="00385E3E" w:rsidRPr="009F4382">
              <w:rPr>
                <w:rFonts w:ascii="Arial Narrow" w:eastAsia="Calibri" w:hAnsi="Arial Narrow" w:cs="Arial"/>
                <w:sz w:val="20"/>
                <w:szCs w:val="20"/>
              </w:rPr>
              <w:t>(telephone/online PBS Authorities system)</w:t>
            </w:r>
          </w:p>
        </w:tc>
      </w:tr>
      <w:tr w:rsidR="00812586" w:rsidRPr="009F4382" w14:paraId="6D0F201B"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17BC1E8F" w14:textId="2F612CAA" w:rsidR="00812586" w:rsidRPr="009F4382" w:rsidRDefault="009938E8" w:rsidP="00812586">
            <w:pPr>
              <w:keepLines/>
              <w:jc w:val="center"/>
              <w:rPr>
                <w:rFonts w:ascii="Arial Narrow" w:hAnsi="Arial Narrow"/>
                <w:sz w:val="20"/>
                <w:szCs w:val="20"/>
              </w:rPr>
            </w:pPr>
            <w:r w:rsidRPr="009F4382">
              <w:rPr>
                <w:rFonts w:ascii="Arial Narrow" w:hAnsi="Arial Narrow"/>
                <w:sz w:val="20"/>
                <w:szCs w:val="20"/>
              </w:rPr>
              <w:t>17467</w:t>
            </w:r>
          </w:p>
        </w:tc>
        <w:tc>
          <w:tcPr>
            <w:tcW w:w="7745" w:type="dxa"/>
            <w:gridSpan w:val="6"/>
            <w:vAlign w:val="center"/>
            <w:hideMark/>
          </w:tcPr>
          <w:p w14:paraId="26ECFF69" w14:textId="3FEE4690" w:rsidR="00812586" w:rsidRPr="009F4382" w:rsidRDefault="00812586" w:rsidP="00812586">
            <w:pPr>
              <w:keepLines/>
              <w:rPr>
                <w:rFonts w:ascii="Arial Narrow" w:hAnsi="Arial Narrow"/>
                <w:color w:val="333333"/>
                <w:sz w:val="20"/>
                <w:szCs w:val="20"/>
              </w:rPr>
            </w:pPr>
            <w:r w:rsidRPr="009F4382">
              <w:rPr>
                <w:rFonts w:ascii="Arial Narrow" w:hAnsi="Arial Narrow"/>
                <w:b/>
                <w:bCs/>
                <w:sz w:val="20"/>
                <w:szCs w:val="20"/>
              </w:rPr>
              <w:t>Indication:</w:t>
            </w:r>
            <w:r w:rsidRPr="009F4382">
              <w:rPr>
                <w:rFonts w:ascii="Arial Narrow" w:hAnsi="Arial Narrow"/>
                <w:sz w:val="20"/>
                <w:szCs w:val="20"/>
              </w:rPr>
              <w:t xml:space="preserve"> </w:t>
            </w:r>
            <w:r w:rsidR="006A3085" w:rsidRPr="009F4382">
              <w:rPr>
                <w:rFonts w:ascii="Arial Narrow" w:hAnsi="Arial Narrow"/>
                <w:sz w:val="20"/>
                <w:szCs w:val="20"/>
              </w:rPr>
              <w:t>Severe chronic spontaneous urticaria</w:t>
            </w:r>
          </w:p>
        </w:tc>
      </w:tr>
      <w:tr w:rsidR="00812586" w:rsidRPr="009F4382" w14:paraId="5CBFF505"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784F9827" w14:textId="77777777" w:rsidR="00812586" w:rsidRPr="009F4382" w:rsidRDefault="00812586" w:rsidP="00812586">
            <w:pPr>
              <w:jc w:val="center"/>
              <w:rPr>
                <w:rFonts w:ascii="Arial Narrow" w:hAnsi="Arial Narrow"/>
                <w:sz w:val="20"/>
                <w:szCs w:val="20"/>
              </w:rPr>
            </w:pPr>
          </w:p>
        </w:tc>
        <w:tc>
          <w:tcPr>
            <w:tcW w:w="7745" w:type="dxa"/>
            <w:gridSpan w:val="6"/>
            <w:vAlign w:val="center"/>
            <w:hideMark/>
          </w:tcPr>
          <w:p w14:paraId="208D032F" w14:textId="2AEC4768" w:rsidR="00812586" w:rsidRPr="009F4382" w:rsidRDefault="00812586" w:rsidP="00812586">
            <w:pPr>
              <w:rPr>
                <w:rFonts w:ascii="Arial Narrow" w:hAnsi="Arial Narrow"/>
                <w:sz w:val="20"/>
                <w:szCs w:val="20"/>
              </w:rPr>
            </w:pPr>
            <w:r w:rsidRPr="009F4382">
              <w:rPr>
                <w:rFonts w:ascii="Arial Narrow" w:hAnsi="Arial Narrow"/>
                <w:b/>
                <w:bCs/>
                <w:sz w:val="20"/>
                <w:szCs w:val="20"/>
              </w:rPr>
              <w:t>Treatment Phase:</w:t>
            </w:r>
            <w:r w:rsidRPr="009F4382">
              <w:rPr>
                <w:rFonts w:ascii="Arial Narrow" w:hAnsi="Arial Narrow"/>
                <w:sz w:val="20"/>
                <w:szCs w:val="20"/>
              </w:rPr>
              <w:t xml:space="preserve"> </w:t>
            </w:r>
            <w:r w:rsidR="006A3085" w:rsidRPr="009F4382">
              <w:rPr>
                <w:rFonts w:ascii="Arial Narrow" w:hAnsi="Arial Narrow"/>
                <w:sz w:val="20"/>
                <w:szCs w:val="20"/>
              </w:rPr>
              <w:t>Continuing treatment</w:t>
            </w:r>
          </w:p>
        </w:tc>
      </w:tr>
      <w:tr w:rsidR="002526C8" w:rsidRPr="009F4382" w14:paraId="25804B7A"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tcPr>
          <w:p w14:paraId="5023AA63" w14:textId="2AF78EC1" w:rsidR="002526C8" w:rsidRPr="009F4382" w:rsidRDefault="002526C8" w:rsidP="002526C8">
            <w:pPr>
              <w:jc w:val="center"/>
              <w:rPr>
                <w:rFonts w:ascii="Arial Narrow" w:hAnsi="Arial Narrow"/>
                <w:sz w:val="20"/>
                <w:szCs w:val="20"/>
              </w:rPr>
            </w:pPr>
            <w:r w:rsidRPr="009F4382">
              <w:rPr>
                <w:rFonts w:ascii="Arial Narrow" w:hAnsi="Arial Narrow"/>
                <w:iCs/>
                <w:sz w:val="20"/>
                <w:szCs w:val="20"/>
              </w:rPr>
              <w:t>Administrative Advice [New]</w:t>
            </w:r>
            <w:r w:rsidRPr="009F4382">
              <w:rPr>
                <w:rFonts w:ascii="Arial Narrow" w:hAnsi="Arial Narrow"/>
                <w:iCs/>
                <w:sz w:val="20"/>
                <w:szCs w:val="20"/>
                <w:vertAlign w:val="superscript"/>
              </w:rPr>
              <w:t>2</w:t>
            </w:r>
          </w:p>
        </w:tc>
        <w:tc>
          <w:tcPr>
            <w:tcW w:w="7745" w:type="dxa"/>
            <w:gridSpan w:val="6"/>
            <w:vAlign w:val="center"/>
          </w:tcPr>
          <w:p w14:paraId="762C41B9" w14:textId="77777777" w:rsidR="002526C8" w:rsidRPr="00385AA4" w:rsidRDefault="002526C8" w:rsidP="002526C8">
            <w:pPr>
              <w:textAlignment w:val="baseline"/>
              <w:rPr>
                <w:rFonts w:ascii="Arial Narrow" w:eastAsia="Calibri" w:hAnsi="Arial Narrow"/>
                <w:b/>
                <w:iCs/>
                <w:color w:val="333333"/>
                <w:sz w:val="20"/>
                <w:szCs w:val="20"/>
              </w:rPr>
            </w:pPr>
            <w:r w:rsidRPr="00385AA4">
              <w:rPr>
                <w:rFonts w:ascii="Arial Narrow" w:eastAsia="Calibri" w:hAnsi="Arial Narrow"/>
                <w:b/>
                <w:iCs/>
                <w:color w:val="333333"/>
                <w:sz w:val="20"/>
                <w:szCs w:val="20"/>
              </w:rPr>
              <w:t xml:space="preserve">Administrative Advice: </w:t>
            </w:r>
          </w:p>
          <w:p w14:paraId="034C69B7" w14:textId="1AE25E94" w:rsidR="002526C8" w:rsidRPr="009F4382" w:rsidRDefault="002526C8" w:rsidP="002526C8">
            <w:pPr>
              <w:rPr>
                <w:rFonts w:ascii="Arial Narrow" w:hAnsi="Arial Narrow"/>
                <w:b/>
                <w:bCs/>
                <w:sz w:val="20"/>
                <w:szCs w:val="20"/>
              </w:rPr>
            </w:pPr>
            <w:r w:rsidRPr="009F4382">
              <w:rPr>
                <w:rFonts w:ascii="Arial Narrow" w:hAnsi="Arial Narrow"/>
                <w:iCs/>
                <w:sz w:val="20"/>
                <w:szCs w:val="20"/>
              </w:rPr>
              <w:t xml:space="preserve">Pharmaceutical benefits that have the form omalizumab </w:t>
            </w:r>
            <w:r w:rsidRPr="009F4382">
              <w:rPr>
                <w:rFonts w:ascii="Arial Narrow" w:hAnsi="Arial Narrow" w:cs="Arial"/>
                <w:iCs/>
                <w:sz w:val="20"/>
                <w:szCs w:val="20"/>
              </w:rPr>
              <w:t xml:space="preserve">150 mg/mL </w:t>
            </w:r>
            <w:r w:rsidRPr="009F4382">
              <w:rPr>
                <w:rFonts w:ascii="Arial Narrow" w:hAnsi="Arial Narrow"/>
                <w:iCs/>
                <w:sz w:val="20"/>
                <w:szCs w:val="20"/>
              </w:rPr>
              <w:t xml:space="preserve">syringes and pharmaceutical benefits that have the form omalizumab </w:t>
            </w:r>
            <w:r w:rsidRPr="009F4382">
              <w:rPr>
                <w:rFonts w:ascii="Arial Narrow" w:hAnsi="Arial Narrow" w:cs="Arial"/>
                <w:iCs/>
                <w:sz w:val="20"/>
                <w:szCs w:val="20"/>
              </w:rPr>
              <w:t xml:space="preserve">150 mg/mL </w:t>
            </w:r>
            <w:r w:rsidRPr="009F4382">
              <w:rPr>
                <w:rFonts w:ascii="Arial Narrow" w:hAnsi="Arial Narrow"/>
                <w:iCs/>
                <w:sz w:val="20"/>
                <w:szCs w:val="20"/>
              </w:rPr>
              <w:t>pen devices are equivalent for the purposes of substitution.</w:t>
            </w:r>
          </w:p>
        </w:tc>
      </w:tr>
      <w:tr w:rsidR="002526C8" w:rsidRPr="009F4382" w14:paraId="6A8AA2EE" w14:textId="77777777" w:rsidTr="79900132">
        <w:tblPrEx>
          <w:tblCellMar>
            <w:top w:w="15" w:type="dxa"/>
            <w:bottom w:w="15" w:type="dxa"/>
          </w:tblCellMar>
          <w:tblLook w:val="04A0" w:firstRow="1" w:lastRow="0" w:firstColumn="1" w:lastColumn="0" w:noHBand="0" w:noVBand="1"/>
        </w:tblPrEx>
        <w:trPr>
          <w:cantSplit/>
          <w:trHeight w:val="20"/>
        </w:trPr>
        <w:tc>
          <w:tcPr>
            <w:tcW w:w="1271" w:type="dxa"/>
            <w:vAlign w:val="center"/>
          </w:tcPr>
          <w:p w14:paraId="3BDEB653" w14:textId="79531DB7" w:rsidR="002526C8" w:rsidRPr="009F4382" w:rsidRDefault="002526C8" w:rsidP="002526C8">
            <w:pPr>
              <w:jc w:val="center"/>
              <w:rPr>
                <w:rFonts w:ascii="Arial Narrow" w:hAnsi="Arial Narrow"/>
                <w:sz w:val="20"/>
                <w:szCs w:val="20"/>
              </w:rPr>
            </w:pPr>
            <w:r w:rsidRPr="009F4382">
              <w:rPr>
                <w:rFonts w:ascii="Arial Narrow" w:hAnsi="Arial Narrow"/>
                <w:iCs/>
                <w:sz w:val="20"/>
                <w:szCs w:val="20"/>
              </w:rPr>
              <w:t>Administrative Advice [New]</w:t>
            </w:r>
            <w:r w:rsidRPr="009F4382">
              <w:rPr>
                <w:rFonts w:ascii="Arial Narrow" w:hAnsi="Arial Narrow"/>
                <w:iCs/>
                <w:sz w:val="20"/>
                <w:szCs w:val="20"/>
                <w:vertAlign w:val="superscript"/>
              </w:rPr>
              <w:t>3</w:t>
            </w:r>
          </w:p>
        </w:tc>
        <w:tc>
          <w:tcPr>
            <w:tcW w:w="7745" w:type="dxa"/>
            <w:gridSpan w:val="6"/>
            <w:vAlign w:val="center"/>
          </w:tcPr>
          <w:p w14:paraId="04A80067" w14:textId="77777777" w:rsidR="002526C8" w:rsidRPr="00385AA4" w:rsidRDefault="002526C8" w:rsidP="002526C8">
            <w:pPr>
              <w:textAlignment w:val="baseline"/>
              <w:rPr>
                <w:rFonts w:ascii="Arial Narrow" w:eastAsia="Calibri" w:hAnsi="Arial Narrow"/>
                <w:b/>
                <w:iCs/>
                <w:color w:val="333333"/>
                <w:sz w:val="20"/>
                <w:szCs w:val="20"/>
              </w:rPr>
            </w:pPr>
            <w:r w:rsidRPr="00385AA4">
              <w:rPr>
                <w:rFonts w:ascii="Arial Narrow" w:eastAsia="Calibri" w:hAnsi="Arial Narrow"/>
                <w:b/>
                <w:iCs/>
                <w:color w:val="333333"/>
                <w:sz w:val="20"/>
                <w:szCs w:val="20"/>
              </w:rPr>
              <w:t xml:space="preserve">Administrative Advice: </w:t>
            </w:r>
          </w:p>
          <w:p w14:paraId="6A055B40" w14:textId="3C2419E7" w:rsidR="002526C8" w:rsidRPr="009F4382" w:rsidRDefault="002526C8" w:rsidP="002526C8">
            <w:pPr>
              <w:rPr>
                <w:rFonts w:ascii="Arial Narrow" w:hAnsi="Arial Narrow"/>
                <w:b/>
                <w:bCs/>
                <w:sz w:val="20"/>
                <w:szCs w:val="20"/>
              </w:rPr>
            </w:pPr>
            <w:r w:rsidRPr="009F4382">
              <w:rPr>
                <w:rFonts w:ascii="Arial Narrow" w:hAnsi="Arial Narrow"/>
                <w:iCs/>
                <w:sz w:val="20"/>
                <w:szCs w:val="20"/>
              </w:rPr>
              <w:t xml:space="preserve">Pharmaceutical benefits that have the form omalizumab </w:t>
            </w:r>
            <w:r w:rsidRPr="009F4382">
              <w:rPr>
                <w:rFonts w:ascii="Arial Narrow" w:hAnsi="Arial Narrow" w:cs="Arial"/>
                <w:iCs/>
                <w:sz w:val="20"/>
                <w:szCs w:val="20"/>
              </w:rPr>
              <w:t xml:space="preserve">300 mg/2 mL </w:t>
            </w:r>
            <w:r w:rsidRPr="009F4382">
              <w:rPr>
                <w:rFonts w:ascii="Arial Narrow" w:hAnsi="Arial Narrow"/>
                <w:iCs/>
                <w:sz w:val="20"/>
                <w:szCs w:val="20"/>
              </w:rPr>
              <w:t xml:space="preserve">syringes and pharmaceutical benefits that have the form omalizumab </w:t>
            </w:r>
            <w:r w:rsidRPr="009F4382">
              <w:rPr>
                <w:rFonts w:ascii="Arial Narrow" w:hAnsi="Arial Narrow" w:cs="Arial"/>
                <w:iCs/>
                <w:sz w:val="20"/>
                <w:szCs w:val="20"/>
              </w:rPr>
              <w:t xml:space="preserve">300 mg/2 mL </w:t>
            </w:r>
            <w:r w:rsidRPr="009F4382">
              <w:rPr>
                <w:rFonts w:ascii="Arial Narrow" w:hAnsi="Arial Narrow"/>
                <w:iCs/>
                <w:sz w:val="20"/>
                <w:szCs w:val="20"/>
              </w:rPr>
              <w:t>pen devices are equivalent for the purposes of substitution.</w:t>
            </w:r>
          </w:p>
        </w:tc>
      </w:tr>
    </w:tbl>
    <w:p w14:paraId="5ED67868" w14:textId="714B0A79" w:rsidR="00943356" w:rsidRPr="00943356" w:rsidRDefault="2DD5FEDB" w:rsidP="00505F19">
      <w:pPr>
        <w:pStyle w:val="3-BodyText"/>
      </w:pPr>
      <w:r w:rsidRPr="79900132">
        <w:lastRenderedPageBreak/>
        <w:t>The submission noted that the new 75</w:t>
      </w:r>
      <w:r w:rsidR="100CC48B" w:rsidRPr="79900132">
        <w:t> </w:t>
      </w:r>
      <w:r w:rsidRPr="79900132">
        <w:t>mg/0.5</w:t>
      </w:r>
      <w:r w:rsidR="100CC48B" w:rsidRPr="79900132">
        <w:t> </w:t>
      </w:r>
      <w:r w:rsidRPr="79900132">
        <w:t>mL and 150</w:t>
      </w:r>
      <w:r w:rsidR="100CC48B" w:rsidRPr="79900132">
        <w:t> </w:t>
      </w:r>
      <w:r w:rsidRPr="79900132">
        <w:t xml:space="preserve">mg/mL PFS forms with BD </w:t>
      </w:r>
      <w:proofErr w:type="spellStart"/>
      <w:r w:rsidRPr="79900132">
        <w:t>UltraSafe</w:t>
      </w:r>
      <w:proofErr w:type="spellEnd"/>
      <w:r w:rsidRPr="79900132">
        <w:t xml:space="preserve"> Plus™ safety device retained the same ARTG numbers as the existing 75</w:t>
      </w:r>
      <w:r w:rsidR="62F6FA91" w:rsidRPr="79900132">
        <w:t> </w:t>
      </w:r>
      <w:r w:rsidRPr="79900132">
        <w:t>mg/0.5</w:t>
      </w:r>
      <w:r w:rsidR="37292421" w:rsidRPr="79900132">
        <w:t> </w:t>
      </w:r>
      <w:r w:rsidRPr="79900132">
        <w:t>mL and 150</w:t>
      </w:r>
      <w:r w:rsidR="37292421" w:rsidRPr="79900132">
        <w:t> </w:t>
      </w:r>
      <w:r w:rsidRPr="79900132">
        <w:t xml:space="preserve">mg/mL PFS forms with BD </w:t>
      </w:r>
      <w:proofErr w:type="spellStart"/>
      <w:r w:rsidRPr="79900132">
        <w:t>UltraSafe</w:t>
      </w:r>
      <w:proofErr w:type="spellEnd"/>
      <w:r w:rsidRPr="79900132">
        <w:t xml:space="preserve"> Passive™.</w:t>
      </w:r>
      <w:r w:rsidR="37292421" w:rsidRPr="79900132">
        <w:t xml:space="preserve"> As such</w:t>
      </w:r>
      <w:r w:rsidRPr="79900132">
        <w:t xml:space="preserve">, the submission proposed that new PBS item codes </w:t>
      </w:r>
      <w:r w:rsidR="6F0B4B6B" w:rsidRPr="79900132">
        <w:t xml:space="preserve">for the new PFS forms </w:t>
      </w:r>
      <w:r w:rsidRPr="79900132">
        <w:t>would not be required</w:t>
      </w:r>
      <w:r w:rsidRPr="00D47039">
        <w:rPr>
          <w:iCs/>
        </w:rPr>
        <w:t xml:space="preserve">, as the new PFS forms are intended to replace the currently </w:t>
      </w:r>
      <w:r w:rsidR="34A554C5" w:rsidRPr="00D47039">
        <w:rPr>
          <w:iCs/>
        </w:rPr>
        <w:t>PBS-</w:t>
      </w:r>
      <w:r w:rsidRPr="00D47039">
        <w:rPr>
          <w:iCs/>
        </w:rPr>
        <w:t>listed PFS forms without any changes to the existing restrictions.</w:t>
      </w:r>
    </w:p>
    <w:p w14:paraId="4BB2DFBB" w14:textId="242CF3E6" w:rsidR="00460F1B" w:rsidRPr="00D47039" w:rsidRDefault="40B88006" w:rsidP="00423283">
      <w:pPr>
        <w:pStyle w:val="3-BodyText"/>
        <w:spacing w:before="0"/>
        <w:rPr>
          <w:iCs/>
        </w:rPr>
      </w:pPr>
      <w:r w:rsidRPr="79900132">
        <w:t xml:space="preserve">The submission stated that the bioequivalence of the PFS and PFP forms has been demonstrated </w:t>
      </w:r>
      <w:r w:rsidR="42F15997" w:rsidRPr="79900132">
        <w:t xml:space="preserve">(see paragraph </w:t>
      </w:r>
      <w:r>
        <w:fldChar w:fldCharType="begin" w:fldLock="1"/>
      </w:r>
      <w:r>
        <w:instrText xml:space="preserve"> REF _Ref189667910 \r \h </w:instrText>
      </w:r>
      <w:r>
        <w:fldChar w:fldCharType="separate"/>
      </w:r>
      <w:r w:rsidR="00485F32">
        <w:t>5.4</w:t>
      </w:r>
      <w:r>
        <w:fldChar w:fldCharType="end"/>
      </w:r>
      <w:r w:rsidR="2E982043" w:rsidRPr="79900132">
        <w:t xml:space="preserve">) </w:t>
      </w:r>
      <w:r w:rsidRPr="79900132">
        <w:t>and proposed that omalizumab PFP should be considered equivalent to omalizumab PFS for the same strength for the purposes of substitution (i.e., ‘a’-flagged to each other in the Schedule)</w:t>
      </w:r>
      <w:r w:rsidRPr="00D47039">
        <w:rPr>
          <w:iCs/>
        </w:rPr>
        <w:t>, with a</w:t>
      </w:r>
      <w:r w:rsidR="7F5E9AF2" w:rsidRPr="00D47039">
        <w:rPr>
          <w:iCs/>
        </w:rPr>
        <w:t xml:space="preserve"> note </w:t>
      </w:r>
      <w:r w:rsidRPr="00D47039">
        <w:rPr>
          <w:iCs/>
        </w:rPr>
        <w:t>stating that the PBS listing of one form is equivalent to the PBS listing of the other form for substitution purposes.</w:t>
      </w:r>
    </w:p>
    <w:p w14:paraId="0836869E" w14:textId="5716916A" w:rsidR="00460F1B" w:rsidRPr="00D47039" w:rsidRDefault="48A0CAB8" w:rsidP="00423283">
      <w:pPr>
        <w:pStyle w:val="3-BodyText"/>
        <w:spacing w:before="0"/>
        <w:rPr>
          <w:iCs/>
        </w:rPr>
      </w:pPr>
      <w:r w:rsidRPr="79900132">
        <w:t>As p</w:t>
      </w:r>
      <w:r w:rsidR="60EAF393" w:rsidRPr="79900132">
        <w:t>er the</w:t>
      </w:r>
      <w:r w:rsidR="7C8E32F8" w:rsidRPr="79900132">
        <w:t xml:space="preserve"> PI</w:t>
      </w:r>
      <w:r w:rsidR="60EAF393" w:rsidRPr="79900132">
        <w:t>, the 300</w:t>
      </w:r>
      <w:r w:rsidR="750C5741" w:rsidRPr="79900132">
        <w:t> </w:t>
      </w:r>
      <w:r w:rsidR="60EAF393" w:rsidRPr="79900132">
        <w:t>mg/2</w:t>
      </w:r>
      <w:r w:rsidR="750C5741" w:rsidRPr="79900132">
        <w:t> </w:t>
      </w:r>
      <w:r w:rsidR="60EAF393" w:rsidRPr="79900132">
        <w:t xml:space="preserve">mL PFS and all strengths of PFP are not intended for patients under 12 years of age. Therefore, these forms were excluded from the USAA listings. </w:t>
      </w:r>
      <w:bookmarkStart w:id="2" w:name="_Hlk189683206"/>
      <w:r w:rsidR="60EAF393" w:rsidRPr="79900132">
        <w:t xml:space="preserve">The submission proposed </w:t>
      </w:r>
      <w:r w:rsidR="2A2B88B1" w:rsidRPr="79900132">
        <w:t xml:space="preserve">that an administrative </w:t>
      </w:r>
      <w:r w:rsidR="018C8D66" w:rsidRPr="79900132">
        <w:t>note</w:t>
      </w:r>
      <w:r w:rsidR="2A2B88B1" w:rsidRPr="79900132">
        <w:t xml:space="preserve"> be included, </w:t>
      </w:r>
      <w:r w:rsidR="60EAF393" w:rsidRPr="79900132">
        <w:t>stating that the 300</w:t>
      </w:r>
      <w:r w:rsidR="4FC9B48E" w:rsidRPr="79900132">
        <w:t> </w:t>
      </w:r>
      <w:r w:rsidR="60EAF393" w:rsidRPr="79900132">
        <w:t>mg/2</w:t>
      </w:r>
      <w:r w:rsidR="4FC9B48E" w:rsidRPr="79900132">
        <w:t> </w:t>
      </w:r>
      <w:r w:rsidR="60EAF393" w:rsidRPr="79900132">
        <w:t xml:space="preserve">mL pre-filled syringe and all strengths of the pen device are not intended for use in children under 12 years of age. </w:t>
      </w:r>
    </w:p>
    <w:bookmarkEnd w:id="2"/>
    <w:p w14:paraId="059AC5BB" w14:textId="5BECC510" w:rsidR="00025612" w:rsidRPr="00E5726A" w:rsidRDefault="2B1C7560" w:rsidP="00423283">
      <w:pPr>
        <w:pStyle w:val="3-BodyText"/>
        <w:spacing w:before="0"/>
      </w:pPr>
      <w:r w:rsidRPr="79900132">
        <w:t>The submission requested the same maximum quantities and number of repeats for the PFP form as the existing listings for the PFS form, with the exception of a maximum quantity of 1 for the 300</w:t>
      </w:r>
      <w:r w:rsidR="7DBABAEB" w:rsidRPr="79900132">
        <w:t> </w:t>
      </w:r>
      <w:r w:rsidRPr="79900132">
        <w:t>mg PFP and PFS forms for</w:t>
      </w:r>
      <w:r w:rsidR="06E6EC05" w:rsidRPr="79900132">
        <w:t xml:space="preserve"> s</w:t>
      </w:r>
      <w:r w:rsidRPr="79900132">
        <w:t>evere CSU, to align with the TGA-recommended dose of 300 mg every four weeks</w:t>
      </w:r>
      <w:r w:rsidR="401858A4" w:rsidRPr="79900132">
        <w:t xml:space="preserve"> (see </w:t>
      </w:r>
      <w:r w:rsidR="1F4DDCD5" w:rsidRPr="79900132">
        <w:t xml:space="preserve">paragraph </w:t>
      </w:r>
      <w:r>
        <w:fldChar w:fldCharType="begin" w:fldLock="1"/>
      </w:r>
      <w:r>
        <w:instrText xml:space="preserve"> REF _Ref189656466 \r \h </w:instrText>
      </w:r>
      <w:r>
        <w:fldChar w:fldCharType="separate"/>
      </w:r>
      <w:r w:rsidR="00987045">
        <w:t>2.5</w:t>
      </w:r>
      <w:r>
        <w:fldChar w:fldCharType="end"/>
      </w:r>
      <w:r w:rsidR="1F4DDCD5" w:rsidRPr="79900132">
        <w:t>)</w:t>
      </w:r>
      <w:r w:rsidRPr="79900132">
        <w:t>.</w:t>
      </w:r>
    </w:p>
    <w:p w14:paraId="29A96004" w14:textId="77777777" w:rsidR="00C27C1C" w:rsidRPr="00A6439B" w:rsidRDefault="00C27C1C" w:rsidP="00423283">
      <w:pPr>
        <w:pStyle w:val="2-SectionHeading"/>
        <w:spacing w:before="0"/>
        <w:rPr>
          <w:color w:val="FF0000"/>
        </w:rPr>
      </w:pPr>
      <w:r w:rsidRPr="002E3FD4">
        <w:t>Comparator</w:t>
      </w:r>
      <w:r w:rsidRPr="00A6439B">
        <w:t xml:space="preserve"> </w:t>
      </w:r>
    </w:p>
    <w:p w14:paraId="1184BA9A" w14:textId="18E0BCFF" w:rsidR="00C27C1C" w:rsidRPr="00D47039" w:rsidRDefault="0794CE57" w:rsidP="00423283">
      <w:pPr>
        <w:pStyle w:val="3-BodyText"/>
        <w:spacing w:before="0"/>
        <w:rPr>
          <w:iCs/>
        </w:rPr>
      </w:pPr>
      <w:r w:rsidRPr="79900132">
        <w:t xml:space="preserve">The submission nominated </w:t>
      </w:r>
      <w:r w:rsidR="05D7A59A" w:rsidRPr="79900132">
        <w:t xml:space="preserve">the currently </w:t>
      </w:r>
      <w:r w:rsidR="2796853E" w:rsidRPr="79900132">
        <w:t>PBS-</w:t>
      </w:r>
      <w:r w:rsidR="05D7A59A" w:rsidRPr="79900132">
        <w:t xml:space="preserve">listed </w:t>
      </w:r>
      <w:r w:rsidR="28DD8033" w:rsidRPr="79900132">
        <w:t xml:space="preserve">omalizumab </w:t>
      </w:r>
      <w:r w:rsidR="05D7A59A" w:rsidRPr="79900132">
        <w:t>150 mg</w:t>
      </w:r>
      <w:r w:rsidR="1F762904" w:rsidRPr="79900132">
        <w:t>/</w:t>
      </w:r>
      <w:r w:rsidR="05D7A59A" w:rsidRPr="79900132">
        <w:t xml:space="preserve">mL PFS </w:t>
      </w:r>
      <w:r w:rsidRPr="79900132">
        <w:t>as the main comparator.</w:t>
      </w:r>
      <w:r w:rsidR="2B828D43" w:rsidRPr="79900132">
        <w:t xml:space="preserve"> </w:t>
      </w:r>
      <w:r w:rsidR="2B828D43" w:rsidRPr="00D47039">
        <w:rPr>
          <w:iCs/>
        </w:rPr>
        <w:t xml:space="preserve">This was appropriate. </w:t>
      </w:r>
    </w:p>
    <w:p w14:paraId="4B394AC0" w14:textId="271B73C6" w:rsidR="00720983" w:rsidRPr="00D47039" w:rsidRDefault="457A6BBC" w:rsidP="004D39BE">
      <w:pPr>
        <w:pStyle w:val="3-BodyText"/>
        <w:spacing w:before="0"/>
        <w:rPr>
          <w:rFonts w:eastAsiaTheme="majorEastAsia" w:cstheme="majorBidi"/>
          <w:iCs/>
          <w:sz w:val="20"/>
          <w:szCs w:val="20"/>
        </w:rPr>
      </w:pPr>
      <w:r w:rsidRPr="00D47039">
        <w:rPr>
          <w:iCs/>
        </w:rPr>
        <w:t xml:space="preserve">Alternative medicines listed on the PBS for </w:t>
      </w:r>
      <w:r w:rsidR="00490A48" w:rsidRPr="00D47039">
        <w:rPr>
          <w:iCs/>
        </w:rPr>
        <w:t xml:space="preserve">USA </w:t>
      </w:r>
      <w:r w:rsidRPr="00D47039">
        <w:rPr>
          <w:iCs/>
        </w:rPr>
        <w:t>and CS</w:t>
      </w:r>
      <w:r w:rsidR="2FA8375D" w:rsidRPr="00D47039">
        <w:rPr>
          <w:iCs/>
        </w:rPr>
        <w:t xml:space="preserve">U </w:t>
      </w:r>
      <w:r w:rsidR="00CE008F" w:rsidRPr="00D47039">
        <w:rPr>
          <w:iCs/>
        </w:rPr>
        <w:t xml:space="preserve">on a cost-minimisation basis </w:t>
      </w:r>
      <w:r w:rsidRPr="00D47039">
        <w:rPr>
          <w:iCs/>
        </w:rPr>
        <w:t>are summari</w:t>
      </w:r>
      <w:r w:rsidR="2FA8375D" w:rsidRPr="00D47039">
        <w:rPr>
          <w:iCs/>
        </w:rPr>
        <w:t>s</w:t>
      </w:r>
      <w:r w:rsidRPr="00D47039">
        <w:rPr>
          <w:iCs/>
        </w:rPr>
        <w:t xml:space="preserve">ed in </w:t>
      </w:r>
      <w:bookmarkStart w:id="3" w:name="_Ref189659353"/>
      <w:r w:rsidR="00720983" w:rsidRPr="00D47039">
        <w:rPr>
          <w:iCs/>
        </w:rPr>
        <w:fldChar w:fldCharType="begin" w:fldLock="1"/>
      </w:r>
      <w:r w:rsidR="00720983" w:rsidRPr="00D47039">
        <w:rPr>
          <w:iCs/>
        </w:rPr>
        <w:instrText xml:space="preserve"> REF _Ref189659443 \h  \* MERGEFORMAT </w:instrText>
      </w:r>
      <w:r w:rsidR="00720983" w:rsidRPr="00D47039">
        <w:rPr>
          <w:iCs/>
        </w:rPr>
      </w:r>
      <w:r w:rsidR="00720983" w:rsidRPr="00D47039">
        <w:rPr>
          <w:iCs/>
        </w:rPr>
        <w:fldChar w:fldCharType="separate"/>
      </w:r>
      <w:r w:rsidR="00682B20" w:rsidRPr="00682B20">
        <w:rPr>
          <w:iCs/>
        </w:rPr>
        <w:t xml:space="preserve">Table </w:t>
      </w:r>
      <w:r w:rsidR="00682B20" w:rsidRPr="00682B20">
        <w:rPr>
          <w:iCs/>
          <w:noProof/>
        </w:rPr>
        <w:t>2</w:t>
      </w:r>
      <w:r w:rsidR="00720983" w:rsidRPr="00D47039">
        <w:rPr>
          <w:iCs/>
        </w:rPr>
        <w:fldChar w:fldCharType="end"/>
      </w:r>
      <w:r w:rsidR="61BA2546" w:rsidRPr="00D47039">
        <w:rPr>
          <w:iCs/>
        </w:rPr>
        <w:t>.</w:t>
      </w:r>
      <w:r w:rsidR="36E47423" w:rsidRPr="00D47039">
        <w:rPr>
          <w:iCs/>
        </w:rPr>
        <w:t xml:space="preserve"> </w:t>
      </w:r>
      <w:r w:rsidR="00BF6D2E">
        <w:rPr>
          <w:iCs/>
        </w:rPr>
        <w:t>M</w:t>
      </w:r>
      <w:r w:rsidR="36E47423" w:rsidRPr="00D47039">
        <w:rPr>
          <w:iCs/>
        </w:rPr>
        <w:t>epolizumab and benralizumab</w:t>
      </w:r>
      <w:r w:rsidR="0F502AC0" w:rsidRPr="00D47039">
        <w:rPr>
          <w:iCs/>
        </w:rPr>
        <w:t xml:space="preserve"> </w:t>
      </w:r>
      <w:r w:rsidR="00621C1D">
        <w:rPr>
          <w:iCs/>
        </w:rPr>
        <w:t xml:space="preserve">would be considered </w:t>
      </w:r>
      <w:r w:rsidR="0F502AC0" w:rsidRPr="00D47039">
        <w:rPr>
          <w:iCs/>
        </w:rPr>
        <w:t xml:space="preserve">appropriate comparators in </w:t>
      </w:r>
      <w:r w:rsidR="00995C51" w:rsidRPr="00D47039">
        <w:rPr>
          <w:iCs/>
        </w:rPr>
        <w:t>USA</w:t>
      </w:r>
      <w:r w:rsidR="00EB2AB7">
        <w:rPr>
          <w:iCs/>
        </w:rPr>
        <w:t>,</w:t>
      </w:r>
      <w:r w:rsidR="00995C51" w:rsidRPr="00D47039">
        <w:rPr>
          <w:iCs/>
        </w:rPr>
        <w:t xml:space="preserve"> </w:t>
      </w:r>
      <w:r w:rsidR="77ECFD7D" w:rsidRPr="00D47039">
        <w:rPr>
          <w:iCs/>
        </w:rPr>
        <w:t xml:space="preserve">and </w:t>
      </w:r>
      <w:r w:rsidR="4813761C" w:rsidRPr="00D47039">
        <w:rPr>
          <w:iCs/>
        </w:rPr>
        <w:t xml:space="preserve">ciclosporin </w:t>
      </w:r>
      <w:r w:rsidR="3D4587FD" w:rsidRPr="00D47039">
        <w:rPr>
          <w:iCs/>
        </w:rPr>
        <w:t xml:space="preserve">in </w:t>
      </w:r>
      <w:r w:rsidR="4813761C" w:rsidRPr="00D47039">
        <w:rPr>
          <w:iCs/>
        </w:rPr>
        <w:t>CSU</w:t>
      </w:r>
      <w:r w:rsidR="1201149B" w:rsidRPr="00D47039">
        <w:rPr>
          <w:iCs/>
        </w:rPr>
        <w:t xml:space="preserve">. </w:t>
      </w:r>
    </w:p>
    <w:p w14:paraId="303E5698" w14:textId="7C95531F" w:rsidR="005E2B95" w:rsidRPr="00100299" w:rsidRDefault="00720983" w:rsidP="00CE6E81">
      <w:pPr>
        <w:pStyle w:val="Caption"/>
        <w:keepNext/>
        <w:keepLines/>
        <w:rPr>
          <w:rStyle w:val="CommentReference"/>
          <w:rFonts w:eastAsiaTheme="majorEastAsia" w:cstheme="majorBidi"/>
          <w:bCs/>
          <w:iCs w:val="0"/>
          <w:color w:val="auto"/>
          <w:sz w:val="20"/>
          <w:szCs w:val="20"/>
        </w:rPr>
      </w:pPr>
      <w:bookmarkStart w:id="4" w:name="_Ref189659443"/>
      <w:r w:rsidRPr="00100299">
        <w:rPr>
          <w:bCs/>
          <w:iCs w:val="0"/>
          <w:szCs w:val="20"/>
        </w:rPr>
        <w:t xml:space="preserve">Table </w:t>
      </w:r>
      <w:r w:rsidRPr="00100299">
        <w:rPr>
          <w:bCs/>
          <w:iCs w:val="0"/>
          <w:szCs w:val="20"/>
        </w:rPr>
        <w:fldChar w:fldCharType="begin" w:fldLock="1"/>
      </w:r>
      <w:r w:rsidRPr="00100299">
        <w:rPr>
          <w:bCs/>
          <w:iCs w:val="0"/>
          <w:szCs w:val="20"/>
        </w:rPr>
        <w:instrText xml:space="preserve"> SEQ Table \* ARABIC </w:instrText>
      </w:r>
      <w:r w:rsidRPr="00100299">
        <w:rPr>
          <w:bCs/>
          <w:iCs w:val="0"/>
          <w:szCs w:val="20"/>
        </w:rPr>
        <w:fldChar w:fldCharType="separate"/>
      </w:r>
      <w:r w:rsidR="00D740EC" w:rsidRPr="00100299">
        <w:rPr>
          <w:bCs/>
          <w:iCs w:val="0"/>
          <w:noProof/>
          <w:szCs w:val="20"/>
        </w:rPr>
        <w:t>2</w:t>
      </w:r>
      <w:r w:rsidRPr="00100299">
        <w:rPr>
          <w:bCs/>
          <w:iCs w:val="0"/>
          <w:szCs w:val="20"/>
        </w:rPr>
        <w:fldChar w:fldCharType="end"/>
      </w:r>
      <w:bookmarkEnd w:id="4"/>
      <w:r w:rsidRPr="00100299">
        <w:rPr>
          <w:bCs/>
          <w:iCs w:val="0"/>
          <w:szCs w:val="20"/>
        </w:rPr>
        <w:t>:</w:t>
      </w:r>
      <w:r w:rsidR="001B11F8" w:rsidRPr="00100299">
        <w:rPr>
          <w:bCs/>
          <w:iCs w:val="0"/>
          <w:szCs w:val="20"/>
        </w:rPr>
        <w:t xml:space="preserve"> </w:t>
      </w:r>
      <w:r w:rsidR="001B11F8" w:rsidRPr="00100299">
        <w:rPr>
          <w:rStyle w:val="CommentReference"/>
          <w:rFonts w:eastAsiaTheme="majorEastAsia" w:cstheme="majorBidi"/>
          <w:bCs/>
          <w:iCs w:val="0"/>
          <w:color w:val="auto"/>
          <w:sz w:val="20"/>
          <w:szCs w:val="20"/>
        </w:rPr>
        <w:t>A</w:t>
      </w:r>
      <w:r w:rsidR="001B11F8" w:rsidRPr="00100299">
        <w:rPr>
          <w:rFonts w:eastAsiaTheme="majorEastAsia" w:cstheme="majorBidi"/>
          <w:bCs/>
          <w:iCs w:val="0"/>
          <w:color w:val="auto"/>
          <w:szCs w:val="20"/>
        </w:rPr>
        <w:t>lternative medicines listed on the PB</w:t>
      </w:r>
      <w:r w:rsidR="00F226CC" w:rsidRPr="00100299">
        <w:rPr>
          <w:rFonts w:eastAsiaTheme="majorEastAsia" w:cstheme="majorBidi"/>
          <w:bCs/>
          <w:iCs w:val="0"/>
          <w:color w:val="auto"/>
          <w:szCs w:val="20"/>
        </w:rPr>
        <w:t>S</w:t>
      </w:r>
      <w:r w:rsidR="005E2B95" w:rsidRPr="00100299">
        <w:rPr>
          <w:rStyle w:val="CommentReference"/>
          <w:rFonts w:eastAsiaTheme="majorEastAsia" w:cstheme="majorBidi"/>
          <w:bCs/>
          <w:iCs w:val="0"/>
          <w:color w:val="auto"/>
          <w:sz w:val="20"/>
          <w:szCs w:val="20"/>
        </w:rPr>
        <w:t xml:space="preserve"> for </w:t>
      </w:r>
      <w:r w:rsidR="00490A48" w:rsidRPr="00100299">
        <w:rPr>
          <w:rStyle w:val="CommentReference"/>
          <w:rFonts w:eastAsiaTheme="majorEastAsia" w:cstheme="majorBidi"/>
          <w:bCs/>
          <w:iCs w:val="0"/>
          <w:color w:val="auto"/>
          <w:sz w:val="20"/>
          <w:szCs w:val="20"/>
        </w:rPr>
        <w:t xml:space="preserve">uncontrolled severe asthma </w:t>
      </w:r>
      <w:r w:rsidR="005E2B95" w:rsidRPr="00100299">
        <w:rPr>
          <w:rStyle w:val="CommentReference"/>
          <w:rFonts w:eastAsiaTheme="majorEastAsia" w:cstheme="majorBidi"/>
          <w:bCs/>
          <w:iCs w:val="0"/>
          <w:color w:val="auto"/>
          <w:sz w:val="20"/>
          <w:szCs w:val="20"/>
        </w:rPr>
        <w:t xml:space="preserve">and </w:t>
      </w:r>
      <w:r w:rsidR="00510D72" w:rsidRPr="00100299">
        <w:rPr>
          <w:bCs/>
          <w:iCs w:val="0"/>
          <w:szCs w:val="20"/>
        </w:rPr>
        <w:t>chronic spontaneous urticaria</w:t>
      </w:r>
      <w:r w:rsidR="00510D72" w:rsidRPr="00100299">
        <w:rPr>
          <w:rStyle w:val="CommentReference"/>
          <w:rFonts w:eastAsiaTheme="majorEastAsia" w:cstheme="majorBidi"/>
          <w:bCs/>
          <w:iCs w:val="0"/>
          <w:color w:val="auto"/>
          <w:sz w:val="20"/>
          <w:szCs w:val="20"/>
        </w:rPr>
        <w:t xml:space="preserve"> </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80"/>
        <w:gridCol w:w="3969"/>
        <w:gridCol w:w="1134"/>
        <w:gridCol w:w="1933"/>
      </w:tblGrid>
      <w:tr w:rsidR="005E2B95" w:rsidRPr="00D47039" w14:paraId="7C3A90A1" w14:textId="77777777" w:rsidTr="00595989">
        <w:trPr>
          <w:cantSplit/>
          <w:tblHeader/>
        </w:trPr>
        <w:tc>
          <w:tcPr>
            <w:tcW w:w="3299" w:type="pct"/>
            <w:gridSpan w:val="2"/>
            <w:shd w:val="clear" w:color="auto" w:fill="F2F2F2" w:themeFill="background1" w:themeFillShade="F2"/>
            <w:vAlign w:val="center"/>
          </w:tcPr>
          <w:p w14:paraId="628CD996" w14:textId="361B7D34" w:rsidR="005E2B95" w:rsidRPr="00A7657E" w:rsidRDefault="00490A48" w:rsidP="00CE6E81">
            <w:pPr>
              <w:pStyle w:val="In-tableHeading"/>
              <w:keepLines/>
              <w:jc w:val="center"/>
              <w:rPr>
                <w:bCs/>
                <w:szCs w:val="20"/>
                <w:lang w:val="en-AU"/>
              </w:rPr>
            </w:pPr>
            <w:r w:rsidRPr="00A7657E">
              <w:rPr>
                <w:bCs/>
                <w:szCs w:val="20"/>
                <w:lang w:val="en-AU"/>
              </w:rPr>
              <w:t>Uncontrolled severe asthma</w:t>
            </w:r>
          </w:p>
        </w:tc>
        <w:tc>
          <w:tcPr>
            <w:tcW w:w="1701" w:type="pct"/>
            <w:gridSpan w:val="2"/>
            <w:shd w:val="clear" w:color="auto" w:fill="F2F2F2" w:themeFill="background1" w:themeFillShade="F2"/>
            <w:vAlign w:val="center"/>
          </w:tcPr>
          <w:p w14:paraId="50843D90" w14:textId="0EBBE8C9" w:rsidR="005E2B95" w:rsidRPr="00A7657E" w:rsidRDefault="00520B49" w:rsidP="00CE6E81">
            <w:pPr>
              <w:pStyle w:val="In-tableHeading"/>
              <w:keepLines/>
              <w:jc w:val="center"/>
              <w:rPr>
                <w:bCs/>
                <w:szCs w:val="20"/>
                <w:lang w:val="en-AU"/>
              </w:rPr>
            </w:pPr>
            <w:r w:rsidRPr="00A7657E">
              <w:rPr>
                <w:bCs/>
                <w:szCs w:val="20"/>
                <w:lang w:val="en-AU"/>
              </w:rPr>
              <w:t>Chronic spontaneous urticaria</w:t>
            </w:r>
          </w:p>
        </w:tc>
      </w:tr>
      <w:tr w:rsidR="00510D72" w:rsidRPr="00D47039" w14:paraId="53A145AA" w14:textId="77777777" w:rsidTr="79900132">
        <w:trPr>
          <w:cantSplit/>
        </w:trPr>
        <w:tc>
          <w:tcPr>
            <w:tcW w:w="1098" w:type="pct"/>
            <w:vAlign w:val="center"/>
          </w:tcPr>
          <w:p w14:paraId="6047520B" w14:textId="39DCA80D" w:rsidR="00510D72" w:rsidRPr="00A7657E" w:rsidRDefault="00510D72" w:rsidP="00CE6E81">
            <w:pPr>
              <w:pStyle w:val="TableText0"/>
              <w:keepLines/>
              <w:rPr>
                <w:b/>
                <w:bCs w:val="0"/>
                <w:szCs w:val="20"/>
              </w:rPr>
            </w:pPr>
            <w:r w:rsidRPr="00A7657E">
              <w:rPr>
                <w:b/>
                <w:bCs w:val="0"/>
                <w:szCs w:val="20"/>
              </w:rPr>
              <w:t xml:space="preserve">Drug Name </w:t>
            </w:r>
          </w:p>
        </w:tc>
        <w:tc>
          <w:tcPr>
            <w:tcW w:w="2201" w:type="pct"/>
            <w:vAlign w:val="center"/>
          </w:tcPr>
          <w:p w14:paraId="6DCB7017" w14:textId="76C3DD77" w:rsidR="00510D72" w:rsidRPr="00A7657E" w:rsidRDefault="00510D72" w:rsidP="00CE6E81">
            <w:pPr>
              <w:pStyle w:val="TableText0"/>
              <w:keepLines/>
              <w:rPr>
                <w:b/>
                <w:bCs w:val="0"/>
                <w:szCs w:val="20"/>
              </w:rPr>
            </w:pPr>
            <w:r w:rsidRPr="00A7657E">
              <w:rPr>
                <w:b/>
                <w:bCs w:val="0"/>
                <w:szCs w:val="20"/>
              </w:rPr>
              <w:t xml:space="preserve">Equi-effective doses </w:t>
            </w:r>
          </w:p>
        </w:tc>
        <w:tc>
          <w:tcPr>
            <w:tcW w:w="629" w:type="pct"/>
            <w:vAlign w:val="center"/>
          </w:tcPr>
          <w:p w14:paraId="6F797360" w14:textId="6C336853" w:rsidR="00510D72" w:rsidRPr="00A7657E" w:rsidRDefault="00510D72" w:rsidP="00CE6E81">
            <w:pPr>
              <w:pStyle w:val="TableText0"/>
              <w:keepLines/>
              <w:rPr>
                <w:b/>
                <w:bCs w:val="0"/>
                <w:szCs w:val="20"/>
              </w:rPr>
            </w:pPr>
            <w:r w:rsidRPr="00A7657E">
              <w:rPr>
                <w:b/>
                <w:bCs w:val="0"/>
                <w:szCs w:val="20"/>
              </w:rPr>
              <w:t xml:space="preserve">Drug Name </w:t>
            </w:r>
          </w:p>
        </w:tc>
        <w:tc>
          <w:tcPr>
            <w:tcW w:w="1072" w:type="pct"/>
            <w:vAlign w:val="center"/>
          </w:tcPr>
          <w:p w14:paraId="30980915" w14:textId="0B363B5B" w:rsidR="00510D72" w:rsidRPr="00A7657E" w:rsidRDefault="00510D72" w:rsidP="00CE6E81">
            <w:pPr>
              <w:pStyle w:val="TableText0"/>
              <w:keepLines/>
              <w:rPr>
                <w:b/>
                <w:bCs w:val="0"/>
                <w:szCs w:val="20"/>
              </w:rPr>
            </w:pPr>
            <w:r w:rsidRPr="00A7657E">
              <w:rPr>
                <w:b/>
                <w:bCs w:val="0"/>
                <w:szCs w:val="20"/>
              </w:rPr>
              <w:t xml:space="preserve">Equi-effective doses </w:t>
            </w:r>
          </w:p>
        </w:tc>
      </w:tr>
      <w:tr w:rsidR="005E0BB1" w:rsidRPr="00D47039" w14:paraId="397E5544" w14:textId="77777777" w:rsidTr="79900132">
        <w:trPr>
          <w:cantSplit/>
        </w:trPr>
        <w:tc>
          <w:tcPr>
            <w:tcW w:w="1098" w:type="pct"/>
            <w:vAlign w:val="center"/>
          </w:tcPr>
          <w:p w14:paraId="15633043" w14:textId="6EAF6C1F" w:rsidR="005E0BB1" w:rsidRPr="00D47039" w:rsidRDefault="005E0BB1" w:rsidP="00CE6E81">
            <w:pPr>
              <w:pStyle w:val="TableText0"/>
              <w:keepLines/>
              <w:rPr>
                <w:szCs w:val="20"/>
              </w:rPr>
            </w:pPr>
            <w:r w:rsidRPr="00D47039">
              <w:rPr>
                <w:szCs w:val="20"/>
              </w:rPr>
              <w:t>Mepolizumab (≥12 years)</w:t>
            </w:r>
          </w:p>
        </w:tc>
        <w:tc>
          <w:tcPr>
            <w:tcW w:w="2201" w:type="pct"/>
            <w:vAlign w:val="center"/>
          </w:tcPr>
          <w:p w14:paraId="6CFA7F32" w14:textId="58DE6817" w:rsidR="005E0BB1" w:rsidRPr="00D47039" w:rsidRDefault="005E0BB1" w:rsidP="00CE6E81">
            <w:pPr>
              <w:pStyle w:val="TableText0"/>
              <w:keepLines/>
              <w:rPr>
                <w:szCs w:val="20"/>
              </w:rPr>
            </w:pPr>
            <w:r w:rsidRPr="00D47039">
              <w:rPr>
                <w:szCs w:val="20"/>
              </w:rPr>
              <w:t>omalizumab 398 mg = mepolizumab 100 mg</w:t>
            </w:r>
          </w:p>
        </w:tc>
        <w:tc>
          <w:tcPr>
            <w:tcW w:w="629" w:type="pct"/>
            <w:vMerge w:val="restart"/>
          </w:tcPr>
          <w:p w14:paraId="323C8461" w14:textId="635B75F9" w:rsidR="005E0BB1" w:rsidRPr="00D47039" w:rsidRDefault="005E0BB1" w:rsidP="00CE6E81">
            <w:pPr>
              <w:pStyle w:val="TableText0"/>
              <w:keepLines/>
              <w:rPr>
                <w:szCs w:val="20"/>
              </w:rPr>
            </w:pPr>
            <w:r w:rsidRPr="00D47039">
              <w:rPr>
                <w:szCs w:val="20"/>
              </w:rPr>
              <w:t>Ciclosporin</w:t>
            </w:r>
          </w:p>
        </w:tc>
        <w:tc>
          <w:tcPr>
            <w:tcW w:w="1072" w:type="pct"/>
            <w:vMerge w:val="restart"/>
          </w:tcPr>
          <w:p w14:paraId="60EE8557" w14:textId="48589AD3" w:rsidR="005E0BB1" w:rsidRPr="00D47039" w:rsidRDefault="005E0BB1" w:rsidP="00CE6E81">
            <w:pPr>
              <w:pStyle w:val="TableText0"/>
              <w:keepLines/>
              <w:rPr>
                <w:szCs w:val="20"/>
              </w:rPr>
            </w:pPr>
            <w:r w:rsidRPr="00D47039">
              <w:rPr>
                <w:szCs w:val="20"/>
              </w:rPr>
              <w:t xml:space="preserve">omalizumab 300 mg = ciclosporin </w:t>
            </w:r>
            <w:r w:rsidR="00970324" w:rsidRPr="00D47039">
              <w:rPr>
                <w:szCs w:val="20"/>
              </w:rPr>
              <w:t>4</w:t>
            </w:r>
            <w:r w:rsidRPr="00D47039">
              <w:rPr>
                <w:szCs w:val="20"/>
              </w:rPr>
              <w:t xml:space="preserve"> mg/kg</w:t>
            </w:r>
          </w:p>
        </w:tc>
      </w:tr>
      <w:tr w:rsidR="005E0BB1" w:rsidRPr="00D47039" w14:paraId="45248AA3" w14:textId="77777777" w:rsidTr="79900132">
        <w:trPr>
          <w:cantSplit/>
        </w:trPr>
        <w:tc>
          <w:tcPr>
            <w:tcW w:w="1098" w:type="pct"/>
            <w:vAlign w:val="center"/>
          </w:tcPr>
          <w:p w14:paraId="26615251" w14:textId="7EE81490" w:rsidR="005E0BB1" w:rsidRPr="00D47039" w:rsidRDefault="3D0BB7F6" w:rsidP="79900132">
            <w:pPr>
              <w:pStyle w:val="TableText0"/>
              <w:keepLines/>
              <w:rPr>
                <w:iCs/>
              </w:rPr>
            </w:pPr>
            <w:r w:rsidRPr="00D47039">
              <w:rPr>
                <w:iCs/>
              </w:rPr>
              <w:t>Benralizumab</w:t>
            </w:r>
          </w:p>
        </w:tc>
        <w:tc>
          <w:tcPr>
            <w:tcW w:w="2201" w:type="pct"/>
            <w:vAlign w:val="center"/>
          </w:tcPr>
          <w:p w14:paraId="3E99D271" w14:textId="2C7B0B41" w:rsidR="005E0BB1" w:rsidRPr="00D47039" w:rsidRDefault="3D0BB7F6" w:rsidP="79900132">
            <w:pPr>
              <w:pStyle w:val="TableText0"/>
              <w:keepLines/>
              <w:rPr>
                <w:iCs/>
              </w:rPr>
            </w:pPr>
            <w:r w:rsidRPr="00D47039">
              <w:rPr>
                <w:iCs/>
              </w:rPr>
              <w:t>benralizumab 30 mg every four weeks for the first three doses, then every eight weeks (7.5 doses over one year) = mepolizumab 100 mg every four weeks (13 doses over one year).</w:t>
            </w:r>
          </w:p>
        </w:tc>
        <w:tc>
          <w:tcPr>
            <w:tcW w:w="629" w:type="pct"/>
            <w:vMerge/>
          </w:tcPr>
          <w:p w14:paraId="16409DDD" w14:textId="77777777" w:rsidR="005E0BB1" w:rsidRPr="00D47039" w:rsidRDefault="005E0BB1" w:rsidP="00CE6E81">
            <w:pPr>
              <w:pStyle w:val="TableText0"/>
              <w:keepLines/>
              <w:rPr>
                <w:szCs w:val="20"/>
              </w:rPr>
            </w:pPr>
          </w:p>
        </w:tc>
        <w:tc>
          <w:tcPr>
            <w:tcW w:w="1072" w:type="pct"/>
            <w:vMerge/>
          </w:tcPr>
          <w:p w14:paraId="2E2B107E" w14:textId="3DCDABB2" w:rsidR="005E0BB1" w:rsidRPr="00D47039" w:rsidRDefault="005E0BB1" w:rsidP="00CE6E81">
            <w:pPr>
              <w:pStyle w:val="TableText0"/>
              <w:keepLines/>
              <w:rPr>
                <w:szCs w:val="20"/>
              </w:rPr>
            </w:pPr>
          </w:p>
        </w:tc>
      </w:tr>
    </w:tbl>
    <w:p w14:paraId="2247BA8A" w14:textId="299955AD" w:rsidR="00614AA7" w:rsidRPr="001B63F3" w:rsidRDefault="00F15845" w:rsidP="00CE6E81">
      <w:pPr>
        <w:pStyle w:val="3-BodyText"/>
        <w:keepNext/>
        <w:keepLines/>
        <w:numPr>
          <w:ilvl w:val="0"/>
          <w:numId w:val="0"/>
        </w:numPr>
        <w:spacing w:before="0"/>
        <w:ind w:left="720" w:hanging="720"/>
        <w:rPr>
          <w:rFonts w:ascii="Arial Narrow" w:hAnsi="Arial Narrow"/>
          <w:sz w:val="18"/>
          <w:szCs w:val="18"/>
        </w:rPr>
      </w:pPr>
      <w:r w:rsidRPr="001B63F3">
        <w:rPr>
          <w:rFonts w:ascii="Arial Narrow" w:hAnsi="Arial Narrow"/>
          <w:sz w:val="18"/>
          <w:szCs w:val="18"/>
        </w:rPr>
        <w:t>Source: compiled by the Secretariat during evaluation</w:t>
      </w:r>
      <w:r w:rsidR="00614AA7" w:rsidRPr="001B63F3">
        <w:rPr>
          <w:rFonts w:ascii="Arial Narrow" w:hAnsi="Arial Narrow"/>
          <w:sz w:val="18"/>
          <w:szCs w:val="18"/>
        </w:rPr>
        <w:t xml:space="preserve"> using </w:t>
      </w:r>
      <w:hyperlink r:id="rId8" w:history="1">
        <w:r w:rsidR="00614AA7" w:rsidRPr="001B63F3">
          <w:rPr>
            <w:rStyle w:val="Hyperlink"/>
            <w:rFonts w:ascii="Arial Narrow" w:hAnsi="Arial Narrow"/>
            <w:sz w:val="18"/>
            <w:szCs w:val="18"/>
          </w:rPr>
          <w:t>Therapeutic Relativity Sheets</w:t>
        </w:r>
      </w:hyperlink>
      <w:r w:rsidR="00614AA7" w:rsidRPr="001B63F3">
        <w:rPr>
          <w:rFonts w:ascii="Arial Narrow" w:hAnsi="Arial Narrow"/>
          <w:sz w:val="18"/>
          <w:szCs w:val="18"/>
        </w:rPr>
        <w:t xml:space="preserve"> accessed on 5 February 2025</w:t>
      </w:r>
    </w:p>
    <w:p w14:paraId="349998E1" w14:textId="49043F25" w:rsidR="009061AC" w:rsidRPr="00AA5229" w:rsidRDefault="00AA5229" w:rsidP="00595989">
      <w:pPr>
        <w:pStyle w:val="3-BodyText"/>
        <w:spacing w:before="0"/>
      </w:pPr>
      <w:r w:rsidRPr="00AA5229">
        <w:t xml:space="preserve">The Pre-PBAC </w:t>
      </w:r>
      <w:r w:rsidR="00783C17">
        <w:t>r</w:t>
      </w:r>
      <w:r w:rsidRPr="00AA5229">
        <w:t>esponse</w:t>
      </w:r>
      <w:r w:rsidR="004A3E99">
        <w:t xml:space="preserve"> (</w:t>
      </w:r>
      <w:r w:rsidR="001E07CA" w:rsidRPr="001E07CA">
        <w:t>pp. 1-2</w:t>
      </w:r>
      <w:r w:rsidR="00902159">
        <w:t>)</w:t>
      </w:r>
      <w:r w:rsidR="00303631">
        <w:t xml:space="preserve"> argued that </w:t>
      </w:r>
      <w:r w:rsidR="00303631" w:rsidRPr="00303631">
        <w:t xml:space="preserve">the alternative comparators listed in </w:t>
      </w:r>
      <w:r w:rsidR="00886EFF">
        <w:fldChar w:fldCharType="begin" w:fldLock="1"/>
      </w:r>
      <w:r w:rsidR="00886EFF">
        <w:instrText xml:space="preserve"> REF _Ref189659443 \h </w:instrText>
      </w:r>
      <w:r w:rsidR="00477D8D">
        <w:instrText xml:space="preserve"> \* MERGEFORMAT </w:instrText>
      </w:r>
      <w:r w:rsidR="00886EFF">
        <w:fldChar w:fldCharType="separate"/>
      </w:r>
      <w:r w:rsidR="00A7657E" w:rsidRPr="00A7657E">
        <w:rPr>
          <w:szCs w:val="20"/>
        </w:rPr>
        <w:t xml:space="preserve">Table </w:t>
      </w:r>
      <w:r w:rsidR="00A7657E" w:rsidRPr="00A7657E">
        <w:rPr>
          <w:noProof/>
          <w:szCs w:val="20"/>
        </w:rPr>
        <w:t>2</w:t>
      </w:r>
      <w:r w:rsidR="00886EFF">
        <w:fldChar w:fldCharType="end"/>
      </w:r>
      <w:r w:rsidR="00303631" w:rsidRPr="00303631">
        <w:t xml:space="preserve"> are </w:t>
      </w:r>
      <w:r w:rsidR="00A036CA">
        <w:t xml:space="preserve">not </w:t>
      </w:r>
      <w:r w:rsidR="00303631" w:rsidRPr="00303631">
        <w:t>appropriate</w:t>
      </w:r>
      <w:r w:rsidR="00EB3BD7">
        <w:t>, as</w:t>
      </w:r>
      <w:r w:rsidR="00864C33">
        <w:t xml:space="preserve"> </w:t>
      </w:r>
      <w:r w:rsidR="00EB3BD7" w:rsidRPr="00EB3BD7">
        <w:t>the primary population for the new forms of omalizumab consists of patients stabili</w:t>
      </w:r>
      <w:r w:rsidR="00EB3BD7">
        <w:t>s</w:t>
      </w:r>
      <w:r w:rsidR="00EB3BD7" w:rsidRPr="00EB3BD7">
        <w:t xml:space="preserve">ed on omalizumab treatment, with no clinical rationale to switch to an alternative biological agent or immunosuppressant unless there is treatment failure or an incomplete response. </w:t>
      </w:r>
      <w:r w:rsidR="00932EA9" w:rsidRPr="00AA5229">
        <w:t xml:space="preserve">The </w:t>
      </w:r>
      <w:proofErr w:type="gramStart"/>
      <w:r w:rsidR="00932EA9" w:rsidRPr="00AA5229">
        <w:t>Pre-PBAC</w:t>
      </w:r>
      <w:proofErr w:type="gramEnd"/>
      <w:r w:rsidR="00932EA9" w:rsidRPr="00AA5229">
        <w:t xml:space="preserve"> </w:t>
      </w:r>
      <w:r w:rsidR="00783C17">
        <w:t>r</w:t>
      </w:r>
      <w:r w:rsidR="00932EA9" w:rsidRPr="00AA5229">
        <w:t>esponse</w:t>
      </w:r>
      <w:r w:rsidR="00932EA9">
        <w:t xml:space="preserve"> </w:t>
      </w:r>
      <w:r w:rsidR="001A186C">
        <w:t xml:space="preserve">stated </w:t>
      </w:r>
      <w:r w:rsidR="00DE1609" w:rsidRPr="00DE1609">
        <w:t xml:space="preserve">that the criteria for mepolizumab and benralizumab under </w:t>
      </w:r>
      <w:r w:rsidR="00967BFA">
        <w:t>i</w:t>
      </w:r>
      <w:r w:rsidR="00967BFA" w:rsidRPr="00DE1609">
        <w:t xml:space="preserve">nitial </w:t>
      </w:r>
      <w:r w:rsidR="00967BFA">
        <w:t>t</w:t>
      </w:r>
      <w:r w:rsidR="00967BFA" w:rsidRPr="00DE1609">
        <w:t xml:space="preserve">reatment - initial 2 </w:t>
      </w:r>
      <w:r w:rsidR="00967BFA" w:rsidRPr="00DE1609">
        <w:lastRenderedPageBreak/>
        <w:t xml:space="preserve">(change of </w:t>
      </w:r>
      <w:r w:rsidR="00967BFA">
        <w:t>t</w:t>
      </w:r>
      <w:r w:rsidR="00967BFA" w:rsidRPr="00DE1609">
        <w:t xml:space="preserve">reatment) </w:t>
      </w:r>
      <w:r w:rsidR="00783C17">
        <w:t>for</w:t>
      </w:r>
      <w:r w:rsidR="00DE1609" w:rsidRPr="00DE1609">
        <w:t xml:space="preserve"> the USA </w:t>
      </w:r>
      <w:r w:rsidR="00BF7C01">
        <w:t>ind</w:t>
      </w:r>
      <w:r w:rsidR="0025753D">
        <w:t>ication</w:t>
      </w:r>
      <w:r w:rsidR="00BF7C01">
        <w:t xml:space="preserve"> </w:t>
      </w:r>
      <w:r w:rsidR="00DE1609" w:rsidRPr="00DE1609">
        <w:t>necessitate a reassessment of treatment response to qualify for a change in therapy</w:t>
      </w:r>
      <w:r w:rsidR="002E7F6B">
        <w:t xml:space="preserve">. </w:t>
      </w:r>
      <w:r w:rsidR="002E7F6B" w:rsidRPr="002E7F6B">
        <w:t>Additionally,</w:t>
      </w:r>
      <w:r w:rsidR="002E7F6B">
        <w:t xml:space="preserve"> </w:t>
      </w:r>
      <w:r w:rsidR="00DE1609" w:rsidRPr="00DE1609">
        <w:t>ciclosporin is no longer recommended for CSU unless a patient fails treatment with omalizumab (ASCIA</w:t>
      </w:r>
      <w:r w:rsidR="008301B7">
        <w:t xml:space="preserve"> </w:t>
      </w:r>
      <w:r w:rsidR="008301B7" w:rsidRPr="008301B7">
        <w:t>2020</w:t>
      </w:r>
      <w:r w:rsidR="00DE1609" w:rsidRPr="00DE1609">
        <w:t xml:space="preserve"> guidelines</w:t>
      </w:r>
      <w:r w:rsidR="00E8227F">
        <w:rPr>
          <w:rStyle w:val="FootnoteReference"/>
        </w:rPr>
        <w:footnoteReference w:id="2"/>
      </w:r>
      <w:r w:rsidR="00DE1609" w:rsidRPr="00DE1609">
        <w:t>).</w:t>
      </w:r>
      <w:r w:rsidR="007146AC">
        <w:t xml:space="preserve"> </w:t>
      </w:r>
    </w:p>
    <w:p w14:paraId="0436B7D8" w14:textId="77777777" w:rsidR="00C27C1C" w:rsidRPr="002E0BA0" w:rsidRDefault="00C27C1C" w:rsidP="00595989">
      <w:pPr>
        <w:pStyle w:val="2-SectionHeading"/>
        <w:spacing w:before="0"/>
      </w:pPr>
      <w:r w:rsidRPr="002E0BA0">
        <w:t>Consideration of the evidence</w:t>
      </w:r>
    </w:p>
    <w:p w14:paraId="1E52C80A" w14:textId="77777777" w:rsidR="00EC7CD2" w:rsidRDefault="00EC7CD2" w:rsidP="00423283">
      <w:pPr>
        <w:pStyle w:val="4-SubsectionHeading"/>
        <w:keepNext w:val="0"/>
        <w:spacing w:before="0"/>
        <w:rPr>
          <w:lang w:eastAsia="en-US"/>
        </w:rPr>
      </w:pPr>
      <w:r w:rsidRPr="00CF621B">
        <w:rPr>
          <w:lang w:eastAsia="en-US"/>
        </w:rPr>
        <w:t>Sponsor hearing</w:t>
      </w:r>
    </w:p>
    <w:p w14:paraId="68D0DF14" w14:textId="77777777" w:rsidR="00EC7CD2" w:rsidRDefault="00EC7CD2" w:rsidP="00423283">
      <w:pPr>
        <w:pStyle w:val="3-BodyText"/>
        <w:spacing w:before="0"/>
        <w:rPr>
          <w:lang w:eastAsia="en-US"/>
        </w:rPr>
      </w:pPr>
      <w:r w:rsidRPr="00CE1DC0">
        <w:rPr>
          <w:lang w:eastAsia="en-US"/>
        </w:rPr>
        <w:t>There was no hearing for this item.</w:t>
      </w:r>
    </w:p>
    <w:p w14:paraId="300AEBFE" w14:textId="77777777" w:rsidR="00EC7CD2" w:rsidRDefault="00EC7CD2" w:rsidP="00423283">
      <w:pPr>
        <w:pStyle w:val="4-SubsectionHeading"/>
        <w:keepNext w:val="0"/>
        <w:spacing w:before="0"/>
        <w:rPr>
          <w:lang w:eastAsia="en-US"/>
        </w:rPr>
      </w:pPr>
      <w:r w:rsidRPr="00DF3F20">
        <w:rPr>
          <w:lang w:eastAsia="en-US"/>
        </w:rPr>
        <w:t>Consumer comments</w:t>
      </w:r>
    </w:p>
    <w:p w14:paraId="7EF76EF0" w14:textId="2C9C5608" w:rsidR="002A03FD" w:rsidRDefault="000B34E4" w:rsidP="00423283">
      <w:pPr>
        <w:pStyle w:val="3-BodyText"/>
        <w:spacing w:before="0"/>
        <w:rPr>
          <w:lang w:eastAsia="en-US"/>
        </w:rPr>
      </w:pPr>
      <w:r w:rsidRPr="000B34E4">
        <w:rPr>
          <w:lang w:eastAsia="en-US"/>
        </w:rPr>
        <w:t>The PBAC noted and welcomed the input from organi</w:t>
      </w:r>
      <w:r w:rsidR="007026B2">
        <w:rPr>
          <w:lang w:eastAsia="en-US"/>
        </w:rPr>
        <w:t>s</w:t>
      </w:r>
      <w:r w:rsidRPr="000B34E4">
        <w:rPr>
          <w:lang w:eastAsia="en-US"/>
        </w:rPr>
        <w:t xml:space="preserve">ations </w:t>
      </w:r>
      <w:r w:rsidR="007026B2">
        <w:rPr>
          <w:lang w:eastAsia="en-US"/>
        </w:rPr>
        <w:t>(3)</w:t>
      </w:r>
      <w:r w:rsidR="00D0782A">
        <w:rPr>
          <w:lang w:eastAsia="en-US"/>
        </w:rPr>
        <w:t xml:space="preserve"> </w:t>
      </w:r>
      <w:r w:rsidRPr="000B34E4">
        <w:rPr>
          <w:lang w:eastAsia="en-US"/>
        </w:rPr>
        <w:t>via the Consumer Comments facility on the PBS website. The PBAC acknowledged the support for listing the new forms of Xolair from the Australasian Society of Clinical Immunology and Allergy (ASCIA), Asthma Australia, and the National Allergy Council and Allergy &amp; Anaphylaxis Australia.</w:t>
      </w:r>
    </w:p>
    <w:p w14:paraId="10876138" w14:textId="4A6D92D4" w:rsidR="001A3A62" w:rsidRDefault="009863A3" w:rsidP="00423283">
      <w:pPr>
        <w:pStyle w:val="3-BodyText"/>
        <w:spacing w:before="0"/>
        <w:rPr>
          <w:lang w:eastAsia="en-US"/>
        </w:rPr>
      </w:pPr>
      <w:r w:rsidRPr="009863A3">
        <w:rPr>
          <w:lang w:eastAsia="en-US"/>
        </w:rPr>
        <w:t>The organi</w:t>
      </w:r>
      <w:r>
        <w:rPr>
          <w:lang w:eastAsia="en-US"/>
        </w:rPr>
        <w:t>s</w:t>
      </w:r>
      <w:r w:rsidRPr="009863A3">
        <w:rPr>
          <w:lang w:eastAsia="en-US"/>
        </w:rPr>
        <w:t>ations highlighted that having multiple strengths</w:t>
      </w:r>
      <w:r w:rsidR="00970ADE">
        <w:rPr>
          <w:lang w:eastAsia="en-US"/>
        </w:rPr>
        <w:t xml:space="preserve"> and forms</w:t>
      </w:r>
      <w:r w:rsidRPr="009863A3">
        <w:rPr>
          <w:lang w:eastAsia="en-US"/>
        </w:rPr>
        <w:t xml:space="preserve"> of omalizumab available on the PBS </w:t>
      </w:r>
      <w:r w:rsidR="00724440" w:rsidRPr="00724440">
        <w:rPr>
          <w:lang w:eastAsia="en-US"/>
        </w:rPr>
        <w:t>may mitigate the risk of supply issues and provide dosing flexibility.</w:t>
      </w:r>
      <w:r w:rsidR="00724440">
        <w:rPr>
          <w:lang w:eastAsia="en-US"/>
        </w:rPr>
        <w:t xml:space="preserve"> </w:t>
      </w:r>
      <w:r w:rsidRPr="009863A3">
        <w:rPr>
          <w:lang w:eastAsia="en-US"/>
        </w:rPr>
        <w:t>Specifically, the 300</w:t>
      </w:r>
      <w:r w:rsidR="00724440">
        <w:rPr>
          <w:lang w:eastAsia="en-US"/>
        </w:rPr>
        <w:t> </w:t>
      </w:r>
      <w:r w:rsidRPr="009863A3">
        <w:rPr>
          <w:lang w:eastAsia="en-US"/>
        </w:rPr>
        <w:t>mg strength will reduce the number of concurrent injections, lower out-of-pocket expenses, and improve convenience</w:t>
      </w:r>
      <w:r w:rsidR="00DB6EF8">
        <w:rPr>
          <w:lang w:eastAsia="en-US"/>
        </w:rPr>
        <w:t xml:space="preserve"> </w:t>
      </w:r>
      <w:r w:rsidRPr="009863A3">
        <w:rPr>
          <w:lang w:eastAsia="en-US"/>
        </w:rPr>
        <w:t>and treatment compliance</w:t>
      </w:r>
      <w:r w:rsidR="000056F0">
        <w:rPr>
          <w:lang w:eastAsia="en-US"/>
        </w:rPr>
        <w:t xml:space="preserve"> </w:t>
      </w:r>
      <w:r w:rsidR="000056F0" w:rsidRPr="000056F0">
        <w:rPr>
          <w:lang w:eastAsia="en-US"/>
        </w:rPr>
        <w:t>for those who require higher doses</w:t>
      </w:r>
      <w:r w:rsidRPr="009863A3">
        <w:rPr>
          <w:lang w:eastAsia="en-US"/>
        </w:rPr>
        <w:t>. Asthma Australia further noted that Xolair PFS and PFP with a safety device will increase consumer choice, potentially improving comfort and convenience with smaller needles and ease of use for self-administration. This may result in improved acceptance and treatment compliance, as well as fewer consultations. Asthma Australia emphasized that the 300</w:t>
      </w:r>
      <w:r w:rsidR="002B0028">
        <w:rPr>
          <w:lang w:eastAsia="en-US"/>
        </w:rPr>
        <w:t> </w:t>
      </w:r>
      <w:r w:rsidRPr="009863A3">
        <w:rPr>
          <w:lang w:eastAsia="en-US"/>
        </w:rPr>
        <w:t xml:space="preserve">mg strength and the PFP </w:t>
      </w:r>
      <w:r w:rsidR="00FB64C7">
        <w:rPr>
          <w:lang w:eastAsia="en-US"/>
        </w:rPr>
        <w:t xml:space="preserve">form </w:t>
      </w:r>
      <w:r w:rsidRPr="009863A3">
        <w:rPr>
          <w:lang w:eastAsia="en-US"/>
        </w:rPr>
        <w:t>are not approved for use in children aged 6-11 years</w:t>
      </w:r>
      <w:r w:rsidR="003E12F2">
        <w:rPr>
          <w:lang w:eastAsia="en-US"/>
        </w:rPr>
        <w:t>.</w:t>
      </w:r>
      <w:r w:rsidR="00DD08A1">
        <w:rPr>
          <w:lang w:eastAsia="en-US"/>
        </w:rPr>
        <w:t xml:space="preserve"> </w:t>
      </w:r>
      <w:r w:rsidR="003E12F2">
        <w:rPr>
          <w:lang w:eastAsia="en-US"/>
        </w:rPr>
        <w:t>I</w:t>
      </w:r>
      <w:r w:rsidR="00DD08A1">
        <w:rPr>
          <w:lang w:eastAsia="en-US"/>
        </w:rPr>
        <w:t>t</w:t>
      </w:r>
      <w:r w:rsidRPr="009863A3">
        <w:rPr>
          <w:lang w:eastAsia="en-US"/>
        </w:rPr>
        <w:t xml:space="preserve"> </w:t>
      </w:r>
      <w:r w:rsidR="00324B2C">
        <w:rPr>
          <w:lang w:eastAsia="en-US"/>
        </w:rPr>
        <w:t>proposed</w:t>
      </w:r>
      <w:r w:rsidRPr="009863A3">
        <w:rPr>
          <w:lang w:eastAsia="en-US"/>
        </w:rPr>
        <w:t xml:space="preserve"> that the relevant devices</w:t>
      </w:r>
      <w:r w:rsidR="001A66C7">
        <w:rPr>
          <w:lang w:eastAsia="en-US"/>
        </w:rPr>
        <w:t xml:space="preserve"> and </w:t>
      </w:r>
      <w:r w:rsidRPr="009863A3">
        <w:rPr>
          <w:lang w:eastAsia="en-US"/>
        </w:rPr>
        <w:t xml:space="preserve">strengths be clearly </w:t>
      </w:r>
      <w:r w:rsidR="002B0028" w:rsidRPr="009863A3">
        <w:rPr>
          <w:lang w:eastAsia="en-US"/>
        </w:rPr>
        <w:t>labelled</w:t>
      </w:r>
      <w:r w:rsidRPr="009863A3">
        <w:rPr>
          <w:lang w:eastAsia="en-US"/>
        </w:rPr>
        <w:t xml:space="preserve"> and identifiable as for use in adults and adolescents only</w:t>
      </w:r>
      <w:r w:rsidR="0041547A">
        <w:rPr>
          <w:lang w:eastAsia="en-US"/>
        </w:rPr>
        <w:t>,</w:t>
      </w:r>
      <w:r w:rsidRPr="009863A3">
        <w:rPr>
          <w:lang w:eastAsia="en-US"/>
        </w:rPr>
        <w:t xml:space="preserve"> to reduce the possibility of medication errors in this younger population.</w:t>
      </w:r>
    </w:p>
    <w:p w14:paraId="3F679FE9" w14:textId="3A2B74F4" w:rsidR="00C27C1C" w:rsidRPr="00A6439B" w:rsidRDefault="00C27C1C" w:rsidP="00423283">
      <w:pPr>
        <w:pStyle w:val="4-SubsectionHeading"/>
        <w:keepNext w:val="0"/>
        <w:spacing w:before="0"/>
        <w:rPr>
          <w:lang w:eastAsia="en-US"/>
        </w:rPr>
      </w:pPr>
      <w:r w:rsidRPr="00A6439B">
        <w:rPr>
          <w:lang w:eastAsia="en-US"/>
        </w:rPr>
        <w:t xml:space="preserve">Clinical trials </w:t>
      </w:r>
    </w:p>
    <w:p w14:paraId="4A3CE3BB" w14:textId="7A685276" w:rsidR="00B6533B" w:rsidRPr="00A6439B" w:rsidRDefault="2630AD59" w:rsidP="00423283">
      <w:pPr>
        <w:pStyle w:val="3-BodyText"/>
        <w:spacing w:before="0"/>
      </w:pPr>
      <w:bookmarkStart w:id="5" w:name="_Ref189667910"/>
      <w:bookmarkStart w:id="6" w:name="_Hlk86163265"/>
      <w:r w:rsidRPr="79900132">
        <w:t>The submission was based on a Phase I bioequivalence study, CIGE025K12101 (referred to as Study K12101), which demonstrated the bioequivalence of the new 300 mg/2 mL PFP and 300 mg/2 mL PFS with two doses of the existing 150 mg/mL PFS of omalizumab</w:t>
      </w:r>
      <w:r w:rsidR="06E085D4" w:rsidRPr="79900132">
        <w:t xml:space="preserve"> </w:t>
      </w:r>
      <w:r w:rsidR="48AF2D19" w:rsidRPr="79900132">
        <w:t>(</w:t>
      </w:r>
      <w:r w:rsidR="60EEC935" w:rsidRPr="79900132">
        <w:t xml:space="preserve">TGA </w:t>
      </w:r>
      <w:r w:rsidR="69BFEF36" w:rsidRPr="79900132">
        <w:t>Clinical Evaluation Report)</w:t>
      </w:r>
      <w:r w:rsidR="621C74EA" w:rsidRPr="79900132">
        <w:t>.</w:t>
      </w:r>
      <w:bookmarkEnd w:id="5"/>
    </w:p>
    <w:p w14:paraId="13177966" w14:textId="0F63C576" w:rsidR="00B6533B" w:rsidRDefault="0015360F" w:rsidP="00283DAA">
      <w:pPr>
        <w:pStyle w:val="Caption"/>
        <w:keepNext/>
        <w:keepLines/>
        <w:suppressLineNumbers/>
        <w:suppressAutoHyphens/>
        <w:rPr>
          <w:rStyle w:val="CommentReference"/>
          <w:sz w:val="20"/>
          <w:szCs w:val="20"/>
        </w:rPr>
      </w:pPr>
      <w:r>
        <w:lastRenderedPageBreak/>
        <w:t xml:space="preserve">Table </w:t>
      </w:r>
      <w:r w:rsidR="00D740EC">
        <w:fldChar w:fldCharType="begin" w:fldLock="1"/>
      </w:r>
      <w:r w:rsidR="00D740EC">
        <w:instrText xml:space="preserve"> SEQ Table \* ARABIC </w:instrText>
      </w:r>
      <w:r w:rsidR="00D740EC">
        <w:fldChar w:fldCharType="separate"/>
      </w:r>
      <w:r w:rsidR="00D740EC">
        <w:rPr>
          <w:noProof/>
        </w:rPr>
        <w:t>3</w:t>
      </w:r>
      <w:r w:rsidR="00D740EC">
        <w:rPr>
          <w:noProof/>
        </w:rPr>
        <w:fldChar w:fldCharType="end"/>
      </w:r>
      <w:r>
        <w:t xml:space="preserve">: </w:t>
      </w:r>
      <w:r w:rsidRPr="0015360F">
        <w:t xml:space="preserve">Clinical </w:t>
      </w:r>
      <w:r>
        <w:t>s</w:t>
      </w:r>
      <w:r w:rsidRPr="0015360F">
        <w:t xml:space="preserve">tudy </w:t>
      </w:r>
      <w:r>
        <w:t>r</w:t>
      </w:r>
      <w:r w:rsidRPr="0015360F">
        <w:t>eport</w:t>
      </w:r>
      <w:r>
        <w:t xml:space="preserve"> </w:t>
      </w:r>
      <w:r w:rsidR="00B6533B" w:rsidRPr="00A6439B">
        <w:rPr>
          <w:rStyle w:val="CommentReference"/>
          <w:sz w:val="20"/>
          <w:szCs w:val="20"/>
        </w:rPr>
        <w:t>presented in the submission</w:t>
      </w:r>
    </w:p>
    <w:tbl>
      <w:tblPr>
        <w:tblStyle w:val="TableGrid"/>
        <w:tblW w:w="0" w:type="auto"/>
        <w:tblLayout w:type="fixed"/>
        <w:tblLook w:val="04A0" w:firstRow="1" w:lastRow="0" w:firstColumn="1" w:lastColumn="0" w:noHBand="0" w:noVBand="1"/>
        <w:tblCaption w:val="Table 3: Clinical study report presented in the submission - Study K12101"/>
      </w:tblPr>
      <w:tblGrid>
        <w:gridCol w:w="1696"/>
        <w:gridCol w:w="3686"/>
        <w:gridCol w:w="3634"/>
      </w:tblGrid>
      <w:tr w:rsidR="00283DAA" w:rsidRPr="00A946CF" w14:paraId="183C18AB" w14:textId="77777777" w:rsidTr="00595989">
        <w:tc>
          <w:tcPr>
            <w:tcW w:w="1696" w:type="dxa"/>
            <w:shd w:val="clear" w:color="auto" w:fill="F2F2F2" w:themeFill="background1" w:themeFillShade="F2"/>
          </w:tcPr>
          <w:p w14:paraId="36CE07BA" w14:textId="3389AA52" w:rsidR="00A946CF" w:rsidRPr="00A946CF" w:rsidRDefault="00A946CF" w:rsidP="00283DAA">
            <w:pPr>
              <w:pStyle w:val="In-tableHeading"/>
              <w:keepLines/>
              <w:suppressLineNumbers/>
              <w:suppressAutoHyphens/>
              <w:rPr>
                <w:szCs w:val="20"/>
                <w:lang w:val="en-AU"/>
              </w:rPr>
            </w:pPr>
            <w:r w:rsidRPr="00A946CF">
              <w:rPr>
                <w:szCs w:val="20"/>
                <w:lang w:val="en-AU"/>
              </w:rPr>
              <w:t>Study ID</w:t>
            </w:r>
          </w:p>
        </w:tc>
        <w:tc>
          <w:tcPr>
            <w:tcW w:w="3686" w:type="dxa"/>
            <w:shd w:val="clear" w:color="auto" w:fill="F2F2F2" w:themeFill="background1" w:themeFillShade="F2"/>
          </w:tcPr>
          <w:p w14:paraId="190B325B" w14:textId="4357E720" w:rsidR="00A946CF" w:rsidRPr="00A946CF" w:rsidRDefault="00A946CF" w:rsidP="00283DAA">
            <w:pPr>
              <w:pStyle w:val="In-tableHeading"/>
              <w:keepLines/>
              <w:suppressLineNumbers/>
              <w:suppressAutoHyphens/>
              <w:rPr>
                <w:szCs w:val="20"/>
                <w:lang w:val="en-AU"/>
              </w:rPr>
            </w:pPr>
            <w:r w:rsidRPr="00A946CF">
              <w:rPr>
                <w:szCs w:val="20"/>
                <w:lang w:val="en-AU"/>
              </w:rPr>
              <w:t xml:space="preserve">Protocol title </w:t>
            </w:r>
          </w:p>
        </w:tc>
        <w:tc>
          <w:tcPr>
            <w:tcW w:w="3634" w:type="dxa"/>
            <w:shd w:val="clear" w:color="auto" w:fill="F2F2F2" w:themeFill="background1" w:themeFillShade="F2"/>
          </w:tcPr>
          <w:p w14:paraId="5D9780FC" w14:textId="5E39FCD5" w:rsidR="00A946CF" w:rsidRPr="00A946CF" w:rsidRDefault="009334DE" w:rsidP="00283DAA">
            <w:pPr>
              <w:pStyle w:val="In-tableHeading"/>
              <w:keepLines/>
              <w:suppressLineNumbers/>
              <w:suppressAutoHyphens/>
              <w:rPr>
                <w:szCs w:val="20"/>
                <w:lang w:val="en-AU"/>
              </w:rPr>
            </w:pPr>
            <w:r>
              <w:rPr>
                <w:szCs w:val="20"/>
                <w:lang w:val="en-AU"/>
              </w:rPr>
              <w:t xml:space="preserve">Purpose of the study </w:t>
            </w:r>
          </w:p>
        </w:tc>
      </w:tr>
      <w:tr w:rsidR="00283DAA" w:rsidRPr="00A946CF" w14:paraId="1D86215A" w14:textId="77777777" w:rsidTr="00283DAA">
        <w:tc>
          <w:tcPr>
            <w:tcW w:w="1696" w:type="dxa"/>
          </w:tcPr>
          <w:p w14:paraId="548B18C9" w14:textId="63F3C3CC" w:rsidR="00A946CF" w:rsidRPr="00A946CF" w:rsidRDefault="00A946CF" w:rsidP="00283DAA">
            <w:pPr>
              <w:pStyle w:val="In-tableHeading"/>
              <w:keepLines/>
              <w:suppressLineNumbers/>
              <w:suppressAutoHyphens/>
              <w:rPr>
                <w:b w:val="0"/>
                <w:bCs/>
                <w:szCs w:val="20"/>
                <w:lang w:val="en-AU"/>
              </w:rPr>
            </w:pPr>
            <w:r w:rsidRPr="00A946CF">
              <w:rPr>
                <w:b w:val="0"/>
                <w:bCs/>
                <w:szCs w:val="20"/>
              </w:rPr>
              <w:t>CIGE025K12101 (referred to as Study K12101)</w:t>
            </w:r>
          </w:p>
        </w:tc>
        <w:tc>
          <w:tcPr>
            <w:tcW w:w="3686" w:type="dxa"/>
          </w:tcPr>
          <w:p w14:paraId="5EC9012F" w14:textId="77777777" w:rsidR="00A946CF" w:rsidRPr="00634F3A" w:rsidRDefault="00A946CF" w:rsidP="00283DAA">
            <w:pPr>
              <w:pStyle w:val="TableText0"/>
              <w:keepLines/>
              <w:suppressLineNumbers/>
              <w:suppressAutoHyphens/>
              <w:rPr>
                <w:szCs w:val="20"/>
              </w:rPr>
            </w:pPr>
            <w:r w:rsidRPr="00634F3A">
              <w:rPr>
                <w:szCs w:val="20"/>
              </w:rPr>
              <w:t>An open-label, randomized, single-dose, 3-parallel-group, bioequivalence study of</w:t>
            </w:r>
            <w:r w:rsidRPr="00FB08D5">
              <w:rPr>
                <w:szCs w:val="20"/>
              </w:rPr>
              <w:t xml:space="preserve"> </w:t>
            </w:r>
            <w:r w:rsidRPr="00634F3A">
              <w:rPr>
                <w:szCs w:val="20"/>
              </w:rPr>
              <w:t>omalizumab administered by a proposed prefilled syringe system in an autoinjector</w:t>
            </w:r>
            <w:r w:rsidRPr="00FB08D5">
              <w:rPr>
                <w:szCs w:val="20"/>
              </w:rPr>
              <w:t xml:space="preserve"> </w:t>
            </w:r>
            <w:r w:rsidRPr="00634F3A">
              <w:rPr>
                <w:szCs w:val="20"/>
              </w:rPr>
              <w:t>configuration and with a needle safety device configuration, both compared against the</w:t>
            </w:r>
          </w:p>
          <w:p w14:paraId="7742A77D" w14:textId="201698F9" w:rsidR="00A946CF" w:rsidRPr="00FB08D5" w:rsidRDefault="00A946CF" w:rsidP="00283DAA">
            <w:pPr>
              <w:pStyle w:val="In-tableHeading"/>
              <w:keepLines/>
              <w:suppressLineNumbers/>
              <w:suppressAutoHyphens/>
              <w:rPr>
                <w:b w:val="0"/>
                <w:bCs/>
                <w:szCs w:val="20"/>
                <w:lang w:val="en-AU"/>
              </w:rPr>
            </w:pPr>
            <w:r w:rsidRPr="00FB08D5">
              <w:rPr>
                <w:b w:val="0"/>
                <w:bCs/>
                <w:szCs w:val="20"/>
              </w:rPr>
              <w:t>registered prefilled syringe product in healthy participants.</w:t>
            </w:r>
          </w:p>
        </w:tc>
        <w:tc>
          <w:tcPr>
            <w:tcW w:w="3634" w:type="dxa"/>
          </w:tcPr>
          <w:p w14:paraId="5B9D0253" w14:textId="28EAE34F" w:rsidR="00FB08D5" w:rsidRDefault="00CF17D1" w:rsidP="00283DAA">
            <w:pPr>
              <w:pStyle w:val="In-tableHeading"/>
              <w:keepLines/>
              <w:suppressLineNumbers/>
              <w:suppressAutoHyphens/>
              <w:rPr>
                <w:b w:val="0"/>
                <w:bCs/>
                <w:szCs w:val="20"/>
                <w:lang w:val="en-AU"/>
              </w:rPr>
            </w:pPr>
            <w:r w:rsidRPr="00FB08D5">
              <w:rPr>
                <w:b w:val="0"/>
                <w:bCs/>
                <w:szCs w:val="20"/>
                <w:lang w:val="en-AU"/>
              </w:rPr>
              <w:t xml:space="preserve">To demonstrate </w:t>
            </w:r>
            <w:r w:rsidR="00A37565" w:rsidRPr="00FB08D5">
              <w:rPr>
                <w:b w:val="0"/>
                <w:bCs/>
                <w:szCs w:val="20"/>
                <w:lang w:val="en-AU"/>
              </w:rPr>
              <w:t>bioequivalence</w:t>
            </w:r>
            <w:r w:rsidRPr="00FB08D5">
              <w:rPr>
                <w:b w:val="0"/>
                <w:bCs/>
                <w:szCs w:val="20"/>
                <w:lang w:val="en-AU"/>
              </w:rPr>
              <w:t xml:space="preserve"> of</w:t>
            </w:r>
            <w:r w:rsidR="00334B2A">
              <w:rPr>
                <w:b w:val="0"/>
                <w:bCs/>
                <w:szCs w:val="20"/>
                <w:lang w:val="en-AU"/>
              </w:rPr>
              <w:t xml:space="preserve"> </w:t>
            </w:r>
            <w:r w:rsidR="008A7D89" w:rsidRPr="008A7D89">
              <w:rPr>
                <w:b w:val="0"/>
                <w:bCs/>
                <w:szCs w:val="20"/>
                <w:lang w:val="en-AU"/>
              </w:rPr>
              <w:t>omalizumab</w:t>
            </w:r>
            <w:r w:rsidR="008A7D89">
              <w:rPr>
                <w:b w:val="0"/>
                <w:bCs/>
                <w:szCs w:val="20"/>
                <w:lang w:val="en-AU"/>
              </w:rPr>
              <w:t xml:space="preserve"> between: </w:t>
            </w:r>
          </w:p>
          <w:p w14:paraId="12B1214E" w14:textId="227FBC08" w:rsidR="00DE6992" w:rsidRPr="00283DAA" w:rsidRDefault="008A7D89" w:rsidP="00283DAA">
            <w:pPr>
              <w:pStyle w:val="In-tableHeading"/>
              <w:keepLines/>
              <w:numPr>
                <w:ilvl w:val="0"/>
                <w:numId w:val="38"/>
              </w:numPr>
              <w:suppressLineNumbers/>
              <w:suppressAutoHyphens/>
              <w:rPr>
                <w:b w:val="0"/>
                <w:bCs/>
                <w:szCs w:val="20"/>
                <w:lang w:val="en-AU"/>
              </w:rPr>
            </w:pPr>
            <w:r w:rsidRPr="00283DAA">
              <w:rPr>
                <w:b w:val="0"/>
                <w:bCs/>
                <w:szCs w:val="20"/>
                <w:lang w:val="en-AU"/>
              </w:rPr>
              <w:t xml:space="preserve">300 mg/2 mL proposed PFS- autoinjector (AI) and </w:t>
            </w:r>
            <w:r w:rsidR="00DE6992" w:rsidRPr="00283DAA">
              <w:rPr>
                <w:b w:val="0"/>
                <w:bCs/>
                <w:szCs w:val="20"/>
                <w:lang w:val="en-AU"/>
              </w:rPr>
              <w:t>2 x (150 mg/mL) current PFS- needle safety device (NSD) in healthy volunteers.</w:t>
            </w:r>
          </w:p>
          <w:p w14:paraId="532069C2" w14:textId="33E3BA36" w:rsidR="00A946CF" w:rsidRPr="00283DAA" w:rsidRDefault="00283DAA" w:rsidP="00283DAA">
            <w:pPr>
              <w:pStyle w:val="In-tableHeading"/>
              <w:keepLines/>
              <w:numPr>
                <w:ilvl w:val="0"/>
                <w:numId w:val="38"/>
              </w:numPr>
              <w:suppressLineNumbers/>
              <w:suppressAutoHyphens/>
              <w:rPr>
                <w:bCs/>
                <w:szCs w:val="20"/>
              </w:rPr>
            </w:pPr>
            <w:r w:rsidRPr="00283DAA">
              <w:rPr>
                <w:b w:val="0"/>
                <w:bCs/>
                <w:szCs w:val="20"/>
              </w:rPr>
              <w:t xml:space="preserve">300 mg/2 mL proposed PFS-NSD and 2 x (150 mg/1 mL) current PFS-NSD in </w:t>
            </w:r>
            <w:r w:rsidRPr="00283DAA">
              <w:rPr>
                <w:b w:val="0"/>
                <w:bCs/>
                <w:szCs w:val="20"/>
                <w:lang w:val="en-AU"/>
              </w:rPr>
              <w:t>healthy volunteers.</w:t>
            </w:r>
          </w:p>
        </w:tc>
      </w:tr>
    </w:tbl>
    <w:p w14:paraId="0D78E536" w14:textId="0F8A88A8" w:rsidR="00B6533B" w:rsidRPr="00A6439B" w:rsidRDefault="00B6533B" w:rsidP="00283DAA">
      <w:pPr>
        <w:pStyle w:val="FooterTableFigure"/>
        <w:keepNext/>
        <w:keepLines/>
        <w:suppressLineNumbers/>
        <w:suppressAutoHyphens/>
        <w:rPr>
          <w:sz w:val="20"/>
        </w:rPr>
      </w:pPr>
      <w:r w:rsidRPr="00A6439B">
        <w:t xml:space="preserve">Source: </w:t>
      </w:r>
      <w:r w:rsidR="00A51599">
        <w:t xml:space="preserve">Study ID </w:t>
      </w:r>
      <w:r w:rsidR="00A51599" w:rsidRPr="006914A1">
        <w:t>CIGE025K12101</w:t>
      </w:r>
      <w:r w:rsidR="00A51599">
        <w:t xml:space="preserve"> </w:t>
      </w:r>
      <w:r w:rsidR="000578B1" w:rsidRPr="000578B1">
        <w:t>Full Clinical Study Report</w:t>
      </w:r>
      <w:r w:rsidR="000578B1">
        <w:t xml:space="preserve"> </w:t>
      </w:r>
      <w:r w:rsidR="00A51599">
        <w:t>(</w:t>
      </w:r>
      <w:r w:rsidR="00724449" w:rsidRPr="00724449">
        <w:t xml:space="preserve">Attachment 4 </w:t>
      </w:r>
      <w:r w:rsidRPr="00A6439B">
        <w:t>of the submission</w:t>
      </w:r>
      <w:r w:rsidR="00D773C6">
        <w:t>)</w:t>
      </w:r>
      <w:r w:rsidRPr="00A6439B">
        <w:t>.</w:t>
      </w:r>
    </w:p>
    <w:bookmarkEnd w:id="6"/>
    <w:p w14:paraId="55D3FCA9" w14:textId="43BCFC19" w:rsidR="002C60BF" w:rsidRDefault="462054C2" w:rsidP="00423283">
      <w:pPr>
        <w:pStyle w:val="3-BodyText"/>
        <w:spacing w:before="0"/>
      </w:pPr>
      <w:r w:rsidRPr="79900132">
        <w:t>The submission noted that the most recent Periodic Safety Update Report (PSUR</w:t>
      </w:r>
      <w:r w:rsidR="2A828111" w:rsidRPr="79900132">
        <w:t>, 31 December 2022</w:t>
      </w:r>
      <w:r w:rsidRPr="79900132">
        <w:t>), which included an analysis of safety data from Study K12101, supported that the safety of omalizumab remained consistent with previous experience and that its benefit-risk profile remained positive.</w:t>
      </w:r>
      <w:r w:rsidR="44E7305D" w:rsidRPr="79900132">
        <w:t xml:space="preserve"> </w:t>
      </w:r>
    </w:p>
    <w:p w14:paraId="43429B06" w14:textId="2DA06083" w:rsidR="00BB298A" w:rsidRPr="00D47039" w:rsidRDefault="00BB298A" w:rsidP="00423283">
      <w:pPr>
        <w:pStyle w:val="3-BodyText"/>
        <w:numPr>
          <w:ilvl w:val="1"/>
          <w:numId w:val="3"/>
        </w:numPr>
        <w:spacing w:before="0"/>
      </w:pPr>
      <w:r w:rsidRPr="00D47039">
        <w:rPr>
          <w:lang w:eastAsia="en-US"/>
        </w:rPr>
        <w:t xml:space="preserve">As a Category </w:t>
      </w:r>
      <w:r w:rsidR="00D86843" w:rsidRPr="00D47039">
        <w:rPr>
          <w:lang w:eastAsia="en-US"/>
        </w:rPr>
        <w:t>4</w:t>
      </w:r>
      <w:r w:rsidRPr="00D47039">
        <w:rPr>
          <w:lang w:eastAsia="en-US"/>
        </w:rPr>
        <w:t xml:space="preserve"> submission, no evaluation of the clinical evidence was undertaken</w:t>
      </w:r>
      <w:r w:rsidRPr="00D47039">
        <w:t>.</w:t>
      </w:r>
    </w:p>
    <w:p w14:paraId="2CDF3682" w14:textId="77777777" w:rsidR="00C27C1C" w:rsidRPr="00A6439B" w:rsidRDefault="00C27C1C" w:rsidP="00423283">
      <w:pPr>
        <w:pStyle w:val="4-SubsectionHeading"/>
        <w:spacing w:before="0"/>
        <w:rPr>
          <w:lang w:eastAsia="en-US"/>
        </w:rPr>
      </w:pPr>
      <w:r w:rsidRPr="00A6439B">
        <w:rPr>
          <w:lang w:eastAsia="en-US"/>
        </w:rPr>
        <w:t>Clinical claim</w:t>
      </w:r>
    </w:p>
    <w:p w14:paraId="0436CFE0" w14:textId="3FFADAD4" w:rsidR="00C27C1C" w:rsidRPr="004951C6" w:rsidRDefault="008B6F13" w:rsidP="00423283">
      <w:pPr>
        <w:pStyle w:val="3-BodyText"/>
        <w:spacing w:before="0"/>
      </w:pPr>
      <w:r w:rsidRPr="008B6F13">
        <w:t xml:space="preserve">The submission claimed non-inferior comparative effectiveness and safety of </w:t>
      </w:r>
      <w:r w:rsidR="008626EF" w:rsidRPr="008B6F13">
        <w:t xml:space="preserve">the proposed new strength and PFS and PFP </w:t>
      </w:r>
      <w:r w:rsidR="0051451E">
        <w:t xml:space="preserve">forms </w:t>
      </w:r>
      <w:r w:rsidR="0051451E" w:rsidRPr="008B6F13">
        <w:t xml:space="preserve">of omalizumab </w:t>
      </w:r>
      <w:r w:rsidR="00096E70" w:rsidRPr="008B6F13">
        <w:t xml:space="preserve">compared with </w:t>
      </w:r>
      <w:r w:rsidRPr="008B6F13">
        <w:t xml:space="preserve">the currently </w:t>
      </w:r>
      <w:r w:rsidR="008B5709">
        <w:t>PBS-</w:t>
      </w:r>
      <w:r w:rsidRPr="008B6F13">
        <w:t>listed strengths and PFS form for its relevant indications.</w:t>
      </w:r>
    </w:p>
    <w:p w14:paraId="45D181E4" w14:textId="77777777" w:rsidR="00C27C1C" w:rsidRPr="00A6439B" w:rsidRDefault="00C27C1C" w:rsidP="00423283">
      <w:pPr>
        <w:pStyle w:val="4-SubsectionHeading"/>
        <w:spacing w:before="0"/>
        <w:rPr>
          <w:lang w:eastAsia="en-US"/>
        </w:rPr>
      </w:pPr>
      <w:r w:rsidRPr="00A6439B">
        <w:rPr>
          <w:lang w:eastAsia="en-US"/>
        </w:rPr>
        <w:t xml:space="preserve">Economic analysis </w:t>
      </w:r>
    </w:p>
    <w:p w14:paraId="1A7CAF7D" w14:textId="3C5F829E" w:rsidR="00EF4580" w:rsidRPr="004700FB" w:rsidRDefault="3005580C" w:rsidP="00423283">
      <w:pPr>
        <w:pStyle w:val="3-BodyText"/>
        <w:spacing w:before="0"/>
      </w:pPr>
      <w:r w:rsidRPr="79900132">
        <w:t>The submission used a cost-minimi</w:t>
      </w:r>
      <w:r w:rsidR="008949D7" w:rsidRPr="79900132">
        <w:t>s</w:t>
      </w:r>
      <w:r w:rsidRPr="79900132">
        <w:t xml:space="preserve">ation approach to compare the currently listed strengths and PFS form of omalizumab with the proposed new strength and new PFS and PFP forms at a 1:1 milligram ratio. </w:t>
      </w:r>
      <w:r>
        <w:fldChar w:fldCharType="begin" w:fldLock="1"/>
      </w:r>
      <w:r>
        <w:instrText xml:space="preserve"> REF _Ref189670861 \h </w:instrText>
      </w:r>
      <w:r>
        <w:fldChar w:fldCharType="separate"/>
      </w:r>
      <w:r w:rsidR="00145D91" w:rsidRPr="79900132">
        <w:t xml:space="preserve">Table </w:t>
      </w:r>
      <w:r w:rsidR="00145D91" w:rsidRPr="79900132">
        <w:rPr>
          <w:noProof/>
        </w:rPr>
        <w:t>4</w:t>
      </w:r>
      <w:r>
        <w:fldChar w:fldCharType="end"/>
      </w:r>
      <w:r w:rsidRPr="79900132">
        <w:t xml:space="preserve"> provides the proposed approved ex-manufacturer price (AEMP) for each strength, which are consistent across all currently listed indications.</w:t>
      </w:r>
    </w:p>
    <w:p w14:paraId="4837C270" w14:textId="1B4BC648" w:rsidR="00557B87" w:rsidRPr="00FB3550" w:rsidRDefault="231AA216" w:rsidP="79900132">
      <w:pPr>
        <w:pStyle w:val="Caption"/>
        <w:keepNext/>
        <w:keepLines/>
        <w:rPr>
          <w:rFonts w:eastAsiaTheme="minorEastAsia" w:cstheme="minorBidi"/>
        </w:rPr>
      </w:pPr>
      <w:bookmarkStart w:id="7" w:name="_Ref189670861"/>
      <w:r w:rsidRPr="79900132">
        <w:t xml:space="preserve">Table </w:t>
      </w:r>
      <w:r w:rsidR="00D740EC">
        <w:fldChar w:fldCharType="begin" w:fldLock="1"/>
      </w:r>
      <w:r w:rsidR="00D740EC">
        <w:instrText xml:space="preserve"> SEQ Table \* ARABIC </w:instrText>
      </w:r>
      <w:r w:rsidR="00D740EC">
        <w:fldChar w:fldCharType="separate"/>
      </w:r>
      <w:r w:rsidR="00D740EC" w:rsidRPr="79900132">
        <w:rPr>
          <w:noProof/>
        </w:rPr>
        <w:t>4</w:t>
      </w:r>
      <w:r w:rsidR="00D740EC">
        <w:rPr>
          <w:noProof/>
        </w:rPr>
        <w:fldChar w:fldCharType="end"/>
      </w:r>
      <w:bookmarkEnd w:id="7"/>
      <w:r w:rsidRPr="79900132">
        <w:t xml:space="preserve">: </w:t>
      </w:r>
      <w:r w:rsidR="39BCF7E5" w:rsidRPr="79900132">
        <w:t>Proposed AEMP</w:t>
      </w:r>
      <w:r w:rsidR="2278ABAF" w:rsidRPr="79900132">
        <w:t>s</w:t>
      </w:r>
      <w:r w:rsidR="39BCF7E5" w:rsidRPr="79900132">
        <w:t xml:space="preserve"> </w:t>
      </w:r>
      <w:r w:rsidR="2278ABAF" w:rsidRPr="79900132">
        <w:t xml:space="preserve">in the submission </w:t>
      </w:r>
    </w:p>
    <w:tbl>
      <w:tblPr>
        <w:tblStyle w:val="TableGrid"/>
        <w:tblW w:w="3849" w:type="pct"/>
        <w:tblLook w:val="04A0" w:firstRow="1" w:lastRow="0" w:firstColumn="1" w:lastColumn="0" w:noHBand="0" w:noVBand="1"/>
        <w:tblCaption w:val="Table 4: Proposed AEMPs in the submission "/>
      </w:tblPr>
      <w:tblGrid>
        <w:gridCol w:w="3470"/>
        <w:gridCol w:w="3471"/>
      </w:tblGrid>
      <w:tr w:rsidR="0091021A" w14:paraId="286FC73B" w14:textId="77777777" w:rsidTr="00414495">
        <w:tc>
          <w:tcPr>
            <w:tcW w:w="2500" w:type="pct"/>
            <w:shd w:val="clear" w:color="auto" w:fill="F2F2F2" w:themeFill="background1" w:themeFillShade="F2"/>
          </w:tcPr>
          <w:p w14:paraId="314EDD8A" w14:textId="6EA50E4B" w:rsidR="0091021A" w:rsidRPr="00BB7741" w:rsidRDefault="00414495" w:rsidP="008B5709">
            <w:pPr>
              <w:pStyle w:val="In-tableHeading"/>
              <w:keepLines/>
              <w:suppressLineNumbers/>
              <w:suppressAutoHyphens/>
              <w:rPr>
                <w:szCs w:val="20"/>
                <w:lang w:val="en-AU"/>
              </w:rPr>
            </w:pPr>
            <w:r>
              <w:rPr>
                <w:szCs w:val="20"/>
                <w:lang w:val="en-AU"/>
              </w:rPr>
              <w:t>Strength/Form</w:t>
            </w:r>
            <w:r w:rsidR="001B2819">
              <w:rPr>
                <w:szCs w:val="20"/>
                <w:lang w:val="en-AU"/>
              </w:rPr>
              <w:t>s</w:t>
            </w:r>
          </w:p>
        </w:tc>
        <w:tc>
          <w:tcPr>
            <w:tcW w:w="2500" w:type="pct"/>
            <w:shd w:val="clear" w:color="auto" w:fill="F2F2F2" w:themeFill="background1" w:themeFillShade="F2"/>
          </w:tcPr>
          <w:p w14:paraId="3995C7AE" w14:textId="68707265" w:rsidR="0091021A" w:rsidRPr="00BB7741" w:rsidRDefault="0091021A" w:rsidP="008B5709">
            <w:pPr>
              <w:pStyle w:val="In-tableHeading"/>
              <w:keepLines/>
              <w:suppressLineNumbers/>
              <w:suppressAutoHyphens/>
              <w:rPr>
                <w:szCs w:val="20"/>
                <w:lang w:val="en-AU"/>
              </w:rPr>
            </w:pPr>
            <w:r>
              <w:rPr>
                <w:szCs w:val="20"/>
                <w:lang w:val="en-AU"/>
              </w:rPr>
              <w:t xml:space="preserve">AEMP </w:t>
            </w:r>
          </w:p>
        </w:tc>
      </w:tr>
      <w:tr w:rsidR="0091021A" w14:paraId="14811ED6" w14:textId="77777777" w:rsidTr="00414495">
        <w:tc>
          <w:tcPr>
            <w:tcW w:w="2500" w:type="pct"/>
          </w:tcPr>
          <w:p w14:paraId="1B648F00" w14:textId="6745FEFE" w:rsidR="0091021A" w:rsidRPr="00BA410A" w:rsidRDefault="0091021A" w:rsidP="008B5709">
            <w:pPr>
              <w:pStyle w:val="In-tableHeading"/>
              <w:keepLines/>
              <w:suppressLineNumbers/>
              <w:suppressAutoHyphens/>
              <w:rPr>
                <w:b w:val="0"/>
                <w:bCs/>
                <w:szCs w:val="20"/>
                <w:lang w:val="en-AU"/>
              </w:rPr>
            </w:pPr>
            <w:r w:rsidRPr="00BA410A">
              <w:rPr>
                <w:b w:val="0"/>
                <w:bCs/>
                <w:szCs w:val="20"/>
                <w:lang w:val="en-AU"/>
              </w:rPr>
              <w:t>75 mg/0.5 ml PFS and PFP</w:t>
            </w:r>
          </w:p>
        </w:tc>
        <w:tc>
          <w:tcPr>
            <w:tcW w:w="2500" w:type="pct"/>
          </w:tcPr>
          <w:p w14:paraId="7BCEB60F" w14:textId="23E67E09" w:rsidR="0091021A" w:rsidRPr="00CF1D28" w:rsidRDefault="0091021A" w:rsidP="008B5709">
            <w:pPr>
              <w:pStyle w:val="In-tableHeading"/>
              <w:keepLines/>
              <w:suppressLineNumbers/>
              <w:suppressAutoHyphens/>
              <w:rPr>
                <w:b w:val="0"/>
                <w:bCs/>
                <w:szCs w:val="20"/>
                <w:lang w:val="en-AU"/>
              </w:rPr>
            </w:pPr>
            <w:r w:rsidRPr="00CF1D28">
              <w:rPr>
                <w:b w:val="0"/>
                <w:bCs/>
              </w:rPr>
              <w:t>$107.60</w:t>
            </w:r>
          </w:p>
        </w:tc>
      </w:tr>
      <w:tr w:rsidR="0091021A" w14:paraId="41DA5188" w14:textId="77777777" w:rsidTr="00414495">
        <w:tc>
          <w:tcPr>
            <w:tcW w:w="2500" w:type="pct"/>
          </w:tcPr>
          <w:p w14:paraId="3888A8E5" w14:textId="451FB67F" w:rsidR="0091021A" w:rsidRPr="00BA410A" w:rsidRDefault="0091021A" w:rsidP="008B5709">
            <w:pPr>
              <w:pStyle w:val="In-tableHeading"/>
              <w:keepLines/>
              <w:suppressLineNumbers/>
              <w:suppressAutoHyphens/>
              <w:rPr>
                <w:b w:val="0"/>
                <w:bCs/>
                <w:szCs w:val="20"/>
                <w:lang w:val="en-AU"/>
              </w:rPr>
            </w:pPr>
            <w:r w:rsidRPr="00BA410A">
              <w:rPr>
                <w:b w:val="0"/>
                <w:bCs/>
              </w:rPr>
              <w:t>150 mg/ml PFS and PFP</w:t>
            </w:r>
          </w:p>
        </w:tc>
        <w:tc>
          <w:tcPr>
            <w:tcW w:w="2500" w:type="pct"/>
          </w:tcPr>
          <w:p w14:paraId="6DC43906" w14:textId="5C7DD7C4" w:rsidR="0091021A" w:rsidRPr="00CF1D28" w:rsidRDefault="0091021A" w:rsidP="008B5709">
            <w:pPr>
              <w:pStyle w:val="In-tableHeading"/>
              <w:keepLines/>
              <w:suppressLineNumbers/>
              <w:suppressAutoHyphens/>
              <w:rPr>
                <w:b w:val="0"/>
                <w:bCs/>
                <w:szCs w:val="20"/>
                <w:lang w:val="en-AU"/>
              </w:rPr>
            </w:pPr>
            <w:r w:rsidRPr="00CF1D28">
              <w:rPr>
                <w:b w:val="0"/>
                <w:bCs/>
              </w:rPr>
              <w:t>$215.19</w:t>
            </w:r>
          </w:p>
        </w:tc>
      </w:tr>
      <w:tr w:rsidR="0091021A" w14:paraId="175EBD69" w14:textId="77777777" w:rsidTr="00414495">
        <w:tc>
          <w:tcPr>
            <w:tcW w:w="2500" w:type="pct"/>
          </w:tcPr>
          <w:p w14:paraId="6F769C54" w14:textId="645B0E55" w:rsidR="0091021A" w:rsidRPr="00BA410A" w:rsidRDefault="0091021A" w:rsidP="008B5709">
            <w:pPr>
              <w:pStyle w:val="In-tableHeading"/>
              <w:keepLines/>
              <w:suppressLineNumbers/>
              <w:suppressAutoHyphens/>
              <w:rPr>
                <w:b w:val="0"/>
                <w:bCs/>
                <w:szCs w:val="20"/>
                <w:lang w:val="en-AU"/>
              </w:rPr>
            </w:pPr>
            <w:r w:rsidRPr="00BA410A">
              <w:rPr>
                <w:b w:val="0"/>
                <w:bCs/>
                <w:szCs w:val="20"/>
                <w:lang w:val="en-AU"/>
              </w:rPr>
              <w:t>300 mg/2 ml PFS and PFP</w:t>
            </w:r>
          </w:p>
        </w:tc>
        <w:tc>
          <w:tcPr>
            <w:tcW w:w="2500" w:type="pct"/>
          </w:tcPr>
          <w:p w14:paraId="34583F1F" w14:textId="62CB5264" w:rsidR="0091021A" w:rsidRPr="00CF1D28" w:rsidRDefault="0091021A" w:rsidP="008B5709">
            <w:pPr>
              <w:pStyle w:val="In-tableHeading"/>
              <w:keepLines/>
              <w:suppressLineNumbers/>
              <w:suppressAutoHyphens/>
              <w:rPr>
                <w:b w:val="0"/>
                <w:bCs/>
                <w:szCs w:val="20"/>
                <w:lang w:val="en-AU"/>
              </w:rPr>
            </w:pPr>
            <w:r w:rsidRPr="00CF1D28">
              <w:rPr>
                <w:b w:val="0"/>
                <w:bCs/>
              </w:rPr>
              <w:t>$430.38</w:t>
            </w:r>
          </w:p>
        </w:tc>
      </w:tr>
    </w:tbl>
    <w:p w14:paraId="58129975" w14:textId="4E1E7FFE" w:rsidR="006C4119" w:rsidRPr="00BA410A" w:rsidRDefault="006C4119" w:rsidP="008B5709">
      <w:pPr>
        <w:pStyle w:val="3-BodyText"/>
        <w:keepNext/>
        <w:keepLines/>
        <w:numPr>
          <w:ilvl w:val="0"/>
          <w:numId w:val="0"/>
        </w:numPr>
        <w:spacing w:before="0" w:after="0"/>
        <w:rPr>
          <w:rFonts w:ascii="Arial Narrow" w:hAnsi="Arial Narrow" w:cstheme="minorHAnsi"/>
          <w:sz w:val="18"/>
          <w:szCs w:val="18"/>
        </w:rPr>
      </w:pPr>
      <w:r w:rsidRPr="00BA410A">
        <w:rPr>
          <w:rFonts w:ascii="Arial Narrow" w:hAnsi="Arial Narrow" w:cstheme="minorHAnsi"/>
          <w:sz w:val="18"/>
          <w:szCs w:val="18"/>
        </w:rPr>
        <w:t xml:space="preserve">Source: </w:t>
      </w:r>
      <w:bookmarkStart w:id="8" w:name="_Ref180406414"/>
      <w:r w:rsidR="00166A7C" w:rsidRPr="00BA410A">
        <w:rPr>
          <w:rFonts w:ascii="Arial Narrow" w:hAnsi="Arial Narrow"/>
          <w:sz w:val="18"/>
          <w:szCs w:val="18"/>
        </w:rPr>
        <w:t xml:space="preserve">Table </w:t>
      </w:r>
      <w:bookmarkEnd w:id="8"/>
      <w:r w:rsidR="00D5048B" w:rsidRPr="00BA410A">
        <w:rPr>
          <w:rFonts w:ascii="Arial Narrow" w:hAnsi="Arial Narrow"/>
          <w:sz w:val="18"/>
          <w:szCs w:val="18"/>
        </w:rPr>
        <w:t>1.5, 1.6, 1.7</w:t>
      </w:r>
      <w:r w:rsidR="00BA410A" w:rsidRPr="00BA410A">
        <w:rPr>
          <w:rFonts w:ascii="Arial Narrow" w:hAnsi="Arial Narrow"/>
          <w:sz w:val="18"/>
          <w:szCs w:val="18"/>
        </w:rPr>
        <w:t xml:space="preserve">, 3,1 of the submission </w:t>
      </w:r>
    </w:p>
    <w:p w14:paraId="44B92D80" w14:textId="77777777" w:rsidR="00F30DB4" w:rsidRDefault="006C4119" w:rsidP="008B5709">
      <w:pPr>
        <w:pStyle w:val="3-BodyText"/>
        <w:keepNext/>
        <w:keepLines/>
        <w:numPr>
          <w:ilvl w:val="0"/>
          <w:numId w:val="0"/>
        </w:numPr>
        <w:spacing w:before="0" w:after="0"/>
        <w:rPr>
          <w:rFonts w:ascii="Arial Narrow" w:hAnsi="Arial Narrow" w:cstheme="minorHAnsi"/>
          <w:sz w:val="18"/>
          <w:szCs w:val="18"/>
        </w:rPr>
      </w:pPr>
      <w:r w:rsidRPr="00BA410A">
        <w:rPr>
          <w:rFonts w:ascii="Arial Narrow" w:hAnsi="Arial Narrow" w:cstheme="minorHAnsi"/>
          <w:sz w:val="18"/>
          <w:szCs w:val="18"/>
        </w:rPr>
        <w:t>Abbreviations: PFS</w:t>
      </w:r>
      <w:r w:rsidR="00166A7C" w:rsidRPr="00BA410A">
        <w:rPr>
          <w:rFonts w:ascii="Arial Narrow" w:hAnsi="Arial Narrow" w:cstheme="minorHAnsi"/>
          <w:sz w:val="18"/>
          <w:szCs w:val="18"/>
        </w:rPr>
        <w:t xml:space="preserve"> = </w:t>
      </w:r>
      <w:r w:rsidRPr="00BA410A">
        <w:rPr>
          <w:rFonts w:ascii="Arial Narrow" w:hAnsi="Arial Narrow" w:cstheme="minorHAnsi"/>
          <w:sz w:val="18"/>
          <w:szCs w:val="18"/>
        </w:rPr>
        <w:t xml:space="preserve">pre-filled syringe, </w:t>
      </w:r>
      <w:r w:rsidR="00166A7C" w:rsidRPr="00BA410A">
        <w:rPr>
          <w:rFonts w:ascii="Arial Narrow" w:hAnsi="Arial Narrow" w:cstheme="minorHAnsi"/>
          <w:sz w:val="18"/>
          <w:szCs w:val="18"/>
        </w:rPr>
        <w:t>PFP = pre-filled pen</w:t>
      </w:r>
      <w:r w:rsidRPr="00BA410A">
        <w:rPr>
          <w:rFonts w:ascii="Arial Narrow" w:hAnsi="Arial Narrow" w:cstheme="minorHAnsi"/>
          <w:sz w:val="18"/>
          <w:szCs w:val="18"/>
        </w:rPr>
        <w:t>, AEMP</w:t>
      </w:r>
      <w:r w:rsidR="00166A7C" w:rsidRPr="00BA410A">
        <w:rPr>
          <w:rFonts w:ascii="Arial Narrow" w:hAnsi="Arial Narrow" w:cstheme="minorHAnsi"/>
          <w:sz w:val="18"/>
          <w:szCs w:val="18"/>
        </w:rPr>
        <w:t xml:space="preserve"> =</w:t>
      </w:r>
      <w:r w:rsidRPr="00BA410A">
        <w:rPr>
          <w:rFonts w:ascii="Arial Narrow" w:hAnsi="Arial Narrow" w:cstheme="minorHAnsi"/>
          <w:sz w:val="18"/>
          <w:szCs w:val="18"/>
        </w:rPr>
        <w:t xml:space="preserve"> </w:t>
      </w:r>
      <w:r w:rsidR="00F30DB4" w:rsidRPr="00BA410A">
        <w:rPr>
          <w:rFonts w:ascii="Arial Narrow" w:hAnsi="Arial Narrow" w:cstheme="minorHAnsi"/>
          <w:sz w:val="18"/>
          <w:szCs w:val="18"/>
        </w:rPr>
        <w:t xml:space="preserve">approved ex-manufacturer price </w:t>
      </w:r>
    </w:p>
    <w:p w14:paraId="4D6FA89B" w14:textId="4F8E6FE1" w:rsidR="00096C38" w:rsidRDefault="1CF4B2AB" w:rsidP="00423283">
      <w:pPr>
        <w:pStyle w:val="3-BodyText"/>
      </w:pPr>
      <w:r w:rsidRPr="79900132">
        <w:t>A Category 3 submission to list a biosimilar brand of omalizumab (</w:t>
      </w:r>
      <w:proofErr w:type="spellStart"/>
      <w:r w:rsidRPr="79900132">
        <w:t>Omlyclo</w:t>
      </w:r>
      <w:proofErr w:type="spellEnd"/>
      <w:r w:rsidRPr="79900132">
        <w:t>®) in 75</w:t>
      </w:r>
      <w:r w:rsidR="322D50A5" w:rsidRPr="79900132">
        <w:t> </w:t>
      </w:r>
      <w:r w:rsidRPr="79900132">
        <w:t>mg</w:t>
      </w:r>
      <w:r w:rsidR="0E36D94D" w:rsidRPr="79900132">
        <w:t>/</w:t>
      </w:r>
      <w:r w:rsidRPr="79900132">
        <w:t>0.5</w:t>
      </w:r>
      <w:r w:rsidR="322D50A5" w:rsidRPr="79900132">
        <w:t> </w:t>
      </w:r>
      <w:r w:rsidRPr="79900132">
        <w:t>mL and 150</w:t>
      </w:r>
      <w:r w:rsidR="322D50A5" w:rsidRPr="79900132">
        <w:t> </w:t>
      </w:r>
      <w:r w:rsidRPr="79900132">
        <w:t>mg</w:t>
      </w:r>
      <w:r w:rsidR="0E36D94D" w:rsidRPr="79900132">
        <w:t>/</w:t>
      </w:r>
      <w:r w:rsidRPr="79900132">
        <w:t>1</w:t>
      </w:r>
      <w:r w:rsidR="322D50A5" w:rsidRPr="79900132">
        <w:t> </w:t>
      </w:r>
      <w:r w:rsidRPr="79900132">
        <w:t xml:space="preserve">mL PFS forms under the same circumstances as the currently PBS-listed reference biologic, Xolair®, was </w:t>
      </w:r>
      <w:r w:rsidR="00F100F3">
        <w:t xml:space="preserve">recommended </w:t>
      </w:r>
      <w:r w:rsidRPr="79900132">
        <w:t xml:space="preserve">at </w:t>
      </w:r>
      <w:r w:rsidR="00F100F3">
        <w:t xml:space="preserve">the </w:t>
      </w:r>
      <w:r w:rsidRPr="79900132">
        <w:t xml:space="preserve">March 2025 </w:t>
      </w:r>
      <w:r w:rsidR="00F100F3">
        <w:t xml:space="preserve">PBAC </w:t>
      </w:r>
      <w:r w:rsidRPr="79900132">
        <w:t>meeting.</w:t>
      </w:r>
      <w:r w:rsidR="40AA8FD0" w:rsidRPr="79900132">
        <w:t xml:space="preserve"> </w:t>
      </w:r>
    </w:p>
    <w:p w14:paraId="24E26210" w14:textId="7A0A43E3" w:rsidR="007E6C7E" w:rsidRPr="00F30DB4" w:rsidRDefault="007E6C7E" w:rsidP="00423283">
      <w:pPr>
        <w:pStyle w:val="3-BodyText"/>
        <w:spacing w:before="0"/>
      </w:pPr>
      <w:r>
        <w:t>T</w:t>
      </w:r>
      <w:r w:rsidRPr="13A2C924">
        <w:t>he current price of omalizumab reflect</w:t>
      </w:r>
      <w:r>
        <w:t>s</w:t>
      </w:r>
      <w:r w:rsidRPr="13A2C924">
        <w:t xml:space="preserve"> a weighted price between the severe asthma and CSU indications.</w:t>
      </w:r>
    </w:p>
    <w:p w14:paraId="5EB16602" w14:textId="26A67E45" w:rsidR="00D70349" w:rsidRPr="00A6439B" w:rsidRDefault="00D70349" w:rsidP="00423283">
      <w:pPr>
        <w:pStyle w:val="4-SubsectionHeading"/>
        <w:spacing w:before="0"/>
        <w:rPr>
          <w:lang w:eastAsia="en-US"/>
        </w:rPr>
      </w:pPr>
      <w:r w:rsidRPr="00A6439B">
        <w:rPr>
          <w:lang w:eastAsia="en-US"/>
        </w:rPr>
        <w:lastRenderedPageBreak/>
        <w:t xml:space="preserve">Estimated PBS </w:t>
      </w:r>
      <w:r w:rsidR="00276BE3" w:rsidRPr="00A6439B">
        <w:rPr>
          <w:lang w:eastAsia="en-US"/>
        </w:rPr>
        <w:t>usage</w:t>
      </w:r>
      <w:r w:rsidRPr="00A6439B">
        <w:rPr>
          <w:lang w:eastAsia="en-US"/>
        </w:rPr>
        <w:t xml:space="preserve"> and financial implications</w:t>
      </w:r>
    </w:p>
    <w:p w14:paraId="25B5CEF5" w14:textId="0EDB79B1" w:rsidR="00F26D80" w:rsidRPr="000F3A05" w:rsidRDefault="4EAFA8FD" w:rsidP="00423283">
      <w:pPr>
        <w:pStyle w:val="3-BodyText"/>
        <w:spacing w:before="0"/>
      </w:pPr>
      <w:r w:rsidRPr="79900132">
        <w:t xml:space="preserve">The submission adopted a market share approach to estimate the utilisation and financial impact of listing the new forms and strength of omalizumab. </w:t>
      </w:r>
      <w:r w:rsidR="627A698D" w:rsidRPr="79900132">
        <w:t>The requested price was based on the AEMP</w:t>
      </w:r>
      <w:r w:rsidR="70E1261D" w:rsidRPr="79900132">
        <w:t>s</w:t>
      </w:r>
      <w:r w:rsidR="627A698D" w:rsidRPr="79900132">
        <w:t xml:space="preserve"> of </w:t>
      </w:r>
      <w:r w:rsidR="4E03C63B" w:rsidRPr="79900132">
        <w:t xml:space="preserve">75 mg/0.5 ml PFS and 150 mg/ml PFS </w:t>
      </w:r>
      <w:r w:rsidR="70E1261D" w:rsidRPr="79900132">
        <w:t xml:space="preserve">of omalizumab </w:t>
      </w:r>
      <w:r w:rsidR="00865116">
        <w:t>as of</w:t>
      </w:r>
      <w:r w:rsidR="627A698D" w:rsidRPr="79900132">
        <w:t xml:space="preserve"> </w:t>
      </w:r>
      <w:r w:rsidR="70E1261D" w:rsidRPr="79900132">
        <w:t>September 2024.</w:t>
      </w:r>
    </w:p>
    <w:p w14:paraId="3C71CC3F" w14:textId="0ABA7439" w:rsidR="00F26D80" w:rsidRDefault="00D740EC" w:rsidP="00423283">
      <w:pPr>
        <w:pStyle w:val="3-BodyText"/>
        <w:spacing w:before="0"/>
      </w:pPr>
      <w:r>
        <w:fldChar w:fldCharType="begin" w:fldLock="1"/>
      </w:r>
      <w:r>
        <w:instrText xml:space="preserve"> REF _Ref189672794 \h </w:instrText>
      </w:r>
      <w:r>
        <w:fldChar w:fldCharType="separate"/>
      </w:r>
      <w:r w:rsidR="003C1F2D">
        <w:t xml:space="preserve">Table </w:t>
      </w:r>
      <w:r w:rsidR="003C1F2D">
        <w:rPr>
          <w:noProof/>
        </w:rPr>
        <w:t>5</w:t>
      </w:r>
      <w:r>
        <w:fldChar w:fldCharType="end"/>
      </w:r>
      <w:r w:rsidR="00D70349" w:rsidRPr="79900132">
        <w:t xml:space="preserve"> presents the estimated extent of use, cost to the PBS/RPBS and the net financial implications to the PBS/RPBS</w:t>
      </w:r>
      <w:r w:rsidR="00F9179C" w:rsidRPr="79900132">
        <w:t xml:space="preserve">. </w:t>
      </w:r>
      <w:r w:rsidR="00D70349" w:rsidRPr="79900132">
        <w:t>The financial impact to Services Australia will be determined by that agency as part of the post PBAC process.</w:t>
      </w:r>
    </w:p>
    <w:p w14:paraId="74F1EFA3" w14:textId="1CFC329B" w:rsidR="00E21164" w:rsidRPr="00D47039" w:rsidRDefault="000A02F8" w:rsidP="00423283">
      <w:pPr>
        <w:pStyle w:val="3-BodyText"/>
        <w:spacing w:before="0"/>
        <w:rPr>
          <w:iCs/>
        </w:rPr>
      </w:pPr>
      <w:r w:rsidRPr="79900132">
        <w:t xml:space="preserve">The submission </w:t>
      </w:r>
      <w:r w:rsidR="001039DC" w:rsidRPr="001039DC">
        <w:t xml:space="preserve">indicated that, </w:t>
      </w:r>
      <w:r w:rsidR="001039DC">
        <w:t xml:space="preserve">while </w:t>
      </w:r>
      <w:r w:rsidRPr="79900132">
        <w:t>t</w:t>
      </w:r>
      <w:r w:rsidR="00D70349" w:rsidRPr="79900132">
        <w:t xml:space="preserve">he estimated net financial impact to the PBS/RPBS </w:t>
      </w:r>
      <w:r w:rsidR="001039DC">
        <w:t xml:space="preserve">was </w:t>
      </w:r>
      <w:r w:rsidR="00D06D90" w:rsidRPr="79900132">
        <w:t>$</w:t>
      </w:r>
      <w:r w:rsidR="00936BBD" w:rsidRPr="00936BBD">
        <w:t>0 to &lt; $10 million</w:t>
      </w:r>
      <w:r w:rsidR="00D94EE7">
        <w:t xml:space="preserve"> </w:t>
      </w:r>
      <w:r w:rsidR="00D70349" w:rsidRPr="79900132">
        <w:t xml:space="preserve">over six years (Year 1 </w:t>
      </w:r>
      <w:r w:rsidR="00110397" w:rsidRPr="79900132">
        <w:t>$</w:t>
      </w:r>
      <w:r w:rsidR="00936BBD" w:rsidRPr="00936BBD">
        <w:t>0 to &lt; $10 million</w:t>
      </w:r>
      <w:r w:rsidR="00D94EE7">
        <w:t xml:space="preserve"> </w:t>
      </w:r>
      <w:r w:rsidR="00D70349" w:rsidRPr="79900132">
        <w:t xml:space="preserve">to Year 6 </w:t>
      </w:r>
      <w:r w:rsidR="00936BBD" w:rsidRPr="00936BBD">
        <w:t>$0 to &lt; $10 million</w:t>
      </w:r>
      <w:r w:rsidR="00D70349" w:rsidRPr="79900132">
        <w:t>)</w:t>
      </w:r>
      <w:r w:rsidR="001039DC">
        <w:t xml:space="preserve"> in the model, nil </w:t>
      </w:r>
      <w:r w:rsidR="001039DC" w:rsidRPr="001039DC">
        <w:t>net financial implications are expected from the requested listing of the new forms</w:t>
      </w:r>
      <w:r w:rsidR="00D70349" w:rsidRPr="79900132">
        <w:t xml:space="preserve">. </w:t>
      </w:r>
      <w:r w:rsidR="0032524C" w:rsidRPr="00D47039">
        <w:rPr>
          <w:iCs/>
        </w:rPr>
        <w:t>The evaluation estimated that the requested listings of the new 300 mg/2 mL strength and the new PFS and PFP forms would have no financial impact to the PBS/RPBS, as no change in market uptake was anticipated</w:t>
      </w:r>
      <w:r w:rsidR="0032524C" w:rsidRPr="79900132">
        <w:t xml:space="preserve">. </w:t>
      </w:r>
    </w:p>
    <w:p w14:paraId="5776D7DB" w14:textId="7893E022" w:rsidR="00272DE5" w:rsidRPr="00363A83" w:rsidRDefault="00D740EC" w:rsidP="005E729E">
      <w:pPr>
        <w:pStyle w:val="Caption"/>
        <w:keepNext/>
        <w:keepLines/>
        <w:rPr>
          <w:rFonts w:cstheme="minorHAnsi"/>
          <w:szCs w:val="20"/>
        </w:rPr>
      </w:pPr>
      <w:bookmarkStart w:id="9" w:name="_Ref189672794"/>
      <w:bookmarkStart w:id="10" w:name="_Hlk121755068"/>
      <w:r w:rsidRPr="00363A83">
        <w:rPr>
          <w:szCs w:val="20"/>
        </w:rPr>
        <w:lastRenderedPageBreak/>
        <w:t xml:space="preserve">Table </w:t>
      </w:r>
      <w:r w:rsidRPr="00363A83">
        <w:rPr>
          <w:szCs w:val="20"/>
        </w:rPr>
        <w:fldChar w:fldCharType="begin" w:fldLock="1"/>
      </w:r>
      <w:r w:rsidRPr="00363A83">
        <w:rPr>
          <w:szCs w:val="20"/>
        </w:rPr>
        <w:instrText xml:space="preserve"> SEQ Table \* ARABIC </w:instrText>
      </w:r>
      <w:r w:rsidRPr="00363A83">
        <w:rPr>
          <w:szCs w:val="20"/>
        </w:rPr>
        <w:fldChar w:fldCharType="separate"/>
      </w:r>
      <w:r w:rsidRPr="00363A83">
        <w:rPr>
          <w:noProof/>
          <w:szCs w:val="20"/>
        </w:rPr>
        <w:t>5</w:t>
      </w:r>
      <w:r w:rsidRPr="00363A83">
        <w:rPr>
          <w:szCs w:val="20"/>
        </w:rPr>
        <w:fldChar w:fldCharType="end"/>
      </w:r>
      <w:bookmarkEnd w:id="9"/>
      <w:r w:rsidR="00D70349" w:rsidRPr="00363A83">
        <w:rPr>
          <w:rFonts w:eastAsiaTheme="majorEastAsia"/>
          <w:szCs w:val="20"/>
        </w:rPr>
        <w:t>:</w:t>
      </w:r>
      <w:bookmarkEnd w:id="10"/>
      <w:r w:rsidR="00D70349" w:rsidRPr="00363A83">
        <w:rPr>
          <w:rFonts w:eastAsiaTheme="majorEastAsia"/>
          <w:szCs w:val="20"/>
        </w:rPr>
        <w:t xml:space="preserve"> </w:t>
      </w:r>
      <w:r w:rsidR="00D70349" w:rsidRPr="00363A83">
        <w:rPr>
          <w:rStyle w:val="CommentReference"/>
          <w:sz w:val="20"/>
          <w:szCs w:val="20"/>
        </w:rPr>
        <w:t xml:space="preserve">Estimated use and financial implications </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Estimated use and financial implications "/>
      </w:tblPr>
      <w:tblGrid>
        <w:gridCol w:w="1998"/>
        <w:gridCol w:w="1156"/>
        <w:gridCol w:w="1156"/>
        <w:gridCol w:w="1157"/>
        <w:gridCol w:w="1157"/>
        <w:gridCol w:w="1157"/>
        <w:gridCol w:w="1157"/>
      </w:tblGrid>
      <w:tr w:rsidR="00D70349" w:rsidRPr="00363A83" w14:paraId="50517F09" w14:textId="77777777" w:rsidTr="6B1024DC">
        <w:trPr>
          <w:cantSplit/>
          <w:tblHeader/>
          <w:jc w:val="center"/>
        </w:trPr>
        <w:tc>
          <w:tcPr>
            <w:tcW w:w="1118" w:type="pct"/>
            <w:shd w:val="clear" w:color="auto" w:fill="auto"/>
            <w:vAlign w:val="center"/>
          </w:tcPr>
          <w:p w14:paraId="146FDDC6" w14:textId="77777777" w:rsidR="00D70349" w:rsidRPr="00363A83" w:rsidRDefault="00D70349" w:rsidP="005E729E">
            <w:pPr>
              <w:pStyle w:val="TableText0"/>
              <w:keepLines/>
              <w:rPr>
                <w:szCs w:val="20"/>
              </w:rPr>
            </w:pPr>
          </w:p>
        </w:tc>
        <w:tc>
          <w:tcPr>
            <w:tcW w:w="647" w:type="pct"/>
            <w:shd w:val="clear" w:color="auto" w:fill="F2F2F2" w:themeFill="background1" w:themeFillShade="F2"/>
            <w:vAlign w:val="center"/>
          </w:tcPr>
          <w:p w14:paraId="229BAAA8" w14:textId="77777777" w:rsidR="00D70349" w:rsidRPr="00363A83" w:rsidRDefault="00D70349" w:rsidP="005E729E">
            <w:pPr>
              <w:pStyle w:val="TableText0"/>
              <w:keepLines/>
              <w:rPr>
                <w:b/>
                <w:szCs w:val="20"/>
              </w:rPr>
            </w:pPr>
            <w:r w:rsidRPr="00363A83">
              <w:rPr>
                <w:b/>
                <w:szCs w:val="20"/>
              </w:rPr>
              <w:t>Year 1</w:t>
            </w:r>
          </w:p>
        </w:tc>
        <w:tc>
          <w:tcPr>
            <w:tcW w:w="647" w:type="pct"/>
            <w:shd w:val="clear" w:color="auto" w:fill="F2F2F2" w:themeFill="background1" w:themeFillShade="F2"/>
            <w:vAlign w:val="center"/>
          </w:tcPr>
          <w:p w14:paraId="48EEAB93" w14:textId="77777777" w:rsidR="00D70349" w:rsidRPr="00363A83" w:rsidRDefault="00D70349" w:rsidP="005E729E">
            <w:pPr>
              <w:pStyle w:val="TableText0"/>
              <w:keepLines/>
              <w:rPr>
                <w:b/>
                <w:szCs w:val="20"/>
              </w:rPr>
            </w:pPr>
            <w:r w:rsidRPr="00363A83">
              <w:rPr>
                <w:b/>
                <w:szCs w:val="20"/>
              </w:rPr>
              <w:t>Year 2</w:t>
            </w:r>
          </w:p>
        </w:tc>
        <w:tc>
          <w:tcPr>
            <w:tcW w:w="647" w:type="pct"/>
            <w:shd w:val="clear" w:color="auto" w:fill="F2F2F2" w:themeFill="background1" w:themeFillShade="F2"/>
            <w:vAlign w:val="center"/>
          </w:tcPr>
          <w:p w14:paraId="0738F741" w14:textId="77777777" w:rsidR="00D70349" w:rsidRPr="00363A83" w:rsidRDefault="00D70349" w:rsidP="005E729E">
            <w:pPr>
              <w:pStyle w:val="TableText0"/>
              <w:keepLines/>
              <w:rPr>
                <w:b/>
                <w:szCs w:val="20"/>
              </w:rPr>
            </w:pPr>
            <w:r w:rsidRPr="00363A83">
              <w:rPr>
                <w:b/>
                <w:szCs w:val="20"/>
              </w:rPr>
              <w:t>Year 3</w:t>
            </w:r>
          </w:p>
        </w:tc>
        <w:tc>
          <w:tcPr>
            <w:tcW w:w="647" w:type="pct"/>
            <w:shd w:val="clear" w:color="auto" w:fill="F2F2F2" w:themeFill="background1" w:themeFillShade="F2"/>
            <w:vAlign w:val="center"/>
          </w:tcPr>
          <w:p w14:paraId="2F722BB7" w14:textId="77777777" w:rsidR="00D70349" w:rsidRPr="00363A83" w:rsidRDefault="00D70349" w:rsidP="005E729E">
            <w:pPr>
              <w:pStyle w:val="TableText0"/>
              <w:keepLines/>
              <w:rPr>
                <w:b/>
                <w:szCs w:val="20"/>
              </w:rPr>
            </w:pPr>
            <w:r w:rsidRPr="00363A83">
              <w:rPr>
                <w:b/>
                <w:szCs w:val="20"/>
              </w:rPr>
              <w:t>Year 4</w:t>
            </w:r>
          </w:p>
        </w:tc>
        <w:tc>
          <w:tcPr>
            <w:tcW w:w="647" w:type="pct"/>
            <w:shd w:val="clear" w:color="auto" w:fill="F2F2F2" w:themeFill="background1" w:themeFillShade="F2"/>
            <w:vAlign w:val="center"/>
          </w:tcPr>
          <w:p w14:paraId="4A03E0AC" w14:textId="77777777" w:rsidR="00D70349" w:rsidRPr="00363A83" w:rsidRDefault="00D70349" w:rsidP="005E729E">
            <w:pPr>
              <w:pStyle w:val="TableText0"/>
              <w:keepLines/>
              <w:rPr>
                <w:b/>
                <w:szCs w:val="20"/>
              </w:rPr>
            </w:pPr>
            <w:r w:rsidRPr="00363A83">
              <w:rPr>
                <w:b/>
                <w:szCs w:val="20"/>
              </w:rPr>
              <w:t>Year 5</w:t>
            </w:r>
          </w:p>
        </w:tc>
        <w:tc>
          <w:tcPr>
            <w:tcW w:w="647" w:type="pct"/>
            <w:shd w:val="clear" w:color="auto" w:fill="F2F2F2" w:themeFill="background1" w:themeFillShade="F2"/>
          </w:tcPr>
          <w:p w14:paraId="11CF147B" w14:textId="77777777" w:rsidR="00D70349" w:rsidRPr="00363A83" w:rsidRDefault="00D70349" w:rsidP="005E729E">
            <w:pPr>
              <w:pStyle w:val="TableText0"/>
              <w:keepLines/>
              <w:rPr>
                <w:b/>
                <w:szCs w:val="20"/>
              </w:rPr>
            </w:pPr>
            <w:r w:rsidRPr="00363A83">
              <w:rPr>
                <w:b/>
                <w:szCs w:val="20"/>
              </w:rPr>
              <w:t>Year 6</w:t>
            </w:r>
          </w:p>
        </w:tc>
      </w:tr>
      <w:tr w:rsidR="00D70349" w:rsidRPr="00363A83" w14:paraId="07125BC5" w14:textId="77777777" w:rsidTr="6B1024DC">
        <w:trPr>
          <w:cantSplit/>
          <w:jc w:val="center"/>
        </w:trPr>
        <w:tc>
          <w:tcPr>
            <w:tcW w:w="5000" w:type="pct"/>
            <w:gridSpan w:val="7"/>
            <w:shd w:val="clear" w:color="auto" w:fill="auto"/>
            <w:vAlign w:val="center"/>
          </w:tcPr>
          <w:p w14:paraId="618359A1" w14:textId="77777777" w:rsidR="00D70349" w:rsidRPr="00363A83" w:rsidRDefault="00D70349" w:rsidP="005E729E">
            <w:pPr>
              <w:pStyle w:val="TableText0"/>
              <w:keepLines/>
              <w:rPr>
                <w:b/>
                <w:color w:val="000000"/>
                <w:szCs w:val="20"/>
              </w:rPr>
            </w:pPr>
            <w:r w:rsidRPr="00363A83">
              <w:rPr>
                <w:b/>
                <w:color w:val="000000"/>
                <w:szCs w:val="20"/>
              </w:rPr>
              <w:t>Estimated extent of use</w:t>
            </w:r>
          </w:p>
        </w:tc>
      </w:tr>
      <w:tr w:rsidR="00E23816" w:rsidRPr="00363A83" w14:paraId="5D4B879C" w14:textId="77777777" w:rsidTr="6B1024DC">
        <w:trPr>
          <w:cantSplit/>
          <w:jc w:val="center"/>
        </w:trPr>
        <w:tc>
          <w:tcPr>
            <w:tcW w:w="1118" w:type="pct"/>
            <w:shd w:val="clear" w:color="auto" w:fill="auto"/>
            <w:vAlign w:val="center"/>
          </w:tcPr>
          <w:p w14:paraId="3D1A83AD" w14:textId="2F8F2B53" w:rsidR="00E23816" w:rsidRPr="00363A83" w:rsidRDefault="00E23816" w:rsidP="005E729E">
            <w:pPr>
              <w:pStyle w:val="TableText0"/>
              <w:keepLines/>
              <w:rPr>
                <w:szCs w:val="20"/>
              </w:rPr>
            </w:pPr>
            <w:r w:rsidRPr="00363A83">
              <w:rPr>
                <w:szCs w:val="20"/>
              </w:rPr>
              <w:t xml:space="preserve">Number of scripts dispensed for USA </w:t>
            </w:r>
            <w:r w:rsidR="00A81C18" w:rsidRPr="00363A83">
              <w:rPr>
                <w:szCs w:val="20"/>
              </w:rPr>
              <w:t xml:space="preserve">(continuing)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3D3A69E7" w14:textId="589D86AB" w:rsidR="00E23816" w:rsidRPr="00B923E6" w:rsidRDefault="007B44A2" w:rsidP="00C95670">
            <w:pPr>
              <w:pStyle w:val="TableText0"/>
              <w:keepLines/>
              <w:jc w:val="right"/>
              <w:rPr>
                <w:color w:val="000000"/>
                <w:szCs w:val="20"/>
                <w:highlight w:val="darkGray"/>
              </w:rPr>
            </w:pPr>
            <w:r w:rsidRPr="007B44A2">
              <w:rPr>
                <w:rFonts w:cs="Arial"/>
                <w:color w:val="000000"/>
                <w:szCs w:val="20"/>
                <w:shd w:val="solid" w:color="000000" w:fill="000000"/>
                <w14:textFill>
                  <w14:solidFill>
                    <w14:srgbClr w14:val="000000">
                      <w14:alpha w14:val="100000"/>
                    </w14:srgbClr>
                  </w14:solidFill>
                </w14:textFill>
              </w:rPr>
              <w:t>|</w:t>
            </w:r>
            <w:r w:rsidR="00602A91" w:rsidRPr="00B923E6">
              <w:rPr>
                <w:rFonts w:cs="Arial"/>
                <w:color w:val="000000"/>
                <w:szCs w:val="20"/>
                <w:vertAlign w:val="superscript"/>
              </w:rPr>
              <w:t>1</w:t>
            </w:r>
          </w:p>
        </w:tc>
        <w:tc>
          <w:tcPr>
            <w:tcW w:w="647" w:type="pct"/>
            <w:tcBorders>
              <w:top w:val="single" w:sz="4" w:space="0" w:color="auto"/>
              <w:left w:val="nil"/>
              <w:bottom w:val="single" w:sz="4" w:space="0" w:color="auto"/>
              <w:right w:val="single" w:sz="4" w:space="0" w:color="auto"/>
            </w:tcBorders>
            <w:shd w:val="clear" w:color="auto" w:fill="auto"/>
            <w:vAlign w:val="center"/>
          </w:tcPr>
          <w:p w14:paraId="04FD8588" w14:textId="4FDEF8DC" w:rsidR="00E23816" w:rsidRPr="00B923E6" w:rsidRDefault="007B44A2" w:rsidP="00C95670">
            <w:pPr>
              <w:pStyle w:val="TableText0"/>
              <w:keepLines/>
              <w:jc w:val="right"/>
              <w:rPr>
                <w:color w:val="000000"/>
                <w:szCs w:val="20"/>
                <w:highlight w:val="darkGray"/>
              </w:rPr>
            </w:pPr>
            <w:r w:rsidRPr="007B44A2">
              <w:rPr>
                <w:rFonts w:cs="Arial"/>
                <w:color w:val="000000"/>
                <w:szCs w:val="20"/>
                <w:shd w:val="solid" w:color="000000" w:fill="000000"/>
                <w14:textFill>
                  <w14:solidFill>
                    <w14:srgbClr w14:val="000000">
                      <w14:alpha w14:val="100000"/>
                    </w14:srgbClr>
                  </w14:solidFill>
                </w14:textFill>
              </w:rPr>
              <w:t>|</w:t>
            </w:r>
            <w:r w:rsidR="00602A91" w:rsidRPr="00144AA5">
              <w:rPr>
                <w:rFonts w:cs="Arial"/>
                <w:color w:val="000000"/>
                <w:szCs w:val="20"/>
                <w:vertAlign w:val="superscript"/>
              </w:rPr>
              <w:t>1</w:t>
            </w:r>
          </w:p>
        </w:tc>
        <w:tc>
          <w:tcPr>
            <w:tcW w:w="647" w:type="pct"/>
            <w:tcBorders>
              <w:top w:val="single" w:sz="4" w:space="0" w:color="auto"/>
              <w:left w:val="nil"/>
              <w:bottom w:val="single" w:sz="4" w:space="0" w:color="auto"/>
              <w:right w:val="single" w:sz="4" w:space="0" w:color="auto"/>
            </w:tcBorders>
            <w:shd w:val="clear" w:color="auto" w:fill="auto"/>
            <w:vAlign w:val="center"/>
          </w:tcPr>
          <w:p w14:paraId="0CF8783E" w14:textId="0E8A4F2A" w:rsidR="00E23816" w:rsidRPr="00B923E6" w:rsidRDefault="007B44A2" w:rsidP="00C95670">
            <w:pPr>
              <w:pStyle w:val="TableText0"/>
              <w:keepLines/>
              <w:jc w:val="right"/>
              <w:rPr>
                <w:color w:val="000000"/>
                <w:szCs w:val="20"/>
                <w:highlight w:val="darkGray"/>
              </w:rPr>
            </w:pPr>
            <w:r w:rsidRPr="007B44A2">
              <w:rPr>
                <w:rFonts w:cs="Arial"/>
                <w:color w:val="000000"/>
                <w:szCs w:val="20"/>
                <w:shd w:val="solid" w:color="000000" w:fill="000000"/>
                <w14:textFill>
                  <w14:solidFill>
                    <w14:srgbClr w14:val="000000">
                      <w14:alpha w14:val="100000"/>
                    </w14:srgbClr>
                  </w14:solidFill>
                </w14:textFill>
              </w:rPr>
              <w:t>|</w:t>
            </w:r>
            <w:r w:rsidR="00602A91" w:rsidRPr="00144AA5">
              <w:rPr>
                <w:rFonts w:cs="Arial"/>
                <w:color w:val="000000"/>
                <w:szCs w:val="20"/>
                <w:vertAlign w:val="superscript"/>
              </w:rPr>
              <w:t>1</w:t>
            </w:r>
          </w:p>
        </w:tc>
        <w:tc>
          <w:tcPr>
            <w:tcW w:w="647" w:type="pct"/>
            <w:tcBorders>
              <w:top w:val="single" w:sz="4" w:space="0" w:color="auto"/>
              <w:left w:val="nil"/>
              <w:bottom w:val="single" w:sz="4" w:space="0" w:color="auto"/>
              <w:right w:val="single" w:sz="4" w:space="0" w:color="auto"/>
            </w:tcBorders>
            <w:shd w:val="clear" w:color="auto" w:fill="auto"/>
            <w:vAlign w:val="center"/>
          </w:tcPr>
          <w:p w14:paraId="3329A117" w14:textId="4B494C00" w:rsidR="00E23816" w:rsidRPr="00B923E6" w:rsidRDefault="007B44A2" w:rsidP="00C95670">
            <w:pPr>
              <w:pStyle w:val="TableText0"/>
              <w:keepLines/>
              <w:jc w:val="right"/>
              <w:rPr>
                <w:color w:val="000000"/>
                <w:szCs w:val="20"/>
                <w:highlight w:val="darkGray"/>
              </w:rPr>
            </w:pPr>
            <w:r w:rsidRPr="007B44A2">
              <w:rPr>
                <w:rFonts w:cs="Arial"/>
                <w:color w:val="000000"/>
                <w:szCs w:val="20"/>
                <w:shd w:val="solid" w:color="000000" w:fill="000000"/>
                <w14:textFill>
                  <w14:solidFill>
                    <w14:srgbClr w14:val="000000">
                      <w14:alpha w14:val="100000"/>
                    </w14:srgbClr>
                  </w14:solidFill>
                </w14:textFill>
              </w:rPr>
              <w:t>|</w:t>
            </w:r>
            <w:r w:rsidR="00602A91" w:rsidRPr="00144AA5">
              <w:rPr>
                <w:rFonts w:cs="Arial"/>
                <w:color w:val="000000"/>
                <w:szCs w:val="20"/>
                <w:vertAlign w:val="superscript"/>
              </w:rPr>
              <w:t>1</w:t>
            </w:r>
          </w:p>
        </w:tc>
        <w:tc>
          <w:tcPr>
            <w:tcW w:w="647" w:type="pct"/>
            <w:tcBorders>
              <w:top w:val="single" w:sz="4" w:space="0" w:color="auto"/>
              <w:left w:val="nil"/>
              <w:bottom w:val="single" w:sz="4" w:space="0" w:color="auto"/>
              <w:right w:val="single" w:sz="4" w:space="0" w:color="auto"/>
            </w:tcBorders>
            <w:shd w:val="clear" w:color="auto" w:fill="auto"/>
            <w:vAlign w:val="center"/>
          </w:tcPr>
          <w:p w14:paraId="5F15BC88" w14:textId="65ABB67C" w:rsidR="00E23816" w:rsidRPr="00B923E6" w:rsidRDefault="007B44A2" w:rsidP="00C95670">
            <w:pPr>
              <w:pStyle w:val="TableText0"/>
              <w:keepLines/>
              <w:jc w:val="right"/>
              <w:rPr>
                <w:color w:val="000000"/>
                <w:szCs w:val="20"/>
                <w:highlight w:val="darkGray"/>
              </w:rPr>
            </w:pPr>
            <w:r w:rsidRPr="007B44A2">
              <w:rPr>
                <w:rFonts w:cs="Arial"/>
                <w:color w:val="000000"/>
                <w:szCs w:val="20"/>
                <w:shd w:val="solid" w:color="000000" w:fill="000000"/>
                <w14:textFill>
                  <w14:solidFill>
                    <w14:srgbClr w14:val="000000">
                      <w14:alpha w14:val="100000"/>
                    </w14:srgbClr>
                  </w14:solidFill>
                </w14:textFill>
              </w:rPr>
              <w:t>|</w:t>
            </w:r>
            <w:r w:rsidR="00602A91" w:rsidRPr="00144AA5">
              <w:rPr>
                <w:rFonts w:cs="Arial"/>
                <w:color w:val="000000"/>
                <w:szCs w:val="20"/>
                <w:vertAlign w:val="superscript"/>
              </w:rPr>
              <w:t>1</w:t>
            </w:r>
          </w:p>
        </w:tc>
        <w:tc>
          <w:tcPr>
            <w:tcW w:w="647" w:type="pct"/>
            <w:tcBorders>
              <w:top w:val="single" w:sz="4" w:space="0" w:color="auto"/>
              <w:left w:val="nil"/>
              <w:bottom w:val="single" w:sz="4" w:space="0" w:color="auto"/>
              <w:right w:val="single" w:sz="4" w:space="0" w:color="auto"/>
            </w:tcBorders>
            <w:shd w:val="clear" w:color="auto" w:fill="auto"/>
            <w:vAlign w:val="center"/>
          </w:tcPr>
          <w:p w14:paraId="5FEE8AB1" w14:textId="2BC3D6DE" w:rsidR="00E23816" w:rsidRPr="00B923E6" w:rsidRDefault="007B44A2" w:rsidP="00C95670">
            <w:pPr>
              <w:pStyle w:val="TableText0"/>
              <w:keepLines/>
              <w:jc w:val="right"/>
              <w:rPr>
                <w:color w:val="000000"/>
                <w:szCs w:val="20"/>
                <w:highlight w:val="darkGray"/>
              </w:rPr>
            </w:pPr>
            <w:r w:rsidRPr="007B44A2">
              <w:rPr>
                <w:rFonts w:cs="Arial"/>
                <w:color w:val="000000"/>
                <w:szCs w:val="20"/>
                <w:shd w:val="solid" w:color="000000" w:fill="000000"/>
                <w14:textFill>
                  <w14:solidFill>
                    <w14:srgbClr w14:val="000000">
                      <w14:alpha w14:val="100000"/>
                    </w14:srgbClr>
                  </w14:solidFill>
                </w14:textFill>
              </w:rPr>
              <w:t>|</w:t>
            </w:r>
            <w:r w:rsidR="00602A91" w:rsidRPr="00144AA5">
              <w:rPr>
                <w:rFonts w:cs="Arial"/>
                <w:color w:val="000000"/>
                <w:szCs w:val="20"/>
                <w:vertAlign w:val="superscript"/>
              </w:rPr>
              <w:t>1</w:t>
            </w:r>
          </w:p>
        </w:tc>
      </w:tr>
      <w:tr w:rsidR="00E41257" w:rsidRPr="00363A83" w14:paraId="2A2FD0C8" w14:textId="77777777" w:rsidTr="6B1024DC">
        <w:trPr>
          <w:cantSplit/>
          <w:jc w:val="center"/>
        </w:trPr>
        <w:tc>
          <w:tcPr>
            <w:tcW w:w="1118" w:type="pct"/>
            <w:shd w:val="clear" w:color="auto" w:fill="auto"/>
            <w:vAlign w:val="center"/>
          </w:tcPr>
          <w:p w14:paraId="4B12AFFB" w14:textId="551FE492" w:rsidR="00E41257" w:rsidRPr="00363A83" w:rsidRDefault="00E41257" w:rsidP="005E729E">
            <w:pPr>
              <w:pStyle w:val="TableText0"/>
              <w:keepLines/>
              <w:rPr>
                <w:szCs w:val="20"/>
              </w:rPr>
            </w:pPr>
            <w:r w:rsidRPr="00363A83">
              <w:rPr>
                <w:szCs w:val="20"/>
              </w:rPr>
              <w:t xml:space="preserve">Number of scripts dispensed for USA </w:t>
            </w:r>
            <w:r w:rsidR="00A81C18" w:rsidRPr="00363A83">
              <w:rPr>
                <w:szCs w:val="20"/>
              </w:rPr>
              <w:t>(initial)</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26F62047" w14:textId="609D93D2" w:rsidR="00E41257" w:rsidRPr="00B923E6" w:rsidRDefault="007B44A2" w:rsidP="00C95670">
            <w:pPr>
              <w:pStyle w:val="TableText0"/>
              <w:keepLines/>
              <w:jc w:val="right"/>
              <w:rPr>
                <w:rFonts w:cs="Arial"/>
                <w:b/>
                <w:bCs w:val="0"/>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4A6AAE" w:rsidRPr="00B923E6">
              <w:rPr>
                <w:szCs w:val="20"/>
                <w:vertAlign w:val="superscript"/>
              </w:rPr>
              <w:t>2</w:t>
            </w:r>
          </w:p>
        </w:tc>
        <w:tc>
          <w:tcPr>
            <w:tcW w:w="647" w:type="pct"/>
            <w:tcBorders>
              <w:top w:val="single" w:sz="4" w:space="0" w:color="auto"/>
              <w:left w:val="nil"/>
              <w:bottom w:val="single" w:sz="4" w:space="0" w:color="auto"/>
              <w:right w:val="single" w:sz="4" w:space="0" w:color="auto"/>
            </w:tcBorders>
            <w:shd w:val="clear" w:color="auto" w:fill="auto"/>
          </w:tcPr>
          <w:p w14:paraId="4B411371" w14:textId="3FA5B8B1" w:rsidR="00E41257" w:rsidRPr="00B923E6" w:rsidRDefault="007B44A2" w:rsidP="00C95670">
            <w:pPr>
              <w:pStyle w:val="TableText0"/>
              <w:keepLines/>
              <w:jc w:val="right"/>
              <w:rPr>
                <w:rFonts w:cs="Arial"/>
                <w:b/>
                <w:bCs w:val="0"/>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4A6AAE" w:rsidRPr="00144AA5">
              <w:rPr>
                <w:szCs w:val="20"/>
                <w:vertAlign w:val="superscript"/>
              </w:rPr>
              <w:t>2</w:t>
            </w:r>
          </w:p>
        </w:tc>
        <w:tc>
          <w:tcPr>
            <w:tcW w:w="647" w:type="pct"/>
            <w:tcBorders>
              <w:top w:val="single" w:sz="4" w:space="0" w:color="auto"/>
              <w:left w:val="nil"/>
              <w:bottom w:val="single" w:sz="4" w:space="0" w:color="auto"/>
              <w:right w:val="single" w:sz="4" w:space="0" w:color="auto"/>
            </w:tcBorders>
            <w:shd w:val="clear" w:color="auto" w:fill="auto"/>
          </w:tcPr>
          <w:p w14:paraId="1A93B31D" w14:textId="78F63E4D" w:rsidR="00E41257" w:rsidRPr="00B923E6" w:rsidRDefault="007B44A2" w:rsidP="00C95670">
            <w:pPr>
              <w:pStyle w:val="TableText0"/>
              <w:keepLines/>
              <w:jc w:val="right"/>
              <w:rPr>
                <w:rFonts w:cs="Arial"/>
                <w:b/>
                <w:bCs w:val="0"/>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4A6AAE" w:rsidRPr="00144AA5">
              <w:rPr>
                <w:szCs w:val="20"/>
                <w:vertAlign w:val="superscript"/>
              </w:rPr>
              <w:t>2</w:t>
            </w:r>
          </w:p>
        </w:tc>
        <w:tc>
          <w:tcPr>
            <w:tcW w:w="647" w:type="pct"/>
            <w:tcBorders>
              <w:top w:val="single" w:sz="4" w:space="0" w:color="auto"/>
              <w:left w:val="nil"/>
              <w:bottom w:val="single" w:sz="4" w:space="0" w:color="auto"/>
              <w:right w:val="single" w:sz="4" w:space="0" w:color="auto"/>
            </w:tcBorders>
            <w:shd w:val="clear" w:color="auto" w:fill="auto"/>
          </w:tcPr>
          <w:p w14:paraId="2F4B29F1" w14:textId="77727AE9" w:rsidR="00E41257" w:rsidRPr="00B923E6" w:rsidRDefault="007B44A2" w:rsidP="00C95670">
            <w:pPr>
              <w:pStyle w:val="TableText0"/>
              <w:keepLines/>
              <w:jc w:val="right"/>
              <w:rPr>
                <w:rFonts w:cs="Arial"/>
                <w:b/>
                <w:bCs w:val="0"/>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4A6AAE" w:rsidRPr="00144AA5">
              <w:rPr>
                <w:szCs w:val="20"/>
                <w:vertAlign w:val="superscript"/>
              </w:rPr>
              <w:t>2</w:t>
            </w:r>
          </w:p>
        </w:tc>
        <w:tc>
          <w:tcPr>
            <w:tcW w:w="647" w:type="pct"/>
            <w:tcBorders>
              <w:top w:val="single" w:sz="4" w:space="0" w:color="auto"/>
              <w:left w:val="nil"/>
              <w:bottom w:val="single" w:sz="4" w:space="0" w:color="auto"/>
              <w:right w:val="single" w:sz="4" w:space="0" w:color="auto"/>
            </w:tcBorders>
            <w:shd w:val="clear" w:color="auto" w:fill="auto"/>
          </w:tcPr>
          <w:p w14:paraId="7194C42F" w14:textId="0C5BC2E0" w:rsidR="00E41257" w:rsidRPr="00B923E6" w:rsidRDefault="007B44A2" w:rsidP="00C95670">
            <w:pPr>
              <w:pStyle w:val="TableText0"/>
              <w:keepLines/>
              <w:jc w:val="right"/>
              <w:rPr>
                <w:rFonts w:cs="Arial"/>
                <w:b/>
                <w:bCs w:val="0"/>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4A6AAE" w:rsidRPr="00144AA5">
              <w:rPr>
                <w:szCs w:val="20"/>
                <w:vertAlign w:val="superscript"/>
              </w:rPr>
              <w:t>2</w:t>
            </w:r>
          </w:p>
        </w:tc>
        <w:tc>
          <w:tcPr>
            <w:tcW w:w="647" w:type="pct"/>
            <w:tcBorders>
              <w:top w:val="single" w:sz="4" w:space="0" w:color="auto"/>
              <w:left w:val="nil"/>
              <w:bottom w:val="single" w:sz="4" w:space="0" w:color="auto"/>
              <w:right w:val="single" w:sz="4" w:space="0" w:color="auto"/>
            </w:tcBorders>
            <w:shd w:val="clear" w:color="auto" w:fill="auto"/>
          </w:tcPr>
          <w:p w14:paraId="733743C5" w14:textId="322976DF" w:rsidR="00E41257" w:rsidRPr="00B923E6" w:rsidRDefault="007B44A2" w:rsidP="00C95670">
            <w:pPr>
              <w:pStyle w:val="TableText0"/>
              <w:keepLines/>
              <w:jc w:val="right"/>
              <w:rPr>
                <w:rFonts w:cs="Arial"/>
                <w:b/>
                <w:bCs w:val="0"/>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4A6AAE" w:rsidRPr="00144AA5">
              <w:rPr>
                <w:szCs w:val="20"/>
                <w:vertAlign w:val="superscript"/>
              </w:rPr>
              <w:t>2</w:t>
            </w:r>
          </w:p>
        </w:tc>
      </w:tr>
      <w:tr w:rsidR="001A60D4" w:rsidRPr="00363A83" w14:paraId="5D5D440C" w14:textId="77777777" w:rsidTr="6B1024DC">
        <w:trPr>
          <w:cantSplit/>
          <w:jc w:val="center"/>
        </w:trPr>
        <w:tc>
          <w:tcPr>
            <w:tcW w:w="1118" w:type="pct"/>
            <w:shd w:val="clear" w:color="auto" w:fill="auto"/>
            <w:vAlign w:val="center"/>
          </w:tcPr>
          <w:p w14:paraId="359E474F" w14:textId="0CE5ADC6" w:rsidR="001A60D4" w:rsidRPr="00363A83" w:rsidRDefault="001A60D4" w:rsidP="005E729E">
            <w:pPr>
              <w:pStyle w:val="TableText0"/>
              <w:keepLines/>
              <w:rPr>
                <w:szCs w:val="20"/>
                <w:vertAlign w:val="superscript"/>
              </w:rPr>
            </w:pPr>
            <w:r w:rsidRPr="00363A83">
              <w:rPr>
                <w:szCs w:val="20"/>
              </w:rPr>
              <w:t xml:space="preserve">Number of scripts dispensed for </w:t>
            </w:r>
            <w:r w:rsidRPr="00363A83">
              <w:rPr>
                <w:rFonts w:cstheme="minorHAnsi"/>
                <w:szCs w:val="20"/>
              </w:rPr>
              <w:t>CSU</w:t>
            </w:r>
          </w:p>
        </w:tc>
        <w:tc>
          <w:tcPr>
            <w:tcW w:w="647" w:type="pct"/>
            <w:shd w:val="clear" w:color="auto" w:fill="auto"/>
          </w:tcPr>
          <w:p w14:paraId="14228129" w14:textId="6326F3DA" w:rsidR="001A60D4" w:rsidRPr="00B923E6" w:rsidRDefault="007B44A2" w:rsidP="00C95670">
            <w:pPr>
              <w:pStyle w:val="TableText0"/>
              <w:keepLines/>
              <w:jc w:val="right"/>
              <w:rPr>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5A753E" w:rsidRPr="00B923E6">
              <w:rPr>
                <w:szCs w:val="20"/>
                <w:vertAlign w:val="superscript"/>
              </w:rPr>
              <w:t>3</w:t>
            </w:r>
          </w:p>
        </w:tc>
        <w:tc>
          <w:tcPr>
            <w:tcW w:w="647" w:type="pct"/>
            <w:shd w:val="clear" w:color="auto" w:fill="auto"/>
          </w:tcPr>
          <w:p w14:paraId="0AC1C51C" w14:textId="53BF29A7" w:rsidR="001A60D4" w:rsidRPr="00B923E6" w:rsidRDefault="007B44A2" w:rsidP="00C95670">
            <w:pPr>
              <w:pStyle w:val="TableText0"/>
              <w:keepLines/>
              <w:jc w:val="right"/>
              <w:rPr>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5A753E" w:rsidRPr="00144AA5">
              <w:rPr>
                <w:szCs w:val="20"/>
                <w:vertAlign w:val="superscript"/>
              </w:rPr>
              <w:t>3</w:t>
            </w:r>
          </w:p>
        </w:tc>
        <w:tc>
          <w:tcPr>
            <w:tcW w:w="647" w:type="pct"/>
            <w:shd w:val="clear" w:color="auto" w:fill="auto"/>
          </w:tcPr>
          <w:p w14:paraId="46B37406" w14:textId="436BA35D" w:rsidR="001A60D4" w:rsidRPr="00B923E6" w:rsidRDefault="007B44A2" w:rsidP="00C95670">
            <w:pPr>
              <w:pStyle w:val="TableText0"/>
              <w:keepLines/>
              <w:jc w:val="right"/>
              <w:rPr>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AC04CA" w:rsidRPr="00B923E6">
              <w:rPr>
                <w:szCs w:val="20"/>
                <w:vertAlign w:val="superscript"/>
              </w:rPr>
              <w:t>4</w:t>
            </w:r>
          </w:p>
        </w:tc>
        <w:tc>
          <w:tcPr>
            <w:tcW w:w="647" w:type="pct"/>
            <w:shd w:val="clear" w:color="auto" w:fill="auto"/>
          </w:tcPr>
          <w:p w14:paraId="6D76F480" w14:textId="36D13401" w:rsidR="001A60D4" w:rsidRPr="00B923E6" w:rsidRDefault="007B44A2" w:rsidP="00C95670">
            <w:pPr>
              <w:pStyle w:val="TableText0"/>
              <w:keepLines/>
              <w:jc w:val="right"/>
              <w:rPr>
                <w:color w:val="000000"/>
                <w:szCs w:val="20"/>
                <w:highlight w:val="darkGray"/>
              </w:rPr>
            </w:pPr>
            <w:r w:rsidRPr="007B44A2">
              <w:rPr>
                <w:rFonts w:hint="eastAsia"/>
                <w:color w:val="000000"/>
                <w:spacing w:val="10"/>
                <w:w w:val="33"/>
                <w:szCs w:val="20"/>
                <w:shd w:val="solid" w:color="000000" w:fill="000000"/>
                <w:fitText w:val="150" w:id="-694512384"/>
                <w14:textFill>
                  <w14:solidFill>
                    <w14:srgbClr w14:val="000000">
                      <w14:alpha w14:val="100000"/>
                    </w14:srgbClr>
                  </w14:solidFill>
                </w14:textFill>
              </w:rPr>
              <w:t xml:space="preserve">　</w:t>
            </w:r>
            <w:r w:rsidRPr="007B44A2">
              <w:rPr>
                <w:color w:val="000000"/>
                <w:w w:val="33"/>
                <w:szCs w:val="20"/>
                <w:shd w:val="solid" w:color="000000" w:fill="000000"/>
                <w:fitText w:val="150" w:id="-694512384"/>
                <w14:textFill>
                  <w14:solidFill>
                    <w14:srgbClr w14:val="000000">
                      <w14:alpha w14:val="100000"/>
                    </w14:srgbClr>
                  </w14:solidFill>
                </w14:textFill>
              </w:rPr>
              <w:t>|</w:t>
            </w:r>
            <w:r w:rsidRPr="007B44A2">
              <w:rPr>
                <w:rFonts w:hint="eastAsia"/>
                <w:color w:val="000000"/>
                <w:w w:val="33"/>
                <w:szCs w:val="20"/>
                <w:shd w:val="solid" w:color="000000" w:fill="000000"/>
                <w:fitText w:val="150" w:id="-694512384"/>
                <w14:textFill>
                  <w14:solidFill>
                    <w14:srgbClr w14:val="000000">
                      <w14:alpha w14:val="100000"/>
                    </w14:srgbClr>
                  </w14:solidFill>
                </w14:textFill>
              </w:rPr>
              <w:t xml:space="preserve">　</w:t>
            </w:r>
            <w:r w:rsidR="00AC04CA" w:rsidRPr="00B923E6">
              <w:rPr>
                <w:szCs w:val="20"/>
                <w:vertAlign w:val="superscript"/>
              </w:rPr>
              <w:t>5</w:t>
            </w:r>
            <w:r w:rsidRPr="007B44A2">
              <w:rPr>
                <w:color w:val="000000"/>
                <w:szCs w:val="20"/>
                <w:shd w:val="solid" w:color="000000" w:fill="000000"/>
                <w14:textFill>
                  <w14:solidFill>
                    <w14:srgbClr w14:val="000000">
                      <w14:alpha w14:val="100000"/>
                    </w14:srgbClr>
                  </w14:solidFill>
                </w14:textFill>
              </w:rPr>
              <w:t>|</w:t>
            </w:r>
          </w:p>
        </w:tc>
        <w:tc>
          <w:tcPr>
            <w:tcW w:w="647" w:type="pct"/>
            <w:shd w:val="clear" w:color="auto" w:fill="auto"/>
          </w:tcPr>
          <w:p w14:paraId="078EC90A" w14:textId="2951748A" w:rsidR="001A60D4" w:rsidRPr="00B923E6" w:rsidRDefault="007B44A2" w:rsidP="00C95670">
            <w:pPr>
              <w:pStyle w:val="TableText0"/>
              <w:keepLines/>
              <w:jc w:val="right"/>
              <w:rPr>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AC04CA" w:rsidRPr="00B923E6">
              <w:rPr>
                <w:szCs w:val="20"/>
                <w:vertAlign w:val="superscript"/>
              </w:rPr>
              <w:t>6</w:t>
            </w:r>
          </w:p>
        </w:tc>
        <w:tc>
          <w:tcPr>
            <w:tcW w:w="647" w:type="pct"/>
            <w:shd w:val="clear" w:color="auto" w:fill="auto"/>
          </w:tcPr>
          <w:p w14:paraId="0BC345E6" w14:textId="4864A40E" w:rsidR="001A60D4" w:rsidRPr="00B923E6" w:rsidRDefault="007B44A2" w:rsidP="00C95670">
            <w:pPr>
              <w:pStyle w:val="TableText0"/>
              <w:keepLines/>
              <w:jc w:val="right"/>
              <w:rPr>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AC04CA" w:rsidRPr="00B923E6">
              <w:rPr>
                <w:szCs w:val="20"/>
                <w:vertAlign w:val="superscript"/>
              </w:rPr>
              <w:t>7</w:t>
            </w:r>
          </w:p>
        </w:tc>
      </w:tr>
      <w:tr w:rsidR="000C1AFF" w:rsidRPr="00363A83" w14:paraId="046AEB1E" w14:textId="77777777" w:rsidTr="6B1024DC">
        <w:trPr>
          <w:cantSplit/>
          <w:jc w:val="center"/>
        </w:trPr>
        <w:tc>
          <w:tcPr>
            <w:tcW w:w="5000" w:type="pct"/>
            <w:gridSpan w:val="7"/>
            <w:shd w:val="clear" w:color="auto" w:fill="auto"/>
            <w:vAlign w:val="center"/>
          </w:tcPr>
          <w:p w14:paraId="750CBAE5" w14:textId="208D602C" w:rsidR="000C1AFF" w:rsidRPr="00363A83" w:rsidRDefault="000C1AFF" w:rsidP="005E729E">
            <w:pPr>
              <w:pStyle w:val="TableText0"/>
              <w:keepLines/>
              <w:rPr>
                <w:b/>
                <w:color w:val="000000"/>
                <w:szCs w:val="20"/>
              </w:rPr>
            </w:pPr>
            <w:r w:rsidRPr="00363A83">
              <w:rPr>
                <w:b/>
                <w:color w:val="000000"/>
                <w:szCs w:val="20"/>
              </w:rPr>
              <w:t xml:space="preserve">Estimated financial implications of </w:t>
            </w:r>
            <w:r w:rsidR="00F00498" w:rsidRPr="00363A83">
              <w:rPr>
                <w:b/>
                <w:color w:val="000000"/>
                <w:szCs w:val="20"/>
              </w:rPr>
              <w:t xml:space="preserve">the existing strengths and </w:t>
            </w:r>
            <w:r w:rsidR="00131807" w:rsidRPr="00363A83">
              <w:rPr>
                <w:b/>
                <w:color w:val="000000"/>
                <w:szCs w:val="20"/>
              </w:rPr>
              <w:t xml:space="preserve">form of omalizumab </w:t>
            </w:r>
          </w:p>
        </w:tc>
      </w:tr>
      <w:tr w:rsidR="008F298B" w:rsidRPr="00363A83" w14:paraId="3993658E" w14:textId="77777777" w:rsidTr="6B1024DC">
        <w:trPr>
          <w:cantSplit/>
          <w:jc w:val="center"/>
        </w:trPr>
        <w:tc>
          <w:tcPr>
            <w:tcW w:w="1118" w:type="pct"/>
            <w:shd w:val="clear" w:color="auto" w:fill="auto"/>
            <w:vAlign w:val="center"/>
          </w:tcPr>
          <w:p w14:paraId="375802A8" w14:textId="27735206" w:rsidR="008F298B" w:rsidRPr="00363A83" w:rsidRDefault="008F298B" w:rsidP="005E729E">
            <w:pPr>
              <w:pStyle w:val="TableText0"/>
              <w:keepLines/>
              <w:rPr>
                <w:szCs w:val="20"/>
              </w:rPr>
            </w:pPr>
            <w:r w:rsidRPr="00363A83">
              <w:rPr>
                <w:szCs w:val="20"/>
              </w:rPr>
              <w:t>Cost to PBS/RPBS less co-payment</w:t>
            </w:r>
            <w:r w:rsidR="004B1920" w:rsidRPr="00363A83">
              <w:rPr>
                <w:szCs w:val="20"/>
              </w:rPr>
              <w:t xml:space="preserve"> for USA (continuing)</w:t>
            </w:r>
          </w:p>
        </w:tc>
        <w:tc>
          <w:tcPr>
            <w:tcW w:w="647" w:type="pct"/>
            <w:shd w:val="clear" w:color="auto" w:fill="auto"/>
          </w:tcPr>
          <w:p w14:paraId="466AAD3D" w14:textId="09BD5EC0" w:rsidR="008F298B" w:rsidRPr="00B923E6" w:rsidRDefault="007B44A2" w:rsidP="00C95670">
            <w:pPr>
              <w:pStyle w:val="TableText0"/>
              <w:keepLines/>
              <w:jc w:val="right"/>
              <w:rPr>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D34E0E" w:rsidRPr="00B923E6">
              <w:rPr>
                <w:szCs w:val="20"/>
                <w:vertAlign w:val="superscript"/>
              </w:rPr>
              <w:t>8</w:t>
            </w:r>
          </w:p>
        </w:tc>
        <w:tc>
          <w:tcPr>
            <w:tcW w:w="647" w:type="pct"/>
            <w:shd w:val="clear" w:color="auto" w:fill="auto"/>
          </w:tcPr>
          <w:p w14:paraId="0584DE92" w14:textId="562E8F73" w:rsidR="008F298B" w:rsidRPr="00B923E6" w:rsidRDefault="007B44A2" w:rsidP="00C95670">
            <w:pPr>
              <w:pStyle w:val="TableText0"/>
              <w:keepLines/>
              <w:jc w:val="right"/>
              <w:rPr>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D34E0E" w:rsidRPr="00144AA5">
              <w:rPr>
                <w:szCs w:val="20"/>
                <w:vertAlign w:val="superscript"/>
              </w:rPr>
              <w:t>8</w:t>
            </w:r>
          </w:p>
        </w:tc>
        <w:tc>
          <w:tcPr>
            <w:tcW w:w="647" w:type="pct"/>
            <w:shd w:val="clear" w:color="auto" w:fill="auto"/>
          </w:tcPr>
          <w:p w14:paraId="555B3F9C" w14:textId="0E61EB53" w:rsidR="008F298B" w:rsidRPr="00B923E6" w:rsidRDefault="007B44A2" w:rsidP="00C95670">
            <w:pPr>
              <w:pStyle w:val="TableText0"/>
              <w:keepLines/>
              <w:jc w:val="right"/>
              <w:rPr>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D34E0E" w:rsidRPr="00144AA5">
              <w:rPr>
                <w:szCs w:val="20"/>
                <w:vertAlign w:val="superscript"/>
              </w:rPr>
              <w:t>8</w:t>
            </w:r>
          </w:p>
        </w:tc>
        <w:tc>
          <w:tcPr>
            <w:tcW w:w="647" w:type="pct"/>
            <w:shd w:val="clear" w:color="auto" w:fill="auto"/>
          </w:tcPr>
          <w:p w14:paraId="28A422D5" w14:textId="52EC374E" w:rsidR="008F298B" w:rsidRPr="00B923E6" w:rsidRDefault="007B44A2" w:rsidP="00C95670">
            <w:pPr>
              <w:pStyle w:val="TableText0"/>
              <w:keepLines/>
              <w:jc w:val="right"/>
              <w:rPr>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D34E0E" w:rsidRPr="00144AA5">
              <w:rPr>
                <w:szCs w:val="20"/>
                <w:vertAlign w:val="superscript"/>
              </w:rPr>
              <w:t>8</w:t>
            </w:r>
          </w:p>
        </w:tc>
        <w:tc>
          <w:tcPr>
            <w:tcW w:w="647" w:type="pct"/>
            <w:shd w:val="clear" w:color="auto" w:fill="auto"/>
          </w:tcPr>
          <w:p w14:paraId="3BD91315" w14:textId="0E55223D" w:rsidR="008F298B" w:rsidRPr="00B923E6" w:rsidRDefault="007B44A2" w:rsidP="00C95670">
            <w:pPr>
              <w:pStyle w:val="TableText0"/>
              <w:keepLines/>
              <w:jc w:val="right"/>
              <w:rPr>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D34E0E" w:rsidRPr="00144AA5">
              <w:rPr>
                <w:szCs w:val="20"/>
                <w:vertAlign w:val="superscript"/>
              </w:rPr>
              <w:t>8</w:t>
            </w:r>
          </w:p>
        </w:tc>
        <w:tc>
          <w:tcPr>
            <w:tcW w:w="647" w:type="pct"/>
            <w:shd w:val="clear" w:color="auto" w:fill="auto"/>
          </w:tcPr>
          <w:p w14:paraId="11BDCDF8" w14:textId="01F73FF0" w:rsidR="008F298B" w:rsidRPr="00B923E6" w:rsidRDefault="007B44A2" w:rsidP="00C95670">
            <w:pPr>
              <w:pStyle w:val="TableText0"/>
              <w:keepLines/>
              <w:jc w:val="right"/>
              <w:rPr>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D34E0E" w:rsidRPr="00144AA5">
              <w:rPr>
                <w:szCs w:val="20"/>
                <w:vertAlign w:val="superscript"/>
              </w:rPr>
              <w:t>8</w:t>
            </w:r>
          </w:p>
        </w:tc>
      </w:tr>
      <w:tr w:rsidR="00DB7239" w:rsidRPr="00363A83" w14:paraId="75A3651C" w14:textId="77777777" w:rsidTr="6B1024DC">
        <w:trPr>
          <w:cantSplit/>
          <w:jc w:val="center"/>
        </w:trPr>
        <w:tc>
          <w:tcPr>
            <w:tcW w:w="1118" w:type="pct"/>
            <w:shd w:val="clear" w:color="auto" w:fill="auto"/>
            <w:vAlign w:val="center"/>
          </w:tcPr>
          <w:p w14:paraId="0B8B98D5" w14:textId="41B2FCF3" w:rsidR="00DB7239" w:rsidRPr="00363A83" w:rsidRDefault="004B1920" w:rsidP="005E729E">
            <w:pPr>
              <w:pStyle w:val="TableText0"/>
              <w:keepLines/>
              <w:rPr>
                <w:szCs w:val="20"/>
              </w:rPr>
            </w:pPr>
            <w:r w:rsidRPr="00363A83">
              <w:rPr>
                <w:szCs w:val="20"/>
              </w:rPr>
              <w:t>Cost to PBS/RPBS less co-payment for USA (initial)</w:t>
            </w:r>
          </w:p>
        </w:tc>
        <w:tc>
          <w:tcPr>
            <w:tcW w:w="647" w:type="pct"/>
            <w:shd w:val="clear" w:color="auto" w:fill="auto"/>
          </w:tcPr>
          <w:p w14:paraId="0572DF66" w14:textId="5190E438" w:rsidR="00DB7239" w:rsidRPr="00B923E6" w:rsidRDefault="007B44A2" w:rsidP="00C95670">
            <w:pPr>
              <w:pStyle w:val="TableText0"/>
              <w:keepLines/>
              <w:jc w:val="right"/>
              <w:rPr>
                <w:szCs w:val="20"/>
                <w:highlight w:val="darkGray"/>
              </w:rPr>
            </w:pPr>
            <w:r w:rsidRPr="007B44A2">
              <w:rPr>
                <w:color w:val="000000"/>
                <w:szCs w:val="20"/>
                <w:shd w:val="solid" w:color="000000" w:fill="000000"/>
                <w14:textFill>
                  <w14:solidFill>
                    <w14:srgbClr w14:val="000000">
                      <w14:alpha w14:val="100000"/>
                    </w14:srgbClr>
                  </w14:solidFill>
                </w14:textFill>
              </w:rPr>
              <w:t>|</w:t>
            </w:r>
            <w:r w:rsidR="00D34E0E" w:rsidRPr="00144AA5">
              <w:rPr>
                <w:szCs w:val="20"/>
                <w:vertAlign w:val="superscript"/>
              </w:rPr>
              <w:t>8</w:t>
            </w:r>
          </w:p>
        </w:tc>
        <w:tc>
          <w:tcPr>
            <w:tcW w:w="647" w:type="pct"/>
            <w:shd w:val="clear" w:color="auto" w:fill="auto"/>
          </w:tcPr>
          <w:p w14:paraId="22F1127D" w14:textId="424468D9" w:rsidR="00DB7239" w:rsidRPr="00B923E6" w:rsidRDefault="007B44A2" w:rsidP="00C95670">
            <w:pPr>
              <w:pStyle w:val="TableText0"/>
              <w:keepLines/>
              <w:jc w:val="right"/>
              <w:rPr>
                <w:szCs w:val="20"/>
                <w:highlight w:val="darkGray"/>
              </w:rPr>
            </w:pPr>
            <w:r w:rsidRPr="007B44A2">
              <w:rPr>
                <w:color w:val="000000"/>
                <w:szCs w:val="20"/>
                <w:shd w:val="solid" w:color="000000" w:fill="000000"/>
                <w14:textFill>
                  <w14:solidFill>
                    <w14:srgbClr w14:val="000000">
                      <w14:alpha w14:val="100000"/>
                    </w14:srgbClr>
                  </w14:solidFill>
                </w14:textFill>
              </w:rPr>
              <w:t>|</w:t>
            </w:r>
            <w:r w:rsidR="00D34E0E" w:rsidRPr="00144AA5">
              <w:rPr>
                <w:szCs w:val="20"/>
                <w:vertAlign w:val="superscript"/>
              </w:rPr>
              <w:t>8</w:t>
            </w:r>
          </w:p>
        </w:tc>
        <w:tc>
          <w:tcPr>
            <w:tcW w:w="647" w:type="pct"/>
            <w:shd w:val="clear" w:color="auto" w:fill="auto"/>
          </w:tcPr>
          <w:p w14:paraId="155F155D" w14:textId="3442E8F8" w:rsidR="00DB7239" w:rsidRPr="00B923E6" w:rsidRDefault="007B44A2" w:rsidP="00C95670">
            <w:pPr>
              <w:pStyle w:val="TableText0"/>
              <w:keepLines/>
              <w:jc w:val="right"/>
              <w:rPr>
                <w:szCs w:val="20"/>
                <w:highlight w:val="darkGray"/>
              </w:rPr>
            </w:pPr>
            <w:r w:rsidRPr="007B44A2">
              <w:rPr>
                <w:color w:val="000000"/>
                <w:szCs w:val="20"/>
                <w:shd w:val="solid" w:color="000000" w:fill="000000"/>
                <w14:textFill>
                  <w14:solidFill>
                    <w14:srgbClr w14:val="000000">
                      <w14:alpha w14:val="100000"/>
                    </w14:srgbClr>
                  </w14:solidFill>
                </w14:textFill>
              </w:rPr>
              <w:t>|</w:t>
            </w:r>
            <w:r w:rsidR="00D34E0E" w:rsidRPr="00144AA5">
              <w:rPr>
                <w:szCs w:val="20"/>
                <w:vertAlign w:val="superscript"/>
              </w:rPr>
              <w:t>8</w:t>
            </w:r>
          </w:p>
        </w:tc>
        <w:tc>
          <w:tcPr>
            <w:tcW w:w="647" w:type="pct"/>
            <w:shd w:val="clear" w:color="auto" w:fill="auto"/>
          </w:tcPr>
          <w:p w14:paraId="7BC33CFD" w14:textId="650A5DA4" w:rsidR="00DB7239" w:rsidRPr="00B923E6" w:rsidRDefault="007B44A2" w:rsidP="00C95670">
            <w:pPr>
              <w:pStyle w:val="TableText0"/>
              <w:keepLines/>
              <w:jc w:val="right"/>
              <w:rPr>
                <w:szCs w:val="20"/>
                <w:highlight w:val="darkGray"/>
              </w:rPr>
            </w:pPr>
            <w:r w:rsidRPr="007B44A2">
              <w:rPr>
                <w:color w:val="000000"/>
                <w:szCs w:val="20"/>
                <w:shd w:val="solid" w:color="000000" w:fill="000000"/>
                <w14:textFill>
                  <w14:solidFill>
                    <w14:srgbClr w14:val="000000">
                      <w14:alpha w14:val="100000"/>
                    </w14:srgbClr>
                  </w14:solidFill>
                </w14:textFill>
              </w:rPr>
              <w:t>|</w:t>
            </w:r>
            <w:r w:rsidR="00D34E0E" w:rsidRPr="00144AA5">
              <w:rPr>
                <w:szCs w:val="20"/>
                <w:vertAlign w:val="superscript"/>
              </w:rPr>
              <w:t>8</w:t>
            </w:r>
          </w:p>
        </w:tc>
        <w:tc>
          <w:tcPr>
            <w:tcW w:w="647" w:type="pct"/>
            <w:shd w:val="clear" w:color="auto" w:fill="auto"/>
          </w:tcPr>
          <w:p w14:paraId="0C07BC8F" w14:textId="35F25DDB" w:rsidR="00DB7239" w:rsidRPr="00B923E6" w:rsidRDefault="007B44A2" w:rsidP="00C95670">
            <w:pPr>
              <w:pStyle w:val="TableText0"/>
              <w:keepLines/>
              <w:jc w:val="right"/>
              <w:rPr>
                <w:szCs w:val="20"/>
                <w:highlight w:val="darkGray"/>
              </w:rPr>
            </w:pPr>
            <w:r w:rsidRPr="007B44A2">
              <w:rPr>
                <w:color w:val="000000"/>
                <w:szCs w:val="20"/>
                <w:shd w:val="solid" w:color="000000" w:fill="000000"/>
                <w14:textFill>
                  <w14:solidFill>
                    <w14:srgbClr w14:val="000000">
                      <w14:alpha w14:val="100000"/>
                    </w14:srgbClr>
                  </w14:solidFill>
                </w14:textFill>
              </w:rPr>
              <w:t>|</w:t>
            </w:r>
            <w:r w:rsidR="00D34E0E" w:rsidRPr="00144AA5">
              <w:rPr>
                <w:szCs w:val="20"/>
                <w:vertAlign w:val="superscript"/>
              </w:rPr>
              <w:t>8</w:t>
            </w:r>
          </w:p>
        </w:tc>
        <w:tc>
          <w:tcPr>
            <w:tcW w:w="647" w:type="pct"/>
            <w:shd w:val="clear" w:color="auto" w:fill="auto"/>
          </w:tcPr>
          <w:p w14:paraId="1FD97D2A" w14:textId="5E37F83C" w:rsidR="00DB7239" w:rsidRPr="00B923E6" w:rsidRDefault="007B44A2" w:rsidP="00C95670">
            <w:pPr>
              <w:pStyle w:val="TableText0"/>
              <w:keepLines/>
              <w:jc w:val="right"/>
              <w:rPr>
                <w:szCs w:val="20"/>
                <w:highlight w:val="darkGray"/>
              </w:rPr>
            </w:pPr>
            <w:r w:rsidRPr="007B44A2">
              <w:rPr>
                <w:color w:val="000000"/>
                <w:szCs w:val="20"/>
                <w:shd w:val="solid" w:color="000000" w:fill="000000"/>
                <w14:textFill>
                  <w14:solidFill>
                    <w14:srgbClr w14:val="000000">
                      <w14:alpha w14:val="100000"/>
                    </w14:srgbClr>
                  </w14:solidFill>
                </w14:textFill>
              </w:rPr>
              <w:t>|</w:t>
            </w:r>
            <w:r w:rsidR="00D34E0E" w:rsidRPr="00144AA5">
              <w:rPr>
                <w:szCs w:val="20"/>
                <w:vertAlign w:val="superscript"/>
              </w:rPr>
              <w:t>8</w:t>
            </w:r>
          </w:p>
        </w:tc>
      </w:tr>
      <w:tr w:rsidR="004B1920" w:rsidRPr="00363A83" w14:paraId="6F5DF657" w14:textId="77777777" w:rsidTr="6B1024DC">
        <w:trPr>
          <w:cantSplit/>
          <w:jc w:val="center"/>
        </w:trPr>
        <w:tc>
          <w:tcPr>
            <w:tcW w:w="1118" w:type="pct"/>
            <w:shd w:val="clear" w:color="auto" w:fill="auto"/>
            <w:vAlign w:val="center"/>
          </w:tcPr>
          <w:p w14:paraId="553381C2" w14:textId="3A5306A3" w:rsidR="004B1920" w:rsidRPr="00363A83" w:rsidRDefault="004B1920" w:rsidP="005E729E">
            <w:pPr>
              <w:pStyle w:val="TableText0"/>
              <w:keepLines/>
              <w:rPr>
                <w:szCs w:val="20"/>
              </w:rPr>
            </w:pPr>
            <w:r w:rsidRPr="00363A83">
              <w:rPr>
                <w:szCs w:val="20"/>
              </w:rPr>
              <w:t>Cost to PBS/RPBS less co-payment for</w:t>
            </w:r>
            <w:r w:rsidR="00066FB9" w:rsidRPr="00363A83">
              <w:rPr>
                <w:szCs w:val="20"/>
              </w:rPr>
              <w:t xml:space="preserve"> </w:t>
            </w:r>
            <w:r w:rsidR="00066FB9" w:rsidRPr="00363A83">
              <w:rPr>
                <w:rFonts w:cstheme="minorHAnsi"/>
                <w:szCs w:val="20"/>
              </w:rPr>
              <w:t>CSU</w:t>
            </w:r>
          </w:p>
        </w:tc>
        <w:tc>
          <w:tcPr>
            <w:tcW w:w="647" w:type="pct"/>
            <w:shd w:val="clear" w:color="auto" w:fill="auto"/>
          </w:tcPr>
          <w:p w14:paraId="3405C412" w14:textId="6DDCD90C" w:rsidR="004B1920" w:rsidRPr="00B923E6" w:rsidRDefault="007B44A2" w:rsidP="00C95670">
            <w:pPr>
              <w:pStyle w:val="TableText0"/>
              <w:keepLines/>
              <w:jc w:val="right"/>
              <w:rPr>
                <w:szCs w:val="20"/>
                <w:highlight w:val="darkGray"/>
              </w:rPr>
            </w:pPr>
            <w:r w:rsidRPr="007B44A2">
              <w:rPr>
                <w:color w:val="000000"/>
                <w:szCs w:val="20"/>
                <w:shd w:val="solid" w:color="000000" w:fill="000000"/>
                <w14:textFill>
                  <w14:solidFill>
                    <w14:srgbClr w14:val="000000">
                      <w14:alpha w14:val="100000"/>
                    </w14:srgbClr>
                  </w14:solidFill>
                </w14:textFill>
              </w:rPr>
              <w:t>|</w:t>
            </w:r>
            <w:r w:rsidR="00782D05">
              <w:rPr>
                <w:szCs w:val="20"/>
                <w:vertAlign w:val="superscript"/>
              </w:rPr>
              <w:t>12</w:t>
            </w:r>
          </w:p>
        </w:tc>
        <w:tc>
          <w:tcPr>
            <w:tcW w:w="647" w:type="pct"/>
            <w:shd w:val="clear" w:color="auto" w:fill="auto"/>
          </w:tcPr>
          <w:p w14:paraId="5C3FC326" w14:textId="061A8E49" w:rsidR="004B1920" w:rsidRPr="00B923E6" w:rsidRDefault="007B44A2" w:rsidP="00C95670">
            <w:pPr>
              <w:pStyle w:val="TableText0"/>
              <w:keepLines/>
              <w:jc w:val="right"/>
              <w:rPr>
                <w:szCs w:val="20"/>
                <w:highlight w:val="darkGray"/>
              </w:rPr>
            </w:pPr>
            <w:r w:rsidRPr="007B44A2">
              <w:rPr>
                <w:color w:val="000000"/>
                <w:szCs w:val="20"/>
                <w:shd w:val="solid" w:color="000000" w:fill="000000"/>
                <w14:textFill>
                  <w14:solidFill>
                    <w14:srgbClr w14:val="000000">
                      <w14:alpha w14:val="100000"/>
                    </w14:srgbClr>
                  </w14:solidFill>
                </w14:textFill>
              </w:rPr>
              <w:t>|</w:t>
            </w:r>
            <w:r w:rsidR="0019673D" w:rsidRPr="00B923E6">
              <w:rPr>
                <w:szCs w:val="20"/>
                <w:vertAlign w:val="superscript"/>
              </w:rPr>
              <w:t>9</w:t>
            </w:r>
          </w:p>
        </w:tc>
        <w:tc>
          <w:tcPr>
            <w:tcW w:w="647" w:type="pct"/>
            <w:shd w:val="clear" w:color="auto" w:fill="auto"/>
          </w:tcPr>
          <w:p w14:paraId="152E7621" w14:textId="69BB6CCF" w:rsidR="004B1920" w:rsidRPr="00B923E6" w:rsidRDefault="007B44A2" w:rsidP="00C95670">
            <w:pPr>
              <w:pStyle w:val="TableText0"/>
              <w:keepLines/>
              <w:jc w:val="right"/>
              <w:rPr>
                <w:szCs w:val="20"/>
                <w:highlight w:val="darkGray"/>
              </w:rPr>
            </w:pPr>
            <w:r w:rsidRPr="007B44A2">
              <w:rPr>
                <w:color w:val="000000"/>
                <w:szCs w:val="20"/>
                <w:shd w:val="solid" w:color="000000" w:fill="000000"/>
                <w14:textFill>
                  <w14:solidFill>
                    <w14:srgbClr w14:val="000000">
                      <w14:alpha w14:val="100000"/>
                    </w14:srgbClr>
                  </w14:solidFill>
                </w14:textFill>
              </w:rPr>
              <w:t>|</w:t>
            </w:r>
            <w:r w:rsidR="0019673D" w:rsidRPr="00144AA5">
              <w:rPr>
                <w:szCs w:val="20"/>
                <w:vertAlign w:val="superscript"/>
              </w:rPr>
              <w:t>9</w:t>
            </w:r>
          </w:p>
        </w:tc>
        <w:tc>
          <w:tcPr>
            <w:tcW w:w="647" w:type="pct"/>
            <w:shd w:val="clear" w:color="auto" w:fill="auto"/>
          </w:tcPr>
          <w:p w14:paraId="327683FD" w14:textId="583E0E3E" w:rsidR="004B1920" w:rsidRPr="00B923E6" w:rsidRDefault="007B44A2" w:rsidP="00C95670">
            <w:pPr>
              <w:pStyle w:val="TableText0"/>
              <w:keepLines/>
              <w:jc w:val="right"/>
              <w:rPr>
                <w:szCs w:val="20"/>
                <w:highlight w:val="darkGray"/>
              </w:rPr>
            </w:pPr>
            <w:r w:rsidRPr="007B44A2">
              <w:rPr>
                <w:color w:val="000000"/>
                <w:szCs w:val="20"/>
                <w:shd w:val="solid" w:color="000000" w:fill="000000"/>
                <w14:textFill>
                  <w14:solidFill>
                    <w14:srgbClr w14:val="000000">
                      <w14:alpha w14:val="100000"/>
                    </w14:srgbClr>
                  </w14:solidFill>
                </w14:textFill>
              </w:rPr>
              <w:t>|</w:t>
            </w:r>
            <w:r w:rsidR="0019673D" w:rsidRPr="00144AA5">
              <w:rPr>
                <w:szCs w:val="20"/>
                <w:vertAlign w:val="superscript"/>
              </w:rPr>
              <w:t>9</w:t>
            </w:r>
          </w:p>
        </w:tc>
        <w:tc>
          <w:tcPr>
            <w:tcW w:w="647" w:type="pct"/>
            <w:shd w:val="clear" w:color="auto" w:fill="auto"/>
          </w:tcPr>
          <w:p w14:paraId="07B25D00" w14:textId="55D8E850" w:rsidR="004B1920" w:rsidRPr="00B923E6" w:rsidRDefault="007B44A2" w:rsidP="00C95670">
            <w:pPr>
              <w:pStyle w:val="TableText0"/>
              <w:keepLines/>
              <w:jc w:val="right"/>
              <w:rPr>
                <w:szCs w:val="20"/>
                <w:highlight w:val="darkGray"/>
              </w:rPr>
            </w:pPr>
            <w:r w:rsidRPr="007B44A2">
              <w:rPr>
                <w:color w:val="000000"/>
                <w:szCs w:val="20"/>
                <w:shd w:val="solid" w:color="000000" w:fill="000000"/>
                <w14:textFill>
                  <w14:solidFill>
                    <w14:srgbClr w14:val="000000">
                      <w14:alpha w14:val="100000"/>
                    </w14:srgbClr>
                  </w14:solidFill>
                </w14:textFill>
              </w:rPr>
              <w:t>|</w:t>
            </w:r>
            <w:r w:rsidR="0019673D" w:rsidRPr="00144AA5">
              <w:rPr>
                <w:szCs w:val="20"/>
                <w:vertAlign w:val="superscript"/>
              </w:rPr>
              <w:t>9</w:t>
            </w:r>
          </w:p>
        </w:tc>
        <w:tc>
          <w:tcPr>
            <w:tcW w:w="647" w:type="pct"/>
            <w:shd w:val="clear" w:color="auto" w:fill="auto"/>
          </w:tcPr>
          <w:p w14:paraId="60A6858A" w14:textId="575F4139" w:rsidR="004B1920" w:rsidRPr="00B923E6" w:rsidRDefault="007B44A2" w:rsidP="00C95670">
            <w:pPr>
              <w:pStyle w:val="TableText0"/>
              <w:keepLines/>
              <w:jc w:val="right"/>
              <w:rPr>
                <w:szCs w:val="20"/>
                <w:highlight w:val="darkGray"/>
              </w:rPr>
            </w:pPr>
            <w:r w:rsidRPr="007B44A2">
              <w:rPr>
                <w:color w:val="000000"/>
                <w:szCs w:val="20"/>
                <w:shd w:val="solid" w:color="000000" w:fill="000000"/>
                <w14:textFill>
                  <w14:solidFill>
                    <w14:srgbClr w14:val="000000">
                      <w14:alpha w14:val="100000"/>
                    </w14:srgbClr>
                  </w14:solidFill>
                </w14:textFill>
              </w:rPr>
              <w:t>|</w:t>
            </w:r>
            <w:r w:rsidR="0019673D" w:rsidRPr="00B923E6">
              <w:rPr>
                <w:szCs w:val="20"/>
                <w:vertAlign w:val="superscript"/>
              </w:rPr>
              <w:t>10</w:t>
            </w:r>
          </w:p>
        </w:tc>
      </w:tr>
      <w:tr w:rsidR="00D70349" w:rsidRPr="00363A83" w14:paraId="39B4F20E" w14:textId="77777777" w:rsidTr="6B1024DC">
        <w:trPr>
          <w:cantSplit/>
          <w:jc w:val="center"/>
        </w:trPr>
        <w:tc>
          <w:tcPr>
            <w:tcW w:w="5000" w:type="pct"/>
            <w:gridSpan w:val="7"/>
            <w:shd w:val="clear" w:color="auto" w:fill="auto"/>
            <w:vAlign w:val="center"/>
          </w:tcPr>
          <w:p w14:paraId="726221BB" w14:textId="272806F1" w:rsidR="00D70349" w:rsidRPr="00363A83" w:rsidRDefault="000C1AFF" w:rsidP="005E729E">
            <w:pPr>
              <w:pStyle w:val="TableText0"/>
              <w:keepLines/>
              <w:rPr>
                <w:b/>
                <w:color w:val="000000"/>
                <w:szCs w:val="20"/>
              </w:rPr>
            </w:pPr>
            <w:bookmarkStart w:id="11" w:name="_Hlk88815214"/>
            <w:r w:rsidRPr="00363A83">
              <w:rPr>
                <w:b/>
                <w:color w:val="000000"/>
                <w:szCs w:val="20"/>
              </w:rPr>
              <w:t xml:space="preserve">Estimated financial implications of </w:t>
            </w:r>
            <w:r w:rsidR="00131807" w:rsidRPr="00363A83">
              <w:rPr>
                <w:b/>
                <w:color w:val="000000"/>
                <w:szCs w:val="20"/>
              </w:rPr>
              <w:t xml:space="preserve">the new strength and forms of omalizumab </w:t>
            </w:r>
          </w:p>
        </w:tc>
      </w:tr>
      <w:tr w:rsidR="004B1920" w:rsidRPr="00363A83" w14:paraId="5F183828" w14:textId="77777777" w:rsidTr="6B1024DC">
        <w:trPr>
          <w:cantSplit/>
          <w:jc w:val="center"/>
        </w:trPr>
        <w:tc>
          <w:tcPr>
            <w:tcW w:w="1118" w:type="pct"/>
            <w:shd w:val="clear" w:color="auto" w:fill="auto"/>
            <w:vAlign w:val="center"/>
          </w:tcPr>
          <w:p w14:paraId="6DB6C4F2" w14:textId="72787DC6" w:rsidR="004B1920" w:rsidRPr="00363A83" w:rsidRDefault="004B1920" w:rsidP="005E729E">
            <w:pPr>
              <w:pStyle w:val="TableText0"/>
              <w:keepLines/>
              <w:rPr>
                <w:szCs w:val="20"/>
              </w:rPr>
            </w:pPr>
            <w:r w:rsidRPr="00363A83">
              <w:rPr>
                <w:szCs w:val="20"/>
              </w:rPr>
              <w:t>Cost to PBS/RPBS less co-payment for USA (continuing)</w:t>
            </w:r>
          </w:p>
        </w:tc>
        <w:tc>
          <w:tcPr>
            <w:tcW w:w="647" w:type="pct"/>
            <w:shd w:val="clear" w:color="auto" w:fill="auto"/>
          </w:tcPr>
          <w:p w14:paraId="17AE6B28" w14:textId="1A690A94" w:rsidR="004B1920" w:rsidRPr="00B923E6" w:rsidRDefault="007B44A2" w:rsidP="00C95670">
            <w:pPr>
              <w:pStyle w:val="TableText0"/>
              <w:keepLines/>
              <w:jc w:val="right"/>
              <w:rPr>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C95670" w:rsidRPr="00B923E6">
              <w:rPr>
                <w:szCs w:val="20"/>
                <w:vertAlign w:val="superscript"/>
              </w:rPr>
              <w:t>11</w:t>
            </w:r>
          </w:p>
        </w:tc>
        <w:tc>
          <w:tcPr>
            <w:tcW w:w="647" w:type="pct"/>
            <w:shd w:val="clear" w:color="auto" w:fill="auto"/>
          </w:tcPr>
          <w:p w14:paraId="19519F19" w14:textId="2366AC06" w:rsidR="004B1920" w:rsidRPr="00B923E6" w:rsidRDefault="007B44A2" w:rsidP="00C95670">
            <w:pPr>
              <w:pStyle w:val="TableText0"/>
              <w:keepLines/>
              <w:jc w:val="right"/>
              <w:rPr>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C95670" w:rsidRPr="00144AA5">
              <w:rPr>
                <w:szCs w:val="20"/>
                <w:vertAlign w:val="superscript"/>
              </w:rPr>
              <w:t>11</w:t>
            </w:r>
          </w:p>
        </w:tc>
        <w:tc>
          <w:tcPr>
            <w:tcW w:w="647" w:type="pct"/>
            <w:shd w:val="clear" w:color="auto" w:fill="auto"/>
          </w:tcPr>
          <w:p w14:paraId="6B513315" w14:textId="71BAA06D" w:rsidR="004B1920" w:rsidRPr="00B923E6" w:rsidRDefault="007B44A2" w:rsidP="00C95670">
            <w:pPr>
              <w:pStyle w:val="TableText0"/>
              <w:keepLines/>
              <w:jc w:val="right"/>
              <w:rPr>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C95670" w:rsidRPr="00144AA5">
              <w:rPr>
                <w:szCs w:val="20"/>
                <w:vertAlign w:val="superscript"/>
              </w:rPr>
              <w:t>11</w:t>
            </w:r>
          </w:p>
        </w:tc>
        <w:tc>
          <w:tcPr>
            <w:tcW w:w="647" w:type="pct"/>
            <w:shd w:val="clear" w:color="auto" w:fill="auto"/>
          </w:tcPr>
          <w:p w14:paraId="2521A4E4" w14:textId="71A10A9E" w:rsidR="004B1920" w:rsidRPr="00B923E6" w:rsidRDefault="007B44A2" w:rsidP="00C95670">
            <w:pPr>
              <w:pStyle w:val="TableText0"/>
              <w:keepLines/>
              <w:jc w:val="right"/>
              <w:rPr>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C95670" w:rsidRPr="00144AA5">
              <w:rPr>
                <w:szCs w:val="20"/>
                <w:vertAlign w:val="superscript"/>
              </w:rPr>
              <w:t>11</w:t>
            </w:r>
          </w:p>
        </w:tc>
        <w:tc>
          <w:tcPr>
            <w:tcW w:w="647" w:type="pct"/>
            <w:shd w:val="clear" w:color="auto" w:fill="auto"/>
          </w:tcPr>
          <w:p w14:paraId="16BF86D6" w14:textId="42E00A83" w:rsidR="004B1920" w:rsidRPr="00B923E6" w:rsidRDefault="007B44A2" w:rsidP="00C95670">
            <w:pPr>
              <w:pStyle w:val="TableText0"/>
              <w:keepLines/>
              <w:jc w:val="right"/>
              <w:rPr>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C95670" w:rsidRPr="00144AA5">
              <w:rPr>
                <w:szCs w:val="20"/>
                <w:vertAlign w:val="superscript"/>
              </w:rPr>
              <w:t>11</w:t>
            </w:r>
          </w:p>
        </w:tc>
        <w:tc>
          <w:tcPr>
            <w:tcW w:w="647" w:type="pct"/>
            <w:shd w:val="clear" w:color="auto" w:fill="auto"/>
          </w:tcPr>
          <w:p w14:paraId="4CA48892" w14:textId="16AA2FDE" w:rsidR="004B1920" w:rsidRPr="00B923E6" w:rsidRDefault="007B44A2" w:rsidP="00C95670">
            <w:pPr>
              <w:pStyle w:val="TableText0"/>
              <w:keepLines/>
              <w:jc w:val="right"/>
              <w:rPr>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C95670" w:rsidRPr="00144AA5">
              <w:rPr>
                <w:szCs w:val="20"/>
                <w:vertAlign w:val="superscript"/>
              </w:rPr>
              <w:t>11</w:t>
            </w:r>
          </w:p>
        </w:tc>
      </w:tr>
      <w:tr w:rsidR="004B1920" w:rsidRPr="00363A83" w14:paraId="78C44C90" w14:textId="77777777" w:rsidTr="6B1024DC">
        <w:trPr>
          <w:cantSplit/>
          <w:jc w:val="center"/>
        </w:trPr>
        <w:tc>
          <w:tcPr>
            <w:tcW w:w="1118" w:type="pct"/>
            <w:shd w:val="clear" w:color="auto" w:fill="auto"/>
            <w:vAlign w:val="center"/>
          </w:tcPr>
          <w:p w14:paraId="4412F6E4" w14:textId="1E326EB0" w:rsidR="004B1920" w:rsidRPr="00363A83" w:rsidRDefault="004B1920" w:rsidP="005E729E">
            <w:pPr>
              <w:pStyle w:val="TableText0"/>
              <w:keepLines/>
              <w:rPr>
                <w:szCs w:val="20"/>
              </w:rPr>
            </w:pPr>
            <w:r w:rsidRPr="00363A83">
              <w:rPr>
                <w:szCs w:val="20"/>
              </w:rPr>
              <w:t>Cost to PBS/RPBS less co-payment for USA (initial</w:t>
            </w:r>
            <w:r w:rsidR="00066FB9" w:rsidRPr="00363A83">
              <w:rPr>
                <w:szCs w:val="20"/>
              </w:rPr>
              <w:t>)</w:t>
            </w:r>
          </w:p>
        </w:tc>
        <w:tc>
          <w:tcPr>
            <w:tcW w:w="647" w:type="pct"/>
            <w:shd w:val="clear" w:color="auto" w:fill="auto"/>
          </w:tcPr>
          <w:p w14:paraId="269653D5" w14:textId="768463B0" w:rsidR="004B1920" w:rsidRPr="00B923E6" w:rsidRDefault="007B44A2" w:rsidP="00C95670">
            <w:pPr>
              <w:pStyle w:val="TableText0"/>
              <w:keepLines/>
              <w:jc w:val="right"/>
              <w:rPr>
                <w:szCs w:val="20"/>
                <w:highlight w:val="darkGray"/>
              </w:rPr>
            </w:pPr>
            <w:r w:rsidRPr="007B44A2">
              <w:rPr>
                <w:color w:val="000000"/>
                <w:szCs w:val="20"/>
                <w:shd w:val="solid" w:color="000000" w:fill="000000"/>
                <w14:textFill>
                  <w14:solidFill>
                    <w14:srgbClr w14:val="000000">
                      <w14:alpha w14:val="100000"/>
                    </w14:srgbClr>
                  </w14:solidFill>
                </w14:textFill>
              </w:rPr>
              <w:t>|</w:t>
            </w:r>
            <w:r w:rsidR="00C95670" w:rsidRPr="00144AA5">
              <w:rPr>
                <w:szCs w:val="20"/>
                <w:vertAlign w:val="superscript"/>
              </w:rPr>
              <w:t>11</w:t>
            </w:r>
          </w:p>
        </w:tc>
        <w:tc>
          <w:tcPr>
            <w:tcW w:w="647" w:type="pct"/>
            <w:shd w:val="clear" w:color="auto" w:fill="auto"/>
          </w:tcPr>
          <w:p w14:paraId="701AE566" w14:textId="49BB4BDF" w:rsidR="004B1920" w:rsidRPr="00B923E6" w:rsidRDefault="007B44A2" w:rsidP="00C95670">
            <w:pPr>
              <w:pStyle w:val="TableText0"/>
              <w:keepLines/>
              <w:jc w:val="right"/>
              <w:rPr>
                <w:szCs w:val="20"/>
                <w:highlight w:val="darkGray"/>
              </w:rPr>
            </w:pPr>
            <w:r w:rsidRPr="007B44A2">
              <w:rPr>
                <w:color w:val="000000"/>
                <w:szCs w:val="20"/>
                <w:shd w:val="solid" w:color="000000" w:fill="000000"/>
                <w14:textFill>
                  <w14:solidFill>
                    <w14:srgbClr w14:val="000000">
                      <w14:alpha w14:val="100000"/>
                    </w14:srgbClr>
                  </w14:solidFill>
                </w14:textFill>
              </w:rPr>
              <w:t>|</w:t>
            </w:r>
            <w:r w:rsidR="00C95670" w:rsidRPr="00144AA5">
              <w:rPr>
                <w:szCs w:val="20"/>
                <w:vertAlign w:val="superscript"/>
              </w:rPr>
              <w:t>11</w:t>
            </w:r>
          </w:p>
        </w:tc>
        <w:tc>
          <w:tcPr>
            <w:tcW w:w="647" w:type="pct"/>
            <w:shd w:val="clear" w:color="auto" w:fill="auto"/>
          </w:tcPr>
          <w:p w14:paraId="52DF5DC9" w14:textId="475B4332" w:rsidR="004B1920" w:rsidRPr="00B923E6" w:rsidRDefault="007B44A2" w:rsidP="00C95670">
            <w:pPr>
              <w:pStyle w:val="TableText0"/>
              <w:keepLines/>
              <w:jc w:val="right"/>
              <w:rPr>
                <w:szCs w:val="20"/>
                <w:highlight w:val="darkGray"/>
              </w:rPr>
            </w:pPr>
            <w:r w:rsidRPr="007B44A2">
              <w:rPr>
                <w:color w:val="000000"/>
                <w:szCs w:val="20"/>
                <w:shd w:val="solid" w:color="000000" w:fill="000000"/>
                <w14:textFill>
                  <w14:solidFill>
                    <w14:srgbClr w14:val="000000">
                      <w14:alpha w14:val="100000"/>
                    </w14:srgbClr>
                  </w14:solidFill>
                </w14:textFill>
              </w:rPr>
              <w:t>|</w:t>
            </w:r>
            <w:r w:rsidR="00C95670" w:rsidRPr="00144AA5">
              <w:rPr>
                <w:szCs w:val="20"/>
                <w:vertAlign w:val="superscript"/>
              </w:rPr>
              <w:t>11</w:t>
            </w:r>
          </w:p>
        </w:tc>
        <w:tc>
          <w:tcPr>
            <w:tcW w:w="647" w:type="pct"/>
            <w:shd w:val="clear" w:color="auto" w:fill="auto"/>
          </w:tcPr>
          <w:p w14:paraId="5E1DB8DE" w14:textId="701D3AF3" w:rsidR="004B1920" w:rsidRPr="00B923E6" w:rsidRDefault="007B44A2" w:rsidP="00C95670">
            <w:pPr>
              <w:pStyle w:val="TableText0"/>
              <w:keepLines/>
              <w:jc w:val="right"/>
              <w:rPr>
                <w:szCs w:val="20"/>
                <w:highlight w:val="darkGray"/>
              </w:rPr>
            </w:pPr>
            <w:r w:rsidRPr="007B44A2">
              <w:rPr>
                <w:color w:val="000000"/>
                <w:szCs w:val="20"/>
                <w:shd w:val="solid" w:color="000000" w:fill="000000"/>
                <w14:textFill>
                  <w14:solidFill>
                    <w14:srgbClr w14:val="000000">
                      <w14:alpha w14:val="100000"/>
                    </w14:srgbClr>
                  </w14:solidFill>
                </w14:textFill>
              </w:rPr>
              <w:t>|</w:t>
            </w:r>
            <w:r w:rsidR="00C95670" w:rsidRPr="00144AA5">
              <w:rPr>
                <w:szCs w:val="20"/>
                <w:vertAlign w:val="superscript"/>
              </w:rPr>
              <w:t>11</w:t>
            </w:r>
          </w:p>
        </w:tc>
        <w:tc>
          <w:tcPr>
            <w:tcW w:w="647" w:type="pct"/>
            <w:shd w:val="clear" w:color="auto" w:fill="auto"/>
          </w:tcPr>
          <w:p w14:paraId="3549F61D" w14:textId="06462D8A" w:rsidR="004B1920" w:rsidRPr="00B923E6" w:rsidRDefault="007B44A2" w:rsidP="00C95670">
            <w:pPr>
              <w:pStyle w:val="TableText0"/>
              <w:keepLines/>
              <w:jc w:val="right"/>
              <w:rPr>
                <w:szCs w:val="20"/>
                <w:highlight w:val="darkGray"/>
              </w:rPr>
            </w:pPr>
            <w:r w:rsidRPr="007B44A2">
              <w:rPr>
                <w:color w:val="000000"/>
                <w:szCs w:val="20"/>
                <w:shd w:val="solid" w:color="000000" w:fill="000000"/>
                <w14:textFill>
                  <w14:solidFill>
                    <w14:srgbClr w14:val="000000">
                      <w14:alpha w14:val="100000"/>
                    </w14:srgbClr>
                  </w14:solidFill>
                </w14:textFill>
              </w:rPr>
              <w:t>|</w:t>
            </w:r>
            <w:r w:rsidR="00C95670" w:rsidRPr="00144AA5">
              <w:rPr>
                <w:szCs w:val="20"/>
                <w:vertAlign w:val="superscript"/>
              </w:rPr>
              <w:t>11</w:t>
            </w:r>
          </w:p>
        </w:tc>
        <w:tc>
          <w:tcPr>
            <w:tcW w:w="647" w:type="pct"/>
            <w:shd w:val="clear" w:color="auto" w:fill="auto"/>
          </w:tcPr>
          <w:p w14:paraId="71738BBA" w14:textId="2B5CC148" w:rsidR="004B1920" w:rsidRPr="00B923E6" w:rsidRDefault="007B44A2" w:rsidP="00C95670">
            <w:pPr>
              <w:pStyle w:val="TableText0"/>
              <w:keepLines/>
              <w:jc w:val="right"/>
              <w:rPr>
                <w:szCs w:val="20"/>
                <w:highlight w:val="darkGray"/>
              </w:rPr>
            </w:pPr>
            <w:r w:rsidRPr="007B44A2">
              <w:rPr>
                <w:color w:val="000000"/>
                <w:szCs w:val="20"/>
                <w:shd w:val="solid" w:color="000000" w:fill="000000"/>
                <w14:textFill>
                  <w14:solidFill>
                    <w14:srgbClr w14:val="000000">
                      <w14:alpha w14:val="100000"/>
                    </w14:srgbClr>
                  </w14:solidFill>
                </w14:textFill>
              </w:rPr>
              <w:t>|</w:t>
            </w:r>
            <w:r w:rsidR="00C95670" w:rsidRPr="00144AA5">
              <w:rPr>
                <w:szCs w:val="20"/>
                <w:vertAlign w:val="superscript"/>
              </w:rPr>
              <w:t>11</w:t>
            </w:r>
          </w:p>
        </w:tc>
      </w:tr>
      <w:tr w:rsidR="004B1920" w:rsidRPr="00363A83" w14:paraId="635B8AE4" w14:textId="77777777" w:rsidTr="6B1024DC">
        <w:trPr>
          <w:cantSplit/>
          <w:jc w:val="center"/>
        </w:trPr>
        <w:tc>
          <w:tcPr>
            <w:tcW w:w="1118" w:type="pct"/>
            <w:shd w:val="clear" w:color="auto" w:fill="auto"/>
            <w:vAlign w:val="center"/>
          </w:tcPr>
          <w:p w14:paraId="593E0E3B" w14:textId="49EEA229" w:rsidR="004B1920" w:rsidRPr="00363A83" w:rsidRDefault="004B1920" w:rsidP="005E729E">
            <w:pPr>
              <w:pStyle w:val="TableText0"/>
              <w:keepLines/>
              <w:rPr>
                <w:szCs w:val="20"/>
              </w:rPr>
            </w:pPr>
            <w:r w:rsidRPr="00363A83">
              <w:rPr>
                <w:szCs w:val="20"/>
              </w:rPr>
              <w:t>Cost to PBS/RPBS less co-payment for</w:t>
            </w:r>
            <w:r w:rsidR="00066FB9" w:rsidRPr="00363A83">
              <w:rPr>
                <w:szCs w:val="20"/>
              </w:rPr>
              <w:t xml:space="preserve"> </w:t>
            </w:r>
            <w:r w:rsidR="00066FB9" w:rsidRPr="00363A83">
              <w:rPr>
                <w:rFonts w:cstheme="minorHAnsi"/>
                <w:szCs w:val="20"/>
              </w:rPr>
              <w:t>CSU</w:t>
            </w:r>
          </w:p>
        </w:tc>
        <w:tc>
          <w:tcPr>
            <w:tcW w:w="647" w:type="pct"/>
            <w:shd w:val="clear" w:color="auto" w:fill="auto"/>
          </w:tcPr>
          <w:p w14:paraId="3CB4C0D4" w14:textId="6B9E4981" w:rsidR="004B1920" w:rsidRPr="00B923E6" w:rsidRDefault="007B44A2" w:rsidP="00C95670">
            <w:pPr>
              <w:pStyle w:val="TableText0"/>
              <w:keepLines/>
              <w:jc w:val="right"/>
              <w:rPr>
                <w:szCs w:val="20"/>
                <w:highlight w:val="darkGray"/>
              </w:rPr>
            </w:pPr>
            <w:r w:rsidRPr="007B44A2">
              <w:rPr>
                <w:color w:val="000000"/>
                <w:szCs w:val="20"/>
                <w:shd w:val="solid" w:color="000000" w:fill="000000"/>
                <w14:textFill>
                  <w14:solidFill>
                    <w14:srgbClr w14:val="000000">
                      <w14:alpha w14:val="100000"/>
                    </w14:srgbClr>
                  </w14:solidFill>
                </w14:textFill>
              </w:rPr>
              <w:t>|</w:t>
            </w:r>
            <w:r w:rsidR="00C95670" w:rsidRPr="00144AA5">
              <w:rPr>
                <w:szCs w:val="20"/>
                <w:vertAlign w:val="superscript"/>
              </w:rPr>
              <w:t>11</w:t>
            </w:r>
          </w:p>
        </w:tc>
        <w:tc>
          <w:tcPr>
            <w:tcW w:w="647" w:type="pct"/>
            <w:shd w:val="clear" w:color="auto" w:fill="auto"/>
          </w:tcPr>
          <w:p w14:paraId="7D566538" w14:textId="46958A7D" w:rsidR="004B1920" w:rsidRPr="00B923E6" w:rsidRDefault="007B44A2" w:rsidP="00C95670">
            <w:pPr>
              <w:pStyle w:val="TableText0"/>
              <w:keepLines/>
              <w:jc w:val="right"/>
              <w:rPr>
                <w:szCs w:val="20"/>
                <w:highlight w:val="darkGray"/>
              </w:rPr>
            </w:pPr>
            <w:r w:rsidRPr="007B44A2">
              <w:rPr>
                <w:color w:val="000000"/>
                <w:szCs w:val="20"/>
                <w:shd w:val="solid" w:color="000000" w:fill="000000"/>
                <w14:textFill>
                  <w14:solidFill>
                    <w14:srgbClr w14:val="000000">
                      <w14:alpha w14:val="100000"/>
                    </w14:srgbClr>
                  </w14:solidFill>
                </w14:textFill>
              </w:rPr>
              <w:t>|</w:t>
            </w:r>
            <w:r w:rsidR="00C95670" w:rsidRPr="00144AA5">
              <w:rPr>
                <w:szCs w:val="20"/>
                <w:vertAlign w:val="superscript"/>
              </w:rPr>
              <w:t>11</w:t>
            </w:r>
          </w:p>
        </w:tc>
        <w:tc>
          <w:tcPr>
            <w:tcW w:w="647" w:type="pct"/>
            <w:shd w:val="clear" w:color="auto" w:fill="auto"/>
          </w:tcPr>
          <w:p w14:paraId="76761E3C" w14:textId="17AEA91D" w:rsidR="004B1920" w:rsidRPr="00B923E6" w:rsidRDefault="007B44A2" w:rsidP="00C95670">
            <w:pPr>
              <w:pStyle w:val="TableText0"/>
              <w:keepLines/>
              <w:jc w:val="right"/>
              <w:rPr>
                <w:szCs w:val="20"/>
                <w:highlight w:val="darkGray"/>
              </w:rPr>
            </w:pPr>
            <w:r w:rsidRPr="007B44A2">
              <w:rPr>
                <w:color w:val="000000"/>
                <w:szCs w:val="20"/>
                <w:shd w:val="solid" w:color="000000" w:fill="000000"/>
                <w14:textFill>
                  <w14:solidFill>
                    <w14:srgbClr w14:val="000000">
                      <w14:alpha w14:val="100000"/>
                    </w14:srgbClr>
                  </w14:solidFill>
                </w14:textFill>
              </w:rPr>
              <w:t>|</w:t>
            </w:r>
            <w:r w:rsidR="00C95670" w:rsidRPr="00144AA5">
              <w:rPr>
                <w:szCs w:val="20"/>
                <w:vertAlign w:val="superscript"/>
              </w:rPr>
              <w:t>11</w:t>
            </w:r>
          </w:p>
        </w:tc>
        <w:tc>
          <w:tcPr>
            <w:tcW w:w="647" w:type="pct"/>
            <w:shd w:val="clear" w:color="auto" w:fill="auto"/>
          </w:tcPr>
          <w:p w14:paraId="2C72DE9B" w14:textId="42519CE5" w:rsidR="004B1920" w:rsidRPr="00B923E6" w:rsidRDefault="007B44A2" w:rsidP="00C95670">
            <w:pPr>
              <w:pStyle w:val="TableText0"/>
              <w:keepLines/>
              <w:jc w:val="right"/>
              <w:rPr>
                <w:szCs w:val="20"/>
                <w:highlight w:val="darkGray"/>
              </w:rPr>
            </w:pPr>
            <w:r w:rsidRPr="007B44A2">
              <w:rPr>
                <w:color w:val="000000"/>
                <w:szCs w:val="20"/>
                <w:shd w:val="solid" w:color="000000" w:fill="000000"/>
                <w14:textFill>
                  <w14:solidFill>
                    <w14:srgbClr w14:val="000000">
                      <w14:alpha w14:val="100000"/>
                    </w14:srgbClr>
                  </w14:solidFill>
                </w14:textFill>
              </w:rPr>
              <w:t>|</w:t>
            </w:r>
            <w:r w:rsidR="00C95670" w:rsidRPr="00144AA5">
              <w:rPr>
                <w:szCs w:val="20"/>
                <w:vertAlign w:val="superscript"/>
              </w:rPr>
              <w:t>11</w:t>
            </w:r>
          </w:p>
        </w:tc>
        <w:tc>
          <w:tcPr>
            <w:tcW w:w="647" w:type="pct"/>
            <w:shd w:val="clear" w:color="auto" w:fill="auto"/>
          </w:tcPr>
          <w:p w14:paraId="4DD2AF0F" w14:textId="0B6F1EEE" w:rsidR="004B1920" w:rsidRPr="00B923E6" w:rsidRDefault="007B44A2" w:rsidP="00C95670">
            <w:pPr>
              <w:pStyle w:val="TableText0"/>
              <w:keepLines/>
              <w:jc w:val="right"/>
              <w:rPr>
                <w:szCs w:val="20"/>
                <w:highlight w:val="darkGray"/>
              </w:rPr>
            </w:pPr>
            <w:r w:rsidRPr="007B44A2">
              <w:rPr>
                <w:color w:val="000000"/>
                <w:szCs w:val="20"/>
                <w:shd w:val="solid" w:color="000000" w:fill="000000"/>
                <w14:textFill>
                  <w14:solidFill>
                    <w14:srgbClr w14:val="000000">
                      <w14:alpha w14:val="100000"/>
                    </w14:srgbClr>
                  </w14:solidFill>
                </w14:textFill>
              </w:rPr>
              <w:t>|</w:t>
            </w:r>
            <w:r w:rsidR="00C95670" w:rsidRPr="00144AA5">
              <w:rPr>
                <w:szCs w:val="20"/>
                <w:vertAlign w:val="superscript"/>
              </w:rPr>
              <w:t>11</w:t>
            </w:r>
          </w:p>
        </w:tc>
        <w:tc>
          <w:tcPr>
            <w:tcW w:w="647" w:type="pct"/>
            <w:shd w:val="clear" w:color="auto" w:fill="auto"/>
          </w:tcPr>
          <w:p w14:paraId="2692A89E" w14:textId="7EBE9A9D" w:rsidR="004B1920" w:rsidRPr="00B923E6" w:rsidRDefault="007B44A2" w:rsidP="00C95670">
            <w:pPr>
              <w:pStyle w:val="TableText0"/>
              <w:keepLines/>
              <w:jc w:val="right"/>
              <w:rPr>
                <w:szCs w:val="20"/>
                <w:highlight w:val="darkGray"/>
              </w:rPr>
            </w:pPr>
            <w:r w:rsidRPr="007B44A2">
              <w:rPr>
                <w:color w:val="000000"/>
                <w:szCs w:val="20"/>
                <w:shd w:val="solid" w:color="000000" w:fill="000000"/>
                <w14:textFill>
                  <w14:solidFill>
                    <w14:srgbClr w14:val="000000">
                      <w14:alpha w14:val="100000"/>
                    </w14:srgbClr>
                  </w14:solidFill>
                </w14:textFill>
              </w:rPr>
              <w:t>|</w:t>
            </w:r>
            <w:r w:rsidR="00C95670" w:rsidRPr="00144AA5">
              <w:rPr>
                <w:szCs w:val="20"/>
                <w:vertAlign w:val="superscript"/>
              </w:rPr>
              <w:t>11</w:t>
            </w:r>
          </w:p>
        </w:tc>
      </w:tr>
      <w:bookmarkEnd w:id="11"/>
      <w:tr w:rsidR="000C1AFF" w:rsidRPr="00363A83" w14:paraId="3CD835A0" w14:textId="77777777" w:rsidTr="6B1024DC">
        <w:trPr>
          <w:cantSplit/>
          <w:jc w:val="center"/>
        </w:trPr>
        <w:tc>
          <w:tcPr>
            <w:tcW w:w="5000" w:type="pct"/>
            <w:gridSpan w:val="7"/>
            <w:shd w:val="clear" w:color="auto" w:fill="auto"/>
            <w:vAlign w:val="center"/>
          </w:tcPr>
          <w:p w14:paraId="0717F32A" w14:textId="599CB1D7" w:rsidR="000C1AFF" w:rsidRPr="00363A83" w:rsidRDefault="000C1AFF" w:rsidP="005E729E">
            <w:pPr>
              <w:pStyle w:val="TableText0"/>
              <w:keepLines/>
              <w:rPr>
                <w:b/>
                <w:bCs w:val="0"/>
                <w:color w:val="000000"/>
                <w:szCs w:val="20"/>
              </w:rPr>
            </w:pPr>
            <w:r w:rsidRPr="00363A83">
              <w:rPr>
                <w:b/>
                <w:bCs w:val="0"/>
                <w:color w:val="000000"/>
                <w:szCs w:val="20"/>
              </w:rPr>
              <w:t>Net financial implications</w:t>
            </w:r>
          </w:p>
        </w:tc>
      </w:tr>
      <w:tr w:rsidR="00066FB9" w:rsidRPr="00363A83" w14:paraId="6DC7AAF7" w14:textId="77777777" w:rsidTr="6B1024DC">
        <w:trPr>
          <w:cantSplit/>
          <w:jc w:val="center"/>
        </w:trPr>
        <w:tc>
          <w:tcPr>
            <w:tcW w:w="1118" w:type="pct"/>
            <w:shd w:val="clear" w:color="auto" w:fill="auto"/>
            <w:vAlign w:val="center"/>
          </w:tcPr>
          <w:p w14:paraId="41FA959D" w14:textId="6A62CDCD" w:rsidR="00066FB9" w:rsidRPr="00363A83" w:rsidRDefault="00066FB9" w:rsidP="005E729E">
            <w:pPr>
              <w:pStyle w:val="TableText0"/>
              <w:keepLines/>
              <w:rPr>
                <w:szCs w:val="20"/>
              </w:rPr>
            </w:pPr>
            <w:r w:rsidRPr="00363A83">
              <w:rPr>
                <w:szCs w:val="20"/>
              </w:rPr>
              <w:t>Net cost to PBS/RPBS</w:t>
            </w:r>
          </w:p>
        </w:tc>
        <w:tc>
          <w:tcPr>
            <w:tcW w:w="647" w:type="pct"/>
            <w:shd w:val="clear" w:color="auto" w:fill="auto"/>
          </w:tcPr>
          <w:p w14:paraId="454A7C1B" w14:textId="71DE4654" w:rsidR="00066FB9" w:rsidRPr="00B923E6" w:rsidRDefault="007B44A2" w:rsidP="00C95670">
            <w:pPr>
              <w:pStyle w:val="TableText0"/>
              <w:keepLines/>
              <w:jc w:val="right"/>
              <w:rPr>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D34E0E" w:rsidRPr="00144AA5">
              <w:rPr>
                <w:szCs w:val="20"/>
                <w:vertAlign w:val="superscript"/>
              </w:rPr>
              <w:t>8</w:t>
            </w:r>
          </w:p>
        </w:tc>
        <w:tc>
          <w:tcPr>
            <w:tcW w:w="647" w:type="pct"/>
            <w:shd w:val="clear" w:color="auto" w:fill="auto"/>
          </w:tcPr>
          <w:p w14:paraId="5587EA01" w14:textId="32C5C2E5" w:rsidR="00066FB9" w:rsidRPr="00B923E6" w:rsidRDefault="007B44A2" w:rsidP="00C95670">
            <w:pPr>
              <w:pStyle w:val="TableText0"/>
              <w:keepLines/>
              <w:jc w:val="right"/>
              <w:rPr>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D34E0E" w:rsidRPr="00144AA5">
              <w:rPr>
                <w:szCs w:val="20"/>
                <w:vertAlign w:val="superscript"/>
              </w:rPr>
              <w:t>8</w:t>
            </w:r>
          </w:p>
        </w:tc>
        <w:tc>
          <w:tcPr>
            <w:tcW w:w="647" w:type="pct"/>
            <w:shd w:val="clear" w:color="auto" w:fill="auto"/>
          </w:tcPr>
          <w:p w14:paraId="5A290C2B" w14:textId="21AD551B" w:rsidR="00066FB9" w:rsidRPr="00B923E6" w:rsidRDefault="007B44A2" w:rsidP="00C95670">
            <w:pPr>
              <w:pStyle w:val="TableText0"/>
              <w:keepLines/>
              <w:jc w:val="right"/>
              <w:rPr>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D34E0E" w:rsidRPr="00144AA5">
              <w:rPr>
                <w:szCs w:val="20"/>
                <w:vertAlign w:val="superscript"/>
              </w:rPr>
              <w:t>8</w:t>
            </w:r>
          </w:p>
        </w:tc>
        <w:tc>
          <w:tcPr>
            <w:tcW w:w="647" w:type="pct"/>
            <w:shd w:val="clear" w:color="auto" w:fill="auto"/>
          </w:tcPr>
          <w:p w14:paraId="73C4A55C" w14:textId="2682AE9A" w:rsidR="00066FB9" w:rsidRPr="00B923E6" w:rsidRDefault="007B44A2" w:rsidP="00C95670">
            <w:pPr>
              <w:pStyle w:val="TableText0"/>
              <w:keepLines/>
              <w:jc w:val="right"/>
              <w:rPr>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D34E0E" w:rsidRPr="00144AA5">
              <w:rPr>
                <w:szCs w:val="20"/>
                <w:vertAlign w:val="superscript"/>
              </w:rPr>
              <w:t>8</w:t>
            </w:r>
          </w:p>
        </w:tc>
        <w:tc>
          <w:tcPr>
            <w:tcW w:w="647" w:type="pct"/>
            <w:shd w:val="clear" w:color="auto" w:fill="auto"/>
          </w:tcPr>
          <w:p w14:paraId="5A08AF29" w14:textId="40972D35" w:rsidR="00066FB9" w:rsidRPr="00B923E6" w:rsidRDefault="007B44A2" w:rsidP="00C95670">
            <w:pPr>
              <w:pStyle w:val="TableText0"/>
              <w:keepLines/>
              <w:jc w:val="right"/>
              <w:rPr>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D34E0E" w:rsidRPr="00144AA5">
              <w:rPr>
                <w:szCs w:val="20"/>
                <w:vertAlign w:val="superscript"/>
              </w:rPr>
              <w:t>8</w:t>
            </w:r>
          </w:p>
        </w:tc>
        <w:tc>
          <w:tcPr>
            <w:tcW w:w="647" w:type="pct"/>
            <w:shd w:val="clear" w:color="auto" w:fill="auto"/>
          </w:tcPr>
          <w:p w14:paraId="1A3491BC" w14:textId="65107006" w:rsidR="00066FB9" w:rsidRPr="00B923E6" w:rsidRDefault="007B44A2" w:rsidP="00C95670">
            <w:pPr>
              <w:pStyle w:val="TableText0"/>
              <w:keepLines/>
              <w:jc w:val="right"/>
              <w:rPr>
                <w:color w:val="000000"/>
                <w:szCs w:val="20"/>
                <w:highlight w:val="darkGray"/>
              </w:rPr>
            </w:pPr>
            <w:r w:rsidRPr="007B44A2">
              <w:rPr>
                <w:color w:val="000000"/>
                <w:szCs w:val="20"/>
                <w:shd w:val="solid" w:color="000000" w:fill="000000"/>
                <w14:textFill>
                  <w14:solidFill>
                    <w14:srgbClr w14:val="000000">
                      <w14:alpha w14:val="100000"/>
                    </w14:srgbClr>
                  </w14:solidFill>
                </w14:textFill>
              </w:rPr>
              <w:t>|</w:t>
            </w:r>
            <w:r w:rsidR="00D34E0E" w:rsidRPr="00144AA5">
              <w:rPr>
                <w:szCs w:val="20"/>
                <w:vertAlign w:val="superscript"/>
              </w:rPr>
              <w:t>8</w:t>
            </w:r>
          </w:p>
        </w:tc>
      </w:tr>
    </w:tbl>
    <w:p w14:paraId="55A5D51D" w14:textId="77777777" w:rsidR="007D73F7" w:rsidRPr="00F00D12" w:rsidRDefault="007D73F7" w:rsidP="005E729E">
      <w:pPr>
        <w:pStyle w:val="TableFigureFooter"/>
        <w:keepNext/>
        <w:keepLines/>
        <w:spacing w:after="0"/>
        <w:rPr>
          <w:szCs w:val="18"/>
        </w:rPr>
      </w:pPr>
      <w:r w:rsidRPr="00F00D12">
        <w:rPr>
          <w:szCs w:val="18"/>
        </w:rPr>
        <w:t>Source: Utilisation and cost-model workbooks</w:t>
      </w:r>
    </w:p>
    <w:p w14:paraId="42320224" w14:textId="71A76E19" w:rsidR="00D70349" w:rsidRPr="00F00D12" w:rsidRDefault="00AB4684" w:rsidP="005E729E">
      <w:pPr>
        <w:pStyle w:val="TableFigureFooter"/>
        <w:keepNext/>
        <w:keepLines/>
        <w:spacing w:after="0"/>
        <w:jc w:val="left"/>
        <w:rPr>
          <w:szCs w:val="18"/>
        </w:rPr>
      </w:pPr>
      <w:r w:rsidRPr="00F00D12">
        <w:rPr>
          <w:szCs w:val="18"/>
        </w:rPr>
        <w:t>Abbreviations: PBS = Pharmaceutical Benefits Scheme; RPBS = Repatriation Pharmaceutical Benefits Scheme</w:t>
      </w:r>
      <w:r w:rsidR="001178EC" w:rsidRPr="00F00D12">
        <w:rPr>
          <w:szCs w:val="18"/>
        </w:rPr>
        <w:t xml:space="preserve">; USA = </w:t>
      </w:r>
      <w:r w:rsidR="001178EC" w:rsidRPr="00F00D12">
        <w:rPr>
          <w:rFonts w:cstheme="minorHAnsi"/>
          <w:szCs w:val="18"/>
        </w:rPr>
        <w:t>Uncontrolled severe asthma; CSU = chronic spontaneous urticaria</w:t>
      </w:r>
    </w:p>
    <w:p w14:paraId="085D4F8B" w14:textId="6D3D5A21" w:rsidR="00FF6AE3" w:rsidRPr="00F00D12" w:rsidRDefault="00FF6AE3" w:rsidP="005E729E">
      <w:pPr>
        <w:pStyle w:val="3-BodyText"/>
        <w:keepNext/>
        <w:keepLines/>
        <w:numPr>
          <w:ilvl w:val="0"/>
          <w:numId w:val="0"/>
        </w:numPr>
        <w:spacing w:before="0" w:after="0"/>
        <w:ind w:left="720" w:hanging="720"/>
        <w:rPr>
          <w:rFonts w:ascii="Arial Narrow" w:hAnsi="Arial Narrow"/>
          <w:sz w:val="18"/>
          <w:szCs w:val="18"/>
        </w:rPr>
      </w:pPr>
      <w:r w:rsidRPr="00F00D12">
        <w:rPr>
          <w:rFonts w:ascii="Arial Narrow" w:hAnsi="Arial Narrow"/>
          <w:sz w:val="18"/>
          <w:szCs w:val="18"/>
        </w:rPr>
        <w:t xml:space="preserve">Note: </w:t>
      </w:r>
      <w:r w:rsidR="007A4DEE" w:rsidRPr="00F00D12">
        <w:rPr>
          <w:rFonts w:ascii="Arial Narrow" w:hAnsi="Arial Narrow"/>
          <w:sz w:val="18"/>
          <w:szCs w:val="18"/>
        </w:rPr>
        <w:t>the submission assumed</w:t>
      </w:r>
      <w:r w:rsidR="004A33FC" w:rsidRPr="00F00D12">
        <w:rPr>
          <w:rFonts w:ascii="Arial Narrow" w:hAnsi="Arial Narrow"/>
          <w:sz w:val="18"/>
          <w:szCs w:val="18"/>
        </w:rPr>
        <w:t xml:space="preserve">: </w:t>
      </w:r>
    </w:p>
    <w:p w14:paraId="59A7BA01" w14:textId="535BBF8B" w:rsidR="00044582" w:rsidRPr="00F00D12" w:rsidRDefault="00044582" w:rsidP="005E729E">
      <w:pPr>
        <w:pStyle w:val="3-BodyText"/>
        <w:keepNext/>
        <w:keepLines/>
        <w:numPr>
          <w:ilvl w:val="0"/>
          <w:numId w:val="40"/>
        </w:numPr>
        <w:spacing w:before="0" w:after="0"/>
        <w:rPr>
          <w:rFonts w:ascii="Arial Narrow" w:hAnsi="Arial Narrow"/>
          <w:sz w:val="18"/>
          <w:szCs w:val="18"/>
        </w:rPr>
      </w:pPr>
      <w:r w:rsidRPr="00F00D12">
        <w:rPr>
          <w:rFonts w:ascii="Arial Narrow" w:hAnsi="Arial Narrow"/>
          <w:sz w:val="18"/>
          <w:szCs w:val="18"/>
        </w:rPr>
        <w:t>a 5% decrease in USA patients and a 14% increase in CSU patients over the next 6 years</w:t>
      </w:r>
      <w:r w:rsidR="004A33FC" w:rsidRPr="00F00D12">
        <w:rPr>
          <w:rFonts w:ascii="Arial Narrow" w:hAnsi="Arial Narrow"/>
          <w:sz w:val="18"/>
          <w:szCs w:val="18"/>
        </w:rPr>
        <w:t xml:space="preserve">, based on historical trends and available data in the </w:t>
      </w:r>
      <w:proofErr w:type="gramStart"/>
      <w:r w:rsidR="004A33FC" w:rsidRPr="00F00D12">
        <w:rPr>
          <w:rFonts w:ascii="Arial Narrow" w:hAnsi="Arial Narrow"/>
          <w:sz w:val="18"/>
          <w:szCs w:val="18"/>
        </w:rPr>
        <w:t>marke</w:t>
      </w:r>
      <w:r w:rsidR="00472686" w:rsidRPr="00F00D12">
        <w:rPr>
          <w:rFonts w:ascii="Arial Narrow" w:hAnsi="Arial Narrow"/>
          <w:sz w:val="18"/>
          <w:szCs w:val="18"/>
        </w:rPr>
        <w:t>t;</w:t>
      </w:r>
      <w:proofErr w:type="gramEnd"/>
    </w:p>
    <w:p w14:paraId="213B4F88" w14:textId="6068E3E7" w:rsidR="00E665AC" w:rsidRPr="00F00D12" w:rsidRDefault="00E665AC" w:rsidP="005E729E">
      <w:pPr>
        <w:pStyle w:val="3-BodyText"/>
        <w:keepNext/>
        <w:keepLines/>
        <w:numPr>
          <w:ilvl w:val="0"/>
          <w:numId w:val="40"/>
        </w:numPr>
        <w:spacing w:before="0" w:after="0"/>
        <w:rPr>
          <w:rFonts w:ascii="Arial Narrow" w:hAnsi="Arial Narrow"/>
          <w:sz w:val="18"/>
          <w:szCs w:val="18"/>
        </w:rPr>
      </w:pPr>
      <w:r w:rsidRPr="00F00D12">
        <w:rPr>
          <w:rFonts w:ascii="Arial Narrow" w:hAnsi="Arial Narrow"/>
          <w:sz w:val="18"/>
          <w:szCs w:val="18"/>
        </w:rPr>
        <w:t>a 60% uptake rate for the use of the pen device</w:t>
      </w:r>
      <w:r w:rsidR="00472686" w:rsidRPr="00F00D12">
        <w:rPr>
          <w:rFonts w:ascii="Arial Narrow" w:hAnsi="Arial Narrow"/>
          <w:sz w:val="18"/>
          <w:szCs w:val="18"/>
        </w:rPr>
        <w:t xml:space="preserve">; and </w:t>
      </w:r>
    </w:p>
    <w:p w14:paraId="4714A52B" w14:textId="77777777" w:rsidR="005D23B1" w:rsidRDefault="054D7760" w:rsidP="005D23B1">
      <w:pPr>
        <w:pStyle w:val="3-BodyText"/>
        <w:keepNext/>
        <w:numPr>
          <w:ilvl w:val="0"/>
          <w:numId w:val="40"/>
        </w:numPr>
        <w:rPr>
          <w:rFonts w:ascii="Arial Narrow" w:hAnsi="Arial Narrow"/>
          <w:sz w:val="18"/>
          <w:szCs w:val="18"/>
        </w:rPr>
      </w:pPr>
      <w:r w:rsidRPr="79900132">
        <w:rPr>
          <w:rFonts w:ascii="Arial Narrow" w:hAnsi="Arial Narrow"/>
          <w:sz w:val="18"/>
          <w:szCs w:val="18"/>
        </w:rPr>
        <w:t>there would be no financial impact from the requested listings for USAA, as the new PFP and 300 mg strength are not requested for this indication.</w:t>
      </w:r>
    </w:p>
    <w:p w14:paraId="441E3BB3" w14:textId="77777777" w:rsidR="00164D88" w:rsidRDefault="005D23B1" w:rsidP="00B923E6">
      <w:pPr>
        <w:pStyle w:val="TableFigureFooter"/>
        <w:keepNext/>
        <w:keepLines/>
        <w:spacing w:after="0"/>
        <w:rPr>
          <w:szCs w:val="18"/>
        </w:rPr>
      </w:pPr>
      <w:r w:rsidRPr="00C95670">
        <w:rPr>
          <w:szCs w:val="18"/>
        </w:rPr>
        <w:t xml:space="preserve"> The redacted values correspond to the following ranges:</w:t>
      </w:r>
      <w:r>
        <w:rPr>
          <w:szCs w:val="18"/>
        </w:rPr>
        <w:t xml:space="preserve"> </w:t>
      </w:r>
    </w:p>
    <w:p w14:paraId="771058FD" w14:textId="77777777" w:rsidR="004A6AAE" w:rsidRPr="00B923E6" w:rsidRDefault="005D23B1" w:rsidP="00B923E6">
      <w:pPr>
        <w:pStyle w:val="TableFigureFooter"/>
        <w:keepNext/>
        <w:keepLines/>
        <w:spacing w:after="0"/>
        <w:rPr>
          <w:szCs w:val="18"/>
        </w:rPr>
      </w:pPr>
      <w:r w:rsidRPr="00B923E6">
        <w:rPr>
          <w:szCs w:val="18"/>
          <w:vertAlign w:val="superscript"/>
        </w:rPr>
        <w:t>1</w:t>
      </w:r>
      <w:bookmarkStart w:id="12" w:name="_Hlk113629046"/>
      <w:r w:rsidR="00602A91" w:rsidRPr="00B923E6">
        <w:rPr>
          <w:szCs w:val="18"/>
        </w:rPr>
        <w:t xml:space="preserve"> 10,000 to &lt; 20,000</w:t>
      </w:r>
      <w:r w:rsidR="004A6AAE" w:rsidRPr="00B923E6">
        <w:rPr>
          <w:szCs w:val="18"/>
        </w:rPr>
        <w:t xml:space="preserve"> </w:t>
      </w:r>
    </w:p>
    <w:p w14:paraId="291E4408" w14:textId="77777777" w:rsidR="009D45BB" w:rsidRPr="00B923E6" w:rsidRDefault="004A6AAE" w:rsidP="00B923E6">
      <w:pPr>
        <w:pStyle w:val="TableFigureFooter"/>
        <w:keepNext/>
        <w:keepLines/>
        <w:spacing w:after="0"/>
        <w:rPr>
          <w:szCs w:val="18"/>
        </w:rPr>
      </w:pPr>
      <w:r w:rsidRPr="00B923E6">
        <w:rPr>
          <w:szCs w:val="18"/>
          <w:vertAlign w:val="superscript"/>
        </w:rPr>
        <w:t>2</w:t>
      </w:r>
      <w:r w:rsidRPr="00B923E6">
        <w:rPr>
          <w:szCs w:val="18"/>
        </w:rPr>
        <w:t xml:space="preserve"> 500 to &lt; 5,000</w:t>
      </w:r>
      <w:r w:rsidR="009D45BB" w:rsidRPr="00B923E6">
        <w:rPr>
          <w:szCs w:val="18"/>
        </w:rPr>
        <w:t xml:space="preserve"> </w:t>
      </w:r>
    </w:p>
    <w:p w14:paraId="7EE29203" w14:textId="1B7B823C" w:rsidR="000B7DD2" w:rsidRPr="00B923E6" w:rsidRDefault="009D45BB" w:rsidP="00B923E6">
      <w:pPr>
        <w:pStyle w:val="TableFigureFooter"/>
        <w:keepNext/>
        <w:keepLines/>
        <w:spacing w:after="0"/>
        <w:rPr>
          <w:szCs w:val="18"/>
        </w:rPr>
      </w:pPr>
      <w:r w:rsidRPr="00B923E6">
        <w:rPr>
          <w:szCs w:val="18"/>
          <w:vertAlign w:val="superscript"/>
        </w:rPr>
        <w:t>3</w:t>
      </w:r>
      <w:r w:rsidRPr="00B923E6">
        <w:rPr>
          <w:szCs w:val="18"/>
        </w:rPr>
        <w:t xml:space="preserve"> 40,000 to &lt; 50,000</w:t>
      </w:r>
    </w:p>
    <w:p w14:paraId="0C68E1A9" w14:textId="77777777" w:rsidR="00ED5E5A" w:rsidRPr="00B923E6" w:rsidRDefault="00DF31EB" w:rsidP="00B923E6">
      <w:pPr>
        <w:pStyle w:val="TableFigureFooter"/>
        <w:keepNext/>
        <w:keepLines/>
        <w:spacing w:after="0"/>
        <w:rPr>
          <w:szCs w:val="18"/>
        </w:rPr>
      </w:pPr>
      <w:r w:rsidRPr="00B923E6">
        <w:rPr>
          <w:szCs w:val="18"/>
          <w:vertAlign w:val="superscript"/>
        </w:rPr>
        <w:t>4</w:t>
      </w:r>
      <w:r w:rsidRPr="00B923E6">
        <w:rPr>
          <w:szCs w:val="18"/>
        </w:rPr>
        <w:t xml:space="preserve"> </w:t>
      </w:r>
      <w:r w:rsidR="000B7DD2" w:rsidRPr="00B923E6">
        <w:rPr>
          <w:szCs w:val="18"/>
        </w:rPr>
        <w:t>50,000 to &lt; 60,000</w:t>
      </w:r>
      <w:r w:rsidR="00ED5E5A" w:rsidRPr="00B923E6">
        <w:rPr>
          <w:szCs w:val="18"/>
        </w:rPr>
        <w:t xml:space="preserve"> </w:t>
      </w:r>
    </w:p>
    <w:p w14:paraId="444A135C" w14:textId="77777777" w:rsidR="00D34E0E" w:rsidRPr="00B923E6" w:rsidRDefault="00ED5E5A" w:rsidP="00B923E6">
      <w:pPr>
        <w:pStyle w:val="TableFigureFooter"/>
        <w:keepNext/>
        <w:keepLines/>
        <w:spacing w:after="0"/>
        <w:rPr>
          <w:szCs w:val="18"/>
        </w:rPr>
      </w:pPr>
      <w:r w:rsidRPr="00B923E6">
        <w:rPr>
          <w:szCs w:val="18"/>
          <w:vertAlign w:val="superscript"/>
        </w:rPr>
        <w:t>5</w:t>
      </w:r>
      <w:r w:rsidRPr="00B923E6">
        <w:rPr>
          <w:szCs w:val="18"/>
        </w:rPr>
        <w:t xml:space="preserve"> 60,000 to &lt; 70,000</w:t>
      </w:r>
      <w:r w:rsidR="00487A7A" w:rsidRPr="00B923E6">
        <w:rPr>
          <w:szCs w:val="18"/>
        </w:rPr>
        <w:t xml:space="preserve"> </w:t>
      </w:r>
    </w:p>
    <w:p w14:paraId="1CF7A9BC" w14:textId="0D27A0A2" w:rsidR="0017601D" w:rsidRPr="00B923E6" w:rsidRDefault="00D34E0E" w:rsidP="00B923E6">
      <w:pPr>
        <w:pStyle w:val="TableFigureFooter"/>
        <w:keepNext/>
        <w:keepLines/>
        <w:spacing w:after="0"/>
        <w:rPr>
          <w:szCs w:val="18"/>
        </w:rPr>
      </w:pPr>
      <w:r w:rsidRPr="00B923E6">
        <w:rPr>
          <w:szCs w:val="18"/>
          <w:vertAlign w:val="superscript"/>
        </w:rPr>
        <w:t>6</w:t>
      </w:r>
      <w:r w:rsidRPr="00B923E6">
        <w:rPr>
          <w:szCs w:val="18"/>
        </w:rPr>
        <w:t xml:space="preserve"> 70,000 to &lt; 80,000</w:t>
      </w:r>
    </w:p>
    <w:p w14:paraId="42C3139E" w14:textId="77777777" w:rsidR="00227DC4" w:rsidRPr="00B923E6" w:rsidRDefault="00D34E0E" w:rsidP="00B923E6">
      <w:pPr>
        <w:pStyle w:val="TableFigureFooter"/>
        <w:keepNext/>
        <w:keepLines/>
        <w:spacing w:after="0"/>
        <w:rPr>
          <w:szCs w:val="18"/>
        </w:rPr>
      </w:pPr>
      <w:r w:rsidRPr="00B923E6">
        <w:rPr>
          <w:szCs w:val="18"/>
          <w:vertAlign w:val="superscript"/>
        </w:rPr>
        <w:t>7</w:t>
      </w:r>
      <w:r w:rsidR="0017601D" w:rsidRPr="00B923E6">
        <w:rPr>
          <w:szCs w:val="18"/>
        </w:rPr>
        <w:t xml:space="preserve"> 80,000 to &lt; 90,000</w:t>
      </w:r>
      <w:r w:rsidR="00227DC4" w:rsidRPr="00B923E6">
        <w:rPr>
          <w:szCs w:val="18"/>
        </w:rPr>
        <w:t xml:space="preserve"> </w:t>
      </w:r>
    </w:p>
    <w:p w14:paraId="20868026" w14:textId="77777777" w:rsidR="0019673D" w:rsidRPr="00B923E6" w:rsidRDefault="00227DC4" w:rsidP="00B923E6">
      <w:pPr>
        <w:pStyle w:val="TableFigureFooter"/>
        <w:keepNext/>
        <w:keepLines/>
        <w:spacing w:after="0"/>
        <w:rPr>
          <w:szCs w:val="18"/>
        </w:rPr>
      </w:pPr>
      <w:r w:rsidRPr="00B923E6">
        <w:rPr>
          <w:szCs w:val="18"/>
          <w:vertAlign w:val="superscript"/>
        </w:rPr>
        <w:t>8</w:t>
      </w:r>
      <w:r w:rsidRPr="00B923E6">
        <w:rPr>
          <w:szCs w:val="18"/>
        </w:rPr>
        <w:t xml:space="preserve"> $0 to &lt; $10 million</w:t>
      </w:r>
      <w:r w:rsidR="0019673D" w:rsidRPr="00B923E6">
        <w:rPr>
          <w:szCs w:val="18"/>
        </w:rPr>
        <w:t xml:space="preserve"> </w:t>
      </w:r>
    </w:p>
    <w:p w14:paraId="2E184361" w14:textId="77777777" w:rsidR="002217BE" w:rsidRPr="00B923E6" w:rsidRDefault="0019673D" w:rsidP="00B923E6">
      <w:pPr>
        <w:pStyle w:val="TableFigureFooter"/>
        <w:keepNext/>
        <w:keepLines/>
        <w:spacing w:after="0"/>
        <w:rPr>
          <w:szCs w:val="18"/>
        </w:rPr>
      </w:pPr>
      <w:r w:rsidRPr="00B923E6">
        <w:rPr>
          <w:szCs w:val="18"/>
          <w:vertAlign w:val="superscript"/>
        </w:rPr>
        <w:t>9</w:t>
      </w:r>
      <w:r w:rsidRPr="00B923E6">
        <w:rPr>
          <w:szCs w:val="18"/>
        </w:rPr>
        <w:t xml:space="preserve"> $20 million to &lt; $30 million</w:t>
      </w:r>
      <w:r w:rsidR="002217BE" w:rsidRPr="00B923E6">
        <w:rPr>
          <w:szCs w:val="18"/>
        </w:rPr>
        <w:t xml:space="preserve"> </w:t>
      </w:r>
    </w:p>
    <w:p w14:paraId="7FB6D66E" w14:textId="77777777" w:rsidR="00C95670" w:rsidRPr="00B923E6" w:rsidRDefault="002217BE" w:rsidP="00B923E6">
      <w:pPr>
        <w:pStyle w:val="TableFigureFooter"/>
        <w:keepNext/>
        <w:keepLines/>
        <w:spacing w:after="0"/>
        <w:rPr>
          <w:szCs w:val="18"/>
        </w:rPr>
      </w:pPr>
      <w:r w:rsidRPr="00B923E6">
        <w:rPr>
          <w:szCs w:val="18"/>
          <w:vertAlign w:val="superscript"/>
        </w:rPr>
        <w:t>10</w:t>
      </w:r>
      <w:r w:rsidRPr="00B923E6">
        <w:rPr>
          <w:szCs w:val="18"/>
        </w:rPr>
        <w:t xml:space="preserve"> $30 million to &lt; $40 million</w:t>
      </w:r>
      <w:r w:rsidR="00C95670" w:rsidRPr="00B923E6">
        <w:rPr>
          <w:szCs w:val="18"/>
        </w:rPr>
        <w:t xml:space="preserve"> </w:t>
      </w:r>
    </w:p>
    <w:p w14:paraId="10A16A76" w14:textId="77777777" w:rsidR="00782D05" w:rsidRDefault="00C95670">
      <w:pPr>
        <w:pStyle w:val="TableFigureFooter"/>
        <w:keepNext/>
        <w:keepLines/>
        <w:spacing w:after="0"/>
        <w:rPr>
          <w:szCs w:val="18"/>
        </w:rPr>
      </w:pPr>
      <w:r w:rsidRPr="00B923E6">
        <w:rPr>
          <w:szCs w:val="18"/>
          <w:vertAlign w:val="superscript"/>
        </w:rPr>
        <w:t>11</w:t>
      </w:r>
      <w:r w:rsidRPr="00B923E6">
        <w:rPr>
          <w:szCs w:val="18"/>
        </w:rPr>
        <w:t xml:space="preserve"> net cost saving</w:t>
      </w:r>
      <w:r w:rsidR="00782D05">
        <w:rPr>
          <w:szCs w:val="18"/>
        </w:rPr>
        <w:t xml:space="preserve"> </w:t>
      </w:r>
    </w:p>
    <w:p w14:paraId="1E01E75A" w14:textId="48AAE3CC" w:rsidR="004A6AAE" w:rsidRPr="00B923E6" w:rsidRDefault="00782D05" w:rsidP="00B923E6">
      <w:pPr>
        <w:pStyle w:val="TableFigureFooter"/>
        <w:keepNext/>
        <w:keepLines/>
        <w:spacing w:after="0"/>
        <w:rPr>
          <w:szCs w:val="18"/>
        </w:rPr>
      </w:pPr>
      <w:r w:rsidRPr="00B923E6">
        <w:rPr>
          <w:szCs w:val="18"/>
          <w:vertAlign w:val="superscript"/>
        </w:rPr>
        <w:t>12</w:t>
      </w:r>
      <w:r w:rsidRPr="00782D05">
        <w:rPr>
          <w:szCs w:val="18"/>
        </w:rPr>
        <w:t xml:space="preserve"> $</w:t>
      </w:r>
      <w:r>
        <w:rPr>
          <w:szCs w:val="18"/>
        </w:rPr>
        <w:t>1</w:t>
      </w:r>
      <w:r w:rsidRPr="00782D05">
        <w:rPr>
          <w:szCs w:val="18"/>
        </w:rPr>
        <w:t>0 million to &lt; $</w:t>
      </w:r>
      <w:r>
        <w:rPr>
          <w:szCs w:val="18"/>
        </w:rPr>
        <w:t>2</w:t>
      </w:r>
      <w:r w:rsidRPr="00782D05">
        <w:rPr>
          <w:szCs w:val="18"/>
        </w:rPr>
        <w:t>0 million</w:t>
      </w:r>
    </w:p>
    <w:bookmarkEnd w:id="12"/>
    <w:p w14:paraId="76D009C7" w14:textId="49A60DB4" w:rsidR="00472686" w:rsidRPr="00F00D12" w:rsidRDefault="00472686" w:rsidP="00D34E0E">
      <w:pPr>
        <w:pStyle w:val="3-BodyText"/>
        <w:keepNext/>
        <w:keepLines/>
        <w:numPr>
          <w:ilvl w:val="0"/>
          <w:numId w:val="0"/>
        </w:numPr>
        <w:spacing w:before="0" w:after="0"/>
        <w:rPr>
          <w:rFonts w:ascii="Arial Narrow" w:hAnsi="Arial Narrow"/>
          <w:sz w:val="18"/>
          <w:szCs w:val="18"/>
        </w:rPr>
      </w:pPr>
    </w:p>
    <w:p w14:paraId="6FCD45D2" w14:textId="6C091972" w:rsidR="00AA69B7" w:rsidRPr="00D47039" w:rsidRDefault="00AA69B7" w:rsidP="00F8583F">
      <w:pPr>
        <w:pStyle w:val="3-BodyText"/>
        <w:rPr>
          <w:iCs/>
        </w:rPr>
      </w:pPr>
      <w:r w:rsidRPr="00D47039">
        <w:rPr>
          <w:iCs/>
        </w:rPr>
        <w:t>As a Category 4 submission, the financial estimates have not been independently evaluated.</w:t>
      </w:r>
    </w:p>
    <w:p w14:paraId="53AE5A14" w14:textId="0EFF7B5F" w:rsidR="00F26D80" w:rsidRDefault="00831B88" w:rsidP="00F8583F">
      <w:pPr>
        <w:pStyle w:val="4-SubsectionHeading"/>
        <w:spacing w:before="0"/>
        <w:rPr>
          <w:b w:val="0"/>
          <w:bCs/>
          <w:i w:val="0"/>
          <w:iCs/>
          <w:color w:val="FF0000"/>
          <w:lang w:eastAsia="en-US"/>
        </w:rPr>
      </w:pPr>
      <w:r>
        <w:rPr>
          <w:lang w:eastAsia="en-US"/>
        </w:rPr>
        <w:lastRenderedPageBreak/>
        <w:t xml:space="preserve">Quality use of medicines </w:t>
      </w:r>
    </w:p>
    <w:p w14:paraId="0807FD0D" w14:textId="7B865AD4" w:rsidR="00831B88" w:rsidRPr="00EC6CB1" w:rsidRDefault="006D3361" w:rsidP="00F8583F">
      <w:pPr>
        <w:pStyle w:val="3-BodyText"/>
        <w:spacing w:before="0"/>
        <w:rPr>
          <w:bCs/>
          <w:iCs/>
          <w:color w:val="FF0000"/>
          <w:lang w:eastAsia="en-US"/>
        </w:rPr>
      </w:pPr>
      <w:r w:rsidRPr="006D3361">
        <w:t>The submission claimed that the new 300</w:t>
      </w:r>
      <w:r>
        <w:t> </w:t>
      </w:r>
      <w:r w:rsidRPr="006D3361">
        <w:t>mg strength will improve patient convenience and adherence by reducing multiple injections for high-dose patients, while the new PFP and PFS forms offer easier administration and enhanced safety.</w:t>
      </w:r>
    </w:p>
    <w:p w14:paraId="1538D6B7" w14:textId="77777777" w:rsidR="00EC6CB1" w:rsidRPr="00E30812" w:rsidRDefault="00EC6CB1" w:rsidP="00F3011E">
      <w:pPr>
        <w:pStyle w:val="Heading1"/>
        <w:keepLines/>
        <w:numPr>
          <w:ilvl w:val="0"/>
          <w:numId w:val="3"/>
        </w:numPr>
        <w:spacing w:before="0"/>
        <w:ind w:left="709" w:hanging="709"/>
        <w:rPr>
          <w:sz w:val="32"/>
          <w:szCs w:val="32"/>
        </w:rPr>
      </w:pPr>
      <w:r w:rsidRPr="00E30812">
        <w:rPr>
          <w:sz w:val="32"/>
          <w:szCs w:val="32"/>
        </w:rPr>
        <w:t>PBAC Outcome</w:t>
      </w:r>
    </w:p>
    <w:p w14:paraId="31178B50" w14:textId="77469ABA" w:rsidR="003D4AEF" w:rsidRDefault="00EC6CB1" w:rsidP="00F3011E">
      <w:pPr>
        <w:pStyle w:val="3-BodyText"/>
        <w:spacing w:before="0"/>
      </w:pPr>
      <w:r w:rsidRPr="002A5C6C">
        <w:t>The PBAC recommended</w:t>
      </w:r>
      <w:r w:rsidR="007612D8" w:rsidRPr="002A5C6C">
        <w:t xml:space="preserve"> the listing of a new 300 mg/2 mL strength and a new pre-filled pen (PFP) form of omalizumab (Xolair®) under the same </w:t>
      </w:r>
      <w:r w:rsidR="003645D2" w:rsidRPr="003645D2">
        <w:t>conditions as</w:t>
      </w:r>
      <w:r w:rsidR="003645D2">
        <w:t xml:space="preserve"> </w:t>
      </w:r>
      <w:r w:rsidR="007612D8" w:rsidRPr="002A5C6C">
        <w:t>the current PBS listings of the pre-filled syringe (PFS) form for the treatment of uncontrolled severe asthma (USA) and severe chronic spontaneous urticaria (CSU)</w:t>
      </w:r>
      <w:r w:rsidR="00132399" w:rsidRPr="002A5C6C">
        <w:t xml:space="preserve"> as </w:t>
      </w:r>
      <w:r w:rsidRPr="002A5C6C">
        <w:t>Section 100 (Highly Specialised Drugs Program) Authority Required</w:t>
      </w:r>
      <w:r w:rsidR="00D5359C" w:rsidRPr="002A5C6C">
        <w:t xml:space="preserve">. </w:t>
      </w:r>
      <w:r w:rsidR="000971B9" w:rsidRPr="000971B9">
        <w:t>The PBAC considered it appropriate for the new pre-filled syringe (PFS) form with a new safety device in 75</w:t>
      </w:r>
      <w:r w:rsidR="003825CF">
        <w:t> </w:t>
      </w:r>
      <w:r w:rsidR="000971B9" w:rsidRPr="000971B9">
        <w:t>mg/0.5</w:t>
      </w:r>
      <w:r w:rsidR="003825CF">
        <w:t> </w:t>
      </w:r>
      <w:r w:rsidR="000971B9" w:rsidRPr="000971B9">
        <w:t>mL and 150</w:t>
      </w:r>
      <w:r w:rsidR="003825CF">
        <w:t> </w:t>
      </w:r>
      <w:r w:rsidR="000971B9" w:rsidRPr="000971B9">
        <w:t xml:space="preserve">mg/mL </w:t>
      </w:r>
      <w:r w:rsidR="00A61713">
        <w:t xml:space="preserve">strengths </w:t>
      </w:r>
      <w:r w:rsidR="000971B9" w:rsidRPr="000971B9">
        <w:t>to be listed under the same PBS item codes as the existing PFS form for the treatment of USA, CSU, and uncontrolled severe allergic asthma (USAA).</w:t>
      </w:r>
    </w:p>
    <w:p w14:paraId="6CA13A81" w14:textId="722A6682" w:rsidR="0044220A" w:rsidRDefault="00B132F7" w:rsidP="00F3011E">
      <w:pPr>
        <w:pStyle w:val="3-BodyText"/>
        <w:spacing w:before="0"/>
      </w:pPr>
      <w:r w:rsidRPr="00B132F7">
        <w:t>The PBAC</w:t>
      </w:r>
      <w:r w:rsidR="009110AB">
        <w:t xml:space="preserve"> </w:t>
      </w:r>
      <w:r w:rsidRPr="00B132F7">
        <w:t>consider</w:t>
      </w:r>
      <w:r w:rsidR="009110AB">
        <w:t>ed</w:t>
      </w:r>
      <w:r w:rsidRPr="00B132F7">
        <w:t xml:space="preserve"> the currently PBS-listed omalizumab 150</w:t>
      </w:r>
      <w:r>
        <w:t> </w:t>
      </w:r>
      <w:r w:rsidRPr="00B132F7">
        <w:t xml:space="preserve">mg/mL PFS </w:t>
      </w:r>
      <w:r w:rsidR="00306940">
        <w:t xml:space="preserve">to be </w:t>
      </w:r>
      <w:r w:rsidRPr="00B132F7">
        <w:t>an appropriate comparator</w:t>
      </w:r>
      <w:r w:rsidR="009110AB">
        <w:t xml:space="preserve"> and</w:t>
      </w:r>
      <w:r w:rsidRPr="00B132F7">
        <w:t xml:space="preserve"> acknowledged that the new forms would substitute for the existing PFS forms for all PBS-listed indications. However, the PBAC noted other relevant comparators for the treatment of USA and CSU based on previous recommendations. Mepolizumab was recommended on a cost-minimisation basis with omalizumab, and benralizumab on a cost-minimisation basis with mepolizumab for USA at the July 2016 and March 2018 PBAC meetings, respectively. Omalizumab was recommended on a cost-minimisation basis with ciclosporin for CSU at the November 2015 PBAC meeting.</w:t>
      </w:r>
      <w:r w:rsidR="00627E56">
        <w:t xml:space="preserve"> </w:t>
      </w:r>
      <w:r w:rsidR="00627E56" w:rsidRPr="00627E56">
        <w:t>Therefore, the PBAC considered mepolizumab and benralizumab for USA, and ciclosporin for CSU as appropriate alternative comparators.</w:t>
      </w:r>
      <w:r w:rsidR="00924B51">
        <w:t xml:space="preserve"> </w:t>
      </w:r>
      <w:r w:rsidR="00924B51" w:rsidRPr="00924B51">
        <w:t xml:space="preserve">The PBAC </w:t>
      </w:r>
      <w:r w:rsidR="00924B51">
        <w:t xml:space="preserve">advised </w:t>
      </w:r>
      <w:r w:rsidR="00924B51" w:rsidRPr="00924B51">
        <w:t xml:space="preserve">that the new forms of omalizumab </w:t>
      </w:r>
      <w:r w:rsidR="00CE6CC8">
        <w:t xml:space="preserve">should </w:t>
      </w:r>
      <w:r w:rsidR="00924B51" w:rsidRPr="00924B51">
        <w:t>be cost-minimised to the lowest cost PBS-listed alternative comparator for the respective indication</w:t>
      </w:r>
      <w:r w:rsidR="00CE6CC8">
        <w:t>s</w:t>
      </w:r>
      <w:r w:rsidR="00924B51" w:rsidRPr="00924B51">
        <w:t>.</w:t>
      </w:r>
    </w:p>
    <w:p w14:paraId="0AB03A72" w14:textId="0EFA5EC6" w:rsidR="00224B89" w:rsidRPr="00224B89" w:rsidRDefault="00224B89" w:rsidP="00F3011E">
      <w:pPr>
        <w:pStyle w:val="3-BodyText"/>
        <w:spacing w:before="0"/>
      </w:pPr>
      <w:r>
        <w:t xml:space="preserve">The </w:t>
      </w:r>
      <w:r w:rsidRPr="00224B89">
        <w:t xml:space="preserve">PBAC considered that the clinical evidence </w:t>
      </w:r>
      <w:r w:rsidR="00E91112">
        <w:t xml:space="preserve">provided in the submission </w:t>
      </w:r>
      <w:r w:rsidRPr="00224B89">
        <w:t>support</w:t>
      </w:r>
      <w:r w:rsidR="00E91112">
        <w:t>ed</w:t>
      </w:r>
      <w:r w:rsidRPr="00224B89">
        <w:t xml:space="preserve"> the bioequivalence of the PFS and PFP forms</w:t>
      </w:r>
      <w:r w:rsidR="00C96316">
        <w:t xml:space="preserve">. The </w:t>
      </w:r>
      <w:r w:rsidR="00336348">
        <w:t xml:space="preserve">PBAC </w:t>
      </w:r>
      <w:r w:rsidR="00A932A1" w:rsidRPr="2B4CF233">
        <w:t xml:space="preserve">advised, under Section 101 (4AACD) of the </w:t>
      </w:r>
      <w:r w:rsidR="00A932A1" w:rsidRPr="00812E6C">
        <w:rPr>
          <w:i/>
          <w:iCs/>
        </w:rPr>
        <w:t>National Health Act 1953</w:t>
      </w:r>
      <w:r w:rsidR="00A932A1" w:rsidRPr="2B4CF233">
        <w:t xml:space="preserve">, that </w:t>
      </w:r>
      <w:r w:rsidR="00812E6C" w:rsidRPr="00812E6C">
        <w:t xml:space="preserve">the PFS and PFP forms </w:t>
      </w:r>
      <w:r w:rsidR="00812E6C">
        <w:t xml:space="preserve">of omalizumab </w:t>
      </w:r>
      <w:r w:rsidR="00A932A1" w:rsidRPr="2B4CF233">
        <w:t>should be considered equivalent for the purposes of substitution (i.e., ‘a’ flagged in the Schedule</w:t>
      </w:r>
      <w:r w:rsidR="00A932A1">
        <w:t>)</w:t>
      </w:r>
      <w:r w:rsidR="0095079A">
        <w:t xml:space="preserve"> for the treatment of </w:t>
      </w:r>
      <w:r w:rsidR="0095079A" w:rsidRPr="000971B9">
        <w:t>USA</w:t>
      </w:r>
      <w:r w:rsidR="0095079A">
        <w:t xml:space="preserve"> and</w:t>
      </w:r>
      <w:r w:rsidR="0095079A" w:rsidRPr="000971B9">
        <w:t xml:space="preserve"> CSU</w:t>
      </w:r>
      <w:r w:rsidR="0095079A">
        <w:t xml:space="preserve">. </w:t>
      </w:r>
    </w:p>
    <w:p w14:paraId="6449AA9B" w14:textId="74C48D21" w:rsidR="0057516F" w:rsidRDefault="00313BCF" w:rsidP="00F3011E">
      <w:pPr>
        <w:pStyle w:val="3-BodyText"/>
        <w:spacing w:before="0"/>
      </w:pPr>
      <w:r w:rsidRPr="00313BCF">
        <w:t>The PBAC noted that the submission did not request the 300</w:t>
      </w:r>
      <w:r>
        <w:t> </w:t>
      </w:r>
      <w:r w:rsidRPr="00313BCF">
        <w:t>mg/2</w:t>
      </w:r>
      <w:r>
        <w:t> </w:t>
      </w:r>
      <w:r w:rsidRPr="00313BCF">
        <w:t xml:space="preserve">mL PFS and all strengths of PFP be listed for USAA, as these forms are not intended for use in patients under 12 years of age. The PBAC advised that </w:t>
      </w:r>
      <w:r w:rsidR="0057516F" w:rsidRPr="0057516F">
        <w:t xml:space="preserve">a caution stating </w:t>
      </w:r>
      <w:r w:rsidR="00881DBC">
        <w:t>“</w:t>
      </w:r>
      <w:r w:rsidR="0057516F" w:rsidRPr="0057516F">
        <w:t>the 300</w:t>
      </w:r>
      <w:r w:rsidR="00881DBC">
        <w:t> </w:t>
      </w:r>
      <w:r w:rsidR="0057516F" w:rsidRPr="0057516F">
        <w:t>mg/2</w:t>
      </w:r>
      <w:r w:rsidR="00881DBC">
        <w:t> </w:t>
      </w:r>
      <w:r w:rsidR="0057516F" w:rsidRPr="0057516F">
        <w:t>mL pre-filled syringe and all dose strengths of the pen device are not intended for use in children under 12 years of age</w:t>
      </w:r>
      <w:r w:rsidR="00085A01">
        <w:t>”</w:t>
      </w:r>
      <w:r w:rsidR="0057516F" w:rsidRPr="0057516F">
        <w:t xml:space="preserve"> should be included in the restriction for USAA. </w:t>
      </w:r>
    </w:p>
    <w:p w14:paraId="746568A5" w14:textId="05F7AA4F" w:rsidR="00E31D41" w:rsidRPr="00C14957" w:rsidRDefault="00E31D41" w:rsidP="00F3011E">
      <w:pPr>
        <w:pStyle w:val="3-BodyText"/>
        <w:spacing w:before="0"/>
        <w:rPr>
          <w:strike/>
        </w:rPr>
      </w:pPr>
      <w:r w:rsidRPr="00E31D41">
        <w:t xml:space="preserve">The PBAC noted that </w:t>
      </w:r>
      <w:r w:rsidR="0098099D">
        <w:t xml:space="preserve">the </w:t>
      </w:r>
      <w:r w:rsidR="00C44B8E">
        <w:t>c</w:t>
      </w:r>
      <w:r w:rsidRPr="00E31D41">
        <w:t>onsumer comments highlighted the benefits of having multiple strengths and forms of omalizumab available on the PBS</w:t>
      </w:r>
      <w:r w:rsidR="006F5581">
        <w:t xml:space="preserve">. </w:t>
      </w:r>
      <w:r w:rsidR="006F5581" w:rsidRPr="006F5581">
        <w:t xml:space="preserve">These benefits include mitigating </w:t>
      </w:r>
      <w:r w:rsidR="006F5581">
        <w:t xml:space="preserve">the risk of </w:t>
      </w:r>
      <w:r w:rsidR="006F5581" w:rsidRPr="006F5581">
        <w:t xml:space="preserve">supply issues, providing dosing flexibility, and reducing </w:t>
      </w:r>
      <w:r w:rsidR="006F5581" w:rsidRPr="006F5581">
        <w:lastRenderedPageBreak/>
        <w:t>the number of injections with the 300</w:t>
      </w:r>
      <w:r w:rsidR="006F6CF9">
        <w:t> </w:t>
      </w:r>
      <w:r w:rsidR="006F5581" w:rsidRPr="006F5581">
        <w:t xml:space="preserve">mg strength, which may improve safety and treatment adherence. </w:t>
      </w:r>
    </w:p>
    <w:p w14:paraId="466C41B6" w14:textId="1DF012AF" w:rsidR="00E537A5" w:rsidRPr="0057516F" w:rsidRDefault="00FA31DF" w:rsidP="00F3011E">
      <w:pPr>
        <w:pStyle w:val="3-BodyText"/>
        <w:spacing w:before="0"/>
      </w:pPr>
      <w:r w:rsidRPr="00FA31DF">
        <w:t xml:space="preserve">The PBAC considered that listing the new forms of omalizumab is expected to be cost-neutral to the </w:t>
      </w:r>
      <w:r>
        <w:t>G</w:t>
      </w:r>
      <w:r w:rsidRPr="00FA31DF">
        <w:t>overnment, given that the new forms will likely substitute for the currently PBS-listed form of omalizumab and therefore will not increase overall market utili</w:t>
      </w:r>
      <w:r w:rsidR="00A95D5C">
        <w:t>s</w:t>
      </w:r>
      <w:r w:rsidRPr="00FA31DF">
        <w:t>ation</w:t>
      </w:r>
      <w:r w:rsidR="005B0403">
        <w:t xml:space="preserve">. </w:t>
      </w:r>
      <w:r w:rsidR="00BD5D25">
        <w:t>As a result,</w:t>
      </w:r>
      <w:r w:rsidR="00A95D5C">
        <w:t xml:space="preserve"> </w:t>
      </w:r>
      <w:r w:rsidRPr="00FA31DF">
        <w:t xml:space="preserve">there will be no net financial implications </w:t>
      </w:r>
      <w:r w:rsidR="00BD5D25">
        <w:t xml:space="preserve">to </w:t>
      </w:r>
      <w:r w:rsidRPr="00FA31DF">
        <w:t>the PBS/RPBS.</w:t>
      </w:r>
    </w:p>
    <w:p w14:paraId="3689D6DA" w14:textId="54C689BF" w:rsidR="00EC6CB1" w:rsidRDefault="00EC6CB1" w:rsidP="00F3011E">
      <w:pPr>
        <w:pStyle w:val="3-BodyText"/>
        <w:spacing w:before="0"/>
      </w:pPr>
      <w:r w:rsidRPr="00D80ECD">
        <w:t xml:space="preserve">The PBAC noted that its recommendation was on a cost-minimisation basis and advised that, because </w:t>
      </w:r>
      <w:r w:rsidR="0082642E">
        <w:t xml:space="preserve">the new forms of omalizumab </w:t>
      </w:r>
      <w:r w:rsidR="005E3DEE">
        <w:t xml:space="preserve">are </w:t>
      </w:r>
      <w:r w:rsidRPr="00D80ECD">
        <w:t>not expected to provide a substantial and clinically relevant improvement in efficacy, or reduction of toxicity, over</w:t>
      </w:r>
      <w:r w:rsidR="005E3DEE">
        <w:t xml:space="preserve"> </w:t>
      </w:r>
      <w:r w:rsidR="007E476A" w:rsidRPr="00896BF0">
        <w:t xml:space="preserve">the currently listed </w:t>
      </w:r>
      <w:r w:rsidR="005E3DEE">
        <w:t>PFS form</w:t>
      </w:r>
      <w:r w:rsidRPr="00D80ECD">
        <w:t xml:space="preserve">, or not expected to address a high and urgent unmet clinical need given the presence of an alternative therapy, the criteria prescribed by the </w:t>
      </w:r>
      <w:r w:rsidRPr="00C35973">
        <w:rPr>
          <w:i/>
          <w:iCs/>
        </w:rPr>
        <w:t>National Health (Pharmaceuticals and Vaccines – Cost Recovery) Regulations 2022</w:t>
      </w:r>
      <w:r w:rsidRPr="00D80ECD">
        <w:t xml:space="preserve"> for Pricing Pathway A were not met.</w:t>
      </w:r>
    </w:p>
    <w:p w14:paraId="6104279C" w14:textId="4014D28A" w:rsidR="00EC6CB1" w:rsidRDefault="00EC6CB1" w:rsidP="00F3011E">
      <w:pPr>
        <w:widowControl w:val="0"/>
        <w:numPr>
          <w:ilvl w:val="1"/>
          <w:numId w:val="3"/>
        </w:numPr>
        <w:spacing w:after="120"/>
        <w:rPr>
          <w:rFonts w:asciiTheme="minorHAnsi" w:hAnsiTheme="minorHAnsi"/>
          <w:bCs/>
        </w:rPr>
      </w:pPr>
      <w:r w:rsidRPr="00E14FF2">
        <w:t>The PBAC noted that this submission is not eligible for an Independent Review</w:t>
      </w:r>
      <w:r w:rsidR="00E537A5">
        <w:t xml:space="preserve"> </w:t>
      </w:r>
      <w:r w:rsidR="00E537A5" w:rsidRPr="00410F0F">
        <w:rPr>
          <w:rFonts w:asciiTheme="minorHAnsi" w:hAnsiTheme="minorHAnsi"/>
          <w:bCs/>
        </w:rPr>
        <w:t>as it received a positive recommendation.</w:t>
      </w:r>
    </w:p>
    <w:p w14:paraId="33A8C3DF" w14:textId="77777777" w:rsidR="00F4434A" w:rsidRPr="00747773" w:rsidRDefault="00F4434A" w:rsidP="00F3011E">
      <w:pPr>
        <w:spacing w:after="120"/>
        <w:rPr>
          <w:rFonts w:asciiTheme="minorHAnsi" w:hAnsiTheme="minorHAnsi" w:cs="Arial"/>
          <w:b/>
          <w:bCs/>
          <w:snapToGrid w:val="0"/>
        </w:rPr>
      </w:pPr>
      <w:r w:rsidRPr="00747773">
        <w:rPr>
          <w:rFonts w:asciiTheme="minorHAnsi" w:hAnsiTheme="minorHAnsi" w:cs="Arial"/>
          <w:b/>
          <w:bCs/>
          <w:snapToGrid w:val="0"/>
        </w:rPr>
        <w:t>Outcome:</w:t>
      </w:r>
    </w:p>
    <w:p w14:paraId="7C5D4229" w14:textId="6C6F200B" w:rsidR="00DB7EFA" w:rsidRDefault="00F4434A" w:rsidP="00F3011E">
      <w:pPr>
        <w:spacing w:after="120"/>
        <w:rPr>
          <w:rFonts w:asciiTheme="minorHAnsi" w:hAnsiTheme="minorHAnsi" w:cs="Arial"/>
          <w:snapToGrid w:val="0"/>
        </w:rPr>
      </w:pPr>
      <w:r w:rsidRPr="00747773">
        <w:rPr>
          <w:rFonts w:asciiTheme="minorHAnsi" w:hAnsiTheme="minorHAnsi" w:cs="Arial"/>
          <w:snapToGrid w:val="0"/>
        </w:rPr>
        <w:t>Recommended</w:t>
      </w:r>
    </w:p>
    <w:p w14:paraId="77707146" w14:textId="77777777" w:rsidR="00EC6CB1" w:rsidRPr="00907671" w:rsidRDefault="00EC6CB1" w:rsidP="00F3011E">
      <w:pPr>
        <w:pStyle w:val="2-SectionHeading"/>
        <w:spacing w:before="0"/>
      </w:pPr>
      <w:r w:rsidRPr="00907671">
        <w:t>Recommended listing</w:t>
      </w:r>
    </w:p>
    <w:p w14:paraId="2FB66FF5" w14:textId="77777777" w:rsidR="00EC6CB1" w:rsidRDefault="00EC6CB1" w:rsidP="00EC6CB1">
      <w:pPr>
        <w:pStyle w:val="3Bodytext"/>
        <w:rPr>
          <w:lang w:eastAsia="en-US"/>
        </w:rPr>
      </w:pPr>
      <w:r w:rsidRPr="00DE41F7">
        <w:rPr>
          <w:lang w:eastAsia="en-US"/>
        </w:rPr>
        <w:t>Add new item:</w:t>
      </w:r>
    </w:p>
    <w:p w14:paraId="2DA46A64" w14:textId="10129DAD" w:rsidR="004164CF" w:rsidRPr="00D94EE7" w:rsidRDefault="004164CF" w:rsidP="00D94EE7">
      <w:pPr>
        <w:pStyle w:val="4-SubsectionHeading"/>
      </w:pPr>
      <w:r w:rsidRPr="00D94EE7">
        <w:t>Uncontrolled severe asthma</w:t>
      </w:r>
      <w:r w:rsidR="00CA2C0D" w:rsidRPr="00D94EE7">
        <w:t xml:space="preserve"> - Initial treatment</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commended listing"/>
        <w:tblDescription w:val="Uncontrolled severe asthma - Initial treatment &#10;omalizumab 75 mg/0.5 mL injection, 0.5 mL syringe - item code 10110D/ Public&#10;omalizumab 75 mg/0.5 mL injection, 0.5 mL syringe - item code 10118M/ Private&#10;omalizumab 75 mg/0.5 mL injection, 0.5 mL pen device - NEW item / Public&#10;omalizumab 75 mg/0.5 mL injection, 0.5 mL pen device - NEW item / Private&#10;"/>
      </w:tblPr>
      <w:tblGrid>
        <w:gridCol w:w="569"/>
        <w:gridCol w:w="707"/>
        <w:gridCol w:w="2972"/>
        <w:gridCol w:w="992"/>
        <w:gridCol w:w="992"/>
        <w:gridCol w:w="992"/>
        <w:gridCol w:w="850"/>
        <w:gridCol w:w="947"/>
      </w:tblGrid>
      <w:tr w:rsidR="00160DF3" w:rsidRPr="008E6588" w14:paraId="0A3E16B3" w14:textId="77777777" w:rsidTr="008F6073">
        <w:trPr>
          <w:cantSplit/>
          <w:trHeight w:val="20"/>
        </w:trPr>
        <w:tc>
          <w:tcPr>
            <w:tcW w:w="2354" w:type="pct"/>
            <w:gridSpan w:val="3"/>
          </w:tcPr>
          <w:p w14:paraId="179244EA" w14:textId="77777777" w:rsidR="004164CF" w:rsidRPr="008E6588" w:rsidRDefault="004164CF" w:rsidP="000C5C9A">
            <w:pPr>
              <w:keepLines/>
              <w:jc w:val="left"/>
              <w:rPr>
                <w:rFonts w:ascii="Arial Narrow" w:hAnsi="Arial Narrow" w:cs="Arial"/>
                <w:b/>
                <w:bCs/>
                <w:sz w:val="20"/>
                <w:szCs w:val="20"/>
              </w:rPr>
            </w:pPr>
            <w:r w:rsidRPr="008E6588">
              <w:rPr>
                <w:rFonts w:ascii="Arial Narrow" w:hAnsi="Arial Narrow" w:cs="Arial"/>
                <w:b/>
                <w:bCs/>
                <w:sz w:val="20"/>
                <w:szCs w:val="20"/>
              </w:rPr>
              <w:t>MEDICINAL PRODUCT</w:t>
            </w:r>
          </w:p>
          <w:p w14:paraId="616A7C87" w14:textId="77777777" w:rsidR="004164CF" w:rsidRPr="008E6588" w:rsidRDefault="004164CF" w:rsidP="000C5C9A">
            <w:pPr>
              <w:keepLines/>
              <w:jc w:val="left"/>
              <w:rPr>
                <w:rFonts w:ascii="Arial Narrow" w:hAnsi="Arial Narrow" w:cs="Arial"/>
                <w:b/>
                <w:sz w:val="20"/>
                <w:szCs w:val="20"/>
              </w:rPr>
            </w:pPr>
            <w:r w:rsidRPr="008E6588">
              <w:rPr>
                <w:rFonts w:ascii="Arial Narrow" w:hAnsi="Arial Narrow" w:cs="Arial"/>
                <w:b/>
                <w:bCs/>
                <w:sz w:val="20"/>
                <w:szCs w:val="20"/>
              </w:rPr>
              <w:t>medicinal product pack</w:t>
            </w:r>
          </w:p>
        </w:tc>
        <w:tc>
          <w:tcPr>
            <w:tcW w:w="550" w:type="pct"/>
          </w:tcPr>
          <w:p w14:paraId="4D3837BC" w14:textId="77777777" w:rsidR="004164CF" w:rsidRPr="008E6588" w:rsidRDefault="004164CF" w:rsidP="000C5C9A">
            <w:pPr>
              <w:keepLines/>
              <w:jc w:val="left"/>
              <w:rPr>
                <w:rFonts w:ascii="Arial Narrow" w:hAnsi="Arial Narrow" w:cs="Arial"/>
                <w:b/>
                <w:sz w:val="20"/>
                <w:szCs w:val="20"/>
              </w:rPr>
            </w:pPr>
            <w:r w:rsidRPr="008E6588">
              <w:rPr>
                <w:rFonts w:ascii="Arial Narrow" w:hAnsi="Arial Narrow" w:cs="Arial"/>
                <w:b/>
                <w:sz w:val="20"/>
                <w:szCs w:val="20"/>
              </w:rPr>
              <w:t>PBS item code</w:t>
            </w:r>
          </w:p>
        </w:tc>
        <w:tc>
          <w:tcPr>
            <w:tcW w:w="550" w:type="pct"/>
          </w:tcPr>
          <w:p w14:paraId="00BF0855" w14:textId="77777777" w:rsidR="004164CF" w:rsidRPr="008E6588" w:rsidRDefault="004164CF" w:rsidP="000C5C9A">
            <w:pPr>
              <w:keepLines/>
              <w:jc w:val="left"/>
              <w:rPr>
                <w:rFonts w:ascii="Arial Narrow" w:hAnsi="Arial Narrow" w:cs="Arial"/>
                <w:b/>
                <w:sz w:val="20"/>
                <w:szCs w:val="20"/>
              </w:rPr>
            </w:pPr>
            <w:r w:rsidRPr="008E6588">
              <w:rPr>
                <w:rFonts w:ascii="Arial Narrow" w:hAnsi="Arial Narrow" w:cs="Arial"/>
                <w:b/>
                <w:sz w:val="20"/>
                <w:szCs w:val="20"/>
              </w:rPr>
              <w:t>Max. qty packs</w:t>
            </w:r>
          </w:p>
        </w:tc>
        <w:tc>
          <w:tcPr>
            <w:tcW w:w="550" w:type="pct"/>
          </w:tcPr>
          <w:p w14:paraId="3BAF60F9" w14:textId="77777777" w:rsidR="004164CF" w:rsidRPr="008E6588" w:rsidRDefault="004164CF" w:rsidP="000C5C9A">
            <w:pPr>
              <w:keepLines/>
              <w:jc w:val="left"/>
              <w:rPr>
                <w:rFonts w:ascii="Arial Narrow" w:hAnsi="Arial Narrow" w:cs="Arial"/>
                <w:b/>
                <w:sz w:val="20"/>
                <w:szCs w:val="20"/>
              </w:rPr>
            </w:pPr>
            <w:r w:rsidRPr="008E6588">
              <w:rPr>
                <w:rFonts w:ascii="Arial Narrow" w:hAnsi="Arial Narrow" w:cs="Arial"/>
                <w:b/>
                <w:sz w:val="20"/>
                <w:szCs w:val="20"/>
              </w:rPr>
              <w:t>Max. qty units</w:t>
            </w:r>
          </w:p>
        </w:tc>
        <w:tc>
          <w:tcPr>
            <w:tcW w:w="471" w:type="pct"/>
          </w:tcPr>
          <w:p w14:paraId="5227FDDC" w14:textId="77777777" w:rsidR="004164CF" w:rsidRPr="008E6588" w:rsidRDefault="004164CF" w:rsidP="000C5C9A">
            <w:pPr>
              <w:keepLines/>
              <w:jc w:val="left"/>
              <w:rPr>
                <w:rFonts w:ascii="Arial Narrow" w:hAnsi="Arial Narrow" w:cs="Arial"/>
                <w:b/>
                <w:bCs/>
                <w:sz w:val="20"/>
                <w:szCs w:val="20"/>
              </w:rPr>
            </w:pPr>
            <w:proofErr w:type="gramStart"/>
            <w:r w:rsidRPr="008E6588">
              <w:rPr>
                <w:rFonts w:ascii="Arial Narrow" w:hAnsi="Arial Narrow" w:cs="Arial"/>
                <w:b/>
                <w:bCs/>
                <w:sz w:val="20"/>
                <w:szCs w:val="20"/>
              </w:rPr>
              <w:t>№.of</w:t>
            </w:r>
            <w:proofErr w:type="gramEnd"/>
          </w:p>
          <w:p w14:paraId="6342B836" w14:textId="77777777" w:rsidR="004164CF" w:rsidRPr="008E6588" w:rsidRDefault="004164CF" w:rsidP="000C5C9A">
            <w:pPr>
              <w:keepLines/>
              <w:jc w:val="left"/>
              <w:rPr>
                <w:rFonts w:ascii="Arial Narrow" w:hAnsi="Arial Narrow" w:cs="Arial"/>
                <w:b/>
                <w:bCs/>
                <w:sz w:val="20"/>
                <w:szCs w:val="20"/>
              </w:rPr>
            </w:pPr>
            <w:r w:rsidRPr="008E6588">
              <w:rPr>
                <w:rFonts w:ascii="Arial Narrow" w:hAnsi="Arial Narrow" w:cs="Arial"/>
                <w:b/>
                <w:bCs/>
                <w:sz w:val="20"/>
                <w:szCs w:val="20"/>
              </w:rPr>
              <w:t>Rpts</w:t>
            </w:r>
          </w:p>
        </w:tc>
        <w:tc>
          <w:tcPr>
            <w:tcW w:w="522" w:type="pct"/>
          </w:tcPr>
          <w:p w14:paraId="11A1E0E9" w14:textId="77777777" w:rsidR="004164CF" w:rsidRPr="008E6588" w:rsidRDefault="004164CF" w:rsidP="000C5C9A">
            <w:pPr>
              <w:keepLines/>
              <w:jc w:val="left"/>
              <w:rPr>
                <w:rFonts w:ascii="Arial Narrow" w:hAnsi="Arial Narrow" w:cs="Arial"/>
                <w:b/>
                <w:sz w:val="20"/>
                <w:szCs w:val="20"/>
                <w:lang w:val="fr-FR"/>
              </w:rPr>
            </w:pPr>
            <w:r w:rsidRPr="008E6588">
              <w:rPr>
                <w:rFonts w:ascii="Arial Narrow" w:hAnsi="Arial Narrow" w:cs="Arial"/>
                <w:b/>
                <w:sz w:val="20"/>
                <w:szCs w:val="20"/>
              </w:rPr>
              <w:t>Available brands</w:t>
            </w:r>
          </w:p>
        </w:tc>
      </w:tr>
      <w:tr w:rsidR="004164CF" w:rsidRPr="008E6588" w14:paraId="2376A25A" w14:textId="77777777" w:rsidTr="008F6073">
        <w:trPr>
          <w:cantSplit/>
          <w:trHeight w:val="20"/>
        </w:trPr>
        <w:tc>
          <w:tcPr>
            <w:tcW w:w="4997" w:type="pct"/>
            <w:gridSpan w:val="8"/>
            <w:vAlign w:val="center"/>
          </w:tcPr>
          <w:p w14:paraId="0AF99285" w14:textId="77777777" w:rsidR="004164CF" w:rsidRPr="008E6588" w:rsidRDefault="004164CF" w:rsidP="00836DB5">
            <w:pPr>
              <w:keepLines/>
              <w:rPr>
                <w:rFonts w:ascii="Arial Narrow" w:hAnsi="Arial Narrow" w:cs="Arial"/>
                <w:sz w:val="20"/>
                <w:szCs w:val="20"/>
              </w:rPr>
            </w:pPr>
            <w:r w:rsidRPr="008E6588">
              <w:rPr>
                <w:rFonts w:ascii="Arial Narrow" w:hAnsi="Arial Narrow" w:cs="Arial"/>
                <w:sz w:val="20"/>
                <w:szCs w:val="20"/>
              </w:rPr>
              <w:t>OMALIZUMAB</w:t>
            </w:r>
          </w:p>
        </w:tc>
      </w:tr>
      <w:tr w:rsidR="00AD443F" w:rsidRPr="008E6588" w14:paraId="5878CDBF" w14:textId="77777777" w:rsidTr="008F6073">
        <w:trPr>
          <w:cantSplit/>
          <w:trHeight w:val="20"/>
        </w:trPr>
        <w:tc>
          <w:tcPr>
            <w:tcW w:w="2354" w:type="pct"/>
            <w:gridSpan w:val="3"/>
            <w:vAlign w:val="center"/>
          </w:tcPr>
          <w:p w14:paraId="193F2CB7" w14:textId="77777777" w:rsidR="00AD443F" w:rsidRPr="008E6588" w:rsidRDefault="00AD443F" w:rsidP="00836DB5">
            <w:pPr>
              <w:keepLines/>
              <w:rPr>
                <w:rFonts w:ascii="Arial Narrow" w:hAnsi="Arial Narrow" w:cs="Arial"/>
                <w:sz w:val="20"/>
                <w:szCs w:val="20"/>
              </w:rPr>
            </w:pPr>
            <w:r w:rsidRPr="008E6588">
              <w:rPr>
                <w:rFonts w:ascii="Arial Narrow" w:hAnsi="Arial Narrow" w:cs="Arial"/>
                <w:sz w:val="20"/>
                <w:szCs w:val="20"/>
              </w:rPr>
              <w:t>omalizumab 75 mg/0.5 mL injection, 0.5 mL syringe</w:t>
            </w:r>
          </w:p>
        </w:tc>
        <w:tc>
          <w:tcPr>
            <w:tcW w:w="550" w:type="pct"/>
          </w:tcPr>
          <w:p w14:paraId="27A3300A" w14:textId="77777777" w:rsidR="00AD443F" w:rsidRPr="008E6588" w:rsidRDefault="00AD443F" w:rsidP="00836DB5">
            <w:pPr>
              <w:keepLines/>
              <w:jc w:val="center"/>
              <w:rPr>
                <w:rFonts w:ascii="Arial Narrow" w:hAnsi="Arial Narrow" w:cs="Arial"/>
                <w:sz w:val="20"/>
                <w:szCs w:val="20"/>
              </w:rPr>
            </w:pPr>
            <w:r w:rsidRPr="008E6588">
              <w:rPr>
                <w:rFonts w:ascii="Arial Narrow" w:hAnsi="Arial Narrow" w:cs="Arial"/>
                <w:sz w:val="20"/>
                <w:szCs w:val="20"/>
              </w:rPr>
              <w:t>10110D/ Public</w:t>
            </w:r>
          </w:p>
        </w:tc>
        <w:tc>
          <w:tcPr>
            <w:tcW w:w="550" w:type="pct"/>
          </w:tcPr>
          <w:p w14:paraId="3A76B504" w14:textId="77777777" w:rsidR="00AD443F" w:rsidRPr="008E6588" w:rsidRDefault="00AD443F"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550" w:type="pct"/>
          </w:tcPr>
          <w:p w14:paraId="770B3BEF" w14:textId="77777777" w:rsidR="00AD443F" w:rsidRPr="008E6588" w:rsidRDefault="00AD443F"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471" w:type="pct"/>
          </w:tcPr>
          <w:p w14:paraId="050725BB" w14:textId="77777777" w:rsidR="00AD443F" w:rsidRPr="008E6588" w:rsidRDefault="00AD443F" w:rsidP="00836DB5">
            <w:pPr>
              <w:keepLines/>
              <w:jc w:val="center"/>
              <w:rPr>
                <w:rFonts w:ascii="Arial Narrow" w:hAnsi="Arial Narrow" w:cs="Arial"/>
                <w:sz w:val="20"/>
                <w:szCs w:val="20"/>
              </w:rPr>
            </w:pPr>
            <w:r w:rsidRPr="008E6588">
              <w:rPr>
                <w:rFonts w:ascii="Arial Narrow" w:hAnsi="Arial Narrow" w:cs="Arial"/>
                <w:sz w:val="20"/>
                <w:szCs w:val="20"/>
              </w:rPr>
              <w:t>7</w:t>
            </w:r>
          </w:p>
        </w:tc>
        <w:tc>
          <w:tcPr>
            <w:tcW w:w="522" w:type="pct"/>
            <w:vMerge w:val="restart"/>
          </w:tcPr>
          <w:p w14:paraId="7E3F2B9B" w14:textId="1046A839" w:rsidR="00AD443F" w:rsidRPr="008E6588" w:rsidRDefault="00AD443F" w:rsidP="007C70F7">
            <w:pPr>
              <w:keepLines/>
              <w:jc w:val="center"/>
              <w:rPr>
                <w:rFonts w:ascii="Arial Narrow" w:hAnsi="Arial Narrow" w:cs="Arial"/>
                <w:sz w:val="20"/>
                <w:szCs w:val="20"/>
              </w:rPr>
            </w:pPr>
            <w:proofErr w:type="spellStart"/>
            <w:r w:rsidRPr="008E6588">
              <w:rPr>
                <w:rFonts w:ascii="Arial Narrow" w:hAnsi="Arial Narrow"/>
                <w:sz w:val="20"/>
                <w:szCs w:val="20"/>
                <w:vertAlign w:val="superscript"/>
              </w:rPr>
              <w:t>a</w:t>
            </w:r>
            <w:r w:rsidRPr="008E6588">
              <w:rPr>
                <w:rFonts w:ascii="Arial Narrow" w:hAnsi="Arial Narrow" w:cs="Arial"/>
                <w:sz w:val="20"/>
                <w:szCs w:val="20"/>
              </w:rPr>
              <w:t>Xolair</w:t>
            </w:r>
            <w:proofErr w:type="spellEnd"/>
          </w:p>
        </w:tc>
      </w:tr>
      <w:tr w:rsidR="00AD443F" w:rsidRPr="008E6588" w14:paraId="1105E589" w14:textId="77777777" w:rsidTr="008F6073">
        <w:trPr>
          <w:cantSplit/>
          <w:trHeight w:val="20"/>
        </w:trPr>
        <w:tc>
          <w:tcPr>
            <w:tcW w:w="2354" w:type="pct"/>
            <w:gridSpan w:val="3"/>
            <w:vAlign w:val="center"/>
          </w:tcPr>
          <w:p w14:paraId="2D79FCB8" w14:textId="77777777" w:rsidR="00AD443F" w:rsidRPr="008E6588" w:rsidRDefault="00AD443F" w:rsidP="00836DB5">
            <w:pPr>
              <w:keepLines/>
              <w:rPr>
                <w:rFonts w:ascii="Arial Narrow" w:hAnsi="Arial Narrow" w:cs="Arial"/>
                <w:sz w:val="20"/>
                <w:szCs w:val="20"/>
              </w:rPr>
            </w:pPr>
            <w:r w:rsidRPr="008E6588">
              <w:rPr>
                <w:rFonts w:ascii="Arial Narrow" w:hAnsi="Arial Narrow" w:cs="Arial"/>
                <w:sz w:val="20"/>
                <w:szCs w:val="20"/>
              </w:rPr>
              <w:t>omalizumab 75 mg/0.5 mL injection, 0.5 mL syringe</w:t>
            </w:r>
          </w:p>
        </w:tc>
        <w:tc>
          <w:tcPr>
            <w:tcW w:w="550" w:type="pct"/>
          </w:tcPr>
          <w:p w14:paraId="3BE0DAA3" w14:textId="77777777" w:rsidR="00AD443F" w:rsidRPr="008E6588" w:rsidRDefault="00AD443F" w:rsidP="00836DB5">
            <w:pPr>
              <w:keepLines/>
              <w:jc w:val="center"/>
              <w:rPr>
                <w:rFonts w:ascii="Arial Narrow" w:hAnsi="Arial Narrow" w:cs="Arial"/>
                <w:sz w:val="20"/>
                <w:szCs w:val="20"/>
              </w:rPr>
            </w:pPr>
            <w:r w:rsidRPr="008E6588">
              <w:rPr>
                <w:rFonts w:ascii="Arial Narrow" w:hAnsi="Arial Narrow" w:cs="Arial"/>
                <w:sz w:val="20"/>
                <w:szCs w:val="20"/>
              </w:rPr>
              <w:t>10118M/ Private</w:t>
            </w:r>
          </w:p>
        </w:tc>
        <w:tc>
          <w:tcPr>
            <w:tcW w:w="550" w:type="pct"/>
          </w:tcPr>
          <w:p w14:paraId="3C30771B" w14:textId="77777777" w:rsidR="00AD443F" w:rsidRPr="008E6588" w:rsidRDefault="00AD443F"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550" w:type="pct"/>
          </w:tcPr>
          <w:p w14:paraId="2A56231F" w14:textId="77777777" w:rsidR="00AD443F" w:rsidRPr="008E6588" w:rsidRDefault="00AD443F"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471" w:type="pct"/>
          </w:tcPr>
          <w:p w14:paraId="458E2DB5" w14:textId="77777777" w:rsidR="00AD443F" w:rsidRPr="008E6588" w:rsidRDefault="00AD443F" w:rsidP="00836DB5">
            <w:pPr>
              <w:keepLines/>
              <w:jc w:val="center"/>
              <w:rPr>
                <w:rFonts w:ascii="Arial Narrow" w:hAnsi="Arial Narrow" w:cs="Arial"/>
                <w:sz w:val="20"/>
                <w:szCs w:val="20"/>
              </w:rPr>
            </w:pPr>
            <w:r w:rsidRPr="008E6588">
              <w:rPr>
                <w:rFonts w:ascii="Arial Narrow" w:hAnsi="Arial Narrow" w:cs="Arial"/>
                <w:sz w:val="20"/>
                <w:szCs w:val="20"/>
              </w:rPr>
              <w:t>7</w:t>
            </w:r>
          </w:p>
        </w:tc>
        <w:tc>
          <w:tcPr>
            <w:tcW w:w="522" w:type="pct"/>
            <w:vMerge/>
            <w:vAlign w:val="center"/>
          </w:tcPr>
          <w:p w14:paraId="7A7C6399" w14:textId="77777777" w:rsidR="00AD443F" w:rsidRPr="008E6588" w:rsidRDefault="00AD443F" w:rsidP="00836DB5">
            <w:pPr>
              <w:keepLines/>
              <w:rPr>
                <w:rFonts w:ascii="Arial Narrow" w:hAnsi="Arial Narrow" w:cs="Arial"/>
                <w:sz w:val="20"/>
                <w:szCs w:val="20"/>
              </w:rPr>
            </w:pPr>
          </w:p>
        </w:tc>
      </w:tr>
      <w:tr w:rsidR="00AD443F" w:rsidRPr="008E6588" w14:paraId="1383D8DF" w14:textId="77777777" w:rsidTr="008F6073">
        <w:trPr>
          <w:cantSplit/>
          <w:trHeight w:val="20"/>
        </w:trPr>
        <w:tc>
          <w:tcPr>
            <w:tcW w:w="2354" w:type="pct"/>
            <w:gridSpan w:val="3"/>
            <w:vAlign w:val="center"/>
          </w:tcPr>
          <w:p w14:paraId="2A43837A" w14:textId="77777777" w:rsidR="00AD443F" w:rsidRPr="008E6588" w:rsidRDefault="00AD443F" w:rsidP="00836DB5">
            <w:pPr>
              <w:keepLines/>
              <w:rPr>
                <w:rFonts w:ascii="Arial Narrow" w:hAnsi="Arial Narrow" w:cs="Arial"/>
                <w:sz w:val="20"/>
                <w:szCs w:val="20"/>
              </w:rPr>
            </w:pPr>
            <w:r w:rsidRPr="008E6588">
              <w:rPr>
                <w:rFonts w:ascii="Arial Narrow" w:hAnsi="Arial Narrow" w:cs="Arial"/>
                <w:sz w:val="20"/>
                <w:szCs w:val="20"/>
              </w:rPr>
              <w:t>omalizumab 75 mg/0.5 mL injection, 0.5 mL pen device</w:t>
            </w:r>
          </w:p>
        </w:tc>
        <w:tc>
          <w:tcPr>
            <w:tcW w:w="550" w:type="pct"/>
            <w:vAlign w:val="center"/>
          </w:tcPr>
          <w:p w14:paraId="7B179677" w14:textId="13B53FAB" w:rsidR="00AD443F" w:rsidRPr="008E6588" w:rsidRDefault="00AD443F" w:rsidP="00836DB5">
            <w:pPr>
              <w:keepLines/>
              <w:jc w:val="center"/>
              <w:rPr>
                <w:rFonts w:ascii="Arial Narrow" w:hAnsi="Arial Narrow" w:cs="Arial"/>
                <w:iCs/>
                <w:sz w:val="20"/>
                <w:szCs w:val="20"/>
              </w:rPr>
            </w:pPr>
            <w:r w:rsidRPr="008E6588">
              <w:rPr>
                <w:rFonts w:ascii="Arial Narrow" w:hAnsi="Arial Narrow" w:cs="Arial"/>
                <w:iCs/>
                <w:sz w:val="20"/>
                <w:szCs w:val="20"/>
              </w:rPr>
              <w:t>NEW</w:t>
            </w:r>
            <w:r w:rsidR="00EB260C" w:rsidRPr="008E6588">
              <w:rPr>
                <w:rFonts w:ascii="Arial Narrow" w:hAnsi="Arial Narrow" w:cs="Arial"/>
                <w:iCs/>
                <w:sz w:val="20"/>
                <w:szCs w:val="20"/>
              </w:rPr>
              <w:t>/ Public</w:t>
            </w:r>
          </w:p>
        </w:tc>
        <w:tc>
          <w:tcPr>
            <w:tcW w:w="550" w:type="pct"/>
          </w:tcPr>
          <w:p w14:paraId="52F44772" w14:textId="77777777" w:rsidR="00AD443F" w:rsidRPr="008E6588" w:rsidRDefault="00AD443F"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550" w:type="pct"/>
          </w:tcPr>
          <w:p w14:paraId="0065AFC4" w14:textId="77777777" w:rsidR="00AD443F" w:rsidRPr="008E6588" w:rsidRDefault="00AD443F"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471" w:type="pct"/>
          </w:tcPr>
          <w:p w14:paraId="5814B364" w14:textId="77777777" w:rsidR="00AD443F" w:rsidRPr="008E6588" w:rsidRDefault="00AD443F" w:rsidP="00836DB5">
            <w:pPr>
              <w:keepLines/>
              <w:jc w:val="center"/>
              <w:rPr>
                <w:rFonts w:ascii="Arial Narrow" w:hAnsi="Arial Narrow" w:cs="Arial"/>
                <w:sz w:val="20"/>
                <w:szCs w:val="20"/>
              </w:rPr>
            </w:pPr>
            <w:r w:rsidRPr="008E6588">
              <w:rPr>
                <w:rFonts w:ascii="Arial Narrow" w:hAnsi="Arial Narrow" w:cs="Arial"/>
                <w:sz w:val="20"/>
                <w:szCs w:val="20"/>
              </w:rPr>
              <w:t>7</w:t>
            </w:r>
          </w:p>
        </w:tc>
        <w:tc>
          <w:tcPr>
            <w:tcW w:w="522" w:type="pct"/>
            <w:vMerge/>
            <w:vAlign w:val="center"/>
          </w:tcPr>
          <w:p w14:paraId="2D32DE38" w14:textId="77777777" w:rsidR="00AD443F" w:rsidRPr="008E6588" w:rsidRDefault="00AD443F" w:rsidP="00836DB5">
            <w:pPr>
              <w:keepLines/>
              <w:rPr>
                <w:rFonts w:ascii="Arial Narrow" w:hAnsi="Arial Narrow" w:cs="Arial"/>
                <w:sz w:val="20"/>
                <w:szCs w:val="20"/>
              </w:rPr>
            </w:pPr>
          </w:p>
        </w:tc>
      </w:tr>
      <w:tr w:rsidR="00AD443F" w:rsidRPr="008E6588" w14:paraId="7F6D66DF" w14:textId="77777777" w:rsidTr="008F6073">
        <w:trPr>
          <w:cantSplit/>
          <w:trHeight w:val="20"/>
        </w:trPr>
        <w:tc>
          <w:tcPr>
            <w:tcW w:w="2354" w:type="pct"/>
            <w:gridSpan w:val="3"/>
            <w:vAlign w:val="center"/>
          </w:tcPr>
          <w:p w14:paraId="4423A446" w14:textId="77777777" w:rsidR="00AD443F" w:rsidRPr="008E6588" w:rsidRDefault="00AD443F" w:rsidP="00836DB5">
            <w:pPr>
              <w:keepLines/>
              <w:rPr>
                <w:rFonts w:ascii="Arial Narrow" w:hAnsi="Arial Narrow" w:cs="Arial"/>
                <w:sz w:val="20"/>
                <w:szCs w:val="20"/>
              </w:rPr>
            </w:pPr>
            <w:r w:rsidRPr="008E6588">
              <w:rPr>
                <w:rFonts w:ascii="Arial Narrow" w:hAnsi="Arial Narrow" w:cs="Arial"/>
                <w:sz w:val="20"/>
                <w:szCs w:val="20"/>
              </w:rPr>
              <w:t>omalizumab 75 mg/0.5 mL injection, 0.5 mL pen device</w:t>
            </w:r>
          </w:p>
        </w:tc>
        <w:tc>
          <w:tcPr>
            <w:tcW w:w="550" w:type="pct"/>
            <w:vAlign w:val="center"/>
          </w:tcPr>
          <w:p w14:paraId="2661F34A" w14:textId="1D16797B" w:rsidR="00AD443F" w:rsidRPr="008E6588" w:rsidRDefault="00AD443F" w:rsidP="00836DB5">
            <w:pPr>
              <w:keepLines/>
              <w:jc w:val="center"/>
              <w:rPr>
                <w:rFonts w:ascii="Arial Narrow" w:hAnsi="Arial Narrow" w:cs="Arial"/>
                <w:iCs/>
                <w:sz w:val="20"/>
                <w:szCs w:val="20"/>
              </w:rPr>
            </w:pPr>
            <w:r w:rsidRPr="008E6588">
              <w:rPr>
                <w:rFonts w:ascii="Arial Narrow" w:hAnsi="Arial Narrow" w:cs="Arial"/>
                <w:iCs/>
                <w:sz w:val="20"/>
                <w:szCs w:val="20"/>
              </w:rPr>
              <w:t>NEW</w:t>
            </w:r>
            <w:r w:rsidR="00EB260C" w:rsidRPr="008E6588">
              <w:rPr>
                <w:rFonts w:ascii="Arial Narrow" w:hAnsi="Arial Narrow" w:cs="Arial"/>
                <w:iCs/>
                <w:sz w:val="20"/>
                <w:szCs w:val="20"/>
              </w:rPr>
              <w:t>/ Private</w:t>
            </w:r>
          </w:p>
        </w:tc>
        <w:tc>
          <w:tcPr>
            <w:tcW w:w="550" w:type="pct"/>
          </w:tcPr>
          <w:p w14:paraId="16BF19E7" w14:textId="77777777" w:rsidR="00AD443F" w:rsidRPr="008E6588" w:rsidRDefault="00AD443F"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550" w:type="pct"/>
          </w:tcPr>
          <w:p w14:paraId="3C51795A" w14:textId="77777777" w:rsidR="00AD443F" w:rsidRPr="008E6588" w:rsidRDefault="00AD443F"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471" w:type="pct"/>
          </w:tcPr>
          <w:p w14:paraId="1CA941A5" w14:textId="77777777" w:rsidR="00AD443F" w:rsidRPr="008E6588" w:rsidRDefault="00AD443F" w:rsidP="00836DB5">
            <w:pPr>
              <w:keepLines/>
              <w:jc w:val="center"/>
              <w:rPr>
                <w:rFonts w:ascii="Arial Narrow" w:hAnsi="Arial Narrow" w:cs="Arial"/>
                <w:sz w:val="20"/>
                <w:szCs w:val="20"/>
              </w:rPr>
            </w:pPr>
            <w:r w:rsidRPr="008E6588">
              <w:rPr>
                <w:rFonts w:ascii="Arial Narrow" w:hAnsi="Arial Narrow" w:cs="Arial"/>
                <w:sz w:val="20"/>
                <w:szCs w:val="20"/>
              </w:rPr>
              <w:t>7</w:t>
            </w:r>
          </w:p>
        </w:tc>
        <w:tc>
          <w:tcPr>
            <w:tcW w:w="522" w:type="pct"/>
            <w:vMerge/>
            <w:vAlign w:val="center"/>
          </w:tcPr>
          <w:p w14:paraId="24482984" w14:textId="77777777" w:rsidR="00AD443F" w:rsidRPr="008E6588" w:rsidRDefault="00AD443F" w:rsidP="00836DB5">
            <w:pPr>
              <w:keepLines/>
              <w:rPr>
                <w:rFonts w:ascii="Arial Narrow" w:hAnsi="Arial Narrow" w:cs="Arial"/>
                <w:sz w:val="20"/>
                <w:szCs w:val="20"/>
              </w:rPr>
            </w:pPr>
          </w:p>
        </w:tc>
      </w:tr>
      <w:tr w:rsidR="004164CF" w:rsidRPr="008E6588" w14:paraId="3F74F1B0" w14:textId="77777777" w:rsidTr="008F6073">
        <w:tblPrEx>
          <w:tblCellMar>
            <w:top w:w="15" w:type="dxa"/>
            <w:bottom w:w="15" w:type="dxa"/>
          </w:tblCellMar>
          <w:tblLook w:val="04A0" w:firstRow="1" w:lastRow="0" w:firstColumn="1" w:lastColumn="0" w:noHBand="0" w:noVBand="1"/>
        </w:tblPrEx>
        <w:trPr>
          <w:trHeight w:val="20"/>
        </w:trPr>
        <w:tc>
          <w:tcPr>
            <w:tcW w:w="4997" w:type="pct"/>
            <w:gridSpan w:val="8"/>
            <w:tcBorders>
              <w:top w:val="single" w:sz="4" w:space="0" w:color="auto"/>
              <w:left w:val="single" w:sz="4" w:space="0" w:color="auto"/>
              <w:right w:val="single" w:sz="4" w:space="0" w:color="auto"/>
            </w:tcBorders>
            <w:vAlign w:val="center"/>
          </w:tcPr>
          <w:p w14:paraId="5BFACC1A" w14:textId="7D62E7B6" w:rsidR="004164CF" w:rsidRPr="008E6588" w:rsidRDefault="004164CF" w:rsidP="00836DB5">
            <w:pPr>
              <w:keepLines/>
              <w:rPr>
                <w:rFonts w:ascii="Arial Narrow" w:hAnsi="Arial Narrow" w:cs="Arial"/>
                <w:b/>
                <w:sz w:val="20"/>
                <w:szCs w:val="20"/>
              </w:rPr>
            </w:pPr>
          </w:p>
        </w:tc>
      </w:tr>
      <w:tr w:rsidR="004164CF" w:rsidRPr="008E6588" w14:paraId="621338A7" w14:textId="77777777" w:rsidTr="008F6073">
        <w:tblPrEx>
          <w:tblCellMar>
            <w:top w:w="15" w:type="dxa"/>
            <w:bottom w:w="15" w:type="dxa"/>
          </w:tblCellMar>
          <w:tblLook w:val="04A0" w:firstRow="1" w:lastRow="0" w:firstColumn="1" w:lastColumn="0" w:noHBand="0" w:noVBand="1"/>
        </w:tblPrEx>
        <w:trPr>
          <w:trHeight w:val="20"/>
        </w:trPr>
        <w:tc>
          <w:tcPr>
            <w:tcW w:w="704" w:type="pct"/>
            <w:gridSpan w:val="2"/>
            <w:vMerge w:val="restart"/>
            <w:tcBorders>
              <w:top w:val="single" w:sz="4" w:space="0" w:color="auto"/>
              <w:left w:val="single" w:sz="4" w:space="0" w:color="auto"/>
              <w:right w:val="single" w:sz="4" w:space="0" w:color="auto"/>
            </w:tcBorders>
          </w:tcPr>
          <w:p w14:paraId="0468CA87" w14:textId="77777777" w:rsidR="004164CF" w:rsidRPr="008E6588" w:rsidRDefault="004164CF" w:rsidP="00836DB5">
            <w:pPr>
              <w:jc w:val="center"/>
              <w:rPr>
                <w:rFonts w:ascii="Arial Narrow" w:hAnsi="Arial Narrow" w:cs="Arial"/>
                <w:b/>
                <w:sz w:val="20"/>
                <w:szCs w:val="20"/>
              </w:rPr>
            </w:pPr>
            <w:r w:rsidRPr="008E6588">
              <w:rPr>
                <w:rFonts w:ascii="Arial Narrow" w:hAnsi="Arial Narrow" w:cs="Arial"/>
                <w:b/>
                <w:sz w:val="20"/>
                <w:szCs w:val="20"/>
              </w:rPr>
              <w:t xml:space="preserve">Concept ID </w:t>
            </w:r>
            <w:r w:rsidRPr="008E6588">
              <w:rPr>
                <w:rFonts w:ascii="Arial Narrow" w:hAnsi="Arial Narrow" w:cs="Arial"/>
                <w:sz w:val="20"/>
                <w:szCs w:val="20"/>
              </w:rPr>
              <w:t>(for internal Dept. use)</w:t>
            </w:r>
          </w:p>
        </w:tc>
        <w:tc>
          <w:tcPr>
            <w:tcW w:w="4293" w:type="pct"/>
            <w:gridSpan w:val="6"/>
            <w:tcBorders>
              <w:top w:val="single" w:sz="4" w:space="0" w:color="auto"/>
              <w:left w:val="single" w:sz="4" w:space="0" w:color="auto"/>
              <w:bottom w:val="single" w:sz="4" w:space="0" w:color="auto"/>
              <w:right w:val="single" w:sz="4" w:space="0" w:color="auto"/>
            </w:tcBorders>
            <w:vAlign w:val="center"/>
          </w:tcPr>
          <w:p w14:paraId="432E4B80" w14:textId="77777777" w:rsidR="004164CF" w:rsidRPr="008E6588" w:rsidRDefault="004164CF" w:rsidP="00836DB5">
            <w:pPr>
              <w:keepLines/>
              <w:rPr>
                <w:rFonts w:ascii="Arial Narrow" w:hAnsi="Arial Narrow" w:cs="Arial"/>
                <w:sz w:val="20"/>
                <w:szCs w:val="20"/>
              </w:rPr>
            </w:pPr>
            <w:r w:rsidRPr="008E6588">
              <w:rPr>
                <w:rFonts w:ascii="Arial Narrow" w:hAnsi="Arial Narrow" w:cs="Arial"/>
                <w:b/>
                <w:sz w:val="20"/>
                <w:szCs w:val="20"/>
              </w:rPr>
              <w:t>Category / Program:</w:t>
            </w:r>
            <w:r w:rsidRPr="008E6588">
              <w:rPr>
                <w:rFonts w:ascii="Arial Narrow" w:hAnsi="Arial Narrow" w:cs="Arial"/>
                <w:sz w:val="20"/>
                <w:szCs w:val="20"/>
              </w:rPr>
              <w:t xml:space="preserve"> </w:t>
            </w:r>
            <w:r w:rsidRPr="008E6588">
              <w:rPr>
                <w:rFonts w:ascii="Arial Narrow" w:eastAsia="Calibri" w:hAnsi="Arial Narrow" w:cs="Arial"/>
                <w:sz w:val="20"/>
                <w:szCs w:val="20"/>
              </w:rPr>
              <w:t>Section 100 – Highly Specialised Drugs Program – Public (Code HB)</w:t>
            </w:r>
            <w:r w:rsidRPr="008E6588">
              <w:rPr>
                <w:rFonts w:ascii="Arial Narrow" w:eastAsia="Calibri" w:hAnsi="Arial Narrow" w:cs="Arial"/>
                <w:color w:val="FF0000"/>
                <w:sz w:val="20"/>
                <w:szCs w:val="20"/>
              </w:rPr>
              <w:t xml:space="preserve"> </w:t>
            </w:r>
            <w:r w:rsidRPr="008E6588">
              <w:rPr>
                <w:rFonts w:ascii="Arial Narrow" w:eastAsia="Calibri" w:hAnsi="Arial Narrow" w:cs="Arial"/>
                <w:sz w:val="20"/>
                <w:szCs w:val="20"/>
              </w:rPr>
              <w:t>/ Private (Code HS)</w:t>
            </w:r>
          </w:p>
        </w:tc>
      </w:tr>
      <w:tr w:rsidR="004164CF" w:rsidRPr="008E6588" w14:paraId="2A91308F" w14:textId="77777777">
        <w:tblPrEx>
          <w:tblCellMar>
            <w:top w:w="15" w:type="dxa"/>
            <w:bottom w:w="15" w:type="dxa"/>
          </w:tblCellMar>
          <w:tblLook w:val="04A0" w:firstRow="1" w:lastRow="0" w:firstColumn="1" w:lastColumn="0" w:noHBand="0" w:noVBand="1"/>
        </w:tblPrEx>
        <w:trPr>
          <w:trHeight w:val="20"/>
        </w:trPr>
        <w:tc>
          <w:tcPr>
            <w:tcW w:w="704" w:type="pct"/>
            <w:gridSpan w:val="2"/>
            <w:vMerge/>
            <w:tcBorders>
              <w:left w:val="single" w:sz="4" w:space="0" w:color="auto"/>
              <w:right w:val="single" w:sz="4" w:space="0" w:color="auto"/>
            </w:tcBorders>
          </w:tcPr>
          <w:p w14:paraId="16713FA1" w14:textId="77777777" w:rsidR="004164CF" w:rsidRPr="008E6588" w:rsidRDefault="004164CF" w:rsidP="00836DB5">
            <w:pPr>
              <w:rPr>
                <w:rFonts w:ascii="Arial Narrow" w:hAnsi="Arial Narrow" w:cs="Arial"/>
                <w:sz w:val="20"/>
                <w:szCs w:val="20"/>
              </w:rPr>
            </w:pPr>
          </w:p>
        </w:tc>
        <w:tc>
          <w:tcPr>
            <w:tcW w:w="4293" w:type="pct"/>
            <w:gridSpan w:val="6"/>
            <w:tcBorders>
              <w:top w:val="single" w:sz="4" w:space="0" w:color="auto"/>
              <w:left w:val="single" w:sz="4" w:space="0" w:color="auto"/>
              <w:bottom w:val="single" w:sz="4" w:space="0" w:color="auto"/>
              <w:right w:val="single" w:sz="4" w:space="0" w:color="auto"/>
            </w:tcBorders>
            <w:vAlign w:val="center"/>
          </w:tcPr>
          <w:p w14:paraId="11A2B89E" w14:textId="77777777" w:rsidR="004164CF" w:rsidRPr="008E6588" w:rsidRDefault="004164CF" w:rsidP="00836DB5">
            <w:pPr>
              <w:keepLines/>
              <w:rPr>
                <w:rFonts w:ascii="Arial Narrow" w:hAnsi="Arial Narrow" w:cs="Arial"/>
                <w:b/>
                <w:sz w:val="20"/>
                <w:szCs w:val="20"/>
              </w:rPr>
            </w:pPr>
            <w:r w:rsidRPr="008E6588">
              <w:rPr>
                <w:rFonts w:ascii="Arial Narrow" w:hAnsi="Arial Narrow" w:cs="Arial"/>
                <w:b/>
                <w:sz w:val="20"/>
                <w:szCs w:val="20"/>
              </w:rPr>
              <w:t xml:space="preserve">Prescriber type: </w:t>
            </w:r>
            <w:r w:rsidRPr="008E6588">
              <w:rPr>
                <w:rFonts w:ascii="Arial Narrow" w:hAnsi="Arial Narrow" w:cs="Arial"/>
                <w:sz w:val="20"/>
                <w:szCs w:val="20"/>
              </w:rPr>
              <w:fldChar w:fldCharType="begin" w:fldLock="1">
                <w:ffData>
                  <w:name w:val=""/>
                  <w:enabled/>
                  <w:calcOnExit w:val="0"/>
                  <w:checkBox>
                    <w:sizeAuto/>
                    <w:default w:val="1"/>
                  </w:checkBox>
                </w:ffData>
              </w:fldChar>
            </w:r>
            <w:r w:rsidRPr="008E6588">
              <w:rPr>
                <w:rFonts w:ascii="Arial Narrow" w:hAnsi="Arial Narrow" w:cs="Arial"/>
                <w:sz w:val="20"/>
                <w:szCs w:val="20"/>
              </w:rPr>
              <w:instrText xml:space="preserve"> FORMCHECKBOX </w:instrText>
            </w:r>
            <w:r w:rsidRPr="008E6588">
              <w:rPr>
                <w:rFonts w:ascii="Arial Narrow" w:hAnsi="Arial Narrow" w:cs="Arial"/>
                <w:sz w:val="20"/>
                <w:szCs w:val="20"/>
              </w:rPr>
            </w:r>
            <w:r w:rsidRPr="008E6588">
              <w:rPr>
                <w:rFonts w:ascii="Arial Narrow" w:hAnsi="Arial Narrow" w:cs="Arial"/>
                <w:sz w:val="20"/>
                <w:szCs w:val="20"/>
              </w:rPr>
              <w:fldChar w:fldCharType="separate"/>
            </w:r>
            <w:r w:rsidRPr="008E6588">
              <w:rPr>
                <w:rFonts w:ascii="Arial Narrow" w:hAnsi="Arial Narrow" w:cs="Arial"/>
                <w:sz w:val="20"/>
                <w:szCs w:val="20"/>
              </w:rPr>
              <w:fldChar w:fldCharType="end"/>
            </w:r>
            <w:r w:rsidRPr="008E6588">
              <w:rPr>
                <w:rFonts w:ascii="Arial Narrow" w:hAnsi="Arial Narrow" w:cs="Arial"/>
                <w:sz w:val="20"/>
                <w:szCs w:val="20"/>
              </w:rPr>
              <w:t xml:space="preserve">Medical Practitioners </w:t>
            </w:r>
          </w:p>
        </w:tc>
      </w:tr>
      <w:tr w:rsidR="004164CF" w:rsidRPr="008E6588" w14:paraId="11FB9179" w14:textId="77777777">
        <w:tblPrEx>
          <w:tblCellMar>
            <w:top w:w="15" w:type="dxa"/>
            <w:bottom w:w="15" w:type="dxa"/>
          </w:tblCellMar>
          <w:tblLook w:val="04A0" w:firstRow="1" w:lastRow="0" w:firstColumn="1" w:lastColumn="0" w:noHBand="0" w:noVBand="1"/>
        </w:tblPrEx>
        <w:trPr>
          <w:trHeight w:val="20"/>
        </w:trPr>
        <w:tc>
          <w:tcPr>
            <w:tcW w:w="704" w:type="pct"/>
            <w:gridSpan w:val="2"/>
            <w:vMerge/>
            <w:tcBorders>
              <w:left w:val="single" w:sz="4" w:space="0" w:color="auto"/>
              <w:right w:val="single" w:sz="4" w:space="0" w:color="auto"/>
            </w:tcBorders>
          </w:tcPr>
          <w:p w14:paraId="1F00A968" w14:textId="77777777" w:rsidR="004164CF" w:rsidRPr="008E6588" w:rsidRDefault="004164CF" w:rsidP="00836DB5">
            <w:pPr>
              <w:rPr>
                <w:rFonts w:ascii="Arial Narrow" w:hAnsi="Arial Narrow" w:cs="Arial"/>
                <w:sz w:val="20"/>
                <w:szCs w:val="20"/>
              </w:rPr>
            </w:pPr>
          </w:p>
        </w:tc>
        <w:tc>
          <w:tcPr>
            <w:tcW w:w="4293" w:type="pct"/>
            <w:gridSpan w:val="6"/>
            <w:tcBorders>
              <w:top w:val="single" w:sz="4" w:space="0" w:color="auto"/>
              <w:left w:val="single" w:sz="4" w:space="0" w:color="auto"/>
              <w:bottom w:val="single" w:sz="4" w:space="0" w:color="auto"/>
              <w:right w:val="single" w:sz="4" w:space="0" w:color="auto"/>
            </w:tcBorders>
            <w:vAlign w:val="center"/>
          </w:tcPr>
          <w:p w14:paraId="776FAAE2" w14:textId="77777777" w:rsidR="004164CF" w:rsidRPr="008E6588" w:rsidRDefault="004164CF" w:rsidP="00836DB5">
            <w:pPr>
              <w:keepLines/>
              <w:rPr>
                <w:rFonts w:ascii="Arial Narrow" w:eastAsia="Calibri" w:hAnsi="Arial Narrow" w:cs="Arial"/>
                <w:color w:val="FF0000"/>
                <w:sz w:val="20"/>
                <w:szCs w:val="20"/>
              </w:rPr>
            </w:pPr>
            <w:r w:rsidRPr="008E6588">
              <w:rPr>
                <w:rFonts w:ascii="Arial Narrow" w:hAnsi="Arial Narrow" w:cs="Arial"/>
                <w:b/>
                <w:sz w:val="20"/>
                <w:szCs w:val="20"/>
              </w:rPr>
              <w:t xml:space="preserve">Restriction type: </w:t>
            </w:r>
            <w:r w:rsidRPr="008E6588">
              <w:rPr>
                <w:rFonts w:ascii="Arial Narrow" w:eastAsia="Calibri" w:hAnsi="Arial Narrow" w:cs="Arial"/>
                <w:sz w:val="20"/>
                <w:szCs w:val="20"/>
              </w:rPr>
              <w:fldChar w:fldCharType="begin" w:fldLock="1">
                <w:ffData>
                  <w:name w:val=""/>
                  <w:enabled/>
                  <w:calcOnExit w:val="0"/>
                  <w:checkBox>
                    <w:sizeAuto/>
                    <w:default w:val="1"/>
                  </w:checkBox>
                </w:ffData>
              </w:fldChar>
            </w:r>
            <w:r w:rsidRPr="008E6588">
              <w:rPr>
                <w:rFonts w:ascii="Arial Narrow" w:eastAsia="Calibri" w:hAnsi="Arial Narrow" w:cs="Arial"/>
                <w:sz w:val="20"/>
                <w:szCs w:val="20"/>
              </w:rPr>
              <w:instrText xml:space="preserve"> FORMCHECKBOX </w:instrText>
            </w:r>
            <w:r w:rsidRPr="008E6588">
              <w:rPr>
                <w:rFonts w:ascii="Arial Narrow" w:eastAsia="Calibri" w:hAnsi="Arial Narrow" w:cs="Arial"/>
                <w:sz w:val="20"/>
                <w:szCs w:val="20"/>
              </w:rPr>
            </w:r>
            <w:r w:rsidRPr="008E6588">
              <w:rPr>
                <w:rFonts w:ascii="Arial Narrow" w:eastAsia="Calibri" w:hAnsi="Arial Narrow" w:cs="Arial"/>
                <w:sz w:val="20"/>
                <w:szCs w:val="20"/>
              </w:rPr>
              <w:fldChar w:fldCharType="separate"/>
            </w:r>
            <w:r w:rsidRPr="008E6588">
              <w:rPr>
                <w:rFonts w:ascii="Arial Narrow" w:eastAsia="Calibri" w:hAnsi="Arial Narrow" w:cs="Arial"/>
                <w:sz w:val="20"/>
                <w:szCs w:val="20"/>
              </w:rPr>
              <w:fldChar w:fldCharType="end"/>
            </w:r>
            <w:r w:rsidRPr="008E6588">
              <w:rPr>
                <w:rFonts w:ascii="Arial Narrow" w:eastAsia="Calibri" w:hAnsi="Arial Narrow" w:cs="Arial"/>
                <w:sz w:val="20"/>
                <w:szCs w:val="20"/>
              </w:rPr>
              <w:t>Authority Required (in writing only via post/HPOS upload)</w:t>
            </w:r>
          </w:p>
        </w:tc>
      </w:tr>
      <w:tr w:rsidR="00B71783" w:rsidRPr="008E6588" w14:paraId="3D4907B4" w14:textId="77777777">
        <w:tblPrEx>
          <w:tblCellMar>
            <w:top w:w="15" w:type="dxa"/>
            <w:bottom w:w="15" w:type="dxa"/>
          </w:tblCellMar>
          <w:tblLook w:val="04A0" w:firstRow="1" w:lastRow="0" w:firstColumn="1" w:lastColumn="0" w:noHBand="0" w:noVBand="1"/>
        </w:tblPrEx>
        <w:trPr>
          <w:trHeight w:val="20"/>
        </w:trPr>
        <w:tc>
          <w:tcPr>
            <w:tcW w:w="704" w:type="pct"/>
            <w:gridSpan w:val="2"/>
            <w:tcBorders>
              <w:left w:val="single" w:sz="4" w:space="0" w:color="auto"/>
              <w:right w:val="single" w:sz="4" w:space="0" w:color="auto"/>
            </w:tcBorders>
          </w:tcPr>
          <w:p w14:paraId="5B0AC315" w14:textId="77777777" w:rsidR="00B71783" w:rsidRPr="008E6588" w:rsidRDefault="00B71783">
            <w:pPr>
              <w:rPr>
                <w:rFonts w:ascii="Arial Narrow" w:hAnsi="Arial Narrow" w:cs="Arial"/>
                <w:sz w:val="20"/>
                <w:szCs w:val="20"/>
              </w:rPr>
            </w:pPr>
          </w:p>
        </w:tc>
        <w:tc>
          <w:tcPr>
            <w:tcW w:w="4293" w:type="pct"/>
            <w:gridSpan w:val="6"/>
            <w:tcBorders>
              <w:top w:val="single" w:sz="4" w:space="0" w:color="auto"/>
              <w:left w:val="single" w:sz="4" w:space="0" w:color="auto"/>
              <w:bottom w:val="single" w:sz="4" w:space="0" w:color="auto"/>
              <w:right w:val="single" w:sz="4" w:space="0" w:color="auto"/>
            </w:tcBorders>
            <w:vAlign w:val="center"/>
          </w:tcPr>
          <w:p w14:paraId="46EAEB13" w14:textId="49E97AB4" w:rsidR="00B71783" w:rsidRPr="008E6588" w:rsidRDefault="00F5210E">
            <w:pPr>
              <w:keepLines/>
              <w:rPr>
                <w:rFonts w:ascii="Arial Narrow" w:hAnsi="Arial Narrow" w:cs="Arial"/>
                <w:b/>
                <w:sz w:val="20"/>
                <w:szCs w:val="20"/>
              </w:rPr>
            </w:pPr>
            <w:r w:rsidRPr="008E6588">
              <w:rPr>
                <w:rFonts w:ascii="Arial Narrow" w:hAnsi="Arial Narrow"/>
                <w:b/>
                <w:sz w:val="20"/>
                <w:szCs w:val="20"/>
              </w:rPr>
              <w:t xml:space="preserve">Authority type: </w:t>
            </w:r>
            <w:r w:rsidRPr="008E6588">
              <w:rPr>
                <w:rFonts w:ascii="Arial Narrow" w:eastAsia="Calibri" w:hAnsi="Arial Narrow"/>
                <w:sz w:val="20"/>
                <w:szCs w:val="20"/>
              </w:rPr>
              <w:fldChar w:fldCharType="begin" w:fldLock="1">
                <w:ffData>
                  <w:name w:val=""/>
                  <w:enabled/>
                  <w:calcOnExit w:val="0"/>
                  <w:checkBox>
                    <w:sizeAuto/>
                    <w:default w:val="1"/>
                  </w:checkBox>
                </w:ffData>
              </w:fldChar>
            </w:r>
            <w:r w:rsidRPr="008E6588">
              <w:rPr>
                <w:rFonts w:ascii="Arial Narrow" w:eastAsia="Calibri" w:hAnsi="Arial Narrow"/>
                <w:sz w:val="20"/>
                <w:szCs w:val="20"/>
              </w:rPr>
              <w:instrText xml:space="preserve"> FORMCHECKBOX </w:instrText>
            </w:r>
            <w:r w:rsidRPr="008E6588">
              <w:rPr>
                <w:rFonts w:ascii="Arial Narrow" w:eastAsia="Calibri" w:hAnsi="Arial Narrow"/>
                <w:sz w:val="20"/>
                <w:szCs w:val="20"/>
              </w:rPr>
            </w:r>
            <w:r w:rsidRPr="008E6588">
              <w:rPr>
                <w:rFonts w:ascii="Arial Narrow" w:eastAsia="Calibri" w:hAnsi="Arial Narrow"/>
                <w:sz w:val="20"/>
                <w:szCs w:val="20"/>
              </w:rPr>
              <w:fldChar w:fldCharType="separate"/>
            </w:r>
            <w:r w:rsidRPr="008E6588">
              <w:rPr>
                <w:rFonts w:ascii="Arial Narrow" w:eastAsia="Calibri" w:hAnsi="Arial Narrow"/>
                <w:sz w:val="20"/>
                <w:szCs w:val="20"/>
              </w:rPr>
              <w:fldChar w:fldCharType="end"/>
            </w:r>
            <w:r w:rsidRPr="008E6588">
              <w:rPr>
                <w:rFonts w:ascii="Arial Narrow" w:eastAsia="Calibri" w:hAnsi="Arial Narrow"/>
                <w:sz w:val="20"/>
                <w:szCs w:val="20"/>
              </w:rPr>
              <w:t xml:space="preserve"> Complex Authority Required (CAR)</w:t>
            </w:r>
          </w:p>
        </w:tc>
      </w:tr>
      <w:tr w:rsidR="008F6073" w:rsidRPr="008E6588" w14:paraId="289F6007" w14:textId="77777777" w:rsidTr="008F6073">
        <w:tblPrEx>
          <w:tblCellMar>
            <w:top w:w="15" w:type="dxa"/>
            <w:bottom w:w="15" w:type="dxa"/>
          </w:tblCellMar>
        </w:tblPrEx>
        <w:trPr>
          <w:trHeight w:val="20"/>
        </w:trPr>
        <w:tc>
          <w:tcPr>
            <w:tcW w:w="315" w:type="pct"/>
            <w:vMerge w:val="restart"/>
            <w:tcBorders>
              <w:left w:val="single" w:sz="4" w:space="0" w:color="auto"/>
              <w:right w:val="single" w:sz="4" w:space="0" w:color="auto"/>
            </w:tcBorders>
            <w:textDirection w:val="btLr"/>
          </w:tcPr>
          <w:p w14:paraId="54A3961D" w14:textId="77777777" w:rsidR="008F6073" w:rsidRPr="008E6588" w:rsidRDefault="008F6073" w:rsidP="00836DB5">
            <w:pPr>
              <w:ind w:left="113" w:right="113"/>
              <w:jc w:val="center"/>
              <w:rPr>
                <w:rFonts w:ascii="Arial Narrow" w:hAnsi="Arial Narrow" w:cs="Arial"/>
                <w:sz w:val="20"/>
                <w:szCs w:val="20"/>
              </w:rPr>
            </w:pPr>
            <w:r w:rsidRPr="008E6588">
              <w:rPr>
                <w:rFonts w:ascii="Arial Narrow" w:hAnsi="Arial Narrow" w:cs="Arial"/>
                <w:sz w:val="20"/>
                <w:szCs w:val="20"/>
              </w:rPr>
              <w:t>Prescribing rule level</w:t>
            </w:r>
          </w:p>
        </w:tc>
        <w:tc>
          <w:tcPr>
            <w:tcW w:w="392" w:type="pct"/>
            <w:tcBorders>
              <w:left w:val="single" w:sz="4" w:space="0" w:color="auto"/>
              <w:right w:val="single" w:sz="4" w:space="0" w:color="auto"/>
            </w:tcBorders>
          </w:tcPr>
          <w:p w14:paraId="22C2C7D4" w14:textId="68D8FF9F" w:rsidR="008F6073" w:rsidRPr="008E6588" w:rsidRDefault="008F6073" w:rsidP="00836DB5">
            <w:pPr>
              <w:jc w:val="left"/>
              <w:rPr>
                <w:rFonts w:ascii="Arial Narrow" w:hAnsi="Arial Narrow" w:cs="Arial"/>
                <w:sz w:val="20"/>
                <w:szCs w:val="20"/>
              </w:rPr>
            </w:pPr>
          </w:p>
        </w:tc>
        <w:tc>
          <w:tcPr>
            <w:tcW w:w="4293" w:type="pct"/>
            <w:gridSpan w:val="6"/>
            <w:tcBorders>
              <w:top w:val="single" w:sz="4" w:space="0" w:color="auto"/>
              <w:left w:val="single" w:sz="4" w:space="0" w:color="auto"/>
              <w:bottom w:val="single" w:sz="4" w:space="0" w:color="auto"/>
              <w:right w:val="single" w:sz="4" w:space="0" w:color="auto"/>
            </w:tcBorders>
          </w:tcPr>
          <w:p w14:paraId="68DA6580" w14:textId="77777777" w:rsidR="008F6073" w:rsidRPr="008E6588" w:rsidRDefault="008F6073" w:rsidP="00836DB5">
            <w:pPr>
              <w:keepLines/>
              <w:jc w:val="left"/>
              <w:rPr>
                <w:rFonts w:ascii="Arial Narrow" w:hAnsi="Arial Narrow" w:cs="Arial"/>
                <w:bCs/>
                <w:sz w:val="20"/>
                <w:szCs w:val="20"/>
              </w:rPr>
            </w:pPr>
            <w:r w:rsidRPr="008E6588">
              <w:rPr>
                <w:rFonts w:ascii="Arial Narrow" w:hAnsi="Arial Narrow" w:cs="Arial"/>
                <w:b/>
                <w:sz w:val="20"/>
                <w:szCs w:val="20"/>
              </w:rPr>
              <w:t xml:space="preserve">Administrative Advice: </w:t>
            </w:r>
          </w:p>
          <w:p w14:paraId="67FCC4E6" w14:textId="77777777" w:rsidR="008A063B" w:rsidRPr="008E6588" w:rsidRDefault="008A063B" w:rsidP="008A063B">
            <w:pPr>
              <w:keepLines/>
              <w:jc w:val="left"/>
              <w:rPr>
                <w:rFonts w:ascii="Arial Narrow" w:hAnsi="Arial Narrow" w:cs="Arial"/>
                <w:b/>
                <w:sz w:val="20"/>
                <w:szCs w:val="20"/>
              </w:rPr>
            </w:pPr>
            <w:r w:rsidRPr="008E6588">
              <w:rPr>
                <w:rFonts w:ascii="Arial Narrow" w:hAnsi="Arial Narrow" w:cs="Arial"/>
                <w:b/>
                <w:bCs/>
                <w:sz w:val="20"/>
                <w:szCs w:val="20"/>
              </w:rPr>
              <w:t>TREATMENT OF ADULT AND ADOLESCENT PATIENTS WITH UNCONTROLLED SEVERE ASTHMA</w:t>
            </w:r>
          </w:p>
          <w:p w14:paraId="671AA60F"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lastRenderedPageBreak/>
              <w:t>The following information applies to the prescribing under the Pharmaceutical Benefits Scheme (PBS) of the biological medicines for uncontrolled severe asthma. Where the term biological medicine appears in the following notes and restrictions it refers to all PBS benefits with the specific PBS indication of 'uncontrolled severe asthma'.</w:t>
            </w:r>
          </w:p>
          <w:p w14:paraId="04618CFB"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A patient is eligible for PBS-subsidised treatment with only 1 biological medicine for uncontrolled severe asthma at any one time.</w:t>
            </w:r>
          </w:p>
          <w:p w14:paraId="2D6A3281"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 xml:space="preserve">A patient receiving PBS-subsidised treatment for uncontrolled severe asthma </w:t>
            </w:r>
            <w:proofErr w:type="gramStart"/>
            <w:r w:rsidRPr="008E6588">
              <w:rPr>
                <w:rFonts w:ascii="Arial Narrow" w:hAnsi="Arial Narrow" w:cs="Arial"/>
                <w:bCs/>
                <w:sz w:val="20"/>
                <w:szCs w:val="20"/>
              </w:rPr>
              <w:t>is able to</w:t>
            </w:r>
            <w:proofErr w:type="gramEnd"/>
            <w:r w:rsidRPr="008E6588">
              <w:rPr>
                <w:rFonts w:ascii="Arial Narrow" w:hAnsi="Arial Narrow" w:cs="Arial"/>
                <w:bCs/>
                <w:sz w:val="20"/>
                <w:szCs w:val="20"/>
              </w:rPr>
              <w:t xml:space="preserve"> commence a treatment cycle where they may trial a biological medicine without having to experience a disease flare when swapping to an alternate biological medicine within the same treatment cycle.</w:t>
            </w:r>
          </w:p>
          <w:p w14:paraId="5E2056FA"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 xml:space="preserve">Under these arrangements, within a treatment cycle, a patient may receive long-term treatment with a biological medicine </w:t>
            </w:r>
            <w:proofErr w:type="gramStart"/>
            <w:r w:rsidRPr="008E6588">
              <w:rPr>
                <w:rFonts w:ascii="Arial Narrow" w:hAnsi="Arial Narrow" w:cs="Arial"/>
                <w:bCs/>
                <w:sz w:val="20"/>
                <w:szCs w:val="20"/>
              </w:rPr>
              <w:t>as long as</w:t>
            </w:r>
            <w:proofErr w:type="gramEnd"/>
            <w:r w:rsidRPr="008E6588">
              <w:rPr>
                <w:rFonts w:ascii="Arial Narrow" w:hAnsi="Arial Narrow" w:cs="Arial"/>
                <w:bCs/>
                <w:sz w:val="20"/>
                <w:szCs w:val="20"/>
              </w:rPr>
              <w:t xml:space="preserve"> they sustain a response to therapy.</w:t>
            </w:r>
          </w:p>
          <w:p w14:paraId="19B5A60A"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A patient currently receiving PBS-subsidised treatment as of 1 April 2021 is considered to have started a cycle of treatment.</w:t>
            </w:r>
          </w:p>
          <w:p w14:paraId="68AF92B7"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Within the same treatment cycle, a patient cannot trial and fail, or cease to respond to, the same PBS-subsidised biological medicine more than once.</w:t>
            </w:r>
          </w:p>
          <w:p w14:paraId="329C6274"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Therefore, once a patient fails to meet the response criteria for a PBS-subsidised biological medicine, they must change to an alternate biological medicine if they wish to continue PBS-subsidised biological treatment.</w:t>
            </w:r>
          </w:p>
          <w:p w14:paraId="3479CC2A"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Once a patient has either failed to achieve or sustain a response to treatment 4 times, they are deemed to have completed a single treatment cycle. They must have at least a 12-month break in PBS-subsidised biological medicine therapy before they are eligible to recommence another new treatment cycle [further details are under 'Recommencement of treatment after a treatment break in PBS-subsidised therapy' below].</w:t>
            </w:r>
          </w:p>
          <w:p w14:paraId="3F9A40CC"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The length of the break in therapy is measured from the date the most recent treatment with a PBS-subsidised biological medicine is ceased until the date of the first application for recommencement of treatment with a biological medicine under the new treatment cycle.</w:t>
            </w:r>
          </w:p>
          <w:p w14:paraId="1BB4AE46"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There is no limit to the number of treatment cycles that a patient may undertake in their lifetime.</w:t>
            </w:r>
          </w:p>
          <w:p w14:paraId="7D8E76F0"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How to prescribe PBS-subsidised biological medicine treatment for uncontrolled severe asthma.</w:t>
            </w:r>
          </w:p>
          <w:p w14:paraId="5D75C847"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(1) Initial treatment:</w:t>
            </w:r>
          </w:p>
          <w:p w14:paraId="0A9125A3"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Applications for initial treatment should be made where:</w:t>
            </w:r>
          </w:p>
          <w:p w14:paraId="7D5D8985"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w:t>
            </w:r>
            <w:proofErr w:type="spellStart"/>
            <w:r w:rsidRPr="008E6588">
              <w:rPr>
                <w:rFonts w:ascii="Arial Narrow" w:hAnsi="Arial Narrow" w:cs="Arial"/>
                <w:bCs/>
                <w:sz w:val="20"/>
                <w:szCs w:val="20"/>
              </w:rPr>
              <w:t>i</w:t>
            </w:r>
            <w:proofErr w:type="spellEnd"/>
            <w:r w:rsidRPr="008E6588">
              <w:rPr>
                <w:rFonts w:ascii="Arial Narrow" w:hAnsi="Arial Narrow" w:cs="Arial"/>
                <w:bCs/>
                <w:sz w:val="20"/>
                <w:szCs w:val="20"/>
              </w:rPr>
              <w:t>) a patient has not received prior PBS-subsidised biological medicine treatment and wishes to commence such therapy (Initial 1 restriction); or</w:t>
            </w:r>
          </w:p>
          <w:p w14:paraId="0871B313"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(ii) a patient has received prior PBS-subsidised treatment with a biological medicine and wishes to recommence a new treatment cycle with this biological medicine following a treatment break in PBS-subsidised therapy (Initial 1 restriction); or</w:t>
            </w:r>
          </w:p>
          <w:p w14:paraId="0CEF87D8"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(iii) a patient has received prior PBS-subsidised biological medicine therapy and wishes to trial an alternate biological medicine within the same treatment cycle (Initial 2 restriction) - [further details are under 'Swapping therapy' below].</w:t>
            </w:r>
          </w:p>
          <w:p w14:paraId="5C3B15D3"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All applications for initial treatment will be limited to provide for a maximum of up to 32 weeks of therapy of a biological medicine. It is recommended that a patient be reviewed in the month prior to completing their course of initial treatment to ensure uninterrupted biological medicine supply.</w:t>
            </w:r>
          </w:p>
          <w:p w14:paraId="61C12DDF"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(2) Continuing treatment:</w:t>
            </w:r>
          </w:p>
          <w:p w14:paraId="4B09A545"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Following the completion of an initial treatment course with a specific biological medicine, a patient may qualify to receive up to 24 weeks of continuing treatment with that biological medicine providing they have demonstrated an adequate response to treatment. The patient remains eligible to receive continuing biological medicine treatment with the same drug in courses of up to 24 weeks providing they continue to sustain the response. It is recommended that a patient be reviewed the month prior to completing their current course of treatment to ensure uninterrupted biological medicine supply.</w:t>
            </w:r>
          </w:p>
          <w:p w14:paraId="4C161910"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(3) Baseline measurements to determine response:</w:t>
            </w:r>
          </w:p>
          <w:p w14:paraId="06CC6238"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Baseline measurements of the Asthma Control Questionnaire (ACQ; 5 item version) or oral corticosteroid dose submitted with the Initial authority application for a biological medicine must be used to determine whether an adequate response to treatment has been achieved or sustained.</w:t>
            </w:r>
          </w:p>
          <w:p w14:paraId="69E0A4EE"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For patients transitioned from the paediatric to the adolescent/adult restriction, the exacerbation history may also be used to determine response.</w:t>
            </w:r>
          </w:p>
          <w:p w14:paraId="6A242D34"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lastRenderedPageBreak/>
              <w:t xml:space="preserve">However, prescribers may provide new baseline measurements when a new Initial treatment authority application is </w:t>
            </w:r>
            <w:proofErr w:type="gramStart"/>
            <w:r w:rsidRPr="008E6588">
              <w:rPr>
                <w:rFonts w:ascii="Arial Narrow" w:hAnsi="Arial Narrow" w:cs="Arial"/>
                <w:bCs/>
                <w:sz w:val="20"/>
                <w:szCs w:val="20"/>
              </w:rPr>
              <w:t>submitted</w:t>
            </w:r>
            <w:proofErr w:type="gramEnd"/>
            <w:r w:rsidRPr="008E6588">
              <w:rPr>
                <w:rFonts w:ascii="Arial Narrow" w:hAnsi="Arial Narrow" w:cs="Arial"/>
                <w:bCs/>
                <w:sz w:val="20"/>
                <w:szCs w:val="20"/>
              </w:rPr>
              <w:t xml:space="preserve"> and these new baseline measurements may be used to assess response.</w:t>
            </w:r>
          </w:p>
          <w:p w14:paraId="08E70F91"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(4) Swapping therapy within the same treatment cycle.</w:t>
            </w:r>
          </w:p>
          <w:p w14:paraId="234CE1D4"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Once initial treatment with the first PBS-subsidised biological medicine is approved, a patient may swap to an alternate biological medicine at any time by qualifying under an Initial 2 restriction.</w:t>
            </w:r>
          </w:p>
          <w:p w14:paraId="578045AD"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However, they cannot swap to a particular biological medicine if they have failed to respond to prior treatment with that drug within the same treatment cycle.</w:t>
            </w:r>
          </w:p>
          <w:p w14:paraId="6EFDD882"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Within the same treatment cycle a patient may alternate between therapy with any biological medicine of their choice (1 at a time) providing:</w:t>
            </w:r>
          </w:p>
          <w:p w14:paraId="1B67EB30"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w:t>
            </w:r>
            <w:proofErr w:type="spellStart"/>
            <w:r w:rsidRPr="008E6588">
              <w:rPr>
                <w:rFonts w:ascii="Arial Narrow" w:hAnsi="Arial Narrow" w:cs="Arial"/>
                <w:bCs/>
                <w:sz w:val="20"/>
                <w:szCs w:val="20"/>
              </w:rPr>
              <w:t>i</w:t>
            </w:r>
            <w:proofErr w:type="spellEnd"/>
            <w:r w:rsidRPr="008E6588">
              <w:rPr>
                <w:rFonts w:ascii="Arial Narrow" w:hAnsi="Arial Narrow" w:cs="Arial"/>
                <w:bCs/>
                <w:sz w:val="20"/>
                <w:szCs w:val="20"/>
              </w:rPr>
              <w:t xml:space="preserve">) they have not received PBS-subsidised treatment with that </w:t>
            </w:r>
            <w:proofErr w:type="gramStart"/>
            <w:r w:rsidRPr="008E6588">
              <w:rPr>
                <w:rFonts w:ascii="Arial Narrow" w:hAnsi="Arial Narrow" w:cs="Arial"/>
                <w:bCs/>
                <w:sz w:val="20"/>
                <w:szCs w:val="20"/>
              </w:rPr>
              <w:t>particular biological</w:t>
            </w:r>
            <w:proofErr w:type="gramEnd"/>
            <w:r w:rsidRPr="008E6588">
              <w:rPr>
                <w:rFonts w:ascii="Arial Narrow" w:hAnsi="Arial Narrow" w:cs="Arial"/>
                <w:bCs/>
                <w:sz w:val="20"/>
                <w:szCs w:val="20"/>
              </w:rPr>
              <w:t xml:space="preserve"> medicine previously; or</w:t>
            </w:r>
          </w:p>
          <w:p w14:paraId="7CB662EE"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 xml:space="preserve">(ii) they have demonstrated an adequate response to that </w:t>
            </w:r>
            <w:proofErr w:type="gramStart"/>
            <w:r w:rsidRPr="008E6588">
              <w:rPr>
                <w:rFonts w:ascii="Arial Narrow" w:hAnsi="Arial Narrow" w:cs="Arial"/>
                <w:bCs/>
                <w:sz w:val="20"/>
                <w:szCs w:val="20"/>
              </w:rPr>
              <w:t>particular biological</w:t>
            </w:r>
            <w:proofErr w:type="gramEnd"/>
            <w:r w:rsidRPr="008E6588">
              <w:rPr>
                <w:rFonts w:ascii="Arial Narrow" w:hAnsi="Arial Narrow" w:cs="Arial"/>
                <w:bCs/>
                <w:sz w:val="20"/>
                <w:szCs w:val="20"/>
              </w:rPr>
              <w:t xml:space="preserve"> medicine if they have previously trialled it on the PBS; and</w:t>
            </w:r>
          </w:p>
          <w:p w14:paraId="7BFE4423"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(iii) they have not previously failed to respond to treatment with all 4 biological medicines in this treatment cycle.</w:t>
            </w:r>
          </w:p>
          <w:p w14:paraId="6488E055"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(5) Re-commencement of a new treatment cycle after a treatment break in PBS-subsidised therapy:</w:t>
            </w:r>
          </w:p>
          <w:p w14:paraId="72131330"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A patient who wishes to trial a second or subsequent new treatment cycle, following a break in PBS-subsidised therapy of at least 12 months (in patients who have failed to achieve or ceased to sustain a response to treatment 4 times within a treatment cycle), must re-qualify through an Initial 1 restriction.</w:t>
            </w:r>
          </w:p>
          <w:p w14:paraId="60D4115F"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(6) Monitoring of patients:</w:t>
            </w:r>
          </w:p>
          <w:p w14:paraId="42AB49F2" w14:textId="77777777" w:rsidR="008A063B" w:rsidRPr="008E6588" w:rsidRDefault="008A063B" w:rsidP="008A063B">
            <w:pPr>
              <w:keepLines/>
              <w:jc w:val="left"/>
              <w:rPr>
                <w:rFonts w:ascii="Arial Narrow" w:hAnsi="Arial Narrow" w:cs="Arial"/>
                <w:bCs/>
                <w:sz w:val="20"/>
                <w:szCs w:val="20"/>
              </w:rPr>
            </w:pPr>
            <w:r w:rsidRPr="008E6588">
              <w:rPr>
                <w:rFonts w:ascii="Arial Narrow" w:hAnsi="Arial Narrow" w:cs="Arial"/>
                <w:bCs/>
                <w:sz w:val="20"/>
                <w:szCs w:val="20"/>
              </w:rPr>
              <w:t>Omalizumab only:</w:t>
            </w:r>
          </w:p>
          <w:p w14:paraId="2578DC12" w14:textId="4AB80DD9" w:rsidR="008A063B" w:rsidRPr="008E6588" w:rsidRDefault="008A063B" w:rsidP="00836DB5">
            <w:pPr>
              <w:keepLines/>
              <w:jc w:val="left"/>
              <w:rPr>
                <w:rFonts w:ascii="Arial Narrow" w:hAnsi="Arial Narrow" w:cs="Arial"/>
                <w:bCs/>
                <w:sz w:val="20"/>
                <w:szCs w:val="20"/>
              </w:rPr>
            </w:pPr>
            <w:r w:rsidRPr="008E6588">
              <w:rPr>
                <w:rFonts w:ascii="Arial Narrow" w:hAnsi="Arial Narrow" w:cs="Arial"/>
                <w:bCs/>
                <w:sz w:val="20"/>
                <w:szCs w:val="20"/>
              </w:rPr>
              <w:t xml:space="preserve">Anaphylaxis and anaphylactoid reactions have been reported following first or subsequent administration of omalizumab (see Product Information). Patients should be monitored post-injection, and medications for the treatment of anaphylactic reactions should be available for immediate use following administration of omalizumab. Patients should be informed that such reactions are </w:t>
            </w:r>
            <w:proofErr w:type="gramStart"/>
            <w:r w:rsidRPr="008E6588">
              <w:rPr>
                <w:rFonts w:ascii="Arial Narrow" w:hAnsi="Arial Narrow" w:cs="Arial"/>
                <w:bCs/>
                <w:sz w:val="20"/>
                <w:szCs w:val="20"/>
              </w:rPr>
              <w:t>possible</w:t>
            </w:r>
            <w:proofErr w:type="gramEnd"/>
            <w:r w:rsidRPr="008E6588">
              <w:rPr>
                <w:rFonts w:ascii="Arial Narrow" w:hAnsi="Arial Narrow" w:cs="Arial"/>
                <w:bCs/>
                <w:sz w:val="20"/>
                <w:szCs w:val="20"/>
              </w:rPr>
              <w:t xml:space="preserve"> and prompt medical attention should be sought if allergic reactions occur.</w:t>
            </w:r>
          </w:p>
        </w:tc>
      </w:tr>
      <w:tr w:rsidR="00207716" w:rsidRPr="008E6588" w14:paraId="4D6C61FD" w14:textId="77777777" w:rsidTr="008F6073">
        <w:tblPrEx>
          <w:tblCellMar>
            <w:top w:w="15" w:type="dxa"/>
            <w:bottom w:w="15" w:type="dxa"/>
          </w:tblCellMar>
        </w:tblPrEx>
        <w:trPr>
          <w:trHeight w:val="20"/>
        </w:trPr>
        <w:tc>
          <w:tcPr>
            <w:tcW w:w="315" w:type="pct"/>
            <w:vMerge/>
            <w:tcBorders>
              <w:left w:val="single" w:sz="4" w:space="0" w:color="auto"/>
              <w:right w:val="single" w:sz="4" w:space="0" w:color="auto"/>
            </w:tcBorders>
            <w:textDirection w:val="btLr"/>
          </w:tcPr>
          <w:p w14:paraId="4F73E176" w14:textId="77777777" w:rsidR="00207716" w:rsidRPr="008E6588" w:rsidRDefault="00207716" w:rsidP="00836DB5">
            <w:pPr>
              <w:ind w:left="113" w:right="113"/>
              <w:jc w:val="center"/>
              <w:rPr>
                <w:rFonts w:ascii="Arial Narrow" w:hAnsi="Arial Narrow" w:cs="Arial"/>
                <w:sz w:val="20"/>
                <w:szCs w:val="20"/>
              </w:rPr>
            </w:pPr>
          </w:p>
        </w:tc>
        <w:tc>
          <w:tcPr>
            <w:tcW w:w="392" w:type="pct"/>
            <w:tcBorders>
              <w:left w:val="single" w:sz="4" w:space="0" w:color="auto"/>
              <w:right w:val="single" w:sz="4" w:space="0" w:color="auto"/>
            </w:tcBorders>
          </w:tcPr>
          <w:p w14:paraId="2B9D4A81" w14:textId="67D3601C" w:rsidR="00207716" w:rsidRPr="008E6588" w:rsidRDefault="00207716" w:rsidP="00836DB5">
            <w:pPr>
              <w:jc w:val="left"/>
              <w:rPr>
                <w:rFonts w:ascii="Arial Narrow" w:hAnsi="Arial Narrow" w:cs="Arial"/>
                <w:sz w:val="20"/>
                <w:szCs w:val="20"/>
              </w:rPr>
            </w:pPr>
          </w:p>
        </w:tc>
        <w:tc>
          <w:tcPr>
            <w:tcW w:w="4293" w:type="pct"/>
            <w:gridSpan w:val="6"/>
            <w:tcBorders>
              <w:top w:val="single" w:sz="4" w:space="0" w:color="auto"/>
              <w:left w:val="single" w:sz="4" w:space="0" w:color="auto"/>
              <w:bottom w:val="single" w:sz="4" w:space="0" w:color="auto"/>
              <w:right w:val="single" w:sz="4" w:space="0" w:color="auto"/>
            </w:tcBorders>
          </w:tcPr>
          <w:p w14:paraId="4C3FFA26" w14:textId="715AF818" w:rsidR="00207716" w:rsidRPr="008E6588" w:rsidRDefault="00E645A2" w:rsidP="00836DB5">
            <w:pPr>
              <w:keepLines/>
              <w:jc w:val="left"/>
              <w:rPr>
                <w:rFonts w:ascii="Arial Narrow" w:hAnsi="Arial Narrow" w:cs="Arial"/>
                <w:b/>
                <w:sz w:val="20"/>
                <w:szCs w:val="20"/>
              </w:rPr>
            </w:pPr>
            <w:r w:rsidRPr="008E6588">
              <w:rPr>
                <w:rFonts w:ascii="Arial Narrow" w:hAnsi="Arial Narrow" w:cs="Arial"/>
                <w:b/>
                <w:sz w:val="20"/>
                <w:szCs w:val="20"/>
              </w:rPr>
              <w:t xml:space="preserve">Administrative Advice: </w:t>
            </w:r>
            <w:r w:rsidRPr="008E6588">
              <w:rPr>
                <w:rFonts w:ascii="Arial Narrow" w:hAnsi="Arial Narrow" w:cs="Arial"/>
                <w:bCs/>
                <w:sz w:val="20"/>
                <w:szCs w:val="20"/>
              </w:rPr>
              <w:t>For copies of the ACQ and the calculation sheets please contact Novartis Medical Information on 1800 671 203 or medinfo.phauno@novartis.com</w:t>
            </w:r>
          </w:p>
        </w:tc>
      </w:tr>
      <w:tr w:rsidR="008F6073" w:rsidRPr="008E6588" w14:paraId="5CA9A97E" w14:textId="77777777" w:rsidTr="008F6073">
        <w:tblPrEx>
          <w:tblCellMar>
            <w:top w:w="15" w:type="dxa"/>
            <w:bottom w:w="15" w:type="dxa"/>
          </w:tblCellMar>
        </w:tblPrEx>
        <w:trPr>
          <w:trHeight w:val="20"/>
        </w:trPr>
        <w:tc>
          <w:tcPr>
            <w:tcW w:w="315" w:type="pct"/>
            <w:vMerge/>
            <w:tcBorders>
              <w:left w:val="single" w:sz="4" w:space="0" w:color="auto"/>
              <w:right w:val="single" w:sz="4" w:space="0" w:color="auto"/>
            </w:tcBorders>
          </w:tcPr>
          <w:p w14:paraId="0533BCF2" w14:textId="77777777" w:rsidR="008F6073" w:rsidRPr="008E6588" w:rsidRDefault="008F6073" w:rsidP="00836DB5">
            <w:pPr>
              <w:jc w:val="left"/>
              <w:rPr>
                <w:rFonts w:ascii="Arial Narrow" w:hAnsi="Arial Narrow" w:cs="Arial"/>
                <w:sz w:val="20"/>
                <w:szCs w:val="20"/>
              </w:rPr>
            </w:pPr>
          </w:p>
        </w:tc>
        <w:tc>
          <w:tcPr>
            <w:tcW w:w="392" w:type="pct"/>
            <w:tcBorders>
              <w:left w:val="single" w:sz="4" w:space="0" w:color="auto"/>
              <w:right w:val="single" w:sz="4" w:space="0" w:color="auto"/>
            </w:tcBorders>
          </w:tcPr>
          <w:p w14:paraId="4B678B98" w14:textId="159537CF" w:rsidR="008F6073" w:rsidRPr="008E6588" w:rsidRDefault="008F6073" w:rsidP="00836DB5">
            <w:pPr>
              <w:jc w:val="left"/>
              <w:textAlignment w:val="baseline"/>
              <w:rPr>
                <w:rFonts w:ascii="Arial Narrow" w:hAnsi="Arial Narrow" w:cs="Open Sans"/>
                <w:color w:val="333333"/>
                <w:sz w:val="20"/>
                <w:szCs w:val="20"/>
              </w:rPr>
            </w:pPr>
          </w:p>
        </w:tc>
        <w:tc>
          <w:tcPr>
            <w:tcW w:w="4293" w:type="pct"/>
            <w:gridSpan w:val="6"/>
            <w:tcBorders>
              <w:top w:val="single" w:sz="4" w:space="0" w:color="auto"/>
              <w:left w:val="single" w:sz="4" w:space="0" w:color="auto"/>
              <w:bottom w:val="single" w:sz="4" w:space="0" w:color="auto"/>
              <w:right w:val="single" w:sz="4" w:space="0" w:color="auto"/>
            </w:tcBorders>
          </w:tcPr>
          <w:p w14:paraId="4A41A785" w14:textId="6F30B79E" w:rsidR="008F6073" w:rsidRPr="008E6588" w:rsidRDefault="008F6073" w:rsidP="000E70F8">
            <w:pPr>
              <w:keepLines/>
              <w:jc w:val="left"/>
              <w:rPr>
                <w:rFonts w:ascii="Arial Narrow" w:hAnsi="Arial Narrow" w:cs="Arial"/>
                <w:sz w:val="20"/>
                <w:szCs w:val="20"/>
              </w:rPr>
            </w:pPr>
            <w:r w:rsidRPr="008E6588">
              <w:rPr>
                <w:rFonts w:ascii="Arial Narrow" w:hAnsi="Arial Narrow" w:cs="Arial"/>
                <w:b/>
                <w:sz w:val="20"/>
                <w:szCs w:val="20"/>
              </w:rPr>
              <w:t>Administrative Advice</w:t>
            </w:r>
            <w:r w:rsidRPr="008E6588">
              <w:rPr>
                <w:rFonts w:ascii="Arial Narrow" w:hAnsi="Arial Narrow" w:cs="Arial"/>
                <w:sz w:val="20"/>
                <w:szCs w:val="20"/>
              </w:rPr>
              <w:t xml:space="preserve">: </w:t>
            </w:r>
          </w:p>
          <w:p w14:paraId="65B8DA58" w14:textId="77777777" w:rsidR="000E70F8" w:rsidRPr="008E6588" w:rsidRDefault="000E70F8" w:rsidP="000E70F8">
            <w:pPr>
              <w:keepLines/>
              <w:jc w:val="left"/>
              <w:rPr>
                <w:rFonts w:ascii="Arial Narrow" w:hAnsi="Arial Narrow" w:cs="Arial"/>
                <w:bCs/>
                <w:sz w:val="20"/>
                <w:szCs w:val="20"/>
              </w:rPr>
            </w:pPr>
            <w:r w:rsidRPr="008E6588">
              <w:rPr>
                <w:rFonts w:ascii="Arial Narrow" w:hAnsi="Arial Narrow" w:cs="Arial"/>
                <w:bCs/>
                <w:sz w:val="20"/>
                <w:szCs w:val="20"/>
              </w:rPr>
              <w:t>Any queries concerning the arrangements to prescribe may be directed to Services Australia on 1800 700 270 (hours of operation 8 a.m. to 5 p.m. Monday to Friday).</w:t>
            </w:r>
          </w:p>
          <w:p w14:paraId="7F9D3FDA" w14:textId="77777777" w:rsidR="000E70F8" w:rsidRPr="008E6588" w:rsidRDefault="000E70F8" w:rsidP="000E70F8">
            <w:pPr>
              <w:keepLines/>
              <w:jc w:val="left"/>
              <w:rPr>
                <w:rFonts w:ascii="Arial Narrow" w:hAnsi="Arial Narrow" w:cs="Arial"/>
                <w:bCs/>
                <w:sz w:val="20"/>
                <w:szCs w:val="20"/>
              </w:rPr>
            </w:pPr>
            <w:r w:rsidRPr="008E6588">
              <w:rPr>
                <w:rFonts w:ascii="Arial Narrow" w:hAnsi="Arial Narrow" w:cs="Arial"/>
                <w:bCs/>
                <w:sz w:val="20"/>
                <w:szCs w:val="20"/>
              </w:rPr>
              <w:t>Prescribing information (including Authority Application forms and other relevant documentation as applicable) is available on the Services Australia website at www.servicesaustralia.gov.au</w:t>
            </w:r>
          </w:p>
          <w:p w14:paraId="4EA77EE3" w14:textId="77777777" w:rsidR="000E70F8" w:rsidRPr="008E6588" w:rsidRDefault="000E70F8" w:rsidP="000E70F8">
            <w:pPr>
              <w:keepLines/>
              <w:jc w:val="left"/>
              <w:rPr>
                <w:rFonts w:ascii="Arial Narrow" w:hAnsi="Arial Narrow" w:cs="Arial"/>
                <w:bCs/>
                <w:sz w:val="20"/>
                <w:szCs w:val="20"/>
              </w:rPr>
            </w:pPr>
            <w:r w:rsidRPr="008E6588">
              <w:rPr>
                <w:rFonts w:ascii="Arial Narrow" w:hAnsi="Arial Narrow" w:cs="Arial"/>
                <w:bCs/>
                <w:sz w:val="20"/>
                <w:szCs w:val="20"/>
              </w:rPr>
              <w:t>Applications for authority to prescribe should be submitted online using the form upload facility in Health Professional Online Services (HPOS) at www.servicesaustralia.gov.au/hpos</w:t>
            </w:r>
          </w:p>
          <w:p w14:paraId="0ABBAB80" w14:textId="77777777" w:rsidR="000E70F8" w:rsidRPr="008E6588" w:rsidRDefault="000E70F8" w:rsidP="000E70F8">
            <w:pPr>
              <w:keepLines/>
              <w:jc w:val="left"/>
              <w:rPr>
                <w:rFonts w:ascii="Arial Narrow" w:hAnsi="Arial Narrow" w:cs="Arial"/>
                <w:bCs/>
                <w:sz w:val="20"/>
                <w:szCs w:val="20"/>
              </w:rPr>
            </w:pPr>
            <w:r w:rsidRPr="008E6588">
              <w:rPr>
                <w:rFonts w:ascii="Arial Narrow" w:hAnsi="Arial Narrow" w:cs="Arial"/>
                <w:bCs/>
                <w:sz w:val="20"/>
                <w:szCs w:val="20"/>
              </w:rPr>
              <w:t>Or mailed to:</w:t>
            </w:r>
          </w:p>
          <w:p w14:paraId="5CAF0997" w14:textId="77777777" w:rsidR="000E70F8" w:rsidRPr="008E6588" w:rsidRDefault="000E70F8" w:rsidP="000E70F8">
            <w:pPr>
              <w:keepLines/>
              <w:jc w:val="left"/>
              <w:rPr>
                <w:rFonts w:ascii="Arial Narrow" w:hAnsi="Arial Narrow" w:cs="Arial"/>
                <w:bCs/>
                <w:sz w:val="20"/>
                <w:szCs w:val="20"/>
              </w:rPr>
            </w:pPr>
            <w:r w:rsidRPr="008E6588">
              <w:rPr>
                <w:rFonts w:ascii="Arial Narrow" w:hAnsi="Arial Narrow" w:cs="Arial"/>
                <w:bCs/>
                <w:sz w:val="20"/>
                <w:szCs w:val="20"/>
              </w:rPr>
              <w:t>Services Australia</w:t>
            </w:r>
          </w:p>
          <w:p w14:paraId="420FD99F" w14:textId="77777777" w:rsidR="000E70F8" w:rsidRPr="008E6588" w:rsidRDefault="000E70F8" w:rsidP="000E70F8">
            <w:pPr>
              <w:keepLines/>
              <w:jc w:val="left"/>
              <w:rPr>
                <w:rFonts w:ascii="Arial Narrow" w:hAnsi="Arial Narrow" w:cs="Arial"/>
                <w:bCs/>
                <w:sz w:val="20"/>
                <w:szCs w:val="20"/>
              </w:rPr>
            </w:pPr>
            <w:r w:rsidRPr="008E6588">
              <w:rPr>
                <w:rFonts w:ascii="Arial Narrow" w:hAnsi="Arial Narrow" w:cs="Arial"/>
                <w:bCs/>
                <w:sz w:val="20"/>
                <w:szCs w:val="20"/>
              </w:rPr>
              <w:t>Complex Drugs</w:t>
            </w:r>
          </w:p>
          <w:p w14:paraId="751C7496" w14:textId="77777777" w:rsidR="000E70F8" w:rsidRPr="008E6588" w:rsidRDefault="000E70F8" w:rsidP="000E70F8">
            <w:pPr>
              <w:keepLines/>
              <w:jc w:val="left"/>
              <w:rPr>
                <w:rFonts w:ascii="Arial Narrow" w:hAnsi="Arial Narrow" w:cs="Arial"/>
                <w:bCs/>
                <w:sz w:val="20"/>
                <w:szCs w:val="20"/>
              </w:rPr>
            </w:pPr>
            <w:r w:rsidRPr="008E6588">
              <w:rPr>
                <w:rFonts w:ascii="Arial Narrow" w:hAnsi="Arial Narrow" w:cs="Arial"/>
                <w:bCs/>
                <w:sz w:val="20"/>
                <w:szCs w:val="20"/>
              </w:rPr>
              <w:t>Reply Paid 9826</w:t>
            </w:r>
          </w:p>
          <w:p w14:paraId="22601F9E" w14:textId="4DFC9B75" w:rsidR="008F6073" w:rsidRPr="008E6588" w:rsidRDefault="000E70F8" w:rsidP="00836DB5">
            <w:pPr>
              <w:keepLines/>
              <w:jc w:val="left"/>
              <w:rPr>
                <w:rFonts w:ascii="Arial Narrow" w:hAnsi="Arial Narrow" w:cs="Arial"/>
                <w:bCs/>
                <w:sz w:val="20"/>
                <w:szCs w:val="20"/>
              </w:rPr>
            </w:pPr>
            <w:r w:rsidRPr="008E6588">
              <w:rPr>
                <w:rFonts w:ascii="Arial Narrow" w:hAnsi="Arial Narrow" w:cs="Arial"/>
                <w:bCs/>
                <w:sz w:val="20"/>
                <w:szCs w:val="20"/>
              </w:rPr>
              <w:t>HOBART TAS 7001</w:t>
            </w:r>
          </w:p>
        </w:tc>
      </w:tr>
      <w:tr w:rsidR="008F6073" w:rsidRPr="008E6588" w14:paraId="7A4540B4" w14:textId="77777777" w:rsidTr="008F6073">
        <w:tblPrEx>
          <w:tblCellMar>
            <w:top w:w="15" w:type="dxa"/>
            <w:bottom w:w="15" w:type="dxa"/>
          </w:tblCellMar>
        </w:tblPrEx>
        <w:trPr>
          <w:trHeight w:val="20"/>
        </w:trPr>
        <w:tc>
          <w:tcPr>
            <w:tcW w:w="315" w:type="pct"/>
            <w:vMerge/>
            <w:tcBorders>
              <w:left w:val="single" w:sz="4" w:space="0" w:color="auto"/>
              <w:right w:val="single" w:sz="4" w:space="0" w:color="auto"/>
            </w:tcBorders>
          </w:tcPr>
          <w:p w14:paraId="32F6C55D" w14:textId="77777777" w:rsidR="008F6073" w:rsidRPr="008E6588" w:rsidRDefault="008F6073" w:rsidP="00836DB5">
            <w:pPr>
              <w:jc w:val="left"/>
              <w:rPr>
                <w:rFonts w:ascii="Arial Narrow" w:hAnsi="Arial Narrow" w:cs="Arial"/>
                <w:sz w:val="20"/>
                <w:szCs w:val="20"/>
              </w:rPr>
            </w:pPr>
          </w:p>
        </w:tc>
        <w:tc>
          <w:tcPr>
            <w:tcW w:w="392" w:type="pct"/>
            <w:tcBorders>
              <w:left w:val="single" w:sz="4" w:space="0" w:color="auto"/>
              <w:right w:val="single" w:sz="4" w:space="0" w:color="auto"/>
            </w:tcBorders>
          </w:tcPr>
          <w:p w14:paraId="3FFE54B5" w14:textId="0036C08F" w:rsidR="008F6073" w:rsidRPr="008E6588" w:rsidRDefault="008F6073" w:rsidP="00836DB5">
            <w:pPr>
              <w:jc w:val="left"/>
              <w:rPr>
                <w:rFonts w:ascii="Arial Narrow" w:hAnsi="Arial Narrow" w:cs="Arial"/>
                <w:sz w:val="20"/>
                <w:szCs w:val="20"/>
              </w:rPr>
            </w:pPr>
          </w:p>
        </w:tc>
        <w:tc>
          <w:tcPr>
            <w:tcW w:w="4293" w:type="pct"/>
            <w:gridSpan w:val="6"/>
            <w:tcBorders>
              <w:top w:val="single" w:sz="4" w:space="0" w:color="auto"/>
              <w:left w:val="single" w:sz="4" w:space="0" w:color="auto"/>
              <w:bottom w:val="single" w:sz="4" w:space="0" w:color="auto"/>
              <w:right w:val="single" w:sz="4" w:space="0" w:color="auto"/>
            </w:tcBorders>
          </w:tcPr>
          <w:p w14:paraId="13172724" w14:textId="0F98C5C2" w:rsidR="008F6073" w:rsidRPr="008E6588" w:rsidRDefault="008F6073" w:rsidP="00DB4B95">
            <w:pPr>
              <w:jc w:val="left"/>
              <w:rPr>
                <w:rFonts w:ascii="Arial Narrow" w:hAnsi="Arial Narrow"/>
                <w:sz w:val="20"/>
                <w:szCs w:val="20"/>
              </w:rPr>
            </w:pPr>
            <w:r w:rsidRPr="008E6588">
              <w:rPr>
                <w:rFonts w:ascii="Arial Narrow" w:hAnsi="Arial Narrow"/>
                <w:b/>
                <w:sz w:val="20"/>
                <w:szCs w:val="20"/>
              </w:rPr>
              <w:t>Administrative Advice:</w:t>
            </w:r>
            <w:r w:rsidRPr="008E6588">
              <w:rPr>
                <w:rFonts w:ascii="Arial Narrow" w:hAnsi="Arial Narrow"/>
                <w:sz w:val="20"/>
                <w:szCs w:val="20"/>
              </w:rPr>
              <w:t xml:space="preserve"> </w:t>
            </w:r>
            <w:r w:rsidR="00DB4B95" w:rsidRPr="008E6588">
              <w:rPr>
                <w:rFonts w:ascii="Arial Narrow" w:hAnsi="Arial Narrow"/>
                <w:sz w:val="20"/>
                <w:szCs w:val="20"/>
              </w:rPr>
              <w:t>Pharmaceutical benefits that have the form omalizumab 75 mg/0.5 mL syringes and pharmaceutical benefits that have the form omalizumab 75 mg/0.5 mL pen devices are equivalent for the purposes of substitution.</w:t>
            </w:r>
          </w:p>
        </w:tc>
      </w:tr>
      <w:tr w:rsidR="002A4A03" w:rsidRPr="008E6588" w14:paraId="2A02A10F" w14:textId="77777777" w:rsidTr="002A4A03">
        <w:tblPrEx>
          <w:tblCellMar>
            <w:top w:w="15" w:type="dxa"/>
            <w:bottom w:w="15" w:type="dxa"/>
          </w:tblCellMar>
          <w:tblLook w:val="04A0" w:firstRow="1" w:lastRow="0" w:firstColumn="1" w:lastColumn="0" w:noHBand="0" w:noVBand="1"/>
        </w:tblPrEx>
        <w:trPr>
          <w:cantSplit/>
          <w:trHeight w:val="20"/>
        </w:trPr>
        <w:tc>
          <w:tcPr>
            <w:tcW w:w="4997" w:type="pct"/>
            <w:gridSpan w:val="8"/>
            <w:vAlign w:val="center"/>
          </w:tcPr>
          <w:p w14:paraId="147A119E" w14:textId="24B462E4" w:rsidR="002A4A03" w:rsidRPr="008E6588" w:rsidRDefault="002A4A03" w:rsidP="00836DB5">
            <w:pPr>
              <w:keepLines/>
              <w:rPr>
                <w:rFonts w:ascii="Arial Narrow" w:hAnsi="Arial Narrow"/>
                <w:color w:val="333333"/>
                <w:sz w:val="20"/>
                <w:szCs w:val="20"/>
              </w:rPr>
            </w:pPr>
            <w:r w:rsidRPr="008E6588">
              <w:rPr>
                <w:rFonts w:ascii="Arial Narrow" w:hAnsi="Arial Narrow"/>
                <w:b/>
                <w:sz w:val="20"/>
                <w:szCs w:val="20"/>
              </w:rPr>
              <w:t>Restriction Summary 15845/ Treatment of Concept: 15846: Authority Required</w:t>
            </w:r>
          </w:p>
        </w:tc>
      </w:tr>
      <w:tr w:rsidR="00781F11" w:rsidRPr="008E6588" w14:paraId="6A6C577C" w14:textId="77777777" w:rsidTr="008F6073">
        <w:tblPrEx>
          <w:tblCellMar>
            <w:top w:w="15" w:type="dxa"/>
            <w:bottom w:w="15" w:type="dxa"/>
          </w:tblCellMar>
          <w:tblLook w:val="04A0" w:firstRow="1" w:lastRow="0" w:firstColumn="1" w:lastColumn="0" w:noHBand="0" w:noVBand="1"/>
        </w:tblPrEx>
        <w:trPr>
          <w:cantSplit/>
          <w:trHeight w:val="20"/>
        </w:trPr>
        <w:tc>
          <w:tcPr>
            <w:tcW w:w="704" w:type="pct"/>
            <w:gridSpan w:val="2"/>
            <w:vAlign w:val="center"/>
          </w:tcPr>
          <w:p w14:paraId="4E32E74E" w14:textId="4F85EE9D" w:rsidR="00781F11" w:rsidRPr="008E6588" w:rsidRDefault="00781F11" w:rsidP="00781F11">
            <w:pPr>
              <w:keepLines/>
              <w:jc w:val="center"/>
              <w:rPr>
                <w:rFonts w:ascii="Arial Narrow" w:hAnsi="Arial Narrow"/>
                <w:sz w:val="20"/>
                <w:szCs w:val="20"/>
              </w:rPr>
            </w:pPr>
          </w:p>
        </w:tc>
        <w:tc>
          <w:tcPr>
            <w:tcW w:w="4293" w:type="pct"/>
            <w:gridSpan w:val="6"/>
            <w:vAlign w:val="center"/>
          </w:tcPr>
          <w:p w14:paraId="11E0716F" w14:textId="35C7BE4C" w:rsidR="00781F11" w:rsidRPr="008E6588" w:rsidRDefault="00781F11" w:rsidP="00781F11">
            <w:pPr>
              <w:keepLines/>
              <w:rPr>
                <w:rFonts w:ascii="Arial Narrow" w:hAnsi="Arial Narrow"/>
                <w:b/>
                <w:bCs/>
                <w:sz w:val="20"/>
                <w:szCs w:val="20"/>
              </w:rPr>
            </w:pPr>
            <w:r w:rsidRPr="008E6588">
              <w:rPr>
                <w:rFonts w:ascii="Arial Narrow" w:hAnsi="Arial Narrow"/>
                <w:b/>
                <w:bCs/>
                <w:sz w:val="20"/>
                <w:szCs w:val="20"/>
              </w:rPr>
              <w:t>Indication:</w:t>
            </w:r>
            <w:r w:rsidRPr="008E6588">
              <w:rPr>
                <w:rFonts w:ascii="Arial Narrow" w:hAnsi="Arial Narrow"/>
                <w:sz w:val="20"/>
                <w:szCs w:val="20"/>
              </w:rPr>
              <w:t xml:space="preserve"> Uncontrolled severe asthma</w:t>
            </w:r>
          </w:p>
        </w:tc>
      </w:tr>
      <w:tr w:rsidR="004164CF" w:rsidRPr="008E6588" w14:paraId="668A7400" w14:textId="77777777" w:rsidTr="00B923E6">
        <w:tblPrEx>
          <w:tblCellMar>
            <w:top w:w="15" w:type="dxa"/>
            <w:bottom w:w="15" w:type="dxa"/>
          </w:tblCellMar>
        </w:tblPrEx>
        <w:trPr>
          <w:cantSplit/>
          <w:trHeight w:val="20"/>
        </w:trPr>
        <w:tc>
          <w:tcPr>
            <w:tcW w:w="704" w:type="pct"/>
            <w:gridSpan w:val="2"/>
            <w:vAlign w:val="center"/>
          </w:tcPr>
          <w:p w14:paraId="6FE74D84" w14:textId="77777777" w:rsidR="004164CF" w:rsidRPr="008E6588" w:rsidRDefault="004164CF" w:rsidP="00836DB5">
            <w:pPr>
              <w:jc w:val="center"/>
              <w:rPr>
                <w:rFonts w:ascii="Arial Narrow" w:hAnsi="Arial Narrow"/>
                <w:sz w:val="20"/>
                <w:szCs w:val="20"/>
              </w:rPr>
            </w:pPr>
          </w:p>
        </w:tc>
        <w:tc>
          <w:tcPr>
            <w:tcW w:w="4293" w:type="pct"/>
            <w:gridSpan w:val="6"/>
            <w:vAlign w:val="center"/>
            <w:hideMark/>
          </w:tcPr>
          <w:p w14:paraId="1795BD43" w14:textId="77777777" w:rsidR="004164CF" w:rsidRPr="008E6588" w:rsidRDefault="004164CF" w:rsidP="00836DB5">
            <w:pPr>
              <w:rPr>
                <w:rFonts w:ascii="Arial Narrow" w:hAnsi="Arial Narrow"/>
                <w:sz w:val="20"/>
                <w:szCs w:val="20"/>
              </w:rPr>
            </w:pPr>
            <w:r w:rsidRPr="008E6588">
              <w:rPr>
                <w:rFonts w:ascii="Arial Narrow" w:hAnsi="Arial Narrow"/>
                <w:b/>
                <w:bCs/>
                <w:sz w:val="20"/>
                <w:szCs w:val="20"/>
              </w:rPr>
              <w:t>Treatment Phase:</w:t>
            </w:r>
            <w:r w:rsidRPr="008E6588">
              <w:rPr>
                <w:rFonts w:ascii="Arial Narrow" w:hAnsi="Arial Narrow"/>
                <w:sz w:val="20"/>
                <w:szCs w:val="20"/>
              </w:rPr>
              <w:t xml:space="preserve"> Initial treatment - Initial 1 (New patients; or Recommencement of treatment in a new treatment cycle following a break in PBS subsidised biological medicine therapy)</w:t>
            </w:r>
          </w:p>
        </w:tc>
      </w:tr>
      <w:tr w:rsidR="003C0A9A" w:rsidRPr="008E6588" w14:paraId="063D06DE"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8703F" w14:textId="601FCD82"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C6F8A0" w14:textId="77777777" w:rsidR="003C0A9A" w:rsidRPr="008E6588" w:rsidRDefault="003C0A9A" w:rsidP="003C0A9A">
            <w:pPr>
              <w:rPr>
                <w:rFonts w:ascii="Arial Narrow" w:hAnsi="Arial Narrow"/>
                <w:b/>
                <w:bCs/>
                <w:sz w:val="20"/>
                <w:szCs w:val="20"/>
              </w:rPr>
            </w:pPr>
            <w:r w:rsidRPr="008E6588">
              <w:rPr>
                <w:rFonts w:ascii="Arial Narrow" w:hAnsi="Arial Narrow"/>
                <w:b/>
                <w:bCs/>
                <w:sz w:val="20"/>
                <w:szCs w:val="20"/>
              </w:rPr>
              <w:t>Treatment criteria:</w:t>
            </w:r>
          </w:p>
        </w:tc>
      </w:tr>
      <w:tr w:rsidR="003C0A9A" w:rsidRPr="008E6588" w14:paraId="3E504838"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D25F9" w14:textId="3F1BDF99"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E6AB8E" w14:textId="730FBAEC" w:rsidR="003C0A9A" w:rsidRPr="008E6588" w:rsidRDefault="003C0A9A" w:rsidP="003C0A9A">
            <w:pPr>
              <w:rPr>
                <w:rFonts w:ascii="Arial Narrow" w:hAnsi="Arial Narrow"/>
                <w:sz w:val="20"/>
                <w:szCs w:val="20"/>
              </w:rPr>
            </w:pPr>
            <w:r w:rsidRPr="008E6588">
              <w:rPr>
                <w:rFonts w:ascii="Arial Narrow" w:hAnsi="Arial Narrow"/>
                <w:sz w:val="20"/>
                <w:szCs w:val="20"/>
              </w:rPr>
              <w:t>Must be treated by a medical practitioner who is either a: (</w:t>
            </w:r>
            <w:proofErr w:type="spellStart"/>
            <w:r w:rsidRPr="008E6588">
              <w:rPr>
                <w:rFonts w:ascii="Arial Narrow" w:hAnsi="Arial Narrow"/>
                <w:sz w:val="20"/>
                <w:szCs w:val="20"/>
              </w:rPr>
              <w:t>i</w:t>
            </w:r>
            <w:proofErr w:type="spellEnd"/>
            <w:r w:rsidRPr="008E6588">
              <w:rPr>
                <w:rFonts w:ascii="Arial Narrow" w:hAnsi="Arial Narrow"/>
                <w:sz w:val="20"/>
                <w:szCs w:val="20"/>
              </w:rPr>
              <w:t>) respiratory physician, (ii) clinical immunologist, (iii) allergist, (iv) general physician experienced in the management of patients with severe asthma</w:t>
            </w:r>
          </w:p>
        </w:tc>
      </w:tr>
      <w:tr w:rsidR="003C0A9A" w:rsidRPr="008E6588" w14:paraId="4CEB3AD1"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F59D2" w14:textId="2B5DD596"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55A017" w14:textId="77777777" w:rsidR="003C0A9A" w:rsidRPr="008E6588" w:rsidRDefault="003C0A9A" w:rsidP="003C0A9A">
            <w:pPr>
              <w:rPr>
                <w:rFonts w:ascii="Arial Narrow" w:hAnsi="Arial Narrow"/>
                <w:b/>
                <w:bCs/>
                <w:sz w:val="20"/>
                <w:szCs w:val="20"/>
              </w:rPr>
            </w:pPr>
            <w:r w:rsidRPr="008E6588">
              <w:rPr>
                <w:rFonts w:ascii="Arial Narrow" w:hAnsi="Arial Narrow"/>
                <w:b/>
                <w:bCs/>
                <w:sz w:val="20"/>
                <w:szCs w:val="20"/>
              </w:rPr>
              <w:t>Clinical criteria:</w:t>
            </w:r>
          </w:p>
        </w:tc>
      </w:tr>
      <w:tr w:rsidR="003C0A9A" w:rsidRPr="008E6588" w14:paraId="4CC8BF3E"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C410F" w14:textId="49D7AFA3"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98DFA6" w14:textId="31F2518F" w:rsidR="003C0A9A" w:rsidRPr="008E6588" w:rsidRDefault="003C0A9A" w:rsidP="003C0A9A">
            <w:pPr>
              <w:rPr>
                <w:rFonts w:ascii="Arial Narrow" w:hAnsi="Arial Narrow"/>
                <w:sz w:val="20"/>
                <w:szCs w:val="20"/>
              </w:rPr>
            </w:pPr>
            <w:r w:rsidRPr="008E6588">
              <w:rPr>
                <w:rFonts w:ascii="Arial Narrow" w:hAnsi="Arial Narrow"/>
                <w:sz w:val="20"/>
                <w:szCs w:val="20"/>
              </w:rPr>
              <w:t>Patient must be under the care of the same physician for at least 6 months; or</w:t>
            </w:r>
          </w:p>
        </w:tc>
      </w:tr>
      <w:tr w:rsidR="003C0A9A" w:rsidRPr="008E6588" w14:paraId="27B59B01"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D827E" w14:textId="7279D960"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63F4DD" w14:textId="5350BEF4" w:rsidR="003C0A9A" w:rsidRPr="008E6588" w:rsidRDefault="003C0A9A" w:rsidP="003C0A9A">
            <w:pPr>
              <w:rPr>
                <w:rFonts w:ascii="Arial Narrow" w:hAnsi="Arial Narrow"/>
                <w:sz w:val="20"/>
                <w:szCs w:val="20"/>
              </w:rPr>
            </w:pPr>
            <w:r w:rsidRPr="008E6588">
              <w:rPr>
                <w:rFonts w:ascii="Arial Narrow" w:hAnsi="Arial Narrow"/>
                <w:sz w:val="20"/>
                <w:szCs w:val="20"/>
              </w:rPr>
              <w:t>Patient must have been diagnosed by a multidisciplinary severe asthma clinic team</w:t>
            </w:r>
          </w:p>
        </w:tc>
      </w:tr>
      <w:tr w:rsidR="003C0A9A" w:rsidRPr="008E6588" w14:paraId="7B999555"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82B3C" w14:textId="77777777"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6F8DA4" w14:textId="77777777" w:rsidR="003C0A9A" w:rsidRPr="008E6588" w:rsidRDefault="003C0A9A" w:rsidP="003C0A9A">
            <w:pPr>
              <w:rPr>
                <w:rFonts w:ascii="Arial Narrow" w:hAnsi="Arial Narrow"/>
                <w:b/>
                <w:bCs/>
                <w:sz w:val="20"/>
                <w:szCs w:val="20"/>
              </w:rPr>
            </w:pPr>
            <w:r w:rsidRPr="008E6588">
              <w:rPr>
                <w:rFonts w:ascii="Arial Narrow" w:hAnsi="Arial Narrow"/>
                <w:b/>
                <w:bCs/>
                <w:sz w:val="20"/>
                <w:szCs w:val="20"/>
              </w:rPr>
              <w:t>AND</w:t>
            </w:r>
          </w:p>
        </w:tc>
      </w:tr>
      <w:tr w:rsidR="003C0A9A" w:rsidRPr="008E6588" w14:paraId="08706534"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2C607" w14:textId="47953DEC"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73E6F6" w14:textId="77777777" w:rsidR="003C0A9A" w:rsidRPr="008E6588" w:rsidRDefault="003C0A9A" w:rsidP="003C0A9A">
            <w:pPr>
              <w:rPr>
                <w:rFonts w:ascii="Arial Narrow" w:hAnsi="Arial Narrow"/>
                <w:b/>
                <w:bCs/>
                <w:sz w:val="20"/>
                <w:szCs w:val="20"/>
              </w:rPr>
            </w:pPr>
            <w:r w:rsidRPr="008E6588">
              <w:rPr>
                <w:rFonts w:ascii="Arial Narrow" w:hAnsi="Arial Narrow"/>
                <w:b/>
                <w:bCs/>
                <w:sz w:val="20"/>
                <w:szCs w:val="20"/>
              </w:rPr>
              <w:t>Clinical criteria:</w:t>
            </w:r>
          </w:p>
        </w:tc>
      </w:tr>
      <w:tr w:rsidR="003C0A9A" w:rsidRPr="008E6588" w14:paraId="3D68C438"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E73CB4" w14:textId="43755EED"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10A3CC" w14:textId="3685D7CE" w:rsidR="003C0A9A" w:rsidRPr="008E6588" w:rsidRDefault="003C0A9A" w:rsidP="003C0A9A">
            <w:pPr>
              <w:rPr>
                <w:rFonts w:ascii="Arial Narrow" w:hAnsi="Arial Narrow"/>
                <w:sz w:val="20"/>
                <w:szCs w:val="20"/>
              </w:rPr>
            </w:pPr>
            <w:r w:rsidRPr="008E6588">
              <w:rPr>
                <w:rFonts w:ascii="Arial Narrow" w:hAnsi="Arial Narrow"/>
                <w:sz w:val="20"/>
                <w:szCs w:val="20"/>
              </w:rPr>
              <w:t>Patient must not have received PBS-subsidised treatment with a biological medicine for severe asthma; or</w:t>
            </w:r>
          </w:p>
        </w:tc>
      </w:tr>
      <w:tr w:rsidR="003C0A9A" w:rsidRPr="008E6588" w14:paraId="2170C66B"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C5C9A" w14:textId="08C77BEC"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B96BFD" w14:textId="7B2C335E" w:rsidR="003C0A9A" w:rsidRPr="008E6588" w:rsidRDefault="003C0A9A" w:rsidP="003C0A9A">
            <w:pPr>
              <w:rPr>
                <w:rFonts w:ascii="Arial Narrow" w:hAnsi="Arial Narrow"/>
                <w:sz w:val="20"/>
                <w:szCs w:val="20"/>
              </w:rPr>
            </w:pPr>
            <w:r w:rsidRPr="008E6588">
              <w:rPr>
                <w:rFonts w:ascii="Arial Narrow" w:hAnsi="Arial Narrow"/>
                <w:sz w:val="20"/>
                <w:szCs w:val="20"/>
              </w:rPr>
              <w:t>Patient must have had a break in treatment of at least 12 months from the most recently approved PBS-subsidised biological medicine for severe asthma</w:t>
            </w:r>
          </w:p>
        </w:tc>
      </w:tr>
      <w:tr w:rsidR="003C0A9A" w:rsidRPr="008E6588" w14:paraId="42AB89F1"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8B3DC" w14:textId="77777777"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98F994" w14:textId="77777777" w:rsidR="003C0A9A" w:rsidRPr="008E6588" w:rsidRDefault="003C0A9A" w:rsidP="003C0A9A">
            <w:pPr>
              <w:rPr>
                <w:rFonts w:ascii="Arial Narrow" w:hAnsi="Arial Narrow"/>
                <w:b/>
                <w:bCs/>
                <w:sz w:val="20"/>
                <w:szCs w:val="20"/>
              </w:rPr>
            </w:pPr>
            <w:r w:rsidRPr="008E6588">
              <w:rPr>
                <w:rFonts w:ascii="Arial Narrow" w:hAnsi="Arial Narrow"/>
                <w:b/>
                <w:bCs/>
                <w:sz w:val="20"/>
                <w:szCs w:val="20"/>
              </w:rPr>
              <w:t>AND</w:t>
            </w:r>
          </w:p>
        </w:tc>
      </w:tr>
      <w:tr w:rsidR="003C0A9A" w:rsidRPr="008E6588" w14:paraId="4DF6F09C"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7C109" w14:textId="67E9CDB2"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1551FB" w14:textId="77777777" w:rsidR="003C0A9A" w:rsidRPr="008E6588" w:rsidRDefault="003C0A9A" w:rsidP="003C0A9A">
            <w:pPr>
              <w:rPr>
                <w:rFonts w:ascii="Arial Narrow" w:hAnsi="Arial Narrow"/>
                <w:b/>
                <w:bCs/>
                <w:sz w:val="20"/>
                <w:szCs w:val="20"/>
              </w:rPr>
            </w:pPr>
            <w:r w:rsidRPr="008E6588">
              <w:rPr>
                <w:rFonts w:ascii="Arial Narrow" w:hAnsi="Arial Narrow"/>
                <w:b/>
                <w:bCs/>
                <w:sz w:val="20"/>
                <w:szCs w:val="20"/>
              </w:rPr>
              <w:t>Clinical criteria:</w:t>
            </w:r>
          </w:p>
        </w:tc>
      </w:tr>
      <w:tr w:rsidR="003C0A9A" w:rsidRPr="008E6588" w14:paraId="0F716BAD"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97634" w14:textId="0F851203"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B86116" w14:textId="60973BE5" w:rsidR="003C0A9A" w:rsidRPr="008E6588" w:rsidRDefault="003C0A9A" w:rsidP="003C0A9A">
            <w:pPr>
              <w:rPr>
                <w:rFonts w:ascii="Arial Narrow" w:hAnsi="Arial Narrow"/>
                <w:sz w:val="20"/>
                <w:szCs w:val="20"/>
              </w:rPr>
            </w:pPr>
            <w:r w:rsidRPr="008E6588">
              <w:rPr>
                <w:rFonts w:ascii="Arial Narrow" w:hAnsi="Arial Narrow"/>
                <w:sz w:val="20"/>
                <w:szCs w:val="20"/>
              </w:rPr>
              <w:t xml:space="preserve">Patient must have a diagnosis of asthma confirmed and documented in the </w:t>
            </w:r>
            <w:r w:rsidR="00154FD3" w:rsidRPr="008E6588">
              <w:rPr>
                <w:rFonts w:ascii="Arial Narrow" w:hAnsi="Arial Narrow"/>
                <w:sz w:val="20"/>
                <w:szCs w:val="20"/>
              </w:rPr>
              <w:t xml:space="preserve">patient’s </w:t>
            </w:r>
            <w:r w:rsidRPr="008E6588">
              <w:rPr>
                <w:rFonts w:ascii="Arial Narrow" w:hAnsi="Arial Narrow"/>
                <w:sz w:val="20"/>
                <w:szCs w:val="20"/>
              </w:rPr>
              <w:t>medical records by either a: (</w:t>
            </w:r>
            <w:proofErr w:type="spellStart"/>
            <w:r w:rsidRPr="008E6588">
              <w:rPr>
                <w:rFonts w:ascii="Arial Narrow" w:hAnsi="Arial Narrow"/>
                <w:sz w:val="20"/>
                <w:szCs w:val="20"/>
              </w:rPr>
              <w:t>i</w:t>
            </w:r>
            <w:proofErr w:type="spellEnd"/>
            <w:r w:rsidRPr="008E6588">
              <w:rPr>
                <w:rFonts w:ascii="Arial Narrow" w:hAnsi="Arial Narrow"/>
                <w:sz w:val="20"/>
                <w:szCs w:val="20"/>
              </w:rPr>
              <w:t>) respiratory physician, (ii) clinical immunologist, (iii) allergist, (iv) general physician experienced in the management of patients with severe asthma, defined by at least one of the following standard clinical features: (a) forced expiratory volume (FEV1) reversibility greater than or equal to 12% and greater than or equal to 200 mL at baseline within 30 minutes after administration of salbutamol (200 to 400 micrograms), (b) airway hyperresponsiveness defined as a greater than 20% decline in FEV1 during a direct bronchial provocation test or greater than 15% decline during an indirect bronchial provocation test, (c) peak expiratory flow (PEF) variability of greater than 15% between the two highest and two lowest peak expiratory flow rates during 14 days; or</w:t>
            </w:r>
          </w:p>
        </w:tc>
      </w:tr>
      <w:tr w:rsidR="003C0A9A" w:rsidRPr="008E6588" w14:paraId="1D9CF394"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C87DE" w14:textId="7F10C997"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351614" w14:textId="3A265DF7" w:rsidR="003C0A9A" w:rsidRPr="008E6588" w:rsidRDefault="003C0A9A" w:rsidP="003C0A9A">
            <w:pPr>
              <w:rPr>
                <w:rFonts w:ascii="Arial Narrow" w:hAnsi="Arial Narrow"/>
                <w:sz w:val="20"/>
                <w:szCs w:val="20"/>
              </w:rPr>
            </w:pPr>
            <w:r w:rsidRPr="008E6588">
              <w:rPr>
                <w:rFonts w:ascii="Arial Narrow" w:hAnsi="Arial Narrow"/>
                <w:sz w:val="20"/>
                <w:szCs w:val="20"/>
              </w:rPr>
              <w:t xml:space="preserve">Patient must have a diagnosis of asthma from at least two physicians experienced in the management of patients with severe asthma with the details documented in the </w:t>
            </w:r>
            <w:r w:rsidR="00154FD3" w:rsidRPr="008E6588">
              <w:rPr>
                <w:rFonts w:ascii="Arial Narrow" w:hAnsi="Arial Narrow"/>
                <w:sz w:val="20"/>
                <w:szCs w:val="20"/>
              </w:rPr>
              <w:t>patient’s</w:t>
            </w:r>
            <w:r w:rsidRPr="008E6588">
              <w:rPr>
                <w:rFonts w:ascii="Arial Narrow" w:hAnsi="Arial Narrow"/>
                <w:sz w:val="20"/>
                <w:szCs w:val="20"/>
              </w:rPr>
              <w:t xml:space="preserve"> medical records</w:t>
            </w:r>
          </w:p>
        </w:tc>
      </w:tr>
      <w:tr w:rsidR="003C0A9A" w:rsidRPr="008E6588" w14:paraId="66D2942D"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94757" w14:textId="77777777"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728E87" w14:textId="77777777" w:rsidR="003C0A9A" w:rsidRPr="008E6588" w:rsidRDefault="003C0A9A" w:rsidP="003C0A9A">
            <w:pPr>
              <w:rPr>
                <w:rFonts w:ascii="Arial Narrow" w:hAnsi="Arial Narrow"/>
                <w:b/>
                <w:bCs/>
                <w:sz w:val="20"/>
                <w:szCs w:val="20"/>
              </w:rPr>
            </w:pPr>
            <w:r w:rsidRPr="008E6588">
              <w:rPr>
                <w:rFonts w:ascii="Arial Narrow" w:hAnsi="Arial Narrow"/>
                <w:b/>
                <w:bCs/>
                <w:sz w:val="20"/>
                <w:szCs w:val="20"/>
              </w:rPr>
              <w:t>AND</w:t>
            </w:r>
          </w:p>
        </w:tc>
      </w:tr>
      <w:tr w:rsidR="003C0A9A" w:rsidRPr="008E6588" w14:paraId="76BE3493"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B78F6" w14:textId="42129127"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AC3D72" w14:textId="77777777" w:rsidR="003C0A9A" w:rsidRPr="008E6588" w:rsidRDefault="003C0A9A" w:rsidP="003C0A9A">
            <w:pPr>
              <w:rPr>
                <w:rFonts w:ascii="Arial Narrow" w:hAnsi="Arial Narrow"/>
                <w:b/>
                <w:bCs/>
                <w:sz w:val="20"/>
                <w:szCs w:val="20"/>
              </w:rPr>
            </w:pPr>
            <w:r w:rsidRPr="008E6588">
              <w:rPr>
                <w:rFonts w:ascii="Arial Narrow" w:hAnsi="Arial Narrow"/>
                <w:b/>
                <w:bCs/>
                <w:sz w:val="20"/>
                <w:szCs w:val="20"/>
              </w:rPr>
              <w:t>Clinical criteria:</w:t>
            </w:r>
          </w:p>
        </w:tc>
      </w:tr>
      <w:tr w:rsidR="003C0A9A" w:rsidRPr="008E6588" w14:paraId="0161335B"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3D679" w14:textId="5D576334"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77CF87" w14:textId="2AE0DA7F" w:rsidR="003C0A9A" w:rsidRPr="008E6588" w:rsidRDefault="003C0A9A" w:rsidP="003C0A9A">
            <w:pPr>
              <w:rPr>
                <w:rFonts w:ascii="Arial Narrow" w:hAnsi="Arial Narrow"/>
                <w:sz w:val="20"/>
                <w:szCs w:val="20"/>
              </w:rPr>
            </w:pPr>
            <w:r w:rsidRPr="008E6588">
              <w:rPr>
                <w:rFonts w:ascii="Arial Narrow" w:hAnsi="Arial Narrow"/>
                <w:sz w:val="20"/>
                <w:szCs w:val="20"/>
              </w:rPr>
              <w:t>Patient must have a duration of asthma of at least 1 year</w:t>
            </w:r>
          </w:p>
        </w:tc>
      </w:tr>
      <w:tr w:rsidR="003C0A9A" w:rsidRPr="008E6588" w14:paraId="2CD466F6"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BDE36" w14:textId="77777777"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888147" w14:textId="77777777" w:rsidR="003C0A9A" w:rsidRPr="008E6588" w:rsidRDefault="003C0A9A" w:rsidP="003C0A9A">
            <w:pPr>
              <w:rPr>
                <w:rFonts w:ascii="Arial Narrow" w:hAnsi="Arial Narrow"/>
                <w:b/>
                <w:bCs/>
                <w:sz w:val="20"/>
                <w:szCs w:val="20"/>
              </w:rPr>
            </w:pPr>
            <w:r w:rsidRPr="008E6588">
              <w:rPr>
                <w:rFonts w:ascii="Arial Narrow" w:hAnsi="Arial Narrow"/>
                <w:b/>
                <w:bCs/>
                <w:sz w:val="20"/>
                <w:szCs w:val="20"/>
              </w:rPr>
              <w:t>AND</w:t>
            </w:r>
          </w:p>
        </w:tc>
      </w:tr>
      <w:tr w:rsidR="003C0A9A" w:rsidRPr="008E6588" w14:paraId="100DE541"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EA536" w14:textId="7C859A27"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94EB25" w14:textId="77777777" w:rsidR="003C0A9A" w:rsidRPr="008E6588" w:rsidRDefault="003C0A9A" w:rsidP="003C0A9A">
            <w:pPr>
              <w:rPr>
                <w:rFonts w:ascii="Arial Narrow" w:hAnsi="Arial Narrow"/>
                <w:b/>
                <w:bCs/>
                <w:sz w:val="20"/>
                <w:szCs w:val="20"/>
              </w:rPr>
            </w:pPr>
            <w:r w:rsidRPr="008E6588">
              <w:rPr>
                <w:rFonts w:ascii="Arial Narrow" w:hAnsi="Arial Narrow"/>
                <w:b/>
                <w:bCs/>
                <w:sz w:val="20"/>
                <w:szCs w:val="20"/>
              </w:rPr>
              <w:t>Clinical criteria:</w:t>
            </w:r>
          </w:p>
        </w:tc>
      </w:tr>
      <w:tr w:rsidR="003C0A9A" w:rsidRPr="008E6588" w14:paraId="2892941E"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09701" w14:textId="2C77C953"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4DB12A" w14:textId="15C4EC84" w:rsidR="003C0A9A" w:rsidRPr="008E6588" w:rsidRDefault="003C0A9A" w:rsidP="003C0A9A">
            <w:pPr>
              <w:rPr>
                <w:rFonts w:ascii="Arial Narrow" w:hAnsi="Arial Narrow"/>
                <w:sz w:val="20"/>
                <w:szCs w:val="20"/>
              </w:rPr>
            </w:pPr>
            <w:r w:rsidRPr="008E6588">
              <w:rPr>
                <w:rFonts w:ascii="Arial Narrow" w:hAnsi="Arial Narrow"/>
                <w:sz w:val="20"/>
                <w:szCs w:val="20"/>
              </w:rPr>
              <w:t>Patient must have past or current evidence of atopy that is no more than 1 year old at the time of application that is documented by either: (</w:t>
            </w:r>
            <w:proofErr w:type="spellStart"/>
            <w:r w:rsidRPr="008E6588">
              <w:rPr>
                <w:rFonts w:ascii="Arial Narrow" w:hAnsi="Arial Narrow"/>
                <w:sz w:val="20"/>
                <w:szCs w:val="20"/>
              </w:rPr>
              <w:t>i</w:t>
            </w:r>
            <w:proofErr w:type="spellEnd"/>
            <w:r w:rsidRPr="008E6588">
              <w:rPr>
                <w:rFonts w:ascii="Arial Narrow" w:hAnsi="Arial Narrow"/>
                <w:sz w:val="20"/>
                <w:szCs w:val="20"/>
              </w:rPr>
              <w:t>) skin prick testing, (ii) an in vitro measure of specific IgE</w:t>
            </w:r>
          </w:p>
        </w:tc>
      </w:tr>
      <w:tr w:rsidR="003C0A9A" w:rsidRPr="008E6588" w14:paraId="3D340F0B"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90E81" w14:textId="77777777"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BE28E6" w14:textId="77777777" w:rsidR="003C0A9A" w:rsidRPr="008E6588" w:rsidRDefault="003C0A9A" w:rsidP="003C0A9A">
            <w:pPr>
              <w:rPr>
                <w:rFonts w:ascii="Arial Narrow" w:hAnsi="Arial Narrow"/>
                <w:b/>
                <w:bCs/>
                <w:sz w:val="20"/>
                <w:szCs w:val="20"/>
              </w:rPr>
            </w:pPr>
            <w:r w:rsidRPr="008E6588">
              <w:rPr>
                <w:rFonts w:ascii="Arial Narrow" w:hAnsi="Arial Narrow"/>
                <w:b/>
                <w:bCs/>
                <w:sz w:val="20"/>
                <w:szCs w:val="20"/>
              </w:rPr>
              <w:t>AND</w:t>
            </w:r>
          </w:p>
        </w:tc>
      </w:tr>
      <w:tr w:rsidR="003C0A9A" w:rsidRPr="008E6588" w14:paraId="1BFD1DA6"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1ECD8" w14:textId="0A733213"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57D7C3" w14:textId="77777777" w:rsidR="003C0A9A" w:rsidRPr="008E6588" w:rsidRDefault="003C0A9A" w:rsidP="003C0A9A">
            <w:pPr>
              <w:rPr>
                <w:rFonts w:ascii="Arial Narrow" w:hAnsi="Arial Narrow"/>
                <w:b/>
                <w:bCs/>
                <w:sz w:val="20"/>
                <w:szCs w:val="20"/>
              </w:rPr>
            </w:pPr>
            <w:r w:rsidRPr="008E6588">
              <w:rPr>
                <w:rFonts w:ascii="Arial Narrow" w:hAnsi="Arial Narrow"/>
                <w:b/>
                <w:bCs/>
                <w:sz w:val="20"/>
                <w:szCs w:val="20"/>
              </w:rPr>
              <w:t>Clinical criteria:</w:t>
            </w:r>
          </w:p>
        </w:tc>
      </w:tr>
      <w:tr w:rsidR="003C0A9A" w:rsidRPr="008E6588" w14:paraId="3A6E049B"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7198F" w14:textId="0054A9DF"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4C5BE5" w14:textId="18454B34" w:rsidR="003C0A9A" w:rsidRPr="008E6588" w:rsidRDefault="003C0A9A" w:rsidP="003C0A9A">
            <w:pPr>
              <w:rPr>
                <w:rFonts w:ascii="Arial Narrow" w:hAnsi="Arial Narrow"/>
                <w:sz w:val="20"/>
                <w:szCs w:val="20"/>
              </w:rPr>
            </w:pPr>
            <w:r w:rsidRPr="008E6588">
              <w:rPr>
                <w:rFonts w:ascii="Arial Narrow" w:hAnsi="Arial Narrow"/>
                <w:sz w:val="20"/>
                <w:szCs w:val="20"/>
              </w:rPr>
              <w:t>Patient must have total serum human immunoglobulin E of at least 30 IU/mL, measured no more than 12 months prior to the time of application</w:t>
            </w:r>
          </w:p>
        </w:tc>
      </w:tr>
      <w:tr w:rsidR="003C0A9A" w:rsidRPr="008E6588" w14:paraId="1CB73D30"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392CA" w14:textId="77777777"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13191C" w14:textId="77777777" w:rsidR="003C0A9A" w:rsidRPr="008E6588" w:rsidRDefault="003C0A9A" w:rsidP="003C0A9A">
            <w:pPr>
              <w:rPr>
                <w:rFonts w:ascii="Arial Narrow" w:hAnsi="Arial Narrow"/>
                <w:b/>
                <w:bCs/>
                <w:sz w:val="20"/>
                <w:szCs w:val="20"/>
              </w:rPr>
            </w:pPr>
            <w:r w:rsidRPr="008E6588">
              <w:rPr>
                <w:rFonts w:ascii="Arial Narrow" w:hAnsi="Arial Narrow"/>
                <w:b/>
                <w:bCs/>
                <w:sz w:val="20"/>
                <w:szCs w:val="20"/>
              </w:rPr>
              <w:t>AND</w:t>
            </w:r>
          </w:p>
        </w:tc>
      </w:tr>
      <w:tr w:rsidR="003C0A9A" w:rsidRPr="008E6588" w14:paraId="291A04E7"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31123" w14:textId="4B056E82"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A5361F" w14:textId="77777777" w:rsidR="003C0A9A" w:rsidRPr="008E6588" w:rsidRDefault="003C0A9A" w:rsidP="003C0A9A">
            <w:pPr>
              <w:rPr>
                <w:rFonts w:ascii="Arial Narrow" w:hAnsi="Arial Narrow"/>
                <w:b/>
                <w:bCs/>
                <w:sz w:val="20"/>
                <w:szCs w:val="20"/>
              </w:rPr>
            </w:pPr>
            <w:r w:rsidRPr="008E6588">
              <w:rPr>
                <w:rFonts w:ascii="Arial Narrow" w:hAnsi="Arial Narrow"/>
                <w:b/>
                <w:bCs/>
                <w:sz w:val="20"/>
                <w:szCs w:val="20"/>
              </w:rPr>
              <w:t>Clinical criteria:</w:t>
            </w:r>
          </w:p>
        </w:tc>
      </w:tr>
      <w:tr w:rsidR="003C0A9A" w:rsidRPr="008E6588" w14:paraId="1590EB9E"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AC9E3" w14:textId="2A6D484C"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5FFD9A" w14:textId="10BA0159" w:rsidR="003C0A9A" w:rsidRPr="008E6588" w:rsidRDefault="003C0A9A" w:rsidP="003C0A9A">
            <w:pPr>
              <w:rPr>
                <w:rFonts w:ascii="Arial Narrow" w:hAnsi="Arial Narrow"/>
                <w:sz w:val="20"/>
                <w:szCs w:val="20"/>
              </w:rPr>
            </w:pPr>
            <w:r w:rsidRPr="008E6588">
              <w:rPr>
                <w:rFonts w:ascii="Arial Narrow" w:hAnsi="Arial Narrow"/>
                <w:sz w:val="20"/>
                <w:szCs w:val="20"/>
              </w:rPr>
              <w:t>Patient must have failed to achieve adequate control with optimised asthma therapy, despite formal assessment of and adherence to correct inhaler technique, which has been documented in the patient</w:t>
            </w:r>
            <w:r w:rsidR="00756DB3" w:rsidRPr="008E6588">
              <w:rPr>
                <w:rFonts w:ascii="Arial Narrow" w:hAnsi="Arial Narrow"/>
                <w:sz w:val="20"/>
                <w:szCs w:val="20"/>
              </w:rPr>
              <w:t>’</w:t>
            </w:r>
            <w:r w:rsidRPr="008E6588">
              <w:rPr>
                <w:rFonts w:ascii="Arial Narrow" w:hAnsi="Arial Narrow"/>
                <w:sz w:val="20"/>
                <w:szCs w:val="20"/>
              </w:rPr>
              <w:t>s medical records</w:t>
            </w:r>
          </w:p>
        </w:tc>
      </w:tr>
      <w:tr w:rsidR="003C0A9A" w:rsidRPr="008E6588" w14:paraId="609EF7C9"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BCAD0" w14:textId="77777777"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90732B" w14:textId="77777777" w:rsidR="003C0A9A" w:rsidRPr="008E6588" w:rsidRDefault="003C0A9A" w:rsidP="003C0A9A">
            <w:pPr>
              <w:rPr>
                <w:rFonts w:ascii="Arial Narrow" w:hAnsi="Arial Narrow"/>
                <w:b/>
                <w:bCs/>
                <w:sz w:val="20"/>
                <w:szCs w:val="20"/>
              </w:rPr>
            </w:pPr>
            <w:r w:rsidRPr="008E6588">
              <w:rPr>
                <w:rFonts w:ascii="Arial Narrow" w:hAnsi="Arial Narrow"/>
                <w:b/>
                <w:bCs/>
                <w:sz w:val="20"/>
                <w:szCs w:val="20"/>
              </w:rPr>
              <w:t>AND</w:t>
            </w:r>
          </w:p>
        </w:tc>
      </w:tr>
      <w:tr w:rsidR="003C0A9A" w:rsidRPr="008E6588" w14:paraId="28D73FB9"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4B894" w14:textId="3D7B5005"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79E872" w14:textId="77777777" w:rsidR="003C0A9A" w:rsidRPr="008E6588" w:rsidRDefault="003C0A9A" w:rsidP="003C0A9A">
            <w:pPr>
              <w:rPr>
                <w:rFonts w:ascii="Arial Narrow" w:hAnsi="Arial Narrow"/>
                <w:b/>
                <w:bCs/>
                <w:sz w:val="20"/>
                <w:szCs w:val="20"/>
              </w:rPr>
            </w:pPr>
            <w:r w:rsidRPr="008E6588">
              <w:rPr>
                <w:rFonts w:ascii="Arial Narrow" w:hAnsi="Arial Narrow"/>
                <w:b/>
                <w:bCs/>
                <w:sz w:val="20"/>
                <w:szCs w:val="20"/>
              </w:rPr>
              <w:t>Clinical criteria:</w:t>
            </w:r>
          </w:p>
        </w:tc>
      </w:tr>
      <w:tr w:rsidR="003C0A9A" w:rsidRPr="008E6588" w14:paraId="50CE7EC8"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45BAB" w14:textId="3EB9A370"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2DA98D" w14:textId="0DB86BB2" w:rsidR="003C0A9A" w:rsidRPr="008E6588" w:rsidRDefault="003C0A9A" w:rsidP="003C0A9A">
            <w:pPr>
              <w:rPr>
                <w:rFonts w:ascii="Arial Narrow" w:hAnsi="Arial Narrow"/>
                <w:sz w:val="20"/>
                <w:szCs w:val="20"/>
              </w:rPr>
            </w:pPr>
            <w:r w:rsidRPr="008E6588">
              <w:rPr>
                <w:rFonts w:ascii="Arial Narrow" w:hAnsi="Arial Narrow"/>
                <w:sz w:val="20"/>
                <w:szCs w:val="20"/>
              </w:rPr>
              <w:t>Patient must not receive more than 32 weeks of treatment under this restriction</w:t>
            </w:r>
          </w:p>
        </w:tc>
      </w:tr>
      <w:tr w:rsidR="003C0A9A" w:rsidRPr="008E6588" w14:paraId="48F078F0"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2A28A" w14:textId="77777777"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82407B" w14:textId="77777777" w:rsidR="003C0A9A" w:rsidRPr="008E6588" w:rsidRDefault="003C0A9A" w:rsidP="003C0A9A">
            <w:pPr>
              <w:rPr>
                <w:rFonts w:ascii="Arial Narrow" w:hAnsi="Arial Narrow"/>
                <w:b/>
                <w:bCs/>
                <w:sz w:val="20"/>
                <w:szCs w:val="20"/>
              </w:rPr>
            </w:pPr>
            <w:r w:rsidRPr="008E6588">
              <w:rPr>
                <w:rFonts w:ascii="Arial Narrow" w:hAnsi="Arial Narrow"/>
                <w:b/>
                <w:bCs/>
                <w:sz w:val="20"/>
                <w:szCs w:val="20"/>
              </w:rPr>
              <w:t>AND</w:t>
            </w:r>
          </w:p>
        </w:tc>
      </w:tr>
      <w:tr w:rsidR="003C0A9A" w:rsidRPr="008E6588" w14:paraId="4DF96C0B"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C6940" w14:textId="72BFCE6F"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3EA2D4" w14:textId="77777777" w:rsidR="003C0A9A" w:rsidRPr="008E6588" w:rsidRDefault="003C0A9A" w:rsidP="003C0A9A">
            <w:pPr>
              <w:rPr>
                <w:rFonts w:ascii="Arial Narrow" w:hAnsi="Arial Narrow"/>
                <w:b/>
                <w:bCs/>
                <w:sz w:val="20"/>
                <w:szCs w:val="20"/>
              </w:rPr>
            </w:pPr>
            <w:r w:rsidRPr="008E6588">
              <w:rPr>
                <w:rFonts w:ascii="Arial Narrow" w:hAnsi="Arial Narrow"/>
                <w:b/>
                <w:bCs/>
                <w:sz w:val="20"/>
                <w:szCs w:val="20"/>
              </w:rPr>
              <w:t>Clinical criteria:</w:t>
            </w:r>
          </w:p>
        </w:tc>
      </w:tr>
      <w:tr w:rsidR="003C0A9A" w:rsidRPr="008E6588" w14:paraId="6EFF1D5A"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2B158" w14:textId="435F74DB"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4A6486" w14:textId="58355EB1" w:rsidR="003C0A9A" w:rsidRPr="008E6588" w:rsidRDefault="003C0A9A" w:rsidP="003C0A9A">
            <w:pPr>
              <w:rPr>
                <w:rFonts w:ascii="Arial Narrow" w:hAnsi="Arial Narrow"/>
                <w:sz w:val="20"/>
                <w:szCs w:val="20"/>
              </w:rPr>
            </w:pPr>
            <w:r w:rsidRPr="008E6588">
              <w:rPr>
                <w:rFonts w:ascii="Arial Narrow" w:hAnsi="Arial Narrow"/>
                <w:sz w:val="20"/>
                <w:szCs w:val="20"/>
              </w:rPr>
              <w:t>The treatment must not be used in combination with and within 4 weeks of another PBS-subsidised biological medicine prescribed for severe asthma</w:t>
            </w:r>
          </w:p>
        </w:tc>
      </w:tr>
      <w:tr w:rsidR="003C0A9A" w:rsidRPr="008E6588" w14:paraId="18EACB5F"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5FA22" w14:textId="4012CB34"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29CEAF" w14:textId="77777777" w:rsidR="003C0A9A" w:rsidRPr="008E6588" w:rsidRDefault="003C0A9A" w:rsidP="003C0A9A">
            <w:pPr>
              <w:rPr>
                <w:rFonts w:ascii="Arial Narrow" w:hAnsi="Arial Narrow"/>
                <w:sz w:val="20"/>
                <w:szCs w:val="20"/>
              </w:rPr>
            </w:pPr>
            <w:r w:rsidRPr="008E6588">
              <w:rPr>
                <w:rFonts w:ascii="Arial Narrow" w:hAnsi="Arial Narrow"/>
                <w:b/>
                <w:bCs/>
                <w:sz w:val="20"/>
                <w:szCs w:val="20"/>
              </w:rPr>
              <w:t>Population criteria</w:t>
            </w:r>
            <w:r w:rsidRPr="008E6588">
              <w:rPr>
                <w:rFonts w:ascii="Arial Narrow" w:hAnsi="Arial Narrow"/>
                <w:sz w:val="20"/>
                <w:szCs w:val="20"/>
              </w:rPr>
              <w:t>:</w:t>
            </w:r>
          </w:p>
        </w:tc>
      </w:tr>
      <w:tr w:rsidR="003C0A9A" w:rsidRPr="008E6588" w14:paraId="0C6571AA"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8AD0C" w14:textId="2C0A54F8"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634BF2" w14:textId="4A0555C7" w:rsidR="003C0A9A" w:rsidRPr="008E6588" w:rsidRDefault="003C0A9A" w:rsidP="003C0A9A">
            <w:pPr>
              <w:rPr>
                <w:rFonts w:ascii="Arial Narrow" w:hAnsi="Arial Narrow"/>
                <w:sz w:val="20"/>
                <w:szCs w:val="20"/>
              </w:rPr>
            </w:pPr>
            <w:r w:rsidRPr="008E6588">
              <w:rPr>
                <w:rFonts w:ascii="Arial Narrow" w:hAnsi="Arial Narrow"/>
                <w:sz w:val="20"/>
                <w:szCs w:val="20"/>
              </w:rPr>
              <w:t>Patient must be aged 12 years or older</w:t>
            </w:r>
          </w:p>
        </w:tc>
      </w:tr>
      <w:tr w:rsidR="003C0A9A" w:rsidRPr="008E6588" w14:paraId="2DD3C0DC"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63CB5" w14:textId="236A8816"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13BD34" w14:textId="77777777" w:rsidR="003C0A9A" w:rsidRPr="008E6588" w:rsidRDefault="003C0A9A" w:rsidP="003C0A9A">
            <w:pPr>
              <w:rPr>
                <w:rFonts w:ascii="Arial Narrow" w:hAnsi="Arial Narrow"/>
                <w:sz w:val="20"/>
                <w:szCs w:val="20"/>
              </w:rPr>
            </w:pPr>
            <w:r w:rsidRPr="008E6588">
              <w:rPr>
                <w:rFonts w:ascii="Arial Narrow" w:hAnsi="Arial Narrow"/>
                <w:b/>
                <w:bCs/>
                <w:sz w:val="20"/>
                <w:szCs w:val="20"/>
              </w:rPr>
              <w:t>Prescribing Instructions</w:t>
            </w:r>
            <w:r w:rsidRPr="008E6588">
              <w:rPr>
                <w:rFonts w:ascii="Arial Narrow" w:hAnsi="Arial Narrow"/>
                <w:sz w:val="20"/>
                <w:szCs w:val="20"/>
              </w:rPr>
              <w:t>:</w:t>
            </w:r>
          </w:p>
          <w:p w14:paraId="1A4E3861" w14:textId="77777777" w:rsidR="003C0A9A" w:rsidRPr="008E6588" w:rsidRDefault="003C0A9A" w:rsidP="003C0A9A">
            <w:pPr>
              <w:rPr>
                <w:rFonts w:ascii="Arial Narrow" w:hAnsi="Arial Narrow"/>
                <w:sz w:val="20"/>
                <w:szCs w:val="20"/>
              </w:rPr>
            </w:pPr>
            <w:r w:rsidRPr="008E6588">
              <w:rPr>
                <w:rFonts w:ascii="Arial Narrow" w:hAnsi="Arial Narrow"/>
                <w:sz w:val="20"/>
                <w:szCs w:val="20"/>
              </w:rPr>
              <w:t>Optimised asthma therapy includes adherence to maximal inhaled therapy, including high dose inhaled corticosteroid (ICS) plus long-acting beta-2 agonist (LABA) therapy for at least 12 months, unless contraindicated or not tolerated.</w:t>
            </w:r>
          </w:p>
          <w:p w14:paraId="45D59577" w14:textId="77777777" w:rsidR="003C0A9A" w:rsidRPr="008E6588" w:rsidRDefault="003C0A9A" w:rsidP="003C0A9A">
            <w:pPr>
              <w:rPr>
                <w:rFonts w:ascii="Arial Narrow" w:hAnsi="Arial Narrow"/>
                <w:sz w:val="20"/>
                <w:szCs w:val="20"/>
              </w:rPr>
            </w:pPr>
            <w:r w:rsidRPr="008E6588">
              <w:rPr>
                <w:rFonts w:ascii="Arial Narrow" w:hAnsi="Arial Narrow"/>
                <w:sz w:val="20"/>
                <w:szCs w:val="20"/>
              </w:rP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tc>
      </w:tr>
      <w:tr w:rsidR="003C0A9A" w:rsidRPr="008E6588" w14:paraId="36665440"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A8E77" w14:textId="48F36D3D"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583D33" w14:textId="77777777" w:rsidR="003C0A9A" w:rsidRPr="008E6588" w:rsidRDefault="003C0A9A" w:rsidP="003C0A9A">
            <w:pPr>
              <w:rPr>
                <w:rFonts w:ascii="Arial Narrow" w:hAnsi="Arial Narrow"/>
                <w:b/>
                <w:bCs/>
                <w:sz w:val="20"/>
                <w:szCs w:val="20"/>
              </w:rPr>
            </w:pPr>
            <w:r w:rsidRPr="008E6588">
              <w:rPr>
                <w:rFonts w:ascii="Arial Narrow" w:hAnsi="Arial Narrow"/>
                <w:b/>
                <w:bCs/>
                <w:sz w:val="20"/>
                <w:szCs w:val="20"/>
              </w:rPr>
              <w:t>Prescribing Instructions:</w:t>
            </w:r>
          </w:p>
          <w:p w14:paraId="6F30C2CA" w14:textId="77777777" w:rsidR="003C0A9A" w:rsidRPr="008E6588" w:rsidRDefault="003C0A9A" w:rsidP="003C0A9A">
            <w:pPr>
              <w:rPr>
                <w:rFonts w:ascii="Arial Narrow" w:hAnsi="Arial Narrow"/>
                <w:sz w:val="20"/>
                <w:szCs w:val="20"/>
              </w:rPr>
            </w:pPr>
            <w:r w:rsidRPr="008E6588">
              <w:rPr>
                <w:rFonts w:ascii="Arial Narrow" w:hAnsi="Arial Narrow"/>
                <w:sz w:val="20"/>
                <w:szCs w:val="20"/>
              </w:rPr>
              <w:t>The following initiation criteria indicate failure to achieve adequate control and must be demonstrated in all patients at the time of the application:</w:t>
            </w:r>
          </w:p>
          <w:p w14:paraId="3CADA37D" w14:textId="77777777" w:rsidR="003C0A9A" w:rsidRPr="008E6588" w:rsidRDefault="003C0A9A" w:rsidP="003C0A9A">
            <w:pPr>
              <w:rPr>
                <w:rFonts w:ascii="Arial Narrow" w:hAnsi="Arial Narrow"/>
                <w:sz w:val="20"/>
                <w:szCs w:val="20"/>
              </w:rPr>
            </w:pPr>
            <w:r w:rsidRPr="008E6588">
              <w:rPr>
                <w:rFonts w:ascii="Arial Narrow" w:hAnsi="Arial Narrow"/>
                <w:sz w:val="20"/>
                <w:szCs w:val="20"/>
              </w:rPr>
              <w:t>(a) an Asthma Control Questionnaire (ACQ-5) score of at least 2.0, as assessed in the previous month, AND</w:t>
            </w:r>
          </w:p>
          <w:p w14:paraId="6C65BFA9" w14:textId="77777777" w:rsidR="003C0A9A" w:rsidRPr="008E6588" w:rsidRDefault="003C0A9A" w:rsidP="003C0A9A">
            <w:pPr>
              <w:rPr>
                <w:rFonts w:ascii="Arial Narrow" w:hAnsi="Arial Narrow"/>
                <w:sz w:val="20"/>
                <w:szCs w:val="20"/>
              </w:rPr>
            </w:pPr>
            <w:r w:rsidRPr="008E6588">
              <w:rPr>
                <w:rFonts w:ascii="Arial Narrow" w:hAnsi="Arial Narrow"/>
                <w:sz w:val="20"/>
                <w:szCs w:val="20"/>
              </w:rP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16769AA7" w14:textId="77777777" w:rsidR="003C0A9A" w:rsidRPr="008E6588" w:rsidRDefault="003C0A9A" w:rsidP="003C0A9A">
            <w:pPr>
              <w:rPr>
                <w:rFonts w:ascii="Arial Narrow" w:hAnsi="Arial Narrow"/>
                <w:sz w:val="20"/>
                <w:szCs w:val="20"/>
              </w:rPr>
            </w:pPr>
            <w:r w:rsidRPr="008E6588">
              <w:rPr>
                <w:rFonts w:ascii="Arial Narrow" w:hAnsi="Arial Narrow"/>
                <w:sz w:val="20"/>
                <w:szCs w:val="20"/>
              </w:rPr>
              <w:t>The Asthma Control Questionnaire (5 item version) assessment of the patient's response to this initial course of treatment, and the assessment of oral corticosteroid dose, should be made at around 28 weeks after the first PBS-subsidised dose of this drug under this restriction so that there is adequate time for a response to be demonstrated and for the application for the first continuing therapy to be processed.</w:t>
            </w:r>
          </w:p>
          <w:p w14:paraId="5F17ADA4" w14:textId="77777777" w:rsidR="003C0A9A" w:rsidRPr="008E6588" w:rsidRDefault="003C0A9A" w:rsidP="003C0A9A">
            <w:pPr>
              <w:rPr>
                <w:rFonts w:ascii="Arial Narrow" w:hAnsi="Arial Narrow"/>
                <w:sz w:val="20"/>
                <w:szCs w:val="20"/>
              </w:rPr>
            </w:pPr>
            <w:r w:rsidRPr="008E6588">
              <w:rPr>
                <w:rFonts w:ascii="Arial Narrow" w:hAnsi="Arial Narrow"/>
                <w:sz w:val="20"/>
                <w:szCs w:val="20"/>
              </w:rPr>
              <w:t>This assessment, which will be used to determine eligibility for the first continuing treatment, should be conducted within 4 weeks of the last dose of biological medicine. Where a response assessment is not undertaken and provided, the patient will be deemed to have failed to respond to treatment with this drug.</w:t>
            </w:r>
          </w:p>
          <w:p w14:paraId="2A6D5687" w14:textId="77777777" w:rsidR="003C0A9A" w:rsidRPr="008E6588" w:rsidRDefault="003C0A9A" w:rsidP="003C0A9A">
            <w:pPr>
              <w:rPr>
                <w:rFonts w:ascii="Arial Narrow" w:hAnsi="Arial Narrow"/>
                <w:sz w:val="20"/>
                <w:szCs w:val="20"/>
              </w:rPr>
            </w:pPr>
            <w:r w:rsidRPr="008E6588">
              <w:rPr>
                <w:rFonts w:ascii="Arial Narrow" w:hAnsi="Arial Narrow"/>
                <w:sz w:val="20"/>
                <w:szCs w:val="20"/>
              </w:rPr>
              <w:t xml:space="preserve">If a patient fails to demonstrate a response to treatment with this </w:t>
            </w:r>
            <w:proofErr w:type="gramStart"/>
            <w:r w:rsidRPr="008E6588">
              <w:rPr>
                <w:rFonts w:ascii="Arial Narrow" w:hAnsi="Arial Narrow"/>
                <w:sz w:val="20"/>
                <w:szCs w:val="20"/>
              </w:rPr>
              <w:t>drug</w:t>
            </w:r>
            <w:proofErr w:type="gramEnd"/>
            <w:r w:rsidRPr="008E6588">
              <w:rPr>
                <w:rFonts w:ascii="Arial Narrow" w:hAnsi="Arial Narrow"/>
                <w:sz w:val="20"/>
                <w:szCs w:val="20"/>
              </w:rPr>
              <w:t xml:space="preserve"> they will not be eligible to receive further PBS-subsidised treatment with this drug for severe asthma within the same treatment cycle.</w:t>
            </w:r>
          </w:p>
          <w:p w14:paraId="3F9D4CBD" w14:textId="77777777" w:rsidR="003C0A9A" w:rsidRPr="008E6588" w:rsidRDefault="003C0A9A" w:rsidP="003C0A9A">
            <w:pPr>
              <w:rPr>
                <w:rFonts w:ascii="Arial Narrow" w:hAnsi="Arial Narrow"/>
                <w:sz w:val="20"/>
                <w:szCs w:val="20"/>
              </w:rPr>
            </w:pPr>
            <w:r w:rsidRPr="008E6588">
              <w:rPr>
                <w:rFonts w:ascii="Arial Narrow" w:hAnsi="Arial Narrow"/>
                <w:sz w:val="20"/>
                <w:szCs w:val="20"/>
              </w:rPr>
              <w:t>A treatment break in PBS-subsidised biological medicine therapy of at least 12 months must be observed in a patient who has either failed to achieve or sustain a response to treatment with 4 biological medicines for severe asthma within the same treatment cycle.</w:t>
            </w:r>
          </w:p>
          <w:p w14:paraId="1095C462" w14:textId="77777777" w:rsidR="003C0A9A" w:rsidRPr="008E6588" w:rsidRDefault="003C0A9A" w:rsidP="003C0A9A">
            <w:pPr>
              <w:rPr>
                <w:rFonts w:ascii="Arial Narrow" w:hAnsi="Arial Narrow"/>
                <w:sz w:val="20"/>
                <w:szCs w:val="20"/>
              </w:rPr>
            </w:pPr>
            <w:r w:rsidRPr="008E6588">
              <w:rPr>
                <w:rFonts w:ascii="Arial Narrow" w:hAnsi="Arial Narrow"/>
                <w:sz w:val="20"/>
                <w:szCs w:val="20"/>
              </w:rPr>
              <w:t>The length of the break in therapy is measured from the date the most recent treatment with a PBS-subsidised biological medicine was administered until the date of the first application for recommencement of treatment with a biological medicine under the new treatment cycle.</w:t>
            </w:r>
          </w:p>
          <w:p w14:paraId="5C9B8F49" w14:textId="77777777" w:rsidR="003C0A9A" w:rsidRPr="008E6588" w:rsidRDefault="003C0A9A" w:rsidP="003C0A9A">
            <w:pPr>
              <w:rPr>
                <w:rFonts w:ascii="Arial Narrow" w:hAnsi="Arial Narrow"/>
                <w:sz w:val="20"/>
                <w:szCs w:val="20"/>
              </w:rPr>
            </w:pPr>
            <w:r w:rsidRPr="008E6588">
              <w:rPr>
                <w:rFonts w:ascii="Arial Narrow" w:hAnsi="Arial Narrow"/>
                <w:sz w:val="20"/>
                <w:szCs w:val="20"/>
              </w:rPr>
              <w:t>There is no limit to the number of treatment cycles that a patient may undertake in their lifetime.</w:t>
            </w:r>
          </w:p>
          <w:p w14:paraId="56D4B963" w14:textId="77777777" w:rsidR="003C0A9A" w:rsidRPr="008E6588" w:rsidRDefault="003C0A9A" w:rsidP="003C0A9A">
            <w:pPr>
              <w:rPr>
                <w:rFonts w:ascii="Arial Narrow" w:hAnsi="Arial Narrow"/>
                <w:sz w:val="20"/>
                <w:szCs w:val="20"/>
              </w:rPr>
            </w:pPr>
            <w:r w:rsidRPr="008E6588">
              <w:rPr>
                <w:rFonts w:ascii="Arial Narrow" w:hAnsi="Arial Narrow"/>
                <w:sz w:val="20"/>
                <w:szCs w:val="20"/>
              </w:rPr>
              <w:t>At the time of the authority application, medical practitioners should request the appropriate maximum quantity and number of repeats to provide for an initial course of omalizumab consisting of the recommended number of doses for the baseline IgE level and body weight of the patient (refer to the TGA-approved Product Information) to be administered every 2 or 4 weeks.</w:t>
            </w:r>
          </w:p>
          <w:p w14:paraId="39D8EAF3" w14:textId="77777777" w:rsidR="003C0A9A" w:rsidRPr="008E6588" w:rsidRDefault="003C0A9A" w:rsidP="003C0A9A">
            <w:pPr>
              <w:rPr>
                <w:rFonts w:ascii="Arial Narrow" w:hAnsi="Arial Narrow"/>
                <w:sz w:val="20"/>
                <w:szCs w:val="20"/>
              </w:rPr>
            </w:pPr>
            <w:r w:rsidRPr="008E6588">
              <w:rPr>
                <w:rFonts w:ascii="Arial Narrow" w:hAnsi="Arial Narrow"/>
                <w:sz w:val="20"/>
                <w:szCs w:val="20"/>
              </w:rPr>
              <w:t>A multidisciplinary severe asthma clinic team comprises of:</w:t>
            </w:r>
          </w:p>
          <w:p w14:paraId="51BA39E7" w14:textId="77777777" w:rsidR="003C0A9A" w:rsidRPr="008E6588" w:rsidRDefault="003C0A9A" w:rsidP="003C0A9A">
            <w:pPr>
              <w:rPr>
                <w:rFonts w:ascii="Arial Narrow" w:hAnsi="Arial Narrow"/>
                <w:sz w:val="20"/>
                <w:szCs w:val="20"/>
              </w:rPr>
            </w:pPr>
            <w:r w:rsidRPr="008E6588">
              <w:rPr>
                <w:rFonts w:ascii="Arial Narrow" w:hAnsi="Arial Narrow"/>
                <w:sz w:val="20"/>
                <w:szCs w:val="20"/>
              </w:rPr>
              <w:t>(</w:t>
            </w:r>
            <w:proofErr w:type="spellStart"/>
            <w:r w:rsidRPr="008E6588">
              <w:rPr>
                <w:rFonts w:ascii="Arial Narrow" w:hAnsi="Arial Narrow"/>
                <w:sz w:val="20"/>
                <w:szCs w:val="20"/>
              </w:rPr>
              <w:t>i</w:t>
            </w:r>
            <w:proofErr w:type="spellEnd"/>
            <w:r w:rsidRPr="008E6588">
              <w:rPr>
                <w:rFonts w:ascii="Arial Narrow" w:hAnsi="Arial Narrow"/>
                <w:sz w:val="20"/>
                <w:szCs w:val="20"/>
              </w:rPr>
              <w:t>) A respiratory physician; and</w:t>
            </w:r>
          </w:p>
          <w:p w14:paraId="704C33A6" w14:textId="77777777" w:rsidR="003C0A9A" w:rsidRPr="008E6588" w:rsidRDefault="003C0A9A" w:rsidP="003C0A9A">
            <w:pPr>
              <w:rPr>
                <w:rFonts w:ascii="Arial Narrow" w:hAnsi="Arial Narrow"/>
                <w:sz w:val="20"/>
                <w:szCs w:val="20"/>
              </w:rPr>
            </w:pPr>
            <w:r w:rsidRPr="008E6588">
              <w:rPr>
                <w:rFonts w:ascii="Arial Narrow" w:hAnsi="Arial Narrow"/>
                <w:sz w:val="20"/>
                <w:szCs w:val="20"/>
              </w:rPr>
              <w:t>(ii) A pharmacist, nurse or asthma educator.</w:t>
            </w:r>
          </w:p>
        </w:tc>
      </w:tr>
      <w:tr w:rsidR="003C0A9A" w:rsidRPr="008E6588" w14:paraId="18B79004"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A3DC9" w14:textId="5BF4C2CA" w:rsidR="003C0A9A" w:rsidRPr="008E6588" w:rsidRDefault="003C0A9A" w:rsidP="003C0A9A">
            <w:pPr>
              <w:jc w:val="center"/>
              <w:rPr>
                <w:rFonts w:ascii="Arial Narrow" w:hAnsi="Arial Narrow"/>
                <w:sz w:val="20"/>
                <w:szCs w:val="20"/>
              </w:rPr>
            </w:pPr>
            <w:r w:rsidRPr="008E6588">
              <w:rPr>
                <w:rFonts w:ascii="Arial Narrow" w:hAnsi="Arial Narrow"/>
                <w:noProof/>
                <w:sz w:val="20"/>
                <w:szCs w:val="20"/>
              </w:rPr>
              <w:drawing>
                <wp:inline distT="0" distB="0" distL="0" distR="0" wp14:anchorId="7CF81346" wp14:editId="0E32A7AD">
                  <wp:extent cx="301925" cy="150963"/>
                  <wp:effectExtent l="0" t="0" r="3175" b="1905"/>
                  <wp:docPr id="950596959" name="Picture 1" descr="Full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2" descr="Full Assess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988" cy="152495"/>
                          </a:xfrm>
                          <a:prstGeom prst="rect">
                            <a:avLst/>
                          </a:prstGeom>
                          <a:noFill/>
                          <a:ln>
                            <a:noFill/>
                          </a:ln>
                        </pic:spPr>
                      </pic:pic>
                    </a:graphicData>
                  </a:graphic>
                </wp:inline>
              </w:drawing>
            </w: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2120CF" w14:textId="77777777" w:rsidR="003C0A9A" w:rsidRPr="008E6588" w:rsidRDefault="003C0A9A" w:rsidP="003C0A9A">
            <w:pPr>
              <w:rPr>
                <w:rFonts w:ascii="Arial Narrow" w:hAnsi="Arial Narrow"/>
                <w:b/>
                <w:bCs/>
                <w:sz w:val="20"/>
                <w:szCs w:val="20"/>
              </w:rPr>
            </w:pPr>
            <w:r w:rsidRPr="008E6588">
              <w:rPr>
                <w:rFonts w:ascii="Arial Narrow" w:hAnsi="Arial Narrow"/>
                <w:b/>
                <w:bCs/>
                <w:sz w:val="20"/>
                <w:szCs w:val="20"/>
              </w:rPr>
              <w:t>Prescribing Instructions:</w:t>
            </w:r>
          </w:p>
          <w:p w14:paraId="7DF48867" w14:textId="77777777" w:rsidR="003C0A9A" w:rsidRPr="008E6588" w:rsidRDefault="003C0A9A" w:rsidP="003C0A9A">
            <w:pPr>
              <w:rPr>
                <w:rFonts w:ascii="Arial Narrow" w:hAnsi="Arial Narrow"/>
                <w:sz w:val="20"/>
                <w:szCs w:val="20"/>
              </w:rPr>
            </w:pPr>
            <w:r w:rsidRPr="008E6588">
              <w:rPr>
                <w:rFonts w:ascii="Arial Narrow" w:hAnsi="Arial Narrow"/>
                <w:sz w:val="20"/>
                <w:szCs w:val="20"/>
              </w:rPr>
              <w:t>The authority application must be made in writing and must include:</w:t>
            </w:r>
          </w:p>
          <w:p w14:paraId="2921C424" w14:textId="77777777" w:rsidR="003C0A9A" w:rsidRPr="008E6588" w:rsidRDefault="003C0A9A" w:rsidP="003C0A9A">
            <w:pPr>
              <w:rPr>
                <w:rFonts w:ascii="Arial Narrow" w:hAnsi="Arial Narrow"/>
                <w:sz w:val="20"/>
                <w:szCs w:val="20"/>
              </w:rPr>
            </w:pPr>
            <w:r w:rsidRPr="008E6588">
              <w:rPr>
                <w:rFonts w:ascii="Arial Narrow" w:hAnsi="Arial Narrow"/>
                <w:sz w:val="20"/>
                <w:szCs w:val="20"/>
              </w:rPr>
              <w:t>(1) details of the proposed prescription; and</w:t>
            </w:r>
          </w:p>
          <w:p w14:paraId="0F6E6223" w14:textId="77777777" w:rsidR="003C0A9A" w:rsidRPr="008E6588" w:rsidRDefault="003C0A9A" w:rsidP="003C0A9A">
            <w:pPr>
              <w:rPr>
                <w:rFonts w:ascii="Arial Narrow" w:hAnsi="Arial Narrow"/>
                <w:sz w:val="20"/>
                <w:szCs w:val="20"/>
              </w:rPr>
            </w:pPr>
            <w:r w:rsidRPr="008E6588">
              <w:rPr>
                <w:rFonts w:ascii="Arial Narrow" w:hAnsi="Arial Narrow"/>
                <w:sz w:val="20"/>
                <w:szCs w:val="20"/>
              </w:rPr>
              <w:t>(2) a completed authority application form relevant to the indication and treatment phase (the latest version is located on the website specified in the Administrative Advice).</w:t>
            </w:r>
          </w:p>
        </w:tc>
      </w:tr>
      <w:tr w:rsidR="003C0A9A" w:rsidRPr="008E6588" w14:paraId="739F9CFF"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C9EE0" w14:textId="070DD715"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07E4C5" w14:textId="77777777" w:rsidR="003C0A9A" w:rsidRPr="008E6588" w:rsidRDefault="003C0A9A" w:rsidP="003C0A9A">
            <w:pPr>
              <w:rPr>
                <w:rFonts w:ascii="Arial Narrow" w:hAnsi="Arial Narrow"/>
                <w:b/>
                <w:bCs/>
                <w:sz w:val="20"/>
                <w:szCs w:val="20"/>
              </w:rPr>
            </w:pPr>
            <w:r w:rsidRPr="008E6588">
              <w:rPr>
                <w:rFonts w:ascii="Arial Narrow" w:hAnsi="Arial Narrow"/>
                <w:b/>
                <w:bCs/>
                <w:sz w:val="20"/>
                <w:szCs w:val="20"/>
              </w:rPr>
              <w:t>Prescribing Instructions:</w:t>
            </w:r>
          </w:p>
          <w:p w14:paraId="37E03AE6" w14:textId="77777777" w:rsidR="003C0A9A" w:rsidRPr="008E6588" w:rsidRDefault="003C0A9A" w:rsidP="003C0A9A">
            <w:pPr>
              <w:rPr>
                <w:rFonts w:ascii="Arial Narrow" w:hAnsi="Arial Narrow"/>
                <w:sz w:val="20"/>
                <w:szCs w:val="20"/>
              </w:rPr>
            </w:pPr>
            <w:r w:rsidRPr="008E6588">
              <w:rPr>
                <w:rFonts w:ascii="Arial Narrow" w:hAnsi="Arial Narrow"/>
                <w:sz w:val="20"/>
                <w:szCs w:val="20"/>
              </w:rPr>
              <w:t>The following must be provided at the time of application and documented in the patient's medical records:</w:t>
            </w:r>
          </w:p>
          <w:p w14:paraId="30406186" w14:textId="77777777" w:rsidR="003C0A9A" w:rsidRPr="008E6588" w:rsidRDefault="003C0A9A" w:rsidP="003C0A9A">
            <w:pPr>
              <w:rPr>
                <w:rFonts w:ascii="Arial Narrow" w:hAnsi="Arial Narrow"/>
                <w:sz w:val="20"/>
                <w:szCs w:val="20"/>
              </w:rPr>
            </w:pPr>
            <w:r w:rsidRPr="008E6588">
              <w:rPr>
                <w:rFonts w:ascii="Arial Narrow" w:hAnsi="Arial Narrow"/>
                <w:sz w:val="20"/>
                <w:szCs w:val="20"/>
              </w:rPr>
              <w:t>(a) details of prior optimised asthma drug therapy (dosage, date of commencement, duration of therapy); and</w:t>
            </w:r>
          </w:p>
          <w:p w14:paraId="30EA0E99" w14:textId="77777777" w:rsidR="003C0A9A" w:rsidRPr="008E6588" w:rsidRDefault="003C0A9A" w:rsidP="003C0A9A">
            <w:pPr>
              <w:rPr>
                <w:rFonts w:ascii="Arial Narrow" w:hAnsi="Arial Narrow"/>
                <w:sz w:val="20"/>
                <w:szCs w:val="20"/>
              </w:rPr>
            </w:pPr>
            <w:r w:rsidRPr="008E6588">
              <w:rPr>
                <w:rFonts w:ascii="Arial Narrow" w:hAnsi="Arial Narrow"/>
                <w:sz w:val="20"/>
                <w:szCs w:val="20"/>
              </w:rPr>
              <w:t>(b) If applicable, details of contraindications and/or intolerances of a severity necessitating permanent treatment withdrawal to standard therapy according to the relevant TGA-approved Product Information; and</w:t>
            </w:r>
          </w:p>
          <w:p w14:paraId="1E3ED0E9" w14:textId="77777777" w:rsidR="003C0A9A" w:rsidRPr="008E6588" w:rsidRDefault="003C0A9A" w:rsidP="003C0A9A">
            <w:pPr>
              <w:rPr>
                <w:rFonts w:ascii="Arial Narrow" w:hAnsi="Arial Narrow"/>
                <w:sz w:val="20"/>
                <w:szCs w:val="20"/>
              </w:rPr>
            </w:pPr>
            <w:r w:rsidRPr="008E6588">
              <w:rPr>
                <w:rFonts w:ascii="Arial Narrow" w:hAnsi="Arial Narrow"/>
                <w:sz w:val="20"/>
                <w:szCs w:val="20"/>
              </w:rPr>
              <w:t>(c) details of severe exacerbation/s experienced in the past 12 months while receiving optimised asthma therapy (date and treatment); and</w:t>
            </w:r>
          </w:p>
          <w:p w14:paraId="6AE13F80" w14:textId="77777777" w:rsidR="003C0A9A" w:rsidRPr="008E6588" w:rsidRDefault="003C0A9A" w:rsidP="003C0A9A">
            <w:pPr>
              <w:rPr>
                <w:rFonts w:ascii="Arial Narrow" w:hAnsi="Arial Narrow"/>
                <w:sz w:val="20"/>
                <w:szCs w:val="20"/>
              </w:rPr>
            </w:pPr>
            <w:r w:rsidRPr="008E6588">
              <w:rPr>
                <w:rFonts w:ascii="Arial Narrow" w:hAnsi="Arial Narrow"/>
                <w:sz w:val="20"/>
                <w:szCs w:val="20"/>
              </w:rPr>
              <w:t>(d) the IgE result and date; and</w:t>
            </w:r>
          </w:p>
          <w:p w14:paraId="5E4E0EEE" w14:textId="77777777" w:rsidR="003C0A9A" w:rsidRPr="008E6588" w:rsidRDefault="003C0A9A" w:rsidP="003C0A9A">
            <w:pPr>
              <w:rPr>
                <w:rFonts w:ascii="Arial Narrow" w:hAnsi="Arial Narrow"/>
                <w:sz w:val="20"/>
                <w:szCs w:val="20"/>
              </w:rPr>
            </w:pPr>
            <w:r w:rsidRPr="008E6588">
              <w:rPr>
                <w:rFonts w:ascii="Arial Narrow" w:hAnsi="Arial Narrow"/>
                <w:sz w:val="20"/>
                <w:szCs w:val="20"/>
              </w:rPr>
              <w:t>(e) Asthma Control Questionnaire (ACQ-5) score.</w:t>
            </w:r>
          </w:p>
        </w:tc>
      </w:tr>
      <w:tr w:rsidR="003C0A9A" w:rsidRPr="008E6588" w14:paraId="30015FA1"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6C8FD" w14:textId="3900FEE5"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69708C" w14:textId="77777777" w:rsidR="003C0A9A" w:rsidRPr="008E6588" w:rsidRDefault="003C0A9A" w:rsidP="003C0A9A">
            <w:pPr>
              <w:rPr>
                <w:rFonts w:ascii="Arial Narrow" w:hAnsi="Arial Narrow"/>
                <w:sz w:val="20"/>
                <w:szCs w:val="20"/>
              </w:rPr>
            </w:pPr>
            <w:r w:rsidRPr="008E6588">
              <w:rPr>
                <w:rFonts w:ascii="Arial Narrow" w:hAnsi="Arial Narrow"/>
                <w:b/>
                <w:bCs/>
                <w:sz w:val="20"/>
                <w:szCs w:val="20"/>
              </w:rPr>
              <w:t>Administrative Advice</w:t>
            </w:r>
            <w:r w:rsidRPr="008E6588">
              <w:rPr>
                <w:rFonts w:ascii="Arial Narrow" w:hAnsi="Arial Narrow"/>
                <w:sz w:val="20"/>
                <w:szCs w:val="20"/>
              </w:rPr>
              <w:t>:</w:t>
            </w:r>
          </w:p>
          <w:p w14:paraId="090F6E26" w14:textId="77777777" w:rsidR="003C0A9A" w:rsidRPr="008E6588" w:rsidRDefault="003C0A9A" w:rsidP="003C0A9A">
            <w:pPr>
              <w:rPr>
                <w:rFonts w:ascii="Arial Narrow" w:hAnsi="Arial Narrow"/>
                <w:sz w:val="20"/>
                <w:szCs w:val="20"/>
              </w:rPr>
            </w:pPr>
            <w:r w:rsidRPr="008E6588">
              <w:rPr>
                <w:rFonts w:ascii="Arial Narrow" w:hAnsi="Arial Narrow"/>
                <w:sz w:val="20"/>
                <w:szCs w:val="20"/>
              </w:rPr>
              <w:t>The Services Australia website (www.servicesaustralia.gov.au) has details of the accepted toxicities, including severity, which will be accepted for the purposes of exempting a patient from the requirement of treatment with optimised asthma therapy.</w:t>
            </w:r>
          </w:p>
        </w:tc>
      </w:tr>
      <w:tr w:rsidR="003C0A9A" w:rsidRPr="008E6588" w14:paraId="2A9A97E2" w14:textId="77777777" w:rsidTr="003C0A9A">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E6354" w14:textId="763F6EDB" w:rsidR="003C0A9A" w:rsidRPr="008E6588" w:rsidRDefault="003C0A9A" w:rsidP="003C0A9A">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F55E11" w14:textId="77777777" w:rsidR="003C0A9A" w:rsidRPr="008E6588" w:rsidRDefault="003C0A9A" w:rsidP="003C0A9A">
            <w:pPr>
              <w:rPr>
                <w:rFonts w:ascii="Arial Narrow" w:hAnsi="Arial Narrow"/>
                <w:b/>
                <w:bCs/>
                <w:sz w:val="20"/>
                <w:szCs w:val="20"/>
              </w:rPr>
            </w:pPr>
            <w:r w:rsidRPr="008E6588">
              <w:rPr>
                <w:rFonts w:ascii="Arial Narrow" w:hAnsi="Arial Narrow"/>
                <w:b/>
                <w:bCs/>
                <w:sz w:val="20"/>
                <w:szCs w:val="20"/>
              </w:rPr>
              <w:t>Administrative Advice:</w:t>
            </w:r>
          </w:p>
          <w:p w14:paraId="31266FC5" w14:textId="77777777" w:rsidR="003C0A9A" w:rsidRPr="008E6588" w:rsidRDefault="003C0A9A" w:rsidP="003C0A9A">
            <w:pPr>
              <w:rPr>
                <w:rFonts w:ascii="Arial Narrow" w:hAnsi="Arial Narrow"/>
                <w:sz w:val="20"/>
                <w:szCs w:val="20"/>
              </w:rPr>
            </w:pPr>
            <w:r w:rsidRPr="008E6588">
              <w:rPr>
                <w:rFonts w:ascii="Arial Narrow" w:hAnsi="Arial Narrow"/>
                <w:sz w:val="20"/>
                <w:szCs w:val="20"/>
              </w:rPr>
              <w:t>Formal assessment and correction of inhaler technique should be performed in accordance with the National Asthma Council (NAC) Information Paper for Health Professionals on Inhaler Technique (available at www.nationalasthma.org.au); the assessment and adherence to correct technique should be documented in the patient's medical records. Patients can obtain support with inhaler technique through their local Asthma Foundation (1800 645 130).</w:t>
            </w:r>
          </w:p>
        </w:tc>
      </w:tr>
      <w:tr w:rsidR="00435254" w:rsidRPr="008E6588" w14:paraId="3EACC91A" w14:textId="77777777" w:rsidTr="008F6073">
        <w:tblPrEx>
          <w:tblCellMar>
            <w:top w:w="15" w:type="dxa"/>
            <w:bottom w:w="15" w:type="dxa"/>
          </w:tblCellMar>
          <w:tblLook w:val="04A0" w:firstRow="1" w:lastRow="0" w:firstColumn="1" w:lastColumn="0" w:noHBand="0" w:noVBand="1"/>
        </w:tblPrEx>
        <w:trPr>
          <w:cantSplit/>
          <w:trHeight w:val="20"/>
        </w:trPr>
        <w:tc>
          <w:tcPr>
            <w:tcW w:w="4997" w:type="pct"/>
            <w:gridSpan w:val="8"/>
            <w:vAlign w:val="center"/>
          </w:tcPr>
          <w:p w14:paraId="023176F2" w14:textId="65BD2800" w:rsidR="00435254" w:rsidRPr="008E6588" w:rsidRDefault="00435254" w:rsidP="00836DB5">
            <w:pPr>
              <w:rPr>
                <w:rFonts w:ascii="Arial Narrow" w:hAnsi="Arial Narrow"/>
                <w:sz w:val="20"/>
                <w:szCs w:val="20"/>
              </w:rPr>
            </w:pPr>
          </w:p>
        </w:tc>
      </w:tr>
      <w:tr w:rsidR="004164CF" w:rsidRPr="008E6588" w14:paraId="285AA007" w14:textId="77777777" w:rsidTr="008F6073">
        <w:tblPrEx>
          <w:tblCellMar>
            <w:top w:w="15" w:type="dxa"/>
            <w:bottom w:w="15" w:type="dxa"/>
          </w:tblCellMar>
          <w:tblLook w:val="04A0" w:firstRow="1" w:lastRow="0" w:firstColumn="1" w:lastColumn="0" w:noHBand="0" w:noVBand="1"/>
        </w:tblPrEx>
        <w:trPr>
          <w:cantSplit/>
          <w:trHeight w:val="20"/>
        </w:trPr>
        <w:tc>
          <w:tcPr>
            <w:tcW w:w="4997" w:type="pct"/>
            <w:gridSpan w:val="8"/>
            <w:vAlign w:val="center"/>
          </w:tcPr>
          <w:p w14:paraId="6FE46744" w14:textId="77777777" w:rsidR="004164CF" w:rsidRPr="008E6588" w:rsidRDefault="004164CF" w:rsidP="00836DB5">
            <w:pPr>
              <w:rPr>
                <w:rFonts w:ascii="Arial Narrow" w:hAnsi="Arial Narrow"/>
                <w:b/>
                <w:bCs/>
                <w:sz w:val="20"/>
                <w:szCs w:val="20"/>
              </w:rPr>
            </w:pPr>
            <w:r w:rsidRPr="008E6588">
              <w:rPr>
                <w:rFonts w:ascii="Arial Narrow" w:hAnsi="Arial Narrow"/>
                <w:b/>
                <w:bCs/>
                <w:sz w:val="20"/>
                <w:szCs w:val="20"/>
              </w:rPr>
              <w:t>Restriction Summary 15883 / Treatment of Concept: 15870: Authority Required</w:t>
            </w:r>
          </w:p>
        </w:tc>
      </w:tr>
      <w:tr w:rsidR="004164CF" w:rsidRPr="008E6588" w14:paraId="5BE99610" w14:textId="77777777" w:rsidTr="008F6073">
        <w:tblPrEx>
          <w:tblCellMar>
            <w:top w:w="15" w:type="dxa"/>
            <w:bottom w:w="15" w:type="dxa"/>
          </w:tblCellMar>
          <w:tblLook w:val="04A0" w:firstRow="1" w:lastRow="0" w:firstColumn="1" w:lastColumn="0" w:noHBand="0" w:noVBand="1"/>
        </w:tblPrEx>
        <w:trPr>
          <w:cantSplit/>
          <w:trHeight w:val="20"/>
        </w:trPr>
        <w:tc>
          <w:tcPr>
            <w:tcW w:w="704" w:type="pct"/>
            <w:gridSpan w:val="2"/>
            <w:vAlign w:val="center"/>
          </w:tcPr>
          <w:p w14:paraId="37B9FDFE" w14:textId="7A8CB553" w:rsidR="004164CF" w:rsidRPr="008E6588" w:rsidRDefault="004164CF" w:rsidP="00836DB5">
            <w:pPr>
              <w:jc w:val="center"/>
              <w:rPr>
                <w:rFonts w:ascii="Arial Narrow" w:hAnsi="Arial Narrow"/>
                <w:sz w:val="20"/>
                <w:szCs w:val="20"/>
              </w:rPr>
            </w:pPr>
          </w:p>
        </w:tc>
        <w:tc>
          <w:tcPr>
            <w:tcW w:w="4293" w:type="pct"/>
            <w:gridSpan w:val="6"/>
            <w:vAlign w:val="center"/>
          </w:tcPr>
          <w:p w14:paraId="7551BDC1" w14:textId="77777777" w:rsidR="004164CF" w:rsidRPr="008E6588" w:rsidRDefault="004164CF" w:rsidP="00836DB5">
            <w:pPr>
              <w:rPr>
                <w:rFonts w:ascii="Arial Narrow" w:hAnsi="Arial Narrow"/>
                <w:sz w:val="20"/>
                <w:szCs w:val="20"/>
              </w:rPr>
            </w:pPr>
            <w:r w:rsidRPr="008E6588">
              <w:rPr>
                <w:rFonts w:ascii="Arial Narrow" w:hAnsi="Arial Narrow"/>
                <w:b/>
                <w:bCs/>
                <w:sz w:val="20"/>
                <w:szCs w:val="20"/>
              </w:rPr>
              <w:t>Indication:</w:t>
            </w:r>
            <w:r w:rsidRPr="008E6588">
              <w:rPr>
                <w:rFonts w:ascii="Arial Narrow" w:hAnsi="Arial Narrow"/>
                <w:sz w:val="20"/>
                <w:szCs w:val="20"/>
              </w:rPr>
              <w:t xml:space="preserve"> Uncontrolled severe asthma</w:t>
            </w:r>
          </w:p>
        </w:tc>
      </w:tr>
      <w:tr w:rsidR="004164CF" w:rsidRPr="008E6588" w14:paraId="0B68FA1B" w14:textId="77777777" w:rsidTr="008F6073">
        <w:tblPrEx>
          <w:tblCellMar>
            <w:top w:w="15" w:type="dxa"/>
            <w:bottom w:w="15" w:type="dxa"/>
          </w:tblCellMar>
          <w:tblLook w:val="04A0" w:firstRow="1" w:lastRow="0" w:firstColumn="1" w:lastColumn="0" w:noHBand="0" w:noVBand="1"/>
        </w:tblPrEx>
        <w:trPr>
          <w:cantSplit/>
          <w:trHeight w:val="20"/>
        </w:trPr>
        <w:tc>
          <w:tcPr>
            <w:tcW w:w="704" w:type="pct"/>
            <w:gridSpan w:val="2"/>
            <w:vAlign w:val="center"/>
          </w:tcPr>
          <w:p w14:paraId="2B2ED4E2" w14:textId="77777777" w:rsidR="004164CF" w:rsidRPr="008E6588" w:rsidRDefault="004164CF" w:rsidP="00836DB5">
            <w:pPr>
              <w:jc w:val="center"/>
              <w:rPr>
                <w:rFonts w:ascii="Arial Narrow" w:hAnsi="Arial Narrow"/>
                <w:sz w:val="20"/>
                <w:szCs w:val="20"/>
              </w:rPr>
            </w:pPr>
          </w:p>
        </w:tc>
        <w:tc>
          <w:tcPr>
            <w:tcW w:w="4293" w:type="pct"/>
            <w:gridSpan w:val="6"/>
            <w:vAlign w:val="center"/>
          </w:tcPr>
          <w:p w14:paraId="3EA99940" w14:textId="77777777" w:rsidR="004164CF" w:rsidRPr="008E6588" w:rsidRDefault="004164CF" w:rsidP="00836DB5">
            <w:pPr>
              <w:rPr>
                <w:rFonts w:ascii="Arial Narrow" w:hAnsi="Arial Narrow"/>
                <w:sz w:val="20"/>
                <w:szCs w:val="20"/>
              </w:rPr>
            </w:pPr>
            <w:r w:rsidRPr="008E6588">
              <w:rPr>
                <w:rFonts w:ascii="Arial Narrow" w:hAnsi="Arial Narrow"/>
                <w:b/>
                <w:bCs/>
                <w:sz w:val="20"/>
                <w:szCs w:val="20"/>
              </w:rPr>
              <w:t xml:space="preserve">Treatment Phase: </w:t>
            </w:r>
            <w:r w:rsidRPr="008E6588">
              <w:rPr>
                <w:rFonts w:ascii="Arial Narrow" w:hAnsi="Arial Narrow"/>
                <w:sz w:val="20"/>
                <w:szCs w:val="20"/>
              </w:rPr>
              <w:t>Initial treatment - Initial 2 (Change of treatment)</w:t>
            </w:r>
          </w:p>
        </w:tc>
      </w:tr>
      <w:tr w:rsidR="006036C0" w:rsidRPr="008E6588" w14:paraId="45922F94"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0D786" w14:textId="03153568"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F92876" w14:textId="77777777" w:rsidR="006036C0" w:rsidRPr="008E6588" w:rsidRDefault="006036C0" w:rsidP="006036C0">
            <w:pPr>
              <w:rPr>
                <w:rFonts w:ascii="Arial Narrow" w:hAnsi="Arial Narrow"/>
                <w:b/>
                <w:bCs/>
                <w:sz w:val="20"/>
                <w:szCs w:val="20"/>
              </w:rPr>
            </w:pPr>
            <w:r w:rsidRPr="008E6588">
              <w:rPr>
                <w:rFonts w:ascii="Arial Narrow" w:hAnsi="Arial Narrow"/>
                <w:b/>
                <w:bCs/>
                <w:sz w:val="20"/>
                <w:szCs w:val="20"/>
              </w:rPr>
              <w:t>Treatment criteria:</w:t>
            </w:r>
          </w:p>
        </w:tc>
      </w:tr>
      <w:tr w:rsidR="006036C0" w:rsidRPr="008E6588" w14:paraId="5F150AAC"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80C26" w14:textId="5FAE7AD2"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36B6F1" w14:textId="11ACC401" w:rsidR="006036C0" w:rsidRPr="008E6588" w:rsidRDefault="006036C0" w:rsidP="006036C0">
            <w:pPr>
              <w:rPr>
                <w:rFonts w:ascii="Arial Narrow" w:hAnsi="Arial Narrow"/>
                <w:sz w:val="20"/>
                <w:szCs w:val="20"/>
              </w:rPr>
            </w:pPr>
            <w:r w:rsidRPr="008E6588">
              <w:rPr>
                <w:rFonts w:ascii="Arial Narrow" w:hAnsi="Arial Narrow"/>
                <w:sz w:val="20"/>
                <w:szCs w:val="20"/>
              </w:rPr>
              <w:t>Must be treated by a medical practitioner who is either a: (</w:t>
            </w:r>
            <w:proofErr w:type="spellStart"/>
            <w:r w:rsidRPr="008E6588">
              <w:rPr>
                <w:rFonts w:ascii="Arial Narrow" w:hAnsi="Arial Narrow"/>
                <w:sz w:val="20"/>
                <w:szCs w:val="20"/>
              </w:rPr>
              <w:t>i</w:t>
            </w:r>
            <w:proofErr w:type="spellEnd"/>
            <w:r w:rsidRPr="008E6588">
              <w:rPr>
                <w:rFonts w:ascii="Arial Narrow" w:hAnsi="Arial Narrow"/>
                <w:sz w:val="20"/>
                <w:szCs w:val="20"/>
              </w:rPr>
              <w:t>) respiratory physician, (ii) clinical immunologist, (iii) allergist, (iv) general physician experienced in the management of patients with severe asthma</w:t>
            </w:r>
          </w:p>
        </w:tc>
      </w:tr>
      <w:tr w:rsidR="006036C0" w:rsidRPr="008E6588" w14:paraId="2417F98F"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7617E" w14:textId="43AAB24B"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740606" w14:textId="77777777" w:rsidR="006036C0" w:rsidRPr="008E6588" w:rsidRDefault="006036C0" w:rsidP="006036C0">
            <w:pPr>
              <w:rPr>
                <w:rFonts w:ascii="Arial Narrow" w:hAnsi="Arial Narrow"/>
                <w:b/>
                <w:bCs/>
                <w:sz w:val="20"/>
                <w:szCs w:val="20"/>
              </w:rPr>
            </w:pPr>
            <w:r w:rsidRPr="008E6588">
              <w:rPr>
                <w:rFonts w:ascii="Arial Narrow" w:hAnsi="Arial Narrow"/>
                <w:b/>
                <w:bCs/>
                <w:sz w:val="20"/>
                <w:szCs w:val="20"/>
              </w:rPr>
              <w:t>Clinical criteria:</w:t>
            </w:r>
          </w:p>
        </w:tc>
      </w:tr>
      <w:tr w:rsidR="006036C0" w:rsidRPr="008E6588" w14:paraId="22A008ED"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DB392" w14:textId="0686B639"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6ED2F6" w14:textId="26123016" w:rsidR="006036C0" w:rsidRPr="008E6588" w:rsidRDefault="006036C0" w:rsidP="006036C0">
            <w:pPr>
              <w:rPr>
                <w:rFonts w:ascii="Arial Narrow" w:hAnsi="Arial Narrow"/>
                <w:sz w:val="20"/>
                <w:szCs w:val="20"/>
              </w:rPr>
            </w:pPr>
            <w:r w:rsidRPr="008E6588">
              <w:rPr>
                <w:rFonts w:ascii="Arial Narrow" w:hAnsi="Arial Narrow"/>
                <w:sz w:val="20"/>
                <w:szCs w:val="20"/>
              </w:rPr>
              <w:t>Patient must be under the care of the same physician for at least 6 months; or</w:t>
            </w:r>
          </w:p>
        </w:tc>
      </w:tr>
      <w:tr w:rsidR="006036C0" w:rsidRPr="008E6588" w14:paraId="52A1EE85"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3329A" w14:textId="79096D6A"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393B39" w14:textId="72973265" w:rsidR="006036C0" w:rsidRPr="008E6588" w:rsidRDefault="006036C0" w:rsidP="006036C0">
            <w:pPr>
              <w:rPr>
                <w:rFonts w:ascii="Arial Narrow" w:hAnsi="Arial Narrow"/>
                <w:sz w:val="20"/>
                <w:szCs w:val="20"/>
              </w:rPr>
            </w:pPr>
            <w:r w:rsidRPr="008E6588">
              <w:rPr>
                <w:rFonts w:ascii="Arial Narrow" w:hAnsi="Arial Narrow"/>
                <w:sz w:val="20"/>
                <w:szCs w:val="20"/>
              </w:rPr>
              <w:t>Patient must have been diagnosed by a multidisciplinary severe asthma clinic team</w:t>
            </w:r>
          </w:p>
        </w:tc>
      </w:tr>
      <w:tr w:rsidR="006036C0" w:rsidRPr="008E6588" w14:paraId="5E96F038"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8450D" w14:textId="77777777"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8DCA4E" w14:textId="77777777" w:rsidR="006036C0" w:rsidRPr="008E6588" w:rsidRDefault="006036C0" w:rsidP="006036C0">
            <w:pPr>
              <w:rPr>
                <w:rFonts w:ascii="Arial Narrow" w:hAnsi="Arial Narrow"/>
                <w:b/>
                <w:bCs/>
                <w:sz w:val="20"/>
                <w:szCs w:val="20"/>
              </w:rPr>
            </w:pPr>
            <w:r w:rsidRPr="008E6588">
              <w:rPr>
                <w:rFonts w:ascii="Arial Narrow" w:hAnsi="Arial Narrow"/>
                <w:b/>
                <w:bCs/>
                <w:sz w:val="20"/>
                <w:szCs w:val="20"/>
              </w:rPr>
              <w:t>AND</w:t>
            </w:r>
          </w:p>
        </w:tc>
      </w:tr>
      <w:tr w:rsidR="006036C0" w:rsidRPr="008E6588" w14:paraId="0ED2EB6F"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A8509" w14:textId="79B76AFF"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1E8B4D" w14:textId="77777777" w:rsidR="006036C0" w:rsidRPr="008E6588" w:rsidRDefault="006036C0" w:rsidP="006036C0">
            <w:pPr>
              <w:rPr>
                <w:rFonts w:ascii="Arial Narrow" w:hAnsi="Arial Narrow"/>
                <w:b/>
                <w:bCs/>
                <w:sz w:val="20"/>
                <w:szCs w:val="20"/>
              </w:rPr>
            </w:pPr>
            <w:r w:rsidRPr="008E6588">
              <w:rPr>
                <w:rFonts w:ascii="Arial Narrow" w:hAnsi="Arial Narrow"/>
                <w:b/>
                <w:bCs/>
                <w:sz w:val="20"/>
                <w:szCs w:val="20"/>
              </w:rPr>
              <w:t>Clinical criteria:</w:t>
            </w:r>
          </w:p>
        </w:tc>
      </w:tr>
      <w:tr w:rsidR="006036C0" w:rsidRPr="008E6588" w14:paraId="0E3630FC"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EA85D" w14:textId="0C90C3A2"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ADC39C" w14:textId="3DFD0A40" w:rsidR="006036C0" w:rsidRPr="008E6588" w:rsidRDefault="006036C0" w:rsidP="006036C0">
            <w:pPr>
              <w:rPr>
                <w:rFonts w:ascii="Arial Narrow" w:hAnsi="Arial Narrow"/>
                <w:sz w:val="20"/>
                <w:szCs w:val="20"/>
              </w:rPr>
            </w:pPr>
            <w:r w:rsidRPr="008E6588">
              <w:rPr>
                <w:rFonts w:ascii="Arial Narrow" w:hAnsi="Arial Narrow"/>
                <w:sz w:val="20"/>
                <w:szCs w:val="20"/>
              </w:rPr>
              <w:t>Patient must have received prior PBS-subsidised treatment with a biological medicine for severe asthma in this treatment cycle</w:t>
            </w:r>
          </w:p>
        </w:tc>
      </w:tr>
      <w:tr w:rsidR="006036C0" w:rsidRPr="008E6588" w14:paraId="455CEA36"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1EA05" w14:textId="77777777"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7B9DAD" w14:textId="77777777" w:rsidR="006036C0" w:rsidRPr="008E6588" w:rsidRDefault="006036C0" w:rsidP="006036C0">
            <w:pPr>
              <w:rPr>
                <w:rFonts w:ascii="Arial Narrow" w:hAnsi="Arial Narrow"/>
                <w:b/>
                <w:bCs/>
                <w:sz w:val="20"/>
                <w:szCs w:val="20"/>
              </w:rPr>
            </w:pPr>
            <w:r w:rsidRPr="008E6588">
              <w:rPr>
                <w:rFonts w:ascii="Arial Narrow" w:hAnsi="Arial Narrow"/>
                <w:b/>
                <w:bCs/>
                <w:sz w:val="20"/>
                <w:szCs w:val="20"/>
              </w:rPr>
              <w:t>AND</w:t>
            </w:r>
          </w:p>
        </w:tc>
      </w:tr>
      <w:tr w:rsidR="006036C0" w:rsidRPr="008E6588" w14:paraId="1F1C1BB6"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1F6E8" w14:textId="28ADCF3B"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B9DB3A" w14:textId="77777777" w:rsidR="006036C0" w:rsidRPr="008E6588" w:rsidRDefault="006036C0" w:rsidP="006036C0">
            <w:pPr>
              <w:rPr>
                <w:rFonts w:ascii="Arial Narrow" w:hAnsi="Arial Narrow"/>
                <w:b/>
                <w:bCs/>
                <w:sz w:val="20"/>
                <w:szCs w:val="20"/>
              </w:rPr>
            </w:pPr>
            <w:r w:rsidRPr="008E6588">
              <w:rPr>
                <w:rFonts w:ascii="Arial Narrow" w:hAnsi="Arial Narrow"/>
                <w:b/>
                <w:bCs/>
                <w:sz w:val="20"/>
                <w:szCs w:val="20"/>
              </w:rPr>
              <w:t>Clinical criteria:</w:t>
            </w:r>
          </w:p>
        </w:tc>
      </w:tr>
      <w:tr w:rsidR="006036C0" w:rsidRPr="008E6588" w14:paraId="7C2A4A04"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FCE37" w14:textId="2EF3D8CF"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76D731" w14:textId="24E1963C" w:rsidR="006036C0" w:rsidRPr="008E6588" w:rsidRDefault="006036C0" w:rsidP="006036C0">
            <w:pPr>
              <w:rPr>
                <w:rFonts w:ascii="Arial Narrow" w:hAnsi="Arial Narrow"/>
                <w:sz w:val="20"/>
                <w:szCs w:val="20"/>
              </w:rPr>
            </w:pPr>
            <w:r w:rsidRPr="008E6588">
              <w:rPr>
                <w:rFonts w:ascii="Arial Narrow" w:hAnsi="Arial Narrow"/>
                <w:sz w:val="20"/>
                <w:szCs w:val="20"/>
              </w:rPr>
              <w:t>Patient must not have failed, or ceased to respond to, PBS-subsidised treatment with this drug for severe asthma during the current treatment cycle</w:t>
            </w:r>
          </w:p>
        </w:tc>
      </w:tr>
      <w:tr w:rsidR="006036C0" w:rsidRPr="008E6588" w14:paraId="36A0C3A7"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665C6" w14:textId="77777777"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5B538A" w14:textId="77777777" w:rsidR="006036C0" w:rsidRPr="008E6588" w:rsidRDefault="006036C0" w:rsidP="006036C0">
            <w:pPr>
              <w:rPr>
                <w:rFonts w:ascii="Arial Narrow" w:hAnsi="Arial Narrow"/>
                <w:b/>
                <w:bCs/>
                <w:sz w:val="20"/>
                <w:szCs w:val="20"/>
              </w:rPr>
            </w:pPr>
            <w:r w:rsidRPr="008E6588">
              <w:rPr>
                <w:rFonts w:ascii="Arial Narrow" w:hAnsi="Arial Narrow"/>
                <w:b/>
                <w:bCs/>
                <w:sz w:val="20"/>
                <w:szCs w:val="20"/>
              </w:rPr>
              <w:t>AND</w:t>
            </w:r>
          </w:p>
        </w:tc>
      </w:tr>
      <w:tr w:rsidR="006036C0" w:rsidRPr="008E6588" w14:paraId="6184A66D"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EB46F" w14:textId="5BD156E3"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DCED34" w14:textId="77777777" w:rsidR="006036C0" w:rsidRPr="008E6588" w:rsidRDefault="006036C0" w:rsidP="006036C0">
            <w:pPr>
              <w:rPr>
                <w:rFonts w:ascii="Arial Narrow" w:hAnsi="Arial Narrow"/>
                <w:b/>
                <w:bCs/>
                <w:sz w:val="20"/>
                <w:szCs w:val="20"/>
              </w:rPr>
            </w:pPr>
            <w:r w:rsidRPr="008E6588">
              <w:rPr>
                <w:rFonts w:ascii="Arial Narrow" w:hAnsi="Arial Narrow"/>
                <w:b/>
                <w:bCs/>
                <w:sz w:val="20"/>
                <w:szCs w:val="20"/>
              </w:rPr>
              <w:t>Clinical criteria:</w:t>
            </w:r>
          </w:p>
        </w:tc>
      </w:tr>
      <w:tr w:rsidR="006036C0" w:rsidRPr="008E6588" w14:paraId="156A9932"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188D4" w14:textId="08FF2C91"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1AEFB4" w14:textId="2B8761D0" w:rsidR="006036C0" w:rsidRPr="008E6588" w:rsidRDefault="006036C0" w:rsidP="006036C0">
            <w:pPr>
              <w:rPr>
                <w:rFonts w:ascii="Arial Narrow" w:hAnsi="Arial Narrow"/>
                <w:sz w:val="20"/>
                <w:szCs w:val="20"/>
              </w:rPr>
            </w:pPr>
            <w:r w:rsidRPr="008E6588">
              <w:rPr>
                <w:rFonts w:ascii="Arial Narrow" w:hAnsi="Arial Narrow"/>
                <w:sz w:val="20"/>
                <w:szCs w:val="20"/>
              </w:rPr>
              <w:t>Patient must have past or current evidence of atopy, documented by skin prick testing or an in vitro measure of specific IgE in the past 12 months or in the 12 months prior to initiating PBS-subsidised treatment with a biological medicine for severe asthma</w:t>
            </w:r>
          </w:p>
        </w:tc>
      </w:tr>
      <w:tr w:rsidR="006036C0" w:rsidRPr="008E6588" w14:paraId="1BE30F79"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3CD9C" w14:textId="77777777"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73A73A" w14:textId="77777777" w:rsidR="006036C0" w:rsidRPr="008E6588" w:rsidRDefault="006036C0" w:rsidP="006036C0">
            <w:pPr>
              <w:rPr>
                <w:rFonts w:ascii="Arial Narrow" w:hAnsi="Arial Narrow"/>
                <w:b/>
                <w:bCs/>
                <w:sz w:val="20"/>
                <w:szCs w:val="20"/>
              </w:rPr>
            </w:pPr>
            <w:r w:rsidRPr="008E6588">
              <w:rPr>
                <w:rFonts w:ascii="Arial Narrow" w:hAnsi="Arial Narrow"/>
                <w:b/>
                <w:bCs/>
                <w:sz w:val="20"/>
                <w:szCs w:val="20"/>
              </w:rPr>
              <w:t>AND</w:t>
            </w:r>
          </w:p>
        </w:tc>
      </w:tr>
      <w:tr w:rsidR="006036C0" w:rsidRPr="008E6588" w14:paraId="22D99922"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55FA8" w14:textId="405D71F2"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C3B3E8" w14:textId="77777777" w:rsidR="006036C0" w:rsidRPr="008E6588" w:rsidRDefault="006036C0" w:rsidP="006036C0">
            <w:pPr>
              <w:rPr>
                <w:rFonts w:ascii="Arial Narrow" w:hAnsi="Arial Narrow"/>
                <w:b/>
                <w:bCs/>
                <w:sz w:val="20"/>
                <w:szCs w:val="20"/>
              </w:rPr>
            </w:pPr>
            <w:r w:rsidRPr="008E6588">
              <w:rPr>
                <w:rFonts w:ascii="Arial Narrow" w:hAnsi="Arial Narrow"/>
                <w:b/>
                <w:bCs/>
                <w:sz w:val="20"/>
                <w:szCs w:val="20"/>
              </w:rPr>
              <w:t>Clinical criteria:</w:t>
            </w:r>
          </w:p>
        </w:tc>
      </w:tr>
      <w:tr w:rsidR="006036C0" w:rsidRPr="008E6588" w14:paraId="0A488CC4"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47CA1" w14:textId="5BE91E63"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BDE6B5" w14:textId="77B15BFA" w:rsidR="006036C0" w:rsidRPr="008E6588" w:rsidRDefault="006036C0" w:rsidP="006036C0">
            <w:pPr>
              <w:rPr>
                <w:rFonts w:ascii="Arial Narrow" w:hAnsi="Arial Narrow"/>
                <w:sz w:val="20"/>
                <w:szCs w:val="20"/>
              </w:rPr>
            </w:pPr>
            <w:r w:rsidRPr="008E6588">
              <w:rPr>
                <w:rFonts w:ascii="Arial Narrow" w:hAnsi="Arial Narrow"/>
                <w:sz w:val="20"/>
                <w:szCs w:val="20"/>
              </w:rPr>
              <w:t>Patient must have total serum human immunoglobulin E of at least 30 IU/mL, measured no more than 12 months prior to initiating PBS-subsidised treatment with a biological medicine for severe asthma</w:t>
            </w:r>
          </w:p>
        </w:tc>
      </w:tr>
      <w:tr w:rsidR="006036C0" w:rsidRPr="008E6588" w14:paraId="79603F8E"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CFAF8" w14:textId="77777777"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44C5AC" w14:textId="77777777" w:rsidR="006036C0" w:rsidRPr="008E6588" w:rsidRDefault="006036C0" w:rsidP="006036C0">
            <w:pPr>
              <w:rPr>
                <w:rFonts w:ascii="Arial Narrow" w:hAnsi="Arial Narrow"/>
                <w:b/>
                <w:bCs/>
                <w:sz w:val="20"/>
                <w:szCs w:val="20"/>
              </w:rPr>
            </w:pPr>
            <w:r w:rsidRPr="008E6588">
              <w:rPr>
                <w:rFonts w:ascii="Arial Narrow" w:hAnsi="Arial Narrow"/>
                <w:b/>
                <w:bCs/>
                <w:sz w:val="20"/>
                <w:szCs w:val="20"/>
              </w:rPr>
              <w:t>AND</w:t>
            </w:r>
          </w:p>
        </w:tc>
      </w:tr>
      <w:tr w:rsidR="006036C0" w:rsidRPr="008E6588" w14:paraId="59A390D2"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33640" w14:textId="193FB520"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F52544" w14:textId="77777777" w:rsidR="006036C0" w:rsidRPr="008E6588" w:rsidRDefault="006036C0" w:rsidP="006036C0">
            <w:pPr>
              <w:rPr>
                <w:rFonts w:ascii="Arial Narrow" w:hAnsi="Arial Narrow"/>
                <w:b/>
                <w:bCs/>
                <w:sz w:val="20"/>
                <w:szCs w:val="20"/>
              </w:rPr>
            </w:pPr>
            <w:r w:rsidRPr="008E6588">
              <w:rPr>
                <w:rFonts w:ascii="Arial Narrow" w:hAnsi="Arial Narrow"/>
                <w:b/>
                <w:bCs/>
                <w:sz w:val="20"/>
                <w:szCs w:val="20"/>
              </w:rPr>
              <w:t>Clinical criteria:</w:t>
            </w:r>
          </w:p>
        </w:tc>
      </w:tr>
      <w:tr w:rsidR="006036C0" w:rsidRPr="008E6588" w14:paraId="3D63A0F1"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7B083" w14:textId="3C145B73"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3B84D5" w14:textId="32ED3639" w:rsidR="006036C0" w:rsidRPr="008E6588" w:rsidRDefault="006036C0" w:rsidP="006036C0">
            <w:pPr>
              <w:rPr>
                <w:rFonts w:ascii="Arial Narrow" w:hAnsi="Arial Narrow"/>
                <w:sz w:val="20"/>
                <w:szCs w:val="20"/>
              </w:rPr>
            </w:pPr>
            <w:r w:rsidRPr="008E6588">
              <w:rPr>
                <w:rFonts w:ascii="Arial Narrow" w:hAnsi="Arial Narrow"/>
                <w:sz w:val="20"/>
                <w:szCs w:val="20"/>
              </w:rPr>
              <w:t>Patient must not receive more than 32 weeks of treatment under this restriction</w:t>
            </w:r>
          </w:p>
        </w:tc>
      </w:tr>
      <w:tr w:rsidR="006036C0" w:rsidRPr="008E6588" w14:paraId="0E661800"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214EB" w14:textId="77777777"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894D44" w14:textId="77777777" w:rsidR="006036C0" w:rsidRPr="008E6588" w:rsidRDefault="006036C0" w:rsidP="006036C0">
            <w:pPr>
              <w:rPr>
                <w:rFonts w:ascii="Arial Narrow" w:hAnsi="Arial Narrow"/>
                <w:b/>
                <w:bCs/>
                <w:sz w:val="20"/>
                <w:szCs w:val="20"/>
              </w:rPr>
            </w:pPr>
            <w:r w:rsidRPr="008E6588">
              <w:rPr>
                <w:rFonts w:ascii="Arial Narrow" w:hAnsi="Arial Narrow"/>
                <w:b/>
                <w:bCs/>
                <w:sz w:val="20"/>
                <w:szCs w:val="20"/>
              </w:rPr>
              <w:t>AND</w:t>
            </w:r>
          </w:p>
        </w:tc>
      </w:tr>
      <w:tr w:rsidR="006036C0" w:rsidRPr="008E6588" w14:paraId="44E26CD2"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379DC" w14:textId="740527E9"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56E029" w14:textId="77777777" w:rsidR="006036C0" w:rsidRPr="008E6588" w:rsidRDefault="006036C0" w:rsidP="006036C0">
            <w:pPr>
              <w:rPr>
                <w:rFonts w:ascii="Arial Narrow" w:hAnsi="Arial Narrow"/>
                <w:b/>
                <w:bCs/>
                <w:sz w:val="20"/>
                <w:szCs w:val="20"/>
              </w:rPr>
            </w:pPr>
            <w:r w:rsidRPr="008E6588">
              <w:rPr>
                <w:rFonts w:ascii="Arial Narrow" w:hAnsi="Arial Narrow"/>
                <w:b/>
                <w:bCs/>
                <w:sz w:val="20"/>
                <w:szCs w:val="20"/>
              </w:rPr>
              <w:t>Clinical criteria:</w:t>
            </w:r>
          </w:p>
        </w:tc>
      </w:tr>
      <w:tr w:rsidR="006036C0" w:rsidRPr="008E6588" w14:paraId="599ADB64"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58BA8" w14:textId="04D90D62"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7B7DED" w14:textId="6772900B" w:rsidR="006036C0" w:rsidRPr="008E6588" w:rsidRDefault="006036C0" w:rsidP="006036C0">
            <w:pPr>
              <w:rPr>
                <w:rFonts w:ascii="Arial Narrow" w:hAnsi="Arial Narrow"/>
                <w:sz w:val="20"/>
                <w:szCs w:val="20"/>
              </w:rPr>
            </w:pPr>
            <w:r w:rsidRPr="008E6588">
              <w:rPr>
                <w:rFonts w:ascii="Arial Narrow" w:hAnsi="Arial Narrow"/>
                <w:sz w:val="20"/>
                <w:szCs w:val="20"/>
              </w:rPr>
              <w:t>The treatment must not be used in combination with and within 4 weeks of another PBS-subsidised biological medicine prescribed for severe asthma</w:t>
            </w:r>
          </w:p>
        </w:tc>
      </w:tr>
      <w:tr w:rsidR="006036C0" w:rsidRPr="008E6588" w14:paraId="3DD025A5"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F738E" w14:textId="15E32645"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60DB77" w14:textId="77777777" w:rsidR="006036C0" w:rsidRPr="008E6588" w:rsidRDefault="006036C0" w:rsidP="006036C0">
            <w:pPr>
              <w:rPr>
                <w:rFonts w:ascii="Arial Narrow" w:hAnsi="Arial Narrow"/>
                <w:b/>
                <w:bCs/>
                <w:sz w:val="20"/>
                <w:szCs w:val="20"/>
              </w:rPr>
            </w:pPr>
            <w:r w:rsidRPr="008E6588">
              <w:rPr>
                <w:rFonts w:ascii="Arial Narrow" w:hAnsi="Arial Narrow"/>
                <w:b/>
                <w:bCs/>
                <w:sz w:val="20"/>
                <w:szCs w:val="20"/>
              </w:rPr>
              <w:t>Population criteria:</w:t>
            </w:r>
          </w:p>
        </w:tc>
      </w:tr>
      <w:tr w:rsidR="006036C0" w:rsidRPr="008E6588" w14:paraId="09645FEE"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0F45E" w14:textId="463FEB59"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EBBAA6" w14:textId="75D987A8" w:rsidR="006036C0" w:rsidRPr="008E6588" w:rsidRDefault="006036C0" w:rsidP="006036C0">
            <w:pPr>
              <w:rPr>
                <w:rFonts w:ascii="Arial Narrow" w:hAnsi="Arial Narrow"/>
                <w:sz w:val="20"/>
                <w:szCs w:val="20"/>
              </w:rPr>
            </w:pPr>
            <w:r w:rsidRPr="008E6588">
              <w:rPr>
                <w:rFonts w:ascii="Arial Narrow" w:hAnsi="Arial Narrow"/>
                <w:sz w:val="20"/>
                <w:szCs w:val="20"/>
              </w:rPr>
              <w:t>Patient must be aged 12 years or older</w:t>
            </w:r>
          </w:p>
        </w:tc>
      </w:tr>
      <w:tr w:rsidR="006036C0" w:rsidRPr="008E6588" w14:paraId="539BAAFC"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0D6F8" w14:textId="1D349DB6"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03DA10" w14:textId="77777777" w:rsidR="006036C0" w:rsidRPr="008E6588" w:rsidRDefault="006036C0" w:rsidP="006036C0">
            <w:pPr>
              <w:rPr>
                <w:rFonts w:ascii="Arial Narrow" w:hAnsi="Arial Narrow"/>
                <w:b/>
                <w:bCs/>
                <w:sz w:val="20"/>
                <w:szCs w:val="20"/>
              </w:rPr>
            </w:pPr>
            <w:r w:rsidRPr="008E6588">
              <w:rPr>
                <w:rFonts w:ascii="Arial Narrow" w:hAnsi="Arial Narrow"/>
                <w:b/>
                <w:bCs/>
                <w:sz w:val="20"/>
                <w:szCs w:val="20"/>
              </w:rPr>
              <w:t>Prescribing Instructions:</w:t>
            </w:r>
          </w:p>
          <w:p w14:paraId="45D155DA" w14:textId="77777777" w:rsidR="006036C0" w:rsidRPr="008E6588" w:rsidRDefault="006036C0" w:rsidP="006036C0">
            <w:pPr>
              <w:rPr>
                <w:rFonts w:ascii="Arial Narrow" w:hAnsi="Arial Narrow"/>
                <w:sz w:val="20"/>
                <w:szCs w:val="20"/>
              </w:rPr>
            </w:pPr>
            <w:r w:rsidRPr="008E6588">
              <w:rPr>
                <w:rFonts w:ascii="Arial Narrow" w:hAnsi="Arial Narrow"/>
                <w:sz w:val="20"/>
                <w:szCs w:val="20"/>
              </w:rPr>
              <w:t>An application for a patient who has received PBS-subsidised biological medicine treatment for this condition who wishes to change therapy to this biological medicine, must be accompanied by the results of an ACQ-5 assessment of the patient's most recent course of PBS-subsidised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p>
          <w:p w14:paraId="0AD77553" w14:textId="77777777" w:rsidR="006036C0" w:rsidRPr="008E6588" w:rsidRDefault="006036C0" w:rsidP="006036C0">
            <w:pPr>
              <w:rPr>
                <w:rFonts w:ascii="Arial Narrow" w:hAnsi="Arial Narrow"/>
                <w:sz w:val="20"/>
                <w:szCs w:val="20"/>
              </w:rPr>
            </w:pPr>
            <w:r w:rsidRPr="008E6588">
              <w:rPr>
                <w:rFonts w:ascii="Arial Narrow" w:hAnsi="Arial Narrow"/>
                <w:sz w:val="20"/>
                <w:szCs w:val="20"/>
              </w:rPr>
              <w:t>An ACQ-5 assessment of the patient may be made at the time of application for treatment (to establish a new baseline score</w:t>
            </w:r>
            <w:proofErr w:type="gramStart"/>
            <w:r w:rsidRPr="008E6588">
              <w:rPr>
                <w:rFonts w:ascii="Arial Narrow" w:hAnsi="Arial Narrow"/>
                <w:sz w:val="20"/>
                <w:szCs w:val="20"/>
              </w:rPr>
              <w:t>), but</w:t>
            </w:r>
            <w:proofErr w:type="gramEnd"/>
            <w:r w:rsidRPr="008E6588">
              <w:rPr>
                <w:rFonts w:ascii="Arial Narrow" w:hAnsi="Arial Narrow"/>
                <w:sz w:val="20"/>
                <w:szCs w:val="20"/>
              </w:rPr>
              <w:t xml:space="preserve"> should be made again around 28 weeks after the first PBS-subsidised dose of this biological medicine under this restriction so that there is adequate time for a response to be demonstrated and for the application for the first continuing therapy to be processed.</w:t>
            </w:r>
          </w:p>
          <w:p w14:paraId="06BCB591" w14:textId="77777777" w:rsidR="006036C0" w:rsidRPr="008E6588" w:rsidRDefault="006036C0" w:rsidP="006036C0">
            <w:pPr>
              <w:rPr>
                <w:rFonts w:ascii="Arial Narrow" w:hAnsi="Arial Narrow"/>
                <w:sz w:val="20"/>
                <w:szCs w:val="20"/>
              </w:rPr>
            </w:pPr>
            <w:r w:rsidRPr="008E6588">
              <w:rPr>
                <w:rFonts w:ascii="Arial Narrow" w:hAnsi="Arial Narrow"/>
                <w:sz w:val="20"/>
                <w:szCs w:val="20"/>
              </w:rPr>
              <w:t>This assessment, which will be used to determine eligibility for the first continuing treatment, should be conducted within 4 weeks of the last dose of biological medicine. Where a response assessment is not undertaken and provided, the patient will be deemed to have failed to respond to treatment with this biological medicine.</w:t>
            </w:r>
          </w:p>
          <w:p w14:paraId="108E28F0" w14:textId="77777777" w:rsidR="006036C0" w:rsidRPr="008E6588" w:rsidRDefault="006036C0" w:rsidP="006036C0">
            <w:pPr>
              <w:rPr>
                <w:rFonts w:ascii="Arial Narrow" w:hAnsi="Arial Narrow"/>
                <w:sz w:val="20"/>
                <w:szCs w:val="20"/>
              </w:rPr>
            </w:pPr>
            <w:r w:rsidRPr="008E6588">
              <w:rPr>
                <w:rFonts w:ascii="Arial Narrow" w:hAnsi="Arial Narrow"/>
                <w:sz w:val="20"/>
                <w:szCs w:val="20"/>
              </w:rPr>
              <w:t>At the time of the authority application, medical practitioners should request an appropriate maximum quantity based on IgE level and body weight (refer to the TGA-approved Product Information) to be administered every 2 to 4 weeks and up to 7 repeats to provide for an initial course sufficient for up to 32 weeks of therapy.</w:t>
            </w:r>
          </w:p>
          <w:p w14:paraId="38C52793" w14:textId="77777777" w:rsidR="006036C0" w:rsidRPr="008E6588" w:rsidRDefault="006036C0" w:rsidP="006036C0">
            <w:pPr>
              <w:rPr>
                <w:rFonts w:ascii="Arial Narrow" w:hAnsi="Arial Narrow"/>
                <w:sz w:val="20"/>
                <w:szCs w:val="20"/>
              </w:rPr>
            </w:pPr>
            <w:r w:rsidRPr="008E6588">
              <w:rPr>
                <w:rFonts w:ascii="Arial Narrow" w:hAnsi="Arial Narrow"/>
                <w:sz w:val="20"/>
                <w:szCs w:val="20"/>
              </w:rPr>
              <w:t>A multidisciplinary severe asthma clinic team comprises of:</w:t>
            </w:r>
          </w:p>
          <w:p w14:paraId="7E8C0891" w14:textId="77777777" w:rsidR="006036C0" w:rsidRPr="008E6588" w:rsidRDefault="006036C0" w:rsidP="006036C0">
            <w:pPr>
              <w:rPr>
                <w:rFonts w:ascii="Arial Narrow" w:hAnsi="Arial Narrow"/>
                <w:sz w:val="20"/>
                <w:szCs w:val="20"/>
              </w:rPr>
            </w:pPr>
            <w:r w:rsidRPr="008E6588">
              <w:rPr>
                <w:rFonts w:ascii="Arial Narrow" w:hAnsi="Arial Narrow"/>
                <w:sz w:val="20"/>
                <w:szCs w:val="20"/>
              </w:rPr>
              <w:t>(</w:t>
            </w:r>
            <w:proofErr w:type="spellStart"/>
            <w:r w:rsidRPr="008E6588">
              <w:rPr>
                <w:rFonts w:ascii="Arial Narrow" w:hAnsi="Arial Narrow"/>
                <w:sz w:val="20"/>
                <w:szCs w:val="20"/>
              </w:rPr>
              <w:t>i</w:t>
            </w:r>
            <w:proofErr w:type="spellEnd"/>
            <w:r w:rsidRPr="008E6588">
              <w:rPr>
                <w:rFonts w:ascii="Arial Narrow" w:hAnsi="Arial Narrow"/>
                <w:sz w:val="20"/>
                <w:szCs w:val="20"/>
              </w:rPr>
              <w:t>) A respiratory physician; and</w:t>
            </w:r>
          </w:p>
          <w:p w14:paraId="5D319E88" w14:textId="77777777" w:rsidR="006036C0" w:rsidRPr="008E6588" w:rsidRDefault="006036C0" w:rsidP="006036C0">
            <w:pPr>
              <w:rPr>
                <w:rFonts w:ascii="Arial Narrow" w:hAnsi="Arial Narrow"/>
                <w:b/>
                <w:bCs/>
                <w:sz w:val="20"/>
                <w:szCs w:val="20"/>
              </w:rPr>
            </w:pPr>
            <w:r w:rsidRPr="008E6588">
              <w:rPr>
                <w:rFonts w:ascii="Arial Narrow" w:hAnsi="Arial Narrow"/>
                <w:sz w:val="20"/>
                <w:szCs w:val="20"/>
              </w:rPr>
              <w:t>(ii) A pharmacist, nurse or asthma educator.</w:t>
            </w:r>
          </w:p>
        </w:tc>
      </w:tr>
      <w:tr w:rsidR="006036C0" w:rsidRPr="008E6588" w14:paraId="10ECA895"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4701F" w14:textId="3F3B1B35"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DE5431" w14:textId="77777777" w:rsidR="006036C0" w:rsidRPr="008E6588" w:rsidRDefault="006036C0" w:rsidP="006036C0">
            <w:pPr>
              <w:rPr>
                <w:rFonts w:ascii="Arial Narrow" w:hAnsi="Arial Narrow"/>
                <w:b/>
                <w:bCs/>
                <w:sz w:val="20"/>
                <w:szCs w:val="20"/>
              </w:rPr>
            </w:pPr>
            <w:r w:rsidRPr="008E6588">
              <w:rPr>
                <w:rFonts w:ascii="Arial Narrow" w:hAnsi="Arial Narrow"/>
                <w:b/>
                <w:bCs/>
                <w:sz w:val="20"/>
                <w:szCs w:val="20"/>
              </w:rPr>
              <w:t>Prescribing Instructions:</w:t>
            </w:r>
          </w:p>
          <w:p w14:paraId="0D50AA1B" w14:textId="77777777" w:rsidR="006036C0" w:rsidRPr="008E6588" w:rsidRDefault="006036C0" w:rsidP="006036C0">
            <w:pPr>
              <w:rPr>
                <w:rFonts w:ascii="Arial Narrow" w:hAnsi="Arial Narrow"/>
                <w:sz w:val="20"/>
                <w:szCs w:val="20"/>
              </w:rPr>
            </w:pPr>
            <w:r w:rsidRPr="008E6588">
              <w:rPr>
                <w:rFonts w:ascii="Arial Narrow" w:hAnsi="Arial Narrow"/>
                <w:sz w:val="20"/>
                <w:szCs w:val="20"/>
              </w:rPr>
              <w:t>The authority application must be made in writing and must include:</w:t>
            </w:r>
          </w:p>
          <w:p w14:paraId="6A9A7A2A" w14:textId="77777777" w:rsidR="006036C0" w:rsidRPr="008E6588" w:rsidRDefault="006036C0" w:rsidP="006036C0">
            <w:pPr>
              <w:rPr>
                <w:rFonts w:ascii="Arial Narrow" w:hAnsi="Arial Narrow"/>
                <w:sz w:val="20"/>
                <w:szCs w:val="20"/>
              </w:rPr>
            </w:pPr>
            <w:r w:rsidRPr="008E6588">
              <w:rPr>
                <w:rFonts w:ascii="Arial Narrow" w:hAnsi="Arial Narrow"/>
                <w:sz w:val="20"/>
                <w:szCs w:val="20"/>
              </w:rPr>
              <w:t>(1) details of the proposed prescription; and</w:t>
            </w:r>
          </w:p>
          <w:p w14:paraId="434D8B7A" w14:textId="77777777" w:rsidR="006036C0" w:rsidRPr="008E6588" w:rsidRDefault="006036C0" w:rsidP="006036C0">
            <w:pPr>
              <w:rPr>
                <w:rFonts w:ascii="Arial Narrow" w:hAnsi="Arial Narrow"/>
                <w:b/>
                <w:bCs/>
                <w:sz w:val="20"/>
                <w:szCs w:val="20"/>
              </w:rPr>
            </w:pPr>
            <w:r w:rsidRPr="008E6588">
              <w:rPr>
                <w:rFonts w:ascii="Arial Narrow" w:hAnsi="Arial Narrow"/>
                <w:sz w:val="20"/>
                <w:szCs w:val="20"/>
              </w:rPr>
              <w:t>(2) a completed authority application form relevant to the indication and treatment phase (the latest version is located on the website specified in the Administrative Advice).</w:t>
            </w:r>
          </w:p>
        </w:tc>
      </w:tr>
      <w:tr w:rsidR="006036C0" w:rsidRPr="008E6588" w14:paraId="2EBEB70B" w14:textId="77777777" w:rsidTr="006036C0">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C06C3" w14:textId="635EB42C" w:rsidR="006036C0" w:rsidRPr="008E6588" w:rsidRDefault="006036C0" w:rsidP="006036C0">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6C4E3F" w14:textId="77777777" w:rsidR="006036C0" w:rsidRPr="008E6588" w:rsidRDefault="006036C0" w:rsidP="006036C0">
            <w:pPr>
              <w:rPr>
                <w:rFonts w:ascii="Arial Narrow" w:hAnsi="Arial Narrow"/>
                <w:b/>
                <w:bCs/>
                <w:sz w:val="20"/>
                <w:szCs w:val="20"/>
              </w:rPr>
            </w:pPr>
            <w:r w:rsidRPr="008E6588">
              <w:rPr>
                <w:rFonts w:ascii="Arial Narrow" w:hAnsi="Arial Narrow"/>
                <w:b/>
                <w:bCs/>
                <w:sz w:val="20"/>
                <w:szCs w:val="20"/>
              </w:rPr>
              <w:t>Prescribing Instructions:</w:t>
            </w:r>
          </w:p>
          <w:p w14:paraId="10026D7A" w14:textId="77777777" w:rsidR="006036C0" w:rsidRPr="008E6588" w:rsidRDefault="006036C0" w:rsidP="006036C0">
            <w:pPr>
              <w:rPr>
                <w:rFonts w:ascii="Arial Narrow" w:hAnsi="Arial Narrow"/>
                <w:sz w:val="20"/>
                <w:szCs w:val="20"/>
              </w:rPr>
            </w:pPr>
            <w:r w:rsidRPr="008E6588">
              <w:rPr>
                <w:rFonts w:ascii="Arial Narrow" w:hAnsi="Arial Narrow"/>
                <w:sz w:val="20"/>
                <w:szCs w:val="20"/>
              </w:rPr>
              <w:t>The following must be provided at the time of application and documented in the patient's medical records:</w:t>
            </w:r>
          </w:p>
          <w:p w14:paraId="482EA9B4" w14:textId="77777777" w:rsidR="006036C0" w:rsidRPr="008E6588" w:rsidRDefault="006036C0" w:rsidP="006036C0">
            <w:pPr>
              <w:rPr>
                <w:rFonts w:ascii="Arial Narrow" w:hAnsi="Arial Narrow"/>
                <w:sz w:val="20"/>
                <w:szCs w:val="20"/>
              </w:rPr>
            </w:pPr>
            <w:r w:rsidRPr="008E6588">
              <w:rPr>
                <w:rFonts w:ascii="Arial Narrow" w:hAnsi="Arial Narrow"/>
                <w:sz w:val="20"/>
                <w:szCs w:val="20"/>
              </w:rPr>
              <w:t>(a) Asthma Control Questionnaire (ACQ-5 item version) score (where a new baseline is being submitted or where the patient has responded to prior treatment); and</w:t>
            </w:r>
          </w:p>
          <w:p w14:paraId="41313AB4" w14:textId="77777777" w:rsidR="006036C0" w:rsidRPr="008E6588" w:rsidRDefault="006036C0" w:rsidP="006036C0">
            <w:pPr>
              <w:rPr>
                <w:rFonts w:ascii="Arial Narrow" w:hAnsi="Arial Narrow"/>
                <w:sz w:val="20"/>
                <w:szCs w:val="20"/>
              </w:rPr>
            </w:pPr>
            <w:r w:rsidRPr="008E6588">
              <w:rPr>
                <w:rFonts w:ascii="Arial Narrow" w:hAnsi="Arial Narrow"/>
                <w:sz w:val="20"/>
                <w:szCs w:val="20"/>
              </w:rPr>
              <w:t>(b) details (date and duration of treatment) of prior biological medicine treatment; and</w:t>
            </w:r>
          </w:p>
          <w:p w14:paraId="18A5DCD7" w14:textId="77777777" w:rsidR="006036C0" w:rsidRPr="008E6588" w:rsidRDefault="006036C0" w:rsidP="006036C0">
            <w:pPr>
              <w:rPr>
                <w:rFonts w:ascii="Arial Narrow" w:hAnsi="Arial Narrow"/>
                <w:sz w:val="20"/>
                <w:szCs w:val="20"/>
              </w:rPr>
            </w:pPr>
            <w:r w:rsidRPr="008E6588">
              <w:rPr>
                <w:rFonts w:ascii="Arial Narrow" w:hAnsi="Arial Narrow"/>
                <w:sz w:val="20"/>
                <w:szCs w:val="20"/>
              </w:rPr>
              <w:t>(c) the IgE results and date; and</w:t>
            </w:r>
          </w:p>
          <w:p w14:paraId="2E15E897" w14:textId="77777777" w:rsidR="006036C0" w:rsidRPr="008E6588" w:rsidRDefault="006036C0" w:rsidP="006036C0">
            <w:pPr>
              <w:rPr>
                <w:rFonts w:ascii="Arial Narrow" w:hAnsi="Arial Narrow"/>
                <w:sz w:val="20"/>
                <w:szCs w:val="20"/>
              </w:rPr>
            </w:pPr>
            <w:r w:rsidRPr="008E6588">
              <w:rPr>
                <w:rFonts w:ascii="Arial Narrow" w:hAnsi="Arial Narrow"/>
                <w:sz w:val="20"/>
                <w:szCs w:val="20"/>
              </w:rPr>
              <w:t>(d) if applicable, the dose of the maintenance oral corticosteroid (where the response criteria or baseline is based on corticosteroid dose); and</w:t>
            </w:r>
          </w:p>
          <w:p w14:paraId="1988C372" w14:textId="77777777" w:rsidR="006036C0" w:rsidRPr="008E6588" w:rsidRDefault="006036C0" w:rsidP="006036C0">
            <w:pPr>
              <w:rPr>
                <w:rFonts w:ascii="Arial Narrow" w:hAnsi="Arial Narrow"/>
                <w:b/>
                <w:bCs/>
                <w:sz w:val="20"/>
                <w:szCs w:val="20"/>
              </w:rPr>
            </w:pPr>
            <w:r w:rsidRPr="008E6588">
              <w:rPr>
                <w:rFonts w:ascii="Arial Narrow" w:hAnsi="Arial Narrow"/>
                <w:sz w:val="20"/>
                <w:szCs w:val="20"/>
              </w:rPr>
              <w:t>(e) the reason for switching therapy (e.g. failure of prior therapy, partial response to prior therapy, adverse event to prior therapy).</w:t>
            </w:r>
          </w:p>
        </w:tc>
      </w:tr>
    </w:tbl>
    <w:p w14:paraId="47F3EE0B" w14:textId="77777777" w:rsidR="003042E7" w:rsidRPr="008E6588" w:rsidRDefault="003042E7">
      <w:pPr>
        <w:rPr>
          <w:rFonts w:ascii="Arial Narrow" w:hAnsi="Arial Narrow"/>
          <w:sz w:val="20"/>
          <w:szCs w:val="20"/>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commended listing"/>
        <w:tblDescription w:val="Indication: uncontrolled severe asthma - initial treatment&#10;omalizumab 150 mg/mL injection, 1 mL syringe - item code 10109C/ Public&#10;omalizumab 150 mg/mL injection, 1 mL syringe - item code 10122R/ Private&#10;omalizumab 150 mg/mL injection, 1 mL pen device - NEW item / Public&#10;omalizumab 150 mg/mL injection, 1 mL pen device - NEW item / Private&#10;"/>
      </w:tblPr>
      <w:tblGrid>
        <w:gridCol w:w="569"/>
        <w:gridCol w:w="707"/>
        <w:gridCol w:w="2972"/>
        <w:gridCol w:w="992"/>
        <w:gridCol w:w="992"/>
        <w:gridCol w:w="992"/>
        <w:gridCol w:w="850"/>
        <w:gridCol w:w="947"/>
      </w:tblGrid>
      <w:tr w:rsidR="00EB3A92" w:rsidRPr="008E6588" w14:paraId="7A676939" w14:textId="77777777" w:rsidTr="00836DB5">
        <w:trPr>
          <w:cantSplit/>
          <w:trHeight w:val="20"/>
        </w:trPr>
        <w:tc>
          <w:tcPr>
            <w:tcW w:w="2354" w:type="pct"/>
            <w:gridSpan w:val="3"/>
          </w:tcPr>
          <w:p w14:paraId="77DCB2F0" w14:textId="77777777" w:rsidR="00EB3A92" w:rsidRPr="008E6588" w:rsidRDefault="00EB3A92" w:rsidP="003759A5">
            <w:pPr>
              <w:widowControl w:val="0"/>
              <w:jc w:val="left"/>
              <w:rPr>
                <w:rFonts w:ascii="Arial Narrow" w:hAnsi="Arial Narrow" w:cs="Arial"/>
                <w:b/>
                <w:bCs/>
                <w:sz w:val="20"/>
                <w:szCs w:val="20"/>
              </w:rPr>
            </w:pPr>
            <w:r w:rsidRPr="008E6588">
              <w:rPr>
                <w:rFonts w:ascii="Arial Narrow" w:hAnsi="Arial Narrow" w:cs="Arial"/>
                <w:b/>
                <w:bCs/>
                <w:sz w:val="20"/>
                <w:szCs w:val="20"/>
              </w:rPr>
              <w:t>MEDICINAL PRODUCT</w:t>
            </w:r>
          </w:p>
          <w:p w14:paraId="68C99EFD" w14:textId="77777777" w:rsidR="00EB3A92" w:rsidRPr="008E6588" w:rsidRDefault="00EB3A92" w:rsidP="003759A5">
            <w:pPr>
              <w:widowControl w:val="0"/>
              <w:jc w:val="left"/>
              <w:rPr>
                <w:rFonts w:ascii="Arial Narrow" w:hAnsi="Arial Narrow" w:cs="Arial"/>
                <w:b/>
                <w:sz w:val="20"/>
                <w:szCs w:val="20"/>
              </w:rPr>
            </w:pPr>
            <w:r w:rsidRPr="008E6588">
              <w:rPr>
                <w:rFonts w:ascii="Arial Narrow" w:hAnsi="Arial Narrow" w:cs="Arial"/>
                <w:b/>
                <w:bCs/>
                <w:sz w:val="20"/>
                <w:szCs w:val="20"/>
              </w:rPr>
              <w:t>medicinal product pack</w:t>
            </w:r>
          </w:p>
        </w:tc>
        <w:tc>
          <w:tcPr>
            <w:tcW w:w="550" w:type="pct"/>
          </w:tcPr>
          <w:p w14:paraId="19E54F37" w14:textId="77777777" w:rsidR="00EB3A92" w:rsidRPr="008E6588" w:rsidRDefault="00EB3A92" w:rsidP="003759A5">
            <w:pPr>
              <w:widowControl w:val="0"/>
              <w:jc w:val="left"/>
              <w:rPr>
                <w:rFonts w:ascii="Arial Narrow" w:hAnsi="Arial Narrow" w:cs="Arial"/>
                <w:b/>
                <w:sz w:val="20"/>
                <w:szCs w:val="20"/>
              </w:rPr>
            </w:pPr>
            <w:r w:rsidRPr="008E6588">
              <w:rPr>
                <w:rFonts w:ascii="Arial Narrow" w:hAnsi="Arial Narrow" w:cs="Arial"/>
                <w:b/>
                <w:sz w:val="20"/>
                <w:szCs w:val="20"/>
              </w:rPr>
              <w:t>PBS item code</w:t>
            </w:r>
          </w:p>
        </w:tc>
        <w:tc>
          <w:tcPr>
            <w:tcW w:w="550" w:type="pct"/>
          </w:tcPr>
          <w:p w14:paraId="0D1CBBC3" w14:textId="77777777" w:rsidR="00EB3A92" w:rsidRPr="008E6588" w:rsidRDefault="00EB3A92" w:rsidP="003759A5">
            <w:pPr>
              <w:widowControl w:val="0"/>
              <w:jc w:val="left"/>
              <w:rPr>
                <w:rFonts w:ascii="Arial Narrow" w:hAnsi="Arial Narrow" w:cs="Arial"/>
                <w:b/>
                <w:sz w:val="20"/>
                <w:szCs w:val="20"/>
              </w:rPr>
            </w:pPr>
            <w:r w:rsidRPr="008E6588">
              <w:rPr>
                <w:rFonts w:ascii="Arial Narrow" w:hAnsi="Arial Narrow" w:cs="Arial"/>
                <w:b/>
                <w:sz w:val="20"/>
                <w:szCs w:val="20"/>
              </w:rPr>
              <w:t>Max. qty packs</w:t>
            </w:r>
          </w:p>
        </w:tc>
        <w:tc>
          <w:tcPr>
            <w:tcW w:w="550" w:type="pct"/>
          </w:tcPr>
          <w:p w14:paraId="225BE5F5" w14:textId="77777777" w:rsidR="00EB3A92" w:rsidRPr="008E6588" w:rsidRDefault="00EB3A92" w:rsidP="003759A5">
            <w:pPr>
              <w:widowControl w:val="0"/>
              <w:jc w:val="left"/>
              <w:rPr>
                <w:rFonts w:ascii="Arial Narrow" w:hAnsi="Arial Narrow" w:cs="Arial"/>
                <w:b/>
                <w:sz w:val="20"/>
                <w:szCs w:val="20"/>
              </w:rPr>
            </w:pPr>
            <w:r w:rsidRPr="008E6588">
              <w:rPr>
                <w:rFonts w:ascii="Arial Narrow" w:hAnsi="Arial Narrow" w:cs="Arial"/>
                <w:b/>
                <w:sz w:val="20"/>
                <w:szCs w:val="20"/>
              </w:rPr>
              <w:t>Max. qty units</w:t>
            </w:r>
          </w:p>
        </w:tc>
        <w:tc>
          <w:tcPr>
            <w:tcW w:w="471" w:type="pct"/>
          </w:tcPr>
          <w:p w14:paraId="3A91B1BC" w14:textId="77777777" w:rsidR="00EB3A92" w:rsidRPr="008E6588" w:rsidRDefault="00EB3A92" w:rsidP="003759A5">
            <w:pPr>
              <w:widowControl w:val="0"/>
              <w:jc w:val="left"/>
              <w:rPr>
                <w:rFonts w:ascii="Arial Narrow" w:hAnsi="Arial Narrow" w:cs="Arial"/>
                <w:b/>
                <w:bCs/>
                <w:sz w:val="20"/>
                <w:szCs w:val="20"/>
              </w:rPr>
            </w:pPr>
            <w:proofErr w:type="gramStart"/>
            <w:r w:rsidRPr="008E6588">
              <w:rPr>
                <w:rFonts w:ascii="Arial Narrow" w:hAnsi="Arial Narrow" w:cs="Arial"/>
                <w:b/>
                <w:bCs/>
                <w:sz w:val="20"/>
                <w:szCs w:val="20"/>
              </w:rPr>
              <w:t>№.of</w:t>
            </w:r>
            <w:proofErr w:type="gramEnd"/>
          </w:p>
          <w:p w14:paraId="025C48F3" w14:textId="77777777" w:rsidR="00EB3A92" w:rsidRPr="008E6588" w:rsidRDefault="00EB3A92" w:rsidP="003759A5">
            <w:pPr>
              <w:widowControl w:val="0"/>
              <w:jc w:val="left"/>
              <w:rPr>
                <w:rFonts w:ascii="Arial Narrow" w:hAnsi="Arial Narrow" w:cs="Arial"/>
                <w:b/>
                <w:bCs/>
                <w:sz w:val="20"/>
                <w:szCs w:val="20"/>
              </w:rPr>
            </w:pPr>
            <w:r w:rsidRPr="008E6588">
              <w:rPr>
                <w:rFonts w:ascii="Arial Narrow" w:hAnsi="Arial Narrow" w:cs="Arial"/>
                <w:b/>
                <w:bCs/>
                <w:sz w:val="20"/>
                <w:szCs w:val="20"/>
              </w:rPr>
              <w:t>Rpts</w:t>
            </w:r>
          </w:p>
        </w:tc>
        <w:tc>
          <w:tcPr>
            <w:tcW w:w="522" w:type="pct"/>
          </w:tcPr>
          <w:p w14:paraId="296748FA" w14:textId="77777777" w:rsidR="00EB3A92" w:rsidRPr="008E6588" w:rsidRDefault="00EB3A92" w:rsidP="003759A5">
            <w:pPr>
              <w:widowControl w:val="0"/>
              <w:jc w:val="left"/>
              <w:rPr>
                <w:rFonts w:ascii="Arial Narrow" w:hAnsi="Arial Narrow" w:cs="Arial"/>
                <w:b/>
                <w:sz w:val="20"/>
                <w:szCs w:val="20"/>
                <w:lang w:val="fr-FR"/>
              </w:rPr>
            </w:pPr>
            <w:r w:rsidRPr="008E6588">
              <w:rPr>
                <w:rFonts w:ascii="Arial Narrow" w:hAnsi="Arial Narrow" w:cs="Arial"/>
                <w:b/>
                <w:sz w:val="20"/>
                <w:szCs w:val="20"/>
              </w:rPr>
              <w:t>Available brands</w:t>
            </w:r>
          </w:p>
        </w:tc>
      </w:tr>
      <w:tr w:rsidR="00EB3A92" w:rsidRPr="008E6588" w14:paraId="6F075175" w14:textId="77777777" w:rsidTr="00836DB5">
        <w:trPr>
          <w:cantSplit/>
          <w:trHeight w:val="20"/>
        </w:trPr>
        <w:tc>
          <w:tcPr>
            <w:tcW w:w="4997" w:type="pct"/>
            <w:gridSpan w:val="8"/>
            <w:vAlign w:val="center"/>
          </w:tcPr>
          <w:p w14:paraId="6C3CAEB5" w14:textId="77777777" w:rsidR="00EB3A92" w:rsidRPr="008E6588" w:rsidRDefault="00EB3A92" w:rsidP="003759A5">
            <w:pPr>
              <w:widowControl w:val="0"/>
              <w:rPr>
                <w:rFonts w:ascii="Arial Narrow" w:hAnsi="Arial Narrow" w:cs="Arial"/>
                <w:sz w:val="20"/>
                <w:szCs w:val="20"/>
              </w:rPr>
            </w:pPr>
            <w:r w:rsidRPr="008E6588">
              <w:rPr>
                <w:rFonts w:ascii="Arial Narrow" w:hAnsi="Arial Narrow" w:cs="Arial"/>
                <w:sz w:val="20"/>
                <w:szCs w:val="20"/>
              </w:rPr>
              <w:t>OMALIZUMAB</w:t>
            </w:r>
          </w:p>
        </w:tc>
      </w:tr>
      <w:tr w:rsidR="00527453" w:rsidRPr="008E6588" w14:paraId="02986E4C" w14:textId="77777777" w:rsidTr="00527453">
        <w:trPr>
          <w:cantSplit/>
          <w:trHeight w:val="20"/>
        </w:trPr>
        <w:tc>
          <w:tcPr>
            <w:tcW w:w="2354" w:type="pct"/>
            <w:gridSpan w:val="3"/>
            <w:vAlign w:val="center"/>
          </w:tcPr>
          <w:p w14:paraId="18FCB25C" w14:textId="77777777" w:rsidR="00527453" w:rsidRPr="008E6588" w:rsidRDefault="00527453" w:rsidP="003759A5">
            <w:pPr>
              <w:widowControl w:val="0"/>
              <w:rPr>
                <w:rFonts w:ascii="Arial Narrow" w:hAnsi="Arial Narrow" w:cs="Arial"/>
                <w:sz w:val="20"/>
                <w:szCs w:val="20"/>
              </w:rPr>
            </w:pPr>
            <w:r w:rsidRPr="008E6588">
              <w:rPr>
                <w:rFonts w:ascii="Arial Narrow" w:hAnsi="Arial Narrow" w:cs="Arial"/>
                <w:sz w:val="20"/>
                <w:szCs w:val="20"/>
              </w:rPr>
              <w:t>omalizumab 150 mg/mL injection, 1 mL syringe</w:t>
            </w:r>
          </w:p>
        </w:tc>
        <w:tc>
          <w:tcPr>
            <w:tcW w:w="550" w:type="pct"/>
            <w:vAlign w:val="center"/>
          </w:tcPr>
          <w:p w14:paraId="31532C38" w14:textId="77777777" w:rsidR="00527453" w:rsidRPr="008E6588" w:rsidRDefault="00527453" w:rsidP="003759A5">
            <w:pPr>
              <w:widowControl w:val="0"/>
              <w:jc w:val="center"/>
              <w:rPr>
                <w:rFonts w:ascii="Arial Narrow" w:hAnsi="Arial Narrow" w:cs="Arial"/>
                <w:sz w:val="20"/>
                <w:szCs w:val="20"/>
              </w:rPr>
            </w:pPr>
            <w:r w:rsidRPr="008E6588">
              <w:rPr>
                <w:rFonts w:ascii="Arial Narrow" w:hAnsi="Arial Narrow" w:cs="Arial"/>
                <w:sz w:val="20"/>
                <w:szCs w:val="20"/>
              </w:rPr>
              <w:t>10109C/ Public</w:t>
            </w:r>
          </w:p>
        </w:tc>
        <w:tc>
          <w:tcPr>
            <w:tcW w:w="550" w:type="pct"/>
          </w:tcPr>
          <w:p w14:paraId="5ED42E0B" w14:textId="77777777" w:rsidR="00527453" w:rsidRPr="008E6588" w:rsidRDefault="00527453" w:rsidP="003759A5">
            <w:pPr>
              <w:widowControl w:val="0"/>
              <w:jc w:val="center"/>
              <w:rPr>
                <w:rFonts w:ascii="Arial Narrow" w:hAnsi="Arial Narrow" w:cs="Arial"/>
                <w:sz w:val="20"/>
                <w:szCs w:val="20"/>
              </w:rPr>
            </w:pPr>
            <w:r w:rsidRPr="008E6588">
              <w:rPr>
                <w:rFonts w:ascii="Arial Narrow" w:hAnsi="Arial Narrow" w:cs="Arial"/>
                <w:sz w:val="20"/>
                <w:szCs w:val="20"/>
              </w:rPr>
              <w:t>1</w:t>
            </w:r>
          </w:p>
        </w:tc>
        <w:tc>
          <w:tcPr>
            <w:tcW w:w="550" w:type="pct"/>
          </w:tcPr>
          <w:p w14:paraId="0CF743B3" w14:textId="77777777" w:rsidR="00527453" w:rsidRPr="008E6588" w:rsidRDefault="00527453" w:rsidP="003759A5">
            <w:pPr>
              <w:widowControl w:val="0"/>
              <w:jc w:val="center"/>
              <w:rPr>
                <w:rFonts w:ascii="Arial Narrow" w:hAnsi="Arial Narrow" w:cs="Arial"/>
                <w:sz w:val="20"/>
                <w:szCs w:val="20"/>
              </w:rPr>
            </w:pPr>
            <w:r w:rsidRPr="008E6588">
              <w:rPr>
                <w:rFonts w:ascii="Arial Narrow" w:hAnsi="Arial Narrow" w:cs="Arial"/>
                <w:sz w:val="20"/>
                <w:szCs w:val="20"/>
              </w:rPr>
              <w:t>1</w:t>
            </w:r>
          </w:p>
        </w:tc>
        <w:tc>
          <w:tcPr>
            <w:tcW w:w="471" w:type="pct"/>
          </w:tcPr>
          <w:p w14:paraId="04ECEC7E" w14:textId="77777777" w:rsidR="00527453" w:rsidRPr="008E6588" w:rsidRDefault="00527453" w:rsidP="003759A5">
            <w:pPr>
              <w:widowControl w:val="0"/>
              <w:jc w:val="center"/>
              <w:rPr>
                <w:rFonts w:ascii="Arial Narrow" w:hAnsi="Arial Narrow" w:cs="Arial"/>
                <w:sz w:val="20"/>
                <w:szCs w:val="20"/>
              </w:rPr>
            </w:pPr>
            <w:r w:rsidRPr="008E6588">
              <w:rPr>
                <w:rFonts w:ascii="Arial Narrow" w:hAnsi="Arial Narrow" w:cs="Arial"/>
                <w:sz w:val="20"/>
                <w:szCs w:val="20"/>
              </w:rPr>
              <w:t>7</w:t>
            </w:r>
          </w:p>
        </w:tc>
        <w:tc>
          <w:tcPr>
            <w:tcW w:w="522" w:type="pct"/>
            <w:vMerge w:val="restart"/>
          </w:tcPr>
          <w:p w14:paraId="103955AC" w14:textId="6BC0F7FD" w:rsidR="00527453" w:rsidRPr="008E6588" w:rsidRDefault="00527453" w:rsidP="003759A5">
            <w:pPr>
              <w:widowControl w:val="0"/>
              <w:jc w:val="center"/>
              <w:rPr>
                <w:rFonts w:ascii="Arial Narrow" w:hAnsi="Arial Narrow" w:cs="Arial"/>
                <w:sz w:val="20"/>
                <w:szCs w:val="20"/>
              </w:rPr>
            </w:pPr>
            <w:proofErr w:type="spellStart"/>
            <w:r w:rsidRPr="008E6588">
              <w:rPr>
                <w:rFonts w:ascii="Arial Narrow" w:hAnsi="Arial Narrow"/>
                <w:sz w:val="20"/>
                <w:szCs w:val="20"/>
                <w:vertAlign w:val="superscript"/>
              </w:rPr>
              <w:t>a</w:t>
            </w:r>
            <w:r w:rsidRPr="008E6588">
              <w:rPr>
                <w:rFonts w:ascii="Arial Narrow" w:hAnsi="Arial Narrow" w:cs="Arial"/>
                <w:sz w:val="20"/>
                <w:szCs w:val="20"/>
              </w:rPr>
              <w:t>Xolair</w:t>
            </w:r>
            <w:proofErr w:type="spellEnd"/>
          </w:p>
        </w:tc>
      </w:tr>
      <w:tr w:rsidR="00527453" w:rsidRPr="008E6588" w14:paraId="0E301A08" w14:textId="77777777" w:rsidTr="00836DB5">
        <w:trPr>
          <w:cantSplit/>
          <w:trHeight w:val="20"/>
        </w:trPr>
        <w:tc>
          <w:tcPr>
            <w:tcW w:w="2354" w:type="pct"/>
            <w:gridSpan w:val="3"/>
            <w:vAlign w:val="center"/>
          </w:tcPr>
          <w:p w14:paraId="2CCBFFAD" w14:textId="43223E42" w:rsidR="00527453" w:rsidRPr="008E6588" w:rsidRDefault="00527453" w:rsidP="003759A5">
            <w:pPr>
              <w:widowControl w:val="0"/>
              <w:rPr>
                <w:rFonts w:ascii="Arial Narrow" w:hAnsi="Arial Narrow" w:cs="Arial"/>
                <w:sz w:val="20"/>
                <w:szCs w:val="20"/>
              </w:rPr>
            </w:pPr>
            <w:r w:rsidRPr="008E6588">
              <w:rPr>
                <w:rFonts w:ascii="Arial Narrow" w:hAnsi="Arial Narrow" w:cs="Arial"/>
                <w:sz w:val="20"/>
                <w:szCs w:val="20"/>
              </w:rPr>
              <w:t>omalizumab 150 mg/mL injection, 1 mL syringe</w:t>
            </w:r>
          </w:p>
        </w:tc>
        <w:tc>
          <w:tcPr>
            <w:tcW w:w="550" w:type="pct"/>
            <w:vAlign w:val="center"/>
          </w:tcPr>
          <w:p w14:paraId="291C4DD1" w14:textId="77777777" w:rsidR="00527453" w:rsidRPr="008E6588" w:rsidRDefault="00527453" w:rsidP="003759A5">
            <w:pPr>
              <w:widowControl w:val="0"/>
              <w:jc w:val="center"/>
              <w:rPr>
                <w:rFonts w:ascii="Arial Narrow" w:hAnsi="Arial Narrow" w:cs="Arial"/>
                <w:sz w:val="20"/>
                <w:szCs w:val="20"/>
              </w:rPr>
            </w:pPr>
            <w:r w:rsidRPr="008E6588">
              <w:rPr>
                <w:rFonts w:ascii="Arial Narrow" w:hAnsi="Arial Narrow" w:cs="Arial"/>
                <w:sz w:val="20"/>
                <w:szCs w:val="20"/>
              </w:rPr>
              <w:t>10122R/ Private</w:t>
            </w:r>
          </w:p>
        </w:tc>
        <w:tc>
          <w:tcPr>
            <w:tcW w:w="550" w:type="pct"/>
          </w:tcPr>
          <w:p w14:paraId="3DE21DB9" w14:textId="77777777" w:rsidR="00527453" w:rsidRPr="008E6588" w:rsidRDefault="00527453" w:rsidP="003759A5">
            <w:pPr>
              <w:widowControl w:val="0"/>
              <w:jc w:val="center"/>
              <w:rPr>
                <w:rFonts w:ascii="Arial Narrow" w:hAnsi="Arial Narrow" w:cs="Arial"/>
                <w:sz w:val="20"/>
                <w:szCs w:val="20"/>
              </w:rPr>
            </w:pPr>
            <w:r w:rsidRPr="008E6588">
              <w:rPr>
                <w:rFonts w:ascii="Arial Narrow" w:hAnsi="Arial Narrow" w:cs="Arial"/>
                <w:sz w:val="20"/>
                <w:szCs w:val="20"/>
              </w:rPr>
              <w:t>1</w:t>
            </w:r>
          </w:p>
        </w:tc>
        <w:tc>
          <w:tcPr>
            <w:tcW w:w="550" w:type="pct"/>
          </w:tcPr>
          <w:p w14:paraId="269B1109" w14:textId="77777777" w:rsidR="00527453" w:rsidRPr="008E6588" w:rsidRDefault="00527453" w:rsidP="003759A5">
            <w:pPr>
              <w:widowControl w:val="0"/>
              <w:jc w:val="center"/>
              <w:rPr>
                <w:rFonts w:ascii="Arial Narrow" w:hAnsi="Arial Narrow" w:cs="Arial"/>
                <w:sz w:val="20"/>
                <w:szCs w:val="20"/>
              </w:rPr>
            </w:pPr>
            <w:r w:rsidRPr="008E6588">
              <w:rPr>
                <w:rFonts w:ascii="Arial Narrow" w:hAnsi="Arial Narrow" w:cs="Arial"/>
                <w:sz w:val="20"/>
                <w:szCs w:val="20"/>
              </w:rPr>
              <w:t>1</w:t>
            </w:r>
          </w:p>
        </w:tc>
        <w:tc>
          <w:tcPr>
            <w:tcW w:w="471" w:type="pct"/>
          </w:tcPr>
          <w:p w14:paraId="25E93D0B" w14:textId="77777777" w:rsidR="00527453" w:rsidRPr="008E6588" w:rsidRDefault="00527453" w:rsidP="003759A5">
            <w:pPr>
              <w:widowControl w:val="0"/>
              <w:jc w:val="center"/>
              <w:rPr>
                <w:rFonts w:ascii="Arial Narrow" w:hAnsi="Arial Narrow" w:cs="Arial"/>
                <w:sz w:val="20"/>
                <w:szCs w:val="20"/>
              </w:rPr>
            </w:pPr>
            <w:r w:rsidRPr="008E6588">
              <w:rPr>
                <w:rFonts w:ascii="Arial Narrow" w:hAnsi="Arial Narrow" w:cs="Arial"/>
                <w:sz w:val="20"/>
                <w:szCs w:val="20"/>
              </w:rPr>
              <w:t>7</w:t>
            </w:r>
          </w:p>
        </w:tc>
        <w:tc>
          <w:tcPr>
            <w:tcW w:w="522" w:type="pct"/>
            <w:vMerge/>
            <w:vAlign w:val="center"/>
          </w:tcPr>
          <w:p w14:paraId="7FD7A05D" w14:textId="77777777" w:rsidR="00527453" w:rsidRPr="008E6588" w:rsidRDefault="00527453" w:rsidP="003759A5">
            <w:pPr>
              <w:widowControl w:val="0"/>
              <w:rPr>
                <w:rFonts w:ascii="Arial Narrow" w:hAnsi="Arial Narrow" w:cs="Arial"/>
                <w:sz w:val="20"/>
                <w:szCs w:val="20"/>
              </w:rPr>
            </w:pPr>
          </w:p>
        </w:tc>
      </w:tr>
      <w:tr w:rsidR="00527453" w:rsidRPr="008E6588" w14:paraId="2199D403" w14:textId="77777777" w:rsidTr="00836DB5">
        <w:trPr>
          <w:cantSplit/>
          <w:trHeight w:val="20"/>
        </w:trPr>
        <w:tc>
          <w:tcPr>
            <w:tcW w:w="2354" w:type="pct"/>
            <w:gridSpan w:val="3"/>
            <w:vAlign w:val="center"/>
          </w:tcPr>
          <w:p w14:paraId="66635D53" w14:textId="77777777" w:rsidR="00527453" w:rsidRPr="008E6588" w:rsidRDefault="00527453" w:rsidP="003759A5">
            <w:pPr>
              <w:widowControl w:val="0"/>
              <w:rPr>
                <w:rFonts w:ascii="Arial Narrow" w:hAnsi="Arial Narrow" w:cs="Arial"/>
                <w:sz w:val="20"/>
                <w:szCs w:val="20"/>
              </w:rPr>
            </w:pPr>
            <w:r w:rsidRPr="008E6588">
              <w:rPr>
                <w:rFonts w:ascii="Arial Narrow" w:hAnsi="Arial Narrow" w:cs="Arial"/>
                <w:sz w:val="20"/>
                <w:szCs w:val="20"/>
              </w:rPr>
              <w:t>omalizumab 150 mg/mL injection, 1 mL pen device</w:t>
            </w:r>
          </w:p>
        </w:tc>
        <w:tc>
          <w:tcPr>
            <w:tcW w:w="550" w:type="pct"/>
            <w:vAlign w:val="center"/>
          </w:tcPr>
          <w:p w14:paraId="0D0030BE" w14:textId="22FC5815" w:rsidR="00527453" w:rsidRPr="008E6588" w:rsidRDefault="00527453" w:rsidP="003759A5">
            <w:pPr>
              <w:widowControl w:val="0"/>
              <w:jc w:val="center"/>
              <w:rPr>
                <w:rFonts w:ascii="Arial Narrow" w:hAnsi="Arial Narrow" w:cs="Arial"/>
                <w:iCs/>
                <w:sz w:val="20"/>
                <w:szCs w:val="20"/>
              </w:rPr>
            </w:pPr>
            <w:r w:rsidRPr="008E6588">
              <w:rPr>
                <w:rFonts w:ascii="Arial Narrow" w:hAnsi="Arial Narrow" w:cs="Arial"/>
                <w:iCs/>
                <w:sz w:val="20"/>
                <w:szCs w:val="20"/>
              </w:rPr>
              <w:t>NEW</w:t>
            </w:r>
            <w:r w:rsidR="00C80FDC" w:rsidRPr="008E6588">
              <w:rPr>
                <w:rFonts w:ascii="Arial Narrow" w:hAnsi="Arial Narrow" w:cs="Arial"/>
                <w:iCs/>
                <w:sz w:val="20"/>
                <w:szCs w:val="20"/>
              </w:rPr>
              <w:t>/ Public</w:t>
            </w:r>
          </w:p>
        </w:tc>
        <w:tc>
          <w:tcPr>
            <w:tcW w:w="550" w:type="pct"/>
          </w:tcPr>
          <w:p w14:paraId="5B5A989A" w14:textId="77777777" w:rsidR="00527453" w:rsidRPr="008E6588" w:rsidRDefault="00527453" w:rsidP="003759A5">
            <w:pPr>
              <w:widowControl w:val="0"/>
              <w:jc w:val="center"/>
              <w:rPr>
                <w:rFonts w:ascii="Arial Narrow" w:hAnsi="Arial Narrow" w:cs="Arial"/>
                <w:sz w:val="20"/>
                <w:szCs w:val="20"/>
              </w:rPr>
            </w:pPr>
            <w:r w:rsidRPr="008E6588">
              <w:rPr>
                <w:rFonts w:ascii="Arial Narrow" w:hAnsi="Arial Narrow" w:cs="Arial"/>
                <w:sz w:val="20"/>
                <w:szCs w:val="20"/>
              </w:rPr>
              <w:t>1</w:t>
            </w:r>
          </w:p>
        </w:tc>
        <w:tc>
          <w:tcPr>
            <w:tcW w:w="550" w:type="pct"/>
          </w:tcPr>
          <w:p w14:paraId="3D9D32E6" w14:textId="77777777" w:rsidR="00527453" w:rsidRPr="008E6588" w:rsidRDefault="00527453" w:rsidP="003759A5">
            <w:pPr>
              <w:widowControl w:val="0"/>
              <w:jc w:val="center"/>
              <w:rPr>
                <w:rFonts w:ascii="Arial Narrow" w:hAnsi="Arial Narrow" w:cs="Arial"/>
                <w:sz w:val="20"/>
                <w:szCs w:val="20"/>
              </w:rPr>
            </w:pPr>
            <w:r w:rsidRPr="008E6588">
              <w:rPr>
                <w:rFonts w:ascii="Arial Narrow" w:hAnsi="Arial Narrow" w:cs="Arial"/>
                <w:sz w:val="20"/>
                <w:szCs w:val="20"/>
              </w:rPr>
              <w:t>1</w:t>
            </w:r>
          </w:p>
        </w:tc>
        <w:tc>
          <w:tcPr>
            <w:tcW w:w="471" w:type="pct"/>
          </w:tcPr>
          <w:p w14:paraId="52B66B0F" w14:textId="77777777" w:rsidR="00527453" w:rsidRPr="008E6588" w:rsidRDefault="00527453" w:rsidP="003759A5">
            <w:pPr>
              <w:widowControl w:val="0"/>
              <w:jc w:val="center"/>
              <w:rPr>
                <w:rFonts w:ascii="Arial Narrow" w:hAnsi="Arial Narrow" w:cs="Arial"/>
                <w:sz w:val="20"/>
                <w:szCs w:val="20"/>
              </w:rPr>
            </w:pPr>
            <w:r w:rsidRPr="008E6588">
              <w:rPr>
                <w:rFonts w:ascii="Arial Narrow" w:hAnsi="Arial Narrow" w:cs="Arial"/>
                <w:sz w:val="20"/>
                <w:szCs w:val="20"/>
              </w:rPr>
              <w:t>7</w:t>
            </w:r>
          </w:p>
        </w:tc>
        <w:tc>
          <w:tcPr>
            <w:tcW w:w="522" w:type="pct"/>
            <w:vMerge/>
            <w:vAlign w:val="center"/>
          </w:tcPr>
          <w:p w14:paraId="3B35FF8F" w14:textId="77777777" w:rsidR="00527453" w:rsidRPr="008E6588" w:rsidRDefault="00527453" w:rsidP="003759A5">
            <w:pPr>
              <w:widowControl w:val="0"/>
              <w:rPr>
                <w:rFonts w:ascii="Arial Narrow" w:hAnsi="Arial Narrow" w:cs="Arial"/>
                <w:sz w:val="20"/>
                <w:szCs w:val="20"/>
              </w:rPr>
            </w:pPr>
          </w:p>
        </w:tc>
      </w:tr>
      <w:tr w:rsidR="00527453" w:rsidRPr="008E6588" w14:paraId="37676D5B" w14:textId="77777777" w:rsidTr="00836DB5">
        <w:trPr>
          <w:cantSplit/>
          <w:trHeight w:val="20"/>
        </w:trPr>
        <w:tc>
          <w:tcPr>
            <w:tcW w:w="2354" w:type="pct"/>
            <w:gridSpan w:val="3"/>
            <w:vAlign w:val="center"/>
          </w:tcPr>
          <w:p w14:paraId="2567405F" w14:textId="77777777" w:rsidR="00527453" w:rsidRPr="008E6588" w:rsidRDefault="00527453" w:rsidP="003759A5">
            <w:pPr>
              <w:widowControl w:val="0"/>
              <w:rPr>
                <w:rFonts w:ascii="Arial Narrow" w:hAnsi="Arial Narrow" w:cs="Arial"/>
                <w:sz w:val="20"/>
                <w:szCs w:val="20"/>
              </w:rPr>
            </w:pPr>
            <w:r w:rsidRPr="008E6588">
              <w:rPr>
                <w:rFonts w:ascii="Arial Narrow" w:hAnsi="Arial Narrow" w:cs="Arial"/>
                <w:sz w:val="20"/>
                <w:szCs w:val="20"/>
              </w:rPr>
              <w:lastRenderedPageBreak/>
              <w:t>omalizumab 150 mg/mL injection, 1 mL pen device</w:t>
            </w:r>
          </w:p>
        </w:tc>
        <w:tc>
          <w:tcPr>
            <w:tcW w:w="550" w:type="pct"/>
            <w:vAlign w:val="center"/>
          </w:tcPr>
          <w:p w14:paraId="051D48B8" w14:textId="29451B38" w:rsidR="00527453" w:rsidRPr="008E6588" w:rsidRDefault="00527453" w:rsidP="003759A5">
            <w:pPr>
              <w:widowControl w:val="0"/>
              <w:jc w:val="center"/>
              <w:rPr>
                <w:rFonts w:ascii="Arial Narrow" w:hAnsi="Arial Narrow" w:cs="Arial"/>
                <w:iCs/>
                <w:sz w:val="20"/>
                <w:szCs w:val="20"/>
              </w:rPr>
            </w:pPr>
            <w:r w:rsidRPr="008E6588">
              <w:rPr>
                <w:rFonts w:ascii="Arial Narrow" w:hAnsi="Arial Narrow" w:cs="Arial"/>
                <w:iCs/>
                <w:sz w:val="20"/>
                <w:szCs w:val="20"/>
              </w:rPr>
              <w:t>NEW</w:t>
            </w:r>
            <w:r w:rsidR="00C80FDC" w:rsidRPr="008E6588">
              <w:rPr>
                <w:rFonts w:ascii="Arial Narrow" w:hAnsi="Arial Narrow" w:cs="Arial"/>
                <w:iCs/>
                <w:sz w:val="20"/>
                <w:szCs w:val="20"/>
              </w:rPr>
              <w:t>/ Private</w:t>
            </w:r>
          </w:p>
        </w:tc>
        <w:tc>
          <w:tcPr>
            <w:tcW w:w="550" w:type="pct"/>
          </w:tcPr>
          <w:p w14:paraId="4F7B63E7" w14:textId="77777777" w:rsidR="00527453" w:rsidRPr="008E6588" w:rsidRDefault="00527453" w:rsidP="003759A5">
            <w:pPr>
              <w:widowControl w:val="0"/>
              <w:jc w:val="center"/>
              <w:rPr>
                <w:rFonts w:ascii="Arial Narrow" w:hAnsi="Arial Narrow" w:cs="Arial"/>
                <w:sz w:val="20"/>
                <w:szCs w:val="20"/>
              </w:rPr>
            </w:pPr>
            <w:r w:rsidRPr="008E6588">
              <w:rPr>
                <w:rFonts w:ascii="Arial Narrow" w:hAnsi="Arial Narrow" w:cs="Arial"/>
                <w:sz w:val="20"/>
                <w:szCs w:val="20"/>
              </w:rPr>
              <w:t>1</w:t>
            </w:r>
          </w:p>
        </w:tc>
        <w:tc>
          <w:tcPr>
            <w:tcW w:w="550" w:type="pct"/>
          </w:tcPr>
          <w:p w14:paraId="4BB48370" w14:textId="77777777" w:rsidR="00527453" w:rsidRPr="008E6588" w:rsidRDefault="00527453" w:rsidP="003759A5">
            <w:pPr>
              <w:widowControl w:val="0"/>
              <w:jc w:val="center"/>
              <w:rPr>
                <w:rFonts w:ascii="Arial Narrow" w:hAnsi="Arial Narrow" w:cs="Arial"/>
                <w:sz w:val="20"/>
                <w:szCs w:val="20"/>
              </w:rPr>
            </w:pPr>
            <w:r w:rsidRPr="008E6588">
              <w:rPr>
                <w:rFonts w:ascii="Arial Narrow" w:hAnsi="Arial Narrow" w:cs="Arial"/>
                <w:sz w:val="20"/>
                <w:szCs w:val="20"/>
              </w:rPr>
              <w:t>1</w:t>
            </w:r>
          </w:p>
        </w:tc>
        <w:tc>
          <w:tcPr>
            <w:tcW w:w="471" w:type="pct"/>
          </w:tcPr>
          <w:p w14:paraId="67233674" w14:textId="77777777" w:rsidR="00527453" w:rsidRPr="008E6588" w:rsidRDefault="00527453" w:rsidP="003759A5">
            <w:pPr>
              <w:widowControl w:val="0"/>
              <w:jc w:val="center"/>
              <w:rPr>
                <w:rFonts w:ascii="Arial Narrow" w:hAnsi="Arial Narrow" w:cs="Arial"/>
                <w:sz w:val="20"/>
                <w:szCs w:val="20"/>
              </w:rPr>
            </w:pPr>
            <w:r w:rsidRPr="008E6588">
              <w:rPr>
                <w:rFonts w:ascii="Arial Narrow" w:hAnsi="Arial Narrow" w:cs="Arial"/>
                <w:sz w:val="20"/>
                <w:szCs w:val="20"/>
              </w:rPr>
              <w:t>7</w:t>
            </w:r>
          </w:p>
        </w:tc>
        <w:tc>
          <w:tcPr>
            <w:tcW w:w="522" w:type="pct"/>
            <w:vMerge/>
            <w:vAlign w:val="center"/>
          </w:tcPr>
          <w:p w14:paraId="4CECE704" w14:textId="77777777" w:rsidR="00527453" w:rsidRPr="008E6588" w:rsidRDefault="00527453" w:rsidP="003759A5">
            <w:pPr>
              <w:widowControl w:val="0"/>
              <w:rPr>
                <w:rFonts w:ascii="Arial Narrow" w:hAnsi="Arial Narrow" w:cs="Arial"/>
                <w:sz w:val="20"/>
                <w:szCs w:val="20"/>
              </w:rPr>
            </w:pPr>
          </w:p>
        </w:tc>
      </w:tr>
      <w:tr w:rsidR="00EB3A92" w:rsidRPr="008E6588" w14:paraId="0CD918CA" w14:textId="77777777" w:rsidTr="00836DB5">
        <w:tblPrEx>
          <w:tblCellMar>
            <w:top w:w="15" w:type="dxa"/>
            <w:bottom w:w="15" w:type="dxa"/>
          </w:tblCellMar>
          <w:tblLook w:val="04A0" w:firstRow="1" w:lastRow="0" w:firstColumn="1" w:lastColumn="0" w:noHBand="0" w:noVBand="1"/>
        </w:tblPrEx>
        <w:trPr>
          <w:trHeight w:val="20"/>
        </w:trPr>
        <w:tc>
          <w:tcPr>
            <w:tcW w:w="4997" w:type="pct"/>
            <w:gridSpan w:val="8"/>
            <w:tcBorders>
              <w:top w:val="single" w:sz="4" w:space="0" w:color="auto"/>
              <w:left w:val="single" w:sz="4" w:space="0" w:color="auto"/>
              <w:right w:val="single" w:sz="4" w:space="0" w:color="auto"/>
            </w:tcBorders>
            <w:vAlign w:val="center"/>
          </w:tcPr>
          <w:p w14:paraId="15DAFAED" w14:textId="77777777" w:rsidR="00EB3A92" w:rsidRPr="008E6588" w:rsidRDefault="00EB3A92" w:rsidP="003759A5">
            <w:pPr>
              <w:widowControl w:val="0"/>
              <w:rPr>
                <w:rFonts w:ascii="Arial Narrow" w:hAnsi="Arial Narrow" w:cs="Arial"/>
                <w:b/>
                <w:sz w:val="20"/>
                <w:szCs w:val="20"/>
              </w:rPr>
            </w:pPr>
          </w:p>
        </w:tc>
      </w:tr>
      <w:tr w:rsidR="00EB3A92" w:rsidRPr="008E6588" w14:paraId="0B91DCA3" w14:textId="77777777" w:rsidTr="00836DB5">
        <w:tblPrEx>
          <w:tblCellMar>
            <w:top w:w="15" w:type="dxa"/>
            <w:bottom w:w="15" w:type="dxa"/>
          </w:tblCellMar>
          <w:tblLook w:val="04A0" w:firstRow="1" w:lastRow="0" w:firstColumn="1" w:lastColumn="0" w:noHBand="0" w:noVBand="1"/>
        </w:tblPrEx>
        <w:trPr>
          <w:trHeight w:val="20"/>
        </w:trPr>
        <w:tc>
          <w:tcPr>
            <w:tcW w:w="704" w:type="pct"/>
            <w:gridSpan w:val="2"/>
            <w:vMerge w:val="restart"/>
            <w:tcBorders>
              <w:top w:val="single" w:sz="4" w:space="0" w:color="auto"/>
              <w:left w:val="single" w:sz="4" w:space="0" w:color="auto"/>
              <w:right w:val="single" w:sz="4" w:space="0" w:color="auto"/>
            </w:tcBorders>
          </w:tcPr>
          <w:p w14:paraId="7F98A3D1" w14:textId="77777777" w:rsidR="00EB3A92" w:rsidRPr="008E6588" w:rsidRDefault="00EB3A92" w:rsidP="003759A5">
            <w:pPr>
              <w:widowControl w:val="0"/>
              <w:jc w:val="center"/>
              <w:rPr>
                <w:rFonts w:ascii="Arial Narrow" w:hAnsi="Arial Narrow" w:cs="Arial"/>
                <w:b/>
                <w:sz w:val="20"/>
                <w:szCs w:val="20"/>
              </w:rPr>
            </w:pPr>
            <w:r w:rsidRPr="008E6588">
              <w:rPr>
                <w:rFonts w:ascii="Arial Narrow" w:hAnsi="Arial Narrow" w:cs="Arial"/>
                <w:b/>
                <w:sz w:val="20"/>
                <w:szCs w:val="20"/>
              </w:rPr>
              <w:t xml:space="preserve">Concept ID </w:t>
            </w:r>
            <w:r w:rsidRPr="008E6588">
              <w:rPr>
                <w:rFonts w:ascii="Arial Narrow" w:hAnsi="Arial Narrow" w:cs="Arial"/>
                <w:sz w:val="20"/>
                <w:szCs w:val="20"/>
              </w:rPr>
              <w:t>(for internal Dept. use)</w:t>
            </w:r>
          </w:p>
        </w:tc>
        <w:tc>
          <w:tcPr>
            <w:tcW w:w="4293" w:type="pct"/>
            <w:gridSpan w:val="6"/>
            <w:tcBorders>
              <w:top w:val="single" w:sz="4" w:space="0" w:color="auto"/>
              <w:left w:val="single" w:sz="4" w:space="0" w:color="auto"/>
              <w:bottom w:val="single" w:sz="4" w:space="0" w:color="auto"/>
              <w:right w:val="single" w:sz="4" w:space="0" w:color="auto"/>
            </w:tcBorders>
            <w:vAlign w:val="center"/>
          </w:tcPr>
          <w:p w14:paraId="1DD19019" w14:textId="77777777" w:rsidR="00EB3A92" w:rsidRPr="008E6588" w:rsidRDefault="00EB3A92" w:rsidP="003759A5">
            <w:pPr>
              <w:widowControl w:val="0"/>
              <w:rPr>
                <w:rFonts w:ascii="Arial Narrow" w:hAnsi="Arial Narrow" w:cs="Arial"/>
                <w:sz w:val="20"/>
                <w:szCs w:val="20"/>
              </w:rPr>
            </w:pPr>
            <w:r w:rsidRPr="008E6588">
              <w:rPr>
                <w:rFonts w:ascii="Arial Narrow" w:hAnsi="Arial Narrow" w:cs="Arial"/>
                <w:b/>
                <w:sz w:val="20"/>
                <w:szCs w:val="20"/>
              </w:rPr>
              <w:t>Category / Program:</w:t>
            </w:r>
            <w:r w:rsidRPr="008E6588">
              <w:rPr>
                <w:rFonts w:ascii="Arial Narrow" w:hAnsi="Arial Narrow" w:cs="Arial"/>
                <w:sz w:val="20"/>
                <w:szCs w:val="20"/>
              </w:rPr>
              <w:t xml:space="preserve"> </w:t>
            </w:r>
            <w:r w:rsidRPr="008E6588">
              <w:rPr>
                <w:rFonts w:ascii="Arial Narrow" w:eastAsia="Calibri" w:hAnsi="Arial Narrow" w:cs="Arial"/>
                <w:sz w:val="20"/>
                <w:szCs w:val="20"/>
              </w:rPr>
              <w:t>Section 100 – Highly Specialised Drugs Program – Public (Code HB)</w:t>
            </w:r>
            <w:r w:rsidRPr="008E6588">
              <w:rPr>
                <w:rFonts w:ascii="Arial Narrow" w:eastAsia="Calibri" w:hAnsi="Arial Narrow" w:cs="Arial"/>
                <w:color w:val="FF0000"/>
                <w:sz w:val="20"/>
                <w:szCs w:val="20"/>
              </w:rPr>
              <w:t xml:space="preserve"> </w:t>
            </w:r>
            <w:r w:rsidRPr="008E6588">
              <w:rPr>
                <w:rFonts w:ascii="Arial Narrow" w:eastAsia="Calibri" w:hAnsi="Arial Narrow" w:cs="Arial"/>
                <w:sz w:val="20"/>
                <w:szCs w:val="20"/>
              </w:rPr>
              <w:t>/ Private (Code HS)</w:t>
            </w:r>
          </w:p>
        </w:tc>
      </w:tr>
      <w:tr w:rsidR="00EB3A92" w:rsidRPr="008E6588" w14:paraId="7B9FC707" w14:textId="77777777">
        <w:tblPrEx>
          <w:tblCellMar>
            <w:top w:w="15" w:type="dxa"/>
            <w:bottom w:w="15" w:type="dxa"/>
          </w:tblCellMar>
          <w:tblLook w:val="04A0" w:firstRow="1" w:lastRow="0" w:firstColumn="1" w:lastColumn="0" w:noHBand="0" w:noVBand="1"/>
        </w:tblPrEx>
        <w:trPr>
          <w:trHeight w:val="20"/>
        </w:trPr>
        <w:tc>
          <w:tcPr>
            <w:tcW w:w="704" w:type="pct"/>
            <w:gridSpan w:val="2"/>
            <w:vMerge/>
            <w:tcBorders>
              <w:left w:val="single" w:sz="4" w:space="0" w:color="auto"/>
              <w:right w:val="single" w:sz="4" w:space="0" w:color="auto"/>
            </w:tcBorders>
          </w:tcPr>
          <w:p w14:paraId="75CA0C9D" w14:textId="77777777" w:rsidR="00EB3A92" w:rsidRPr="008E6588" w:rsidRDefault="00EB3A92" w:rsidP="003759A5">
            <w:pPr>
              <w:widowControl w:val="0"/>
              <w:rPr>
                <w:rFonts w:ascii="Arial Narrow" w:hAnsi="Arial Narrow" w:cs="Arial"/>
                <w:sz w:val="20"/>
                <w:szCs w:val="20"/>
              </w:rPr>
            </w:pPr>
          </w:p>
        </w:tc>
        <w:tc>
          <w:tcPr>
            <w:tcW w:w="4293" w:type="pct"/>
            <w:gridSpan w:val="6"/>
            <w:tcBorders>
              <w:top w:val="single" w:sz="4" w:space="0" w:color="auto"/>
              <w:left w:val="single" w:sz="4" w:space="0" w:color="auto"/>
              <w:bottom w:val="single" w:sz="4" w:space="0" w:color="auto"/>
              <w:right w:val="single" w:sz="4" w:space="0" w:color="auto"/>
            </w:tcBorders>
            <w:vAlign w:val="center"/>
          </w:tcPr>
          <w:p w14:paraId="6352D41A" w14:textId="77777777" w:rsidR="00EB3A92" w:rsidRPr="008E6588" w:rsidRDefault="00EB3A92" w:rsidP="003759A5">
            <w:pPr>
              <w:widowControl w:val="0"/>
              <w:rPr>
                <w:rFonts w:ascii="Arial Narrow" w:hAnsi="Arial Narrow" w:cs="Arial"/>
                <w:b/>
                <w:sz w:val="20"/>
                <w:szCs w:val="20"/>
              </w:rPr>
            </w:pPr>
            <w:r w:rsidRPr="008E6588">
              <w:rPr>
                <w:rFonts w:ascii="Arial Narrow" w:hAnsi="Arial Narrow" w:cs="Arial"/>
                <w:b/>
                <w:sz w:val="20"/>
                <w:szCs w:val="20"/>
              </w:rPr>
              <w:t xml:space="preserve">Prescriber type: </w:t>
            </w:r>
            <w:r w:rsidRPr="008E6588">
              <w:rPr>
                <w:rFonts w:ascii="Arial Narrow" w:hAnsi="Arial Narrow" w:cs="Arial"/>
                <w:sz w:val="20"/>
                <w:szCs w:val="20"/>
              </w:rPr>
              <w:fldChar w:fldCharType="begin" w:fldLock="1">
                <w:ffData>
                  <w:name w:val=""/>
                  <w:enabled/>
                  <w:calcOnExit w:val="0"/>
                  <w:checkBox>
                    <w:sizeAuto/>
                    <w:default w:val="1"/>
                  </w:checkBox>
                </w:ffData>
              </w:fldChar>
            </w:r>
            <w:r w:rsidRPr="008E6588">
              <w:rPr>
                <w:rFonts w:ascii="Arial Narrow" w:hAnsi="Arial Narrow" w:cs="Arial"/>
                <w:sz w:val="20"/>
                <w:szCs w:val="20"/>
              </w:rPr>
              <w:instrText xml:space="preserve"> FORMCHECKBOX </w:instrText>
            </w:r>
            <w:r w:rsidRPr="008E6588">
              <w:rPr>
                <w:rFonts w:ascii="Arial Narrow" w:hAnsi="Arial Narrow" w:cs="Arial"/>
                <w:sz w:val="20"/>
                <w:szCs w:val="20"/>
              </w:rPr>
            </w:r>
            <w:r w:rsidRPr="008E6588">
              <w:rPr>
                <w:rFonts w:ascii="Arial Narrow" w:hAnsi="Arial Narrow" w:cs="Arial"/>
                <w:sz w:val="20"/>
                <w:szCs w:val="20"/>
              </w:rPr>
              <w:fldChar w:fldCharType="separate"/>
            </w:r>
            <w:r w:rsidRPr="008E6588">
              <w:rPr>
                <w:rFonts w:ascii="Arial Narrow" w:hAnsi="Arial Narrow" w:cs="Arial"/>
                <w:sz w:val="20"/>
                <w:szCs w:val="20"/>
              </w:rPr>
              <w:fldChar w:fldCharType="end"/>
            </w:r>
            <w:r w:rsidRPr="008E6588">
              <w:rPr>
                <w:rFonts w:ascii="Arial Narrow" w:hAnsi="Arial Narrow" w:cs="Arial"/>
                <w:sz w:val="20"/>
                <w:szCs w:val="20"/>
              </w:rPr>
              <w:t xml:space="preserve">Medical Practitioners </w:t>
            </w:r>
          </w:p>
        </w:tc>
      </w:tr>
      <w:tr w:rsidR="00EB3A92" w:rsidRPr="008E6588" w14:paraId="16EFBE2B" w14:textId="77777777">
        <w:tblPrEx>
          <w:tblCellMar>
            <w:top w:w="15" w:type="dxa"/>
            <w:bottom w:w="15" w:type="dxa"/>
          </w:tblCellMar>
          <w:tblLook w:val="04A0" w:firstRow="1" w:lastRow="0" w:firstColumn="1" w:lastColumn="0" w:noHBand="0" w:noVBand="1"/>
        </w:tblPrEx>
        <w:trPr>
          <w:trHeight w:val="20"/>
        </w:trPr>
        <w:tc>
          <w:tcPr>
            <w:tcW w:w="704" w:type="pct"/>
            <w:gridSpan w:val="2"/>
            <w:vMerge/>
            <w:tcBorders>
              <w:left w:val="single" w:sz="4" w:space="0" w:color="auto"/>
              <w:right w:val="single" w:sz="4" w:space="0" w:color="auto"/>
            </w:tcBorders>
          </w:tcPr>
          <w:p w14:paraId="3BA352BA" w14:textId="77777777" w:rsidR="00EB3A92" w:rsidRPr="008E6588" w:rsidRDefault="00EB3A92" w:rsidP="003759A5">
            <w:pPr>
              <w:widowControl w:val="0"/>
              <w:rPr>
                <w:rFonts w:ascii="Arial Narrow" w:hAnsi="Arial Narrow" w:cs="Arial"/>
                <w:sz w:val="20"/>
                <w:szCs w:val="20"/>
              </w:rPr>
            </w:pPr>
          </w:p>
        </w:tc>
        <w:tc>
          <w:tcPr>
            <w:tcW w:w="4293" w:type="pct"/>
            <w:gridSpan w:val="6"/>
            <w:tcBorders>
              <w:top w:val="single" w:sz="4" w:space="0" w:color="auto"/>
              <w:left w:val="single" w:sz="4" w:space="0" w:color="auto"/>
              <w:bottom w:val="single" w:sz="4" w:space="0" w:color="auto"/>
              <w:right w:val="single" w:sz="4" w:space="0" w:color="auto"/>
            </w:tcBorders>
            <w:vAlign w:val="center"/>
          </w:tcPr>
          <w:p w14:paraId="03A974BA" w14:textId="77777777" w:rsidR="00EB3A92" w:rsidRPr="008E6588" w:rsidRDefault="00EB3A92" w:rsidP="003759A5">
            <w:pPr>
              <w:widowControl w:val="0"/>
              <w:rPr>
                <w:rFonts w:ascii="Arial Narrow" w:eastAsia="Calibri" w:hAnsi="Arial Narrow" w:cs="Arial"/>
                <w:color w:val="FF0000"/>
                <w:sz w:val="20"/>
                <w:szCs w:val="20"/>
              </w:rPr>
            </w:pPr>
            <w:r w:rsidRPr="008E6588">
              <w:rPr>
                <w:rFonts w:ascii="Arial Narrow" w:hAnsi="Arial Narrow" w:cs="Arial"/>
                <w:b/>
                <w:sz w:val="20"/>
                <w:szCs w:val="20"/>
              </w:rPr>
              <w:t xml:space="preserve">Restriction type: </w:t>
            </w:r>
            <w:r w:rsidRPr="008E6588">
              <w:rPr>
                <w:rFonts w:ascii="Arial Narrow" w:eastAsia="Calibri" w:hAnsi="Arial Narrow" w:cs="Arial"/>
                <w:sz w:val="20"/>
                <w:szCs w:val="20"/>
              </w:rPr>
              <w:fldChar w:fldCharType="begin" w:fldLock="1">
                <w:ffData>
                  <w:name w:val=""/>
                  <w:enabled/>
                  <w:calcOnExit w:val="0"/>
                  <w:checkBox>
                    <w:sizeAuto/>
                    <w:default w:val="1"/>
                  </w:checkBox>
                </w:ffData>
              </w:fldChar>
            </w:r>
            <w:r w:rsidRPr="008E6588">
              <w:rPr>
                <w:rFonts w:ascii="Arial Narrow" w:eastAsia="Calibri" w:hAnsi="Arial Narrow" w:cs="Arial"/>
                <w:sz w:val="20"/>
                <w:szCs w:val="20"/>
              </w:rPr>
              <w:instrText xml:space="preserve"> FORMCHECKBOX </w:instrText>
            </w:r>
            <w:r w:rsidRPr="008E6588">
              <w:rPr>
                <w:rFonts w:ascii="Arial Narrow" w:eastAsia="Calibri" w:hAnsi="Arial Narrow" w:cs="Arial"/>
                <w:sz w:val="20"/>
                <w:szCs w:val="20"/>
              </w:rPr>
            </w:r>
            <w:r w:rsidRPr="008E6588">
              <w:rPr>
                <w:rFonts w:ascii="Arial Narrow" w:eastAsia="Calibri" w:hAnsi="Arial Narrow" w:cs="Arial"/>
                <w:sz w:val="20"/>
                <w:szCs w:val="20"/>
              </w:rPr>
              <w:fldChar w:fldCharType="separate"/>
            </w:r>
            <w:r w:rsidRPr="008E6588">
              <w:rPr>
                <w:rFonts w:ascii="Arial Narrow" w:eastAsia="Calibri" w:hAnsi="Arial Narrow" w:cs="Arial"/>
                <w:sz w:val="20"/>
                <w:szCs w:val="20"/>
              </w:rPr>
              <w:fldChar w:fldCharType="end"/>
            </w:r>
            <w:r w:rsidRPr="008E6588">
              <w:rPr>
                <w:rFonts w:ascii="Arial Narrow" w:eastAsia="Calibri" w:hAnsi="Arial Narrow" w:cs="Arial"/>
                <w:sz w:val="20"/>
                <w:szCs w:val="20"/>
              </w:rPr>
              <w:t>Authority Required (in writing only via post/HPOS upload)</w:t>
            </w:r>
          </w:p>
        </w:tc>
      </w:tr>
      <w:tr w:rsidR="00EB3A92" w:rsidRPr="008E6588" w14:paraId="3812F219" w14:textId="77777777">
        <w:tblPrEx>
          <w:tblCellMar>
            <w:top w:w="15" w:type="dxa"/>
            <w:bottom w:w="15" w:type="dxa"/>
          </w:tblCellMar>
          <w:tblLook w:val="04A0" w:firstRow="1" w:lastRow="0" w:firstColumn="1" w:lastColumn="0" w:noHBand="0" w:noVBand="1"/>
        </w:tblPrEx>
        <w:trPr>
          <w:cantSplit/>
          <w:trHeight w:val="20"/>
        </w:trPr>
        <w:tc>
          <w:tcPr>
            <w:tcW w:w="704" w:type="pct"/>
            <w:gridSpan w:val="2"/>
            <w:vMerge/>
            <w:tcBorders>
              <w:left w:val="single" w:sz="4" w:space="0" w:color="auto"/>
              <w:right w:val="single" w:sz="4" w:space="0" w:color="auto"/>
            </w:tcBorders>
            <w:vAlign w:val="center"/>
          </w:tcPr>
          <w:p w14:paraId="065F2CC0" w14:textId="77777777" w:rsidR="00EB3A92" w:rsidRPr="008E6588" w:rsidRDefault="00EB3A92" w:rsidP="003759A5">
            <w:pPr>
              <w:widowControl w:val="0"/>
              <w:jc w:val="center"/>
              <w:rPr>
                <w:rFonts w:ascii="Arial Narrow" w:hAnsi="Arial Narrow"/>
                <w:sz w:val="20"/>
                <w:szCs w:val="20"/>
              </w:rPr>
            </w:pPr>
          </w:p>
        </w:tc>
        <w:tc>
          <w:tcPr>
            <w:tcW w:w="4293" w:type="pct"/>
            <w:gridSpan w:val="6"/>
            <w:tcBorders>
              <w:left w:val="single" w:sz="4" w:space="0" w:color="auto"/>
            </w:tcBorders>
            <w:vAlign w:val="center"/>
          </w:tcPr>
          <w:p w14:paraId="0C446CEA" w14:textId="2B577D8F" w:rsidR="00EB3A92" w:rsidRPr="008E6588" w:rsidRDefault="0020460A" w:rsidP="003759A5">
            <w:pPr>
              <w:widowControl w:val="0"/>
              <w:rPr>
                <w:rFonts w:ascii="Arial Narrow" w:hAnsi="Arial Narrow"/>
                <w:color w:val="333333"/>
                <w:sz w:val="20"/>
                <w:szCs w:val="20"/>
              </w:rPr>
            </w:pPr>
            <w:r w:rsidRPr="008E6588">
              <w:rPr>
                <w:rFonts w:ascii="Arial Narrow" w:hAnsi="Arial Narrow"/>
                <w:b/>
                <w:sz w:val="20"/>
                <w:szCs w:val="20"/>
              </w:rPr>
              <w:t xml:space="preserve">Authority type: </w:t>
            </w:r>
            <w:r w:rsidRPr="008E6588">
              <w:rPr>
                <w:rFonts w:ascii="Arial Narrow" w:eastAsia="Calibri" w:hAnsi="Arial Narrow"/>
                <w:sz w:val="20"/>
                <w:szCs w:val="20"/>
              </w:rPr>
              <w:fldChar w:fldCharType="begin" w:fldLock="1">
                <w:ffData>
                  <w:name w:val=""/>
                  <w:enabled/>
                  <w:calcOnExit w:val="0"/>
                  <w:checkBox>
                    <w:sizeAuto/>
                    <w:default w:val="1"/>
                  </w:checkBox>
                </w:ffData>
              </w:fldChar>
            </w:r>
            <w:r w:rsidRPr="008E6588">
              <w:rPr>
                <w:rFonts w:ascii="Arial Narrow" w:eastAsia="Calibri" w:hAnsi="Arial Narrow"/>
                <w:sz w:val="20"/>
                <w:szCs w:val="20"/>
              </w:rPr>
              <w:instrText xml:space="preserve"> FORMCHECKBOX </w:instrText>
            </w:r>
            <w:r w:rsidRPr="008E6588">
              <w:rPr>
                <w:rFonts w:ascii="Arial Narrow" w:eastAsia="Calibri" w:hAnsi="Arial Narrow"/>
                <w:sz w:val="20"/>
                <w:szCs w:val="20"/>
              </w:rPr>
            </w:r>
            <w:r w:rsidRPr="008E6588">
              <w:rPr>
                <w:rFonts w:ascii="Arial Narrow" w:eastAsia="Calibri" w:hAnsi="Arial Narrow"/>
                <w:sz w:val="20"/>
                <w:szCs w:val="20"/>
              </w:rPr>
              <w:fldChar w:fldCharType="separate"/>
            </w:r>
            <w:r w:rsidRPr="008E6588">
              <w:rPr>
                <w:rFonts w:ascii="Arial Narrow" w:eastAsia="Calibri" w:hAnsi="Arial Narrow"/>
                <w:sz w:val="20"/>
                <w:szCs w:val="20"/>
              </w:rPr>
              <w:fldChar w:fldCharType="end"/>
            </w:r>
            <w:r w:rsidRPr="008E6588">
              <w:rPr>
                <w:rFonts w:ascii="Arial Narrow" w:eastAsia="Calibri" w:hAnsi="Arial Narrow"/>
                <w:sz w:val="20"/>
                <w:szCs w:val="20"/>
              </w:rPr>
              <w:t xml:space="preserve"> Complex Authority Required (CAR)</w:t>
            </w:r>
          </w:p>
        </w:tc>
      </w:tr>
      <w:tr w:rsidR="00EB3A92" w:rsidRPr="008E6588" w14:paraId="5FF0B0AC" w14:textId="77777777" w:rsidTr="00836DB5">
        <w:tblPrEx>
          <w:tblCellMar>
            <w:top w:w="15" w:type="dxa"/>
            <w:bottom w:w="15" w:type="dxa"/>
          </w:tblCellMar>
        </w:tblPrEx>
        <w:trPr>
          <w:trHeight w:val="20"/>
        </w:trPr>
        <w:tc>
          <w:tcPr>
            <w:tcW w:w="315" w:type="pct"/>
            <w:vMerge w:val="restart"/>
            <w:tcBorders>
              <w:left w:val="single" w:sz="4" w:space="0" w:color="auto"/>
              <w:right w:val="single" w:sz="4" w:space="0" w:color="auto"/>
            </w:tcBorders>
            <w:textDirection w:val="btLr"/>
          </w:tcPr>
          <w:p w14:paraId="49DE7F8D" w14:textId="77777777" w:rsidR="00EB3A92" w:rsidRPr="008E6588" w:rsidRDefault="00EB3A92" w:rsidP="003759A5">
            <w:pPr>
              <w:widowControl w:val="0"/>
              <w:ind w:left="113" w:right="113"/>
              <w:jc w:val="center"/>
              <w:rPr>
                <w:rFonts w:ascii="Arial Narrow" w:hAnsi="Arial Narrow" w:cs="Arial"/>
                <w:sz w:val="20"/>
                <w:szCs w:val="20"/>
              </w:rPr>
            </w:pPr>
            <w:r w:rsidRPr="008E6588">
              <w:rPr>
                <w:rFonts w:ascii="Arial Narrow" w:hAnsi="Arial Narrow" w:cs="Arial"/>
                <w:sz w:val="20"/>
                <w:szCs w:val="20"/>
              </w:rPr>
              <w:t>Prescribing rule level</w:t>
            </w:r>
          </w:p>
        </w:tc>
        <w:tc>
          <w:tcPr>
            <w:tcW w:w="392" w:type="pct"/>
            <w:tcBorders>
              <w:left w:val="single" w:sz="4" w:space="0" w:color="auto"/>
              <w:right w:val="single" w:sz="4" w:space="0" w:color="auto"/>
            </w:tcBorders>
          </w:tcPr>
          <w:p w14:paraId="77D00F39" w14:textId="4332F8E4" w:rsidR="00EB3A92" w:rsidRPr="008E6588" w:rsidRDefault="00EB3A92" w:rsidP="003759A5">
            <w:pPr>
              <w:widowControl w:val="0"/>
              <w:jc w:val="left"/>
              <w:rPr>
                <w:rFonts w:ascii="Arial Narrow" w:hAnsi="Arial Narrow" w:cs="Arial"/>
                <w:sz w:val="20"/>
                <w:szCs w:val="20"/>
              </w:rPr>
            </w:pPr>
          </w:p>
        </w:tc>
        <w:tc>
          <w:tcPr>
            <w:tcW w:w="4293" w:type="pct"/>
            <w:gridSpan w:val="6"/>
            <w:tcBorders>
              <w:top w:val="single" w:sz="4" w:space="0" w:color="auto"/>
              <w:left w:val="single" w:sz="4" w:space="0" w:color="auto"/>
              <w:bottom w:val="single" w:sz="4" w:space="0" w:color="auto"/>
              <w:right w:val="single" w:sz="4" w:space="0" w:color="auto"/>
            </w:tcBorders>
          </w:tcPr>
          <w:p w14:paraId="03E4F718"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
                <w:sz w:val="20"/>
                <w:szCs w:val="20"/>
              </w:rPr>
              <w:t xml:space="preserve">Administrative Advice: </w:t>
            </w:r>
          </w:p>
          <w:p w14:paraId="01E81117" w14:textId="77777777" w:rsidR="00EB3A92" w:rsidRPr="008E6588" w:rsidRDefault="00EB3A92" w:rsidP="003759A5">
            <w:pPr>
              <w:widowControl w:val="0"/>
              <w:jc w:val="left"/>
              <w:rPr>
                <w:rFonts w:ascii="Arial Narrow" w:hAnsi="Arial Narrow" w:cs="Arial"/>
                <w:b/>
                <w:sz w:val="20"/>
                <w:szCs w:val="20"/>
              </w:rPr>
            </w:pPr>
            <w:r w:rsidRPr="008E6588">
              <w:rPr>
                <w:rFonts w:ascii="Arial Narrow" w:hAnsi="Arial Narrow" w:cs="Arial"/>
                <w:b/>
                <w:bCs/>
                <w:sz w:val="20"/>
                <w:szCs w:val="20"/>
              </w:rPr>
              <w:t>TREATMENT OF ADULT AND ADOLESCENT PATIENTS WITH UNCONTROLLED SEVERE ASTHMA</w:t>
            </w:r>
          </w:p>
          <w:p w14:paraId="3EE449C4"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The following information applies to the prescribing under the Pharmaceutical Benefits Scheme (PBS) of the biological medicines for uncontrolled severe asthma. Where the term biological medicine appears in the following notes and restrictions it refers to all PBS benefits with the specific PBS indication of 'uncontrolled severe asthma'.</w:t>
            </w:r>
          </w:p>
          <w:p w14:paraId="56EEB6B3"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A patient is eligible for PBS-subsidised treatment with only 1 biological medicine for uncontrolled severe asthma at any one time.</w:t>
            </w:r>
          </w:p>
          <w:p w14:paraId="1EE3E159"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 xml:space="preserve">A patient receiving PBS-subsidised treatment for uncontrolled severe asthma </w:t>
            </w:r>
            <w:proofErr w:type="gramStart"/>
            <w:r w:rsidRPr="008E6588">
              <w:rPr>
                <w:rFonts w:ascii="Arial Narrow" w:hAnsi="Arial Narrow" w:cs="Arial"/>
                <w:bCs/>
                <w:sz w:val="20"/>
                <w:szCs w:val="20"/>
              </w:rPr>
              <w:t>is able to</w:t>
            </w:r>
            <w:proofErr w:type="gramEnd"/>
            <w:r w:rsidRPr="008E6588">
              <w:rPr>
                <w:rFonts w:ascii="Arial Narrow" w:hAnsi="Arial Narrow" w:cs="Arial"/>
                <w:bCs/>
                <w:sz w:val="20"/>
                <w:szCs w:val="20"/>
              </w:rPr>
              <w:t xml:space="preserve"> commence a treatment cycle where they may trial a biological medicine without having to experience a disease flare when swapping to an alternate biological medicine within the same treatment cycle.</w:t>
            </w:r>
          </w:p>
          <w:p w14:paraId="2748D186"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 xml:space="preserve">Under these arrangements, within a treatment cycle, a patient may receive long-term treatment with a biological medicine </w:t>
            </w:r>
            <w:proofErr w:type="gramStart"/>
            <w:r w:rsidRPr="008E6588">
              <w:rPr>
                <w:rFonts w:ascii="Arial Narrow" w:hAnsi="Arial Narrow" w:cs="Arial"/>
                <w:bCs/>
                <w:sz w:val="20"/>
                <w:szCs w:val="20"/>
              </w:rPr>
              <w:t>as long as</w:t>
            </w:r>
            <w:proofErr w:type="gramEnd"/>
            <w:r w:rsidRPr="008E6588">
              <w:rPr>
                <w:rFonts w:ascii="Arial Narrow" w:hAnsi="Arial Narrow" w:cs="Arial"/>
                <w:bCs/>
                <w:sz w:val="20"/>
                <w:szCs w:val="20"/>
              </w:rPr>
              <w:t xml:space="preserve"> they sustain a response to therapy.</w:t>
            </w:r>
          </w:p>
          <w:p w14:paraId="2F9AD261"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A patient currently receiving PBS-subsidised treatment as of 1 April 2021 is considered to have started a cycle of treatment.</w:t>
            </w:r>
          </w:p>
          <w:p w14:paraId="61859EC4"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Within the same treatment cycle, a patient cannot trial and fail, or cease to respond to, the same PBS-subsidised biological medicine more than once.</w:t>
            </w:r>
          </w:p>
          <w:p w14:paraId="5E28A2A3"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Therefore, once a patient fails to meet the response criteria for a PBS-subsidised biological medicine, they must change to an alternate biological medicine if they wish to continue PBS-subsidised biological treatment.</w:t>
            </w:r>
          </w:p>
          <w:p w14:paraId="57F43476"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Once a patient has either failed to achieve or sustain a response to treatment 4 times, they are deemed to have completed a single treatment cycle. They must have at least a 12-month break in PBS-subsidised biological medicine therapy before they are eligible to recommence another new treatment cycle [further details are under 'Recommencement of treatment after a treatment break in PBS-subsidised therapy' below].</w:t>
            </w:r>
          </w:p>
          <w:p w14:paraId="4E8D6643"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The length of the break in therapy is measured from the date the most recent treatment with a PBS-subsidised biological medicine is ceased until the date of the first application for recommencement of treatment with a biological medicine under the new treatment cycle.</w:t>
            </w:r>
          </w:p>
          <w:p w14:paraId="2198F88D"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There is no limit to the number of treatment cycles that a patient may undertake in their lifetime.</w:t>
            </w:r>
          </w:p>
          <w:p w14:paraId="0483F565"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How to prescribe PBS-subsidised biological medicine treatment for uncontrolled severe asthma.</w:t>
            </w:r>
          </w:p>
          <w:p w14:paraId="5569D1B2"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(1) Initial treatment:</w:t>
            </w:r>
          </w:p>
          <w:p w14:paraId="579E87BC"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Applications for initial treatment should be made where:</w:t>
            </w:r>
          </w:p>
          <w:p w14:paraId="77CA0A9D"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w:t>
            </w:r>
            <w:proofErr w:type="spellStart"/>
            <w:r w:rsidRPr="008E6588">
              <w:rPr>
                <w:rFonts w:ascii="Arial Narrow" w:hAnsi="Arial Narrow" w:cs="Arial"/>
                <w:bCs/>
                <w:sz w:val="20"/>
                <w:szCs w:val="20"/>
              </w:rPr>
              <w:t>i</w:t>
            </w:r>
            <w:proofErr w:type="spellEnd"/>
            <w:r w:rsidRPr="008E6588">
              <w:rPr>
                <w:rFonts w:ascii="Arial Narrow" w:hAnsi="Arial Narrow" w:cs="Arial"/>
                <w:bCs/>
                <w:sz w:val="20"/>
                <w:szCs w:val="20"/>
              </w:rPr>
              <w:t>) a patient has not received prior PBS-subsidised biological medicine treatment and wishes to commence such therapy (Initial 1 restriction); or</w:t>
            </w:r>
          </w:p>
          <w:p w14:paraId="1D0628A4"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(ii) a patient has received prior PBS-subsidised treatment with a biological medicine and wishes to recommence a new treatment cycle with this biological medicine following a treatment break in PBS-subsidised therapy (Initial 1 restriction); or</w:t>
            </w:r>
          </w:p>
          <w:p w14:paraId="1051DBF2"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(iii) a patient has received prior PBS-subsidised biological medicine therapy and wishes to trial an alternate biological medicine within the same treatment cycle (Initial 2 restriction) - [further details are under 'Swapping therapy' below].</w:t>
            </w:r>
          </w:p>
          <w:p w14:paraId="2F6F8784"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All applications for initial treatment will be limited to provide for a maximum of up to 32 weeks of therapy of a biological medicine. It is recommended that a patient be reviewed in the month prior to completing their course of initial treatment to ensure uninterrupted biological medicine supply.</w:t>
            </w:r>
          </w:p>
          <w:p w14:paraId="64AE9A0F"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(2) Continuing treatment:</w:t>
            </w:r>
          </w:p>
          <w:p w14:paraId="195919C1"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 xml:space="preserve">Following the completion of an initial treatment course with a specific biological medicine, a patient may </w:t>
            </w:r>
            <w:r w:rsidRPr="008E6588">
              <w:rPr>
                <w:rFonts w:ascii="Arial Narrow" w:hAnsi="Arial Narrow" w:cs="Arial"/>
                <w:bCs/>
                <w:sz w:val="20"/>
                <w:szCs w:val="20"/>
              </w:rPr>
              <w:lastRenderedPageBreak/>
              <w:t>qualify to receive up to 24 weeks of continuing treatment with that biological medicine providing they have demonstrated an adequate response to treatment. The patient remains eligible to receive continuing biological medicine treatment with the same drug in courses of up to 24 weeks providing they continue to sustain the response. It is recommended that a patient be reviewed the month prior to completing their current course of treatment to ensure uninterrupted biological medicine supply.</w:t>
            </w:r>
          </w:p>
          <w:p w14:paraId="0A3DAE99"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(3) Baseline measurements to determine response:</w:t>
            </w:r>
          </w:p>
          <w:p w14:paraId="7B5FE0DF"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Baseline measurements of the Asthma Control Questionnaire (ACQ; 5 item version) or oral corticosteroid dose submitted with the Initial authority application for a biological medicine must be used to determine whether an adequate response to treatment has been achieved or sustained.</w:t>
            </w:r>
          </w:p>
          <w:p w14:paraId="2842BB2E"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For patients transitioned from the paediatric to the adolescent/adult restriction, the exacerbation history may also be used to determine response.</w:t>
            </w:r>
          </w:p>
          <w:p w14:paraId="2313AA68"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 xml:space="preserve">However, prescribers may provide new baseline measurements when a new Initial treatment authority application is </w:t>
            </w:r>
            <w:proofErr w:type="gramStart"/>
            <w:r w:rsidRPr="008E6588">
              <w:rPr>
                <w:rFonts w:ascii="Arial Narrow" w:hAnsi="Arial Narrow" w:cs="Arial"/>
                <w:bCs/>
                <w:sz w:val="20"/>
                <w:szCs w:val="20"/>
              </w:rPr>
              <w:t>submitted</w:t>
            </w:r>
            <w:proofErr w:type="gramEnd"/>
            <w:r w:rsidRPr="008E6588">
              <w:rPr>
                <w:rFonts w:ascii="Arial Narrow" w:hAnsi="Arial Narrow" w:cs="Arial"/>
                <w:bCs/>
                <w:sz w:val="20"/>
                <w:szCs w:val="20"/>
              </w:rPr>
              <w:t xml:space="preserve"> and these new baseline measurements may be used to assess response.</w:t>
            </w:r>
          </w:p>
          <w:p w14:paraId="447D1154"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(4) Swapping therapy within the same treatment cycle.</w:t>
            </w:r>
          </w:p>
          <w:p w14:paraId="0D0E8A2D"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Once initial treatment with the first PBS-subsidised biological medicine is approved, a patient may swap to an alternate biological medicine at any time by qualifying under an Initial 2 restriction.</w:t>
            </w:r>
          </w:p>
          <w:p w14:paraId="01D79ED8"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However, they cannot swap to a particular biological medicine if they have failed to respond to prior treatment with that drug within the same treatment cycle.</w:t>
            </w:r>
          </w:p>
          <w:p w14:paraId="47F56450"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Within the same treatment cycle a patient may alternate between therapy with any biological medicine of their choice (1 at a time) providing:</w:t>
            </w:r>
          </w:p>
          <w:p w14:paraId="2C163279"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w:t>
            </w:r>
            <w:proofErr w:type="spellStart"/>
            <w:r w:rsidRPr="008E6588">
              <w:rPr>
                <w:rFonts w:ascii="Arial Narrow" w:hAnsi="Arial Narrow" w:cs="Arial"/>
                <w:bCs/>
                <w:sz w:val="20"/>
                <w:szCs w:val="20"/>
              </w:rPr>
              <w:t>i</w:t>
            </w:r>
            <w:proofErr w:type="spellEnd"/>
            <w:r w:rsidRPr="008E6588">
              <w:rPr>
                <w:rFonts w:ascii="Arial Narrow" w:hAnsi="Arial Narrow" w:cs="Arial"/>
                <w:bCs/>
                <w:sz w:val="20"/>
                <w:szCs w:val="20"/>
              </w:rPr>
              <w:t xml:space="preserve">) they have not received PBS-subsidised treatment with that </w:t>
            </w:r>
            <w:proofErr w:type="gramStart"/>
            <w:r w:rsidRPr="008E6588">
              <w:rPr>
                <w:rFonts w:ascii="Arial Narrow" w:hAnsi="Arial Narrow" w:cs="Arial"/>
                <w:bCs/>
                <w:sz w:val="20"/>
                <w:szCs w:val="20"/>
              </w:rPr>
              <w:t>particular biological</w:t>
            </w:r>
            <w:proofErr w:type="gramEnd"/>
            <w:r w:rsidRPr="008E6588">
              <w:rPr>
                <w:rFonts w:ascii="Arial Narrow" w:hAnsi="Arial Narrow" w:cs="Arial"/>
                <w:bCs/>
                <w:sz w:val="20"/>
                <w:szCs w:val="20"/>
              </w:rPr>
              <w:t xml:space="preserve"> medicine previously; or</w:t>
            </w:r>
          </w:p>
          <w:p w14:paraId="6A9B1B87"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 xml:space="preserve">(ii) they have demonstrated an adequate response to that </w:t>
            </w:r>
            <w:proofErr w:type="gramStart"/>
            <w:r w:rsidRPr="008E6588">
              <w:rPr>
                <w:rFonts w:ascii="Arial Narrow" w:hAnsi="Arial Narrow" w:cs="Arial"/>
                <w:bCs/>
                <w:sz w:val="20"/>
                <w:szCs w:val="20"/>
              </w:rPr>
              <w:t>particular biological</w:t>
            </w:r>
            <w:proofErr w:type="gramEnd"/>
            <w:r w:rsidRPr="008E6588">
              <w:rPr>
                <w:rFonts w:ascii="Arial Narrow" w:hAnsi="Arial Narrow" w:cs="Arial"/>
                <w:bCs/>
                <w:sz w:val="20"/>
                <w:szCs w:val="20"/>
              </w:rPr>
              <w:t xml:space="preserve"> medicine if they have previously trialled it on the PBS; and</w:t>
            </w:r>
          </w:p>
          <w:p w14:paraId="5B7C067F"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(iii) they have not previously failed to respond to treatment with all 4 biological medicines in this treatment cycle.</w:t>
            </w:r>
          </w:p>
          <w:p w14:paraId="40122B06"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(5) Re-commencement of a new treatment cycle after a treatment break in PBS-subsidised therapy:</w:t>
            </w:r>
          </w:p>
          <w:p w14:paraId="14096CCF"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A patient who wishes to trial a second or subsequent new treatment cycle, following a break in PBS-subsidised therapy of at least 12 months (in patients who have failed to achieve or ceased to sustain a response to treatment 4 times within a treatment cycle), must re-qualify through an Initial 1 restriction.</w:t>
            </w:r>
          </w:p>
          <w:p w14:paraId="489FFCB1"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(6) Monitoring of patients:</w:t>
            </w:r>
          </w:p>
          <w:p w14:paraId="3CADF4AF"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Omalizumab only:</w:t>
            </w:r>
          </w:p>
          <w:p w14:paraId="7890A401"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 xml:space="preserve">Anaphylaxis and anaphylactoid reactions have been reported following first or subsequent administration of omalizumab (see Product Information). Patients should be monitored post-injection, and medications for the treatment of anaphylactic reactions should be available for immediate use following administration of omalizumab. Patients should be informed that such reactions are </w:t>
            </w:r>
            <w:proofErr w:type="gramStart"/>
            <w:r w:rsidRPr="008E6588">
              <w:rPr>
                <w:rFonts w:ascii="Arial Narrow" w:hAnsi="Arial Narrow" w:cs="Arial"/>
                <w:bCs/>
                <w:sz w:val="20"/>
                <w:szCs w:val="20"/>
              </w:rPr>
              <w:t>possible</w:t>
            </w:r>
            <w:proofErr w:type="gramEnd"/>
            <w:r w:rsidRPr="008E6588">
              <w:rPr>
                <w:rFonts w:ascii="Arial Narrow" w:hAnsi="Arial Narrow" w:cs="Arial"/>
                <w:bCs/>
                <w:sz w:val="20"/>
                <w:szCs w:val="20"/>
              </w:rPr>
              <w:t xml:space="preserve"> and prompt medical attention should be sought if allergic reactions occur.</w:t>
            </w:r>
          </w:p>
        </w:tc>
      </w:tr>
      <w:tr w:rsidR="00EB3A92" w:rsidRPr="008E6588" w14:paraId="19EA3993" w14:textId="77777777" w:rsidTr="00836DB5">
        <w:tblPrEx>
          <w:tblCellMar>
            <w:top w:w="15" w:type="dxa"/>
            <w:bottom w:w="15" w:type="dxa"/>
          </w:tblCellMar>
        </w:tblPrEx>
        <w:trPr>
          <w:trHeight w:val="20"/>
        </w:trPr>
        <w:tc>
          <w:tcPr>
            <w:tcW w:w="315" w:type="pct"/>
            <w:vMerge/>
            <w:tcBorders>
              <w:left w:val="single" w:sz="4" w:space="0" w:color="auto"/>
              <w:right w:val="single" w:sz="4" w:space="0" w:color="auto"/>
            </w:tcBorders>
            <w:textDirection w:val="btLr"/>
          </w:tcPr>
          <w:p w14:paraId="2FB6AF7F" w14:textId="77777777" w:rsidR="00EB3A92" w:rsidRPr="008E6588" w:rsidRDefault="00EB3A92" w:rsidP="003759A5">
            <w:pPr>
              <w:widowControl w:val="0"/>
              <w:ind w:left="113" w:right="113"/>
              <w:jc w:val="center"/>
              <w:rPr>
                <w:rFonts w:ascii="Arial Narrow" w:hAnsi="Arial Narrow" w:cs="Arial"/>
                <w:sz w:val="20"/>
                <w:szCs w:val="20"/>
              </w:rPr>
            </w:pPr>
          </w:p>
        </w:tc>
        <w:tc>
          <w:tcPr>
            <w:tcW w:w="392" w:type="pct"/>
            <w:tcBorders>
              <w:left w:val="single" w:sz="4" w:space="0" w:color="auto"/>
              <w:right w:val="single" w:sz="4" w:space="0" w:color="auto"/>
            </w:tcBorders>
          </w:tcPr>
          <w:p w14:paraId="0E775C07" w14:textId="158314CD" w:rsidR="00EB3A92" w:rsidRPr="008E6588" w:rsidRDefault="00EB3A92" w:rsidP="003759A5">
            <w:pPr>
              <w:widowControl w:val="0"/>
              <w:jc w:val="left"/>
              <w:rPr>
                <w:rFonts w:ascii="Arial Narrow" w:hAnsi="Arial Narrow" w:cs="Arial"/>
                <w:sz w:val="20"/>
                <w:szCs w:val="20"/>
              </w:rPr>
            </w:pPr>
          </w:p>
        </w:tc>
        <w:tc>
          <w:tcPr>
            <w:tcW w:w="4293" w:type="pct"/>
            <w:gridSpan w:val="6"/>
            <w:tcBorders>
              <w:top w:val="single" w:sz="4" w:space="0" w:color="auto"/>
              <w:left w:val="single" w:sz="4" w:space="0" w:color="auto"/>
              <w:bottom w:val="single" w:sz="4" w:space="0" w:color="auto"/>
              <w:right w:val="single" w:sz="4" w:space="0" w:color="auto"/>
            </w:tcBorders>
          </w:tcPr>
          <w:p w14:paraId="14123790" w14:textId="77777777" w:rsidR="00EB3A92" w:rsidRPr="008E6588" w:rsidRDefault="00EB3A92" w:rsidP="003759A5">
            <w:pPr>
              <w:widowControl w:val="0"/>
              <w:jc w:val="left"/>
              <w:rPr>
                <w:rFonts w:ascii="Arial Narrow" w:hAnsi="Arial Narrow" w:cs="Arial"/>
                <w:b/>
                <w:sz w:val="20"/>
                <w:szCs w:val="20"/>
              </w:rPr>
            </w:pPr>
            <w:r w:rsidRPr="008E6588">
              <w:rPr>
                <w:rFonts w:ascii="Arial Narrow" w:hAnsi="Arial Narrow" w:cs="Arial"/>
                <w:b/>
                <w:sz w:val="20"/>
                <w:szCs w:val="20"/>
              </w:rPr>
              <w:t xml:space="preserve">Administrative Advice: </w:t>
            </w:r>
            <w:r w:rsidRPr="008E6588">
              <w:rPr>
                <w:rFonts w:ascii="Arial Narrow" w:hAnsi="Arial Narrow" w:cs="Arial"/>
                <w:bCs/>
                <w:sz w:val="20"/>
                <w:szCs w:val="20"/>
              </w:rPr>
              <w:t>For copies of the ACQ and the calculation sheets please contact Novartis Medical Information on 1800 671 203 or medinfo.phauno@novartis.com</w:t>
            </w:r>
          </w:p>
        </w:tc>
      </w:tr>
      <w:tr w:rsidR="00EB3A92" w:rsidRPr="008E6588" w14:paraId="19650F62" w14:textId="77777777" w:rsidTr="00836DB5">
        <w:tblPrEx>
          <w:tblCellMar>
            <w:top w:w="15" w:type="dxa"/>
            <w:bottom w:w="15" w:type="dxa"/>
          </w:tblCellMar>
        </w:tblPrEx>
        <w:trPr>
          <w:trHeight w:val="20"/>
        </w:trPr>
        <w:tc>
          <w:tcPr>
            <w:tcW w:w="315" w:type="pct"/>
            <w:vMerge/>
            <w:tcBorders>
              <w:left w:val="single" w:sz="4" w:space="0" w:color="auto"/>
              <w:right w:val="single" w:sz="4" w:space="0" w:color="auto"/>
            </w:tcBorders>
          </w:tcPr>
          <w:p w14:paraId="49AF80F6" w14:textId="77777777" w:rsidR="00EB3A92" w:rsidRPr="008E6588" w:rsidRDefault="00EB3A92" w:rsidP="003759A5">
            <w:pPr>
              <w:widowControl w:val="0"/>
              <w:jc w:val="left"/>
              <w:rPr>
                <w:rFonts w:ascii="Arial Narrow" w:hAnsi="Arial Narrow" w:cs="Arial"/>
                <w:sz w:val="20"/>
                <w:szCs w:val="20"/>
              </w:rPr>
            </w:pPr>
          </w:p>
        </w:tc>
        <w:tc>
          <w:tcPr>
            <w:tcW w:w="392" w:type="pct"/>
            <w:tcBorders>
              <w:left w:val="single" w:sz="4" w:space="0" w:color="auto"/>
              <w:right w:val="single" w:sz="4" w:space="0" w:color="auto"/>
            </w:tcBorders>
          </w:tcPr>
          <w:p w14:paraId="4AC1D09B" w14:textId="2BCF2D8F" w:rsidR="00EB3A92" w:rsidRPr="008E6588" w:rsidRDefault="00EB3A92" w:rsidP="003759A5">
            <w:pPr>
              <w:widowControl w:val="0"/>
              <w:jc w:val="left"/>
              <w:textAlignment w:val="baseline"/>
              <w:rPr>
                <w:rFonts w:ascii="Arial Narrow" w:hAnsi="Arial Narrow" w:cs="Open Sans"/>
                <w:color w:val="333333"/>
                <w:sz w:val="20"/>
                <w:szCs w:val="20"/>
              </w:rPr>
            </w:pPr>
          </w:p>
        </w:tc>
        <w:tc>
          <w:tcPr>
            <w:tcW w:w="4293" w:type="pct"/>
            <w:gridSpan w:val="6"/>
            <w:tcBorders>
              <w:top w:val="single" w:sz="4" w:space="0" w:color="auto"/>
              <w:left w:val="single" w:sz="4" w:space="0" w:color="auto"/>
              <w:bottom w:val="single" w:sz="4" w:space="0" w:color="auto"/>
              <w:right w:val="single" w:sz="4" w:space="0" w:color="auto"/>
            </w:tcBorders>
          </w:tcPr>
          <w:p w14:paraId="086CA14E" w14:textId="77777777" w:rsidR="00EB3A92" w:rsidRPr="008E6588" w:rsidRDefault="00EB3A92" w:rsidP="003759A5">
            <w:pPr>
              <w:widowControl w:val="0"/>
              <w:jc w:val="left"/>
              <w:rPr>
                <w:rFonts w:ascii="Arial Narrow" w:hAnsi="Arial Narrow" w:cs="Arial"/>
                <w:sz w:val="20"/>
                <w:szCs w:val="20"/>
              </w:rPr>
            </w:pPr>
            <w:r w:rsidRPr="008E6588">
              <w:rPr>
                <w:rFonts w:ascii="Arial Narrow" w:hAnsi="Arial Narrow" w:cs="Arial"/>
                <w:b/>
                <w:sz w:val="20"/>
                <w:szCs w:val="20"/>
              </w:rPr>
              <w:t>Administrative Advice</w:t>
            </w:r>
            <w:r w:rsidRPr="008E6588">
              <w:rPr>
                <w:rFonts w:ascii="Arial Narrow" w:hAnsi="Arial Narrow" w:cs="Arial"/>
                <w:sz w:val="20"/>
                <w:szCs w:val="20"/>
              </w:rPr>
              <w:t xml:space="preserve">: </w:t>
            </w:r>
          </w:p>
          <w:p w14:paraId="4A74DC64"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Any queries concerning the arrangements to prescribe may be directed to Services Australia on 1800 700 270 (hours of operation 8 a.m. to 5 p.m. Monday to Friday).</w:t>
            </w:r>
          </w:p>
          <w:p w14:paraId="0037C4DE"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Prescribing information (including Authority Application forms and other relevant documentation as applicable) is available on the Services Australia website at www.servicesaustralia.gov.au</w:t>
            </w:r>
          </w:p>
          <w:p w14:paraId="768838A2"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Applications for authority to prescribe should be submitted online using the form upload facility in Health Professional Online Services (HPOS) at www.servicesaustralia.gov.au/hpos</w:t>
            </w:r>
          </w:p>
          <w:p w14:paraId="62F1A3B3"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Or mailed to:</w:t>
            </w:r>
          </w:p>
          <w:p w14:paraId="6B21F433"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Services Australia</w:t>
            </w:r>
          </w:p>
          <w:p w14:paraId="10A23121"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Complex Drugs</w:t>
            </w:r>
          </w:p>
          <w:p w14:paraId="39438858"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Reply Paid 9826</w:t>
            </w:r>
          </w:p>
          <w:p w14:paraId="6ED26B23" w14:textId="77777777" w:rsidR="00EB3A92" w:rsidRPr="008E6588" w:rsidRDefault="00EB3A92" w:rsidP="003759A5">
            <w:pPr>
              <w:widowControl w:val="0"/>
              <w:jc w:val="left"/>
              <w:rPr>
                <w:rFonts w:ascii="Arial Narrow" w:hAnsi="Arial Narrow" w:cs="Arial"/>
                <w:bCs/>
                <w:sz w:val="20"/>
                <w:szCs w:val="20"/>
              </w:rPr>
            </w:pPr>
            <w:r w:rsidRPr="008E6588">
              <w:rPr>
                <w:rFonts w:ascii="Arial Narrow" w:hAnsi="Arial Narrow" w:cs="Arial"/>
                <w:bCs/>
                <w:sz w:val="20"/>
                <w:szCs w:val="20"/>
              </w:rPr>
              <w:t>HOBART TAS 7001</w:t>
            </w:r>
          </w:p>
        </w:tc>
      </w:tr>
      <w:tr w:rsidR="00EB3A92" w:rsidRPr="008E6588" w14:paraId="4334632C" w14:textId="77777777" w:rsidTr="00836DB5">
        <w:tblPrEx>
          <w:tblCellMar>
            <w:top w:w="15" w:type="dxa"/>
            <w:bottom w:w="15" w:type="dxa"/>
          </w:tblCellMar>
        </w:tblPrEx>
        <w:trPr>
          <w:trHeight w:val="20"/>
        </w:trPr>
        <w:tc>
          <w:tcPr>
            <w:tcW w:w="315" w:type="pct"/>
            <w:vMerge/>
            <w:tcBorders>
              <w:left w:val="single" w:sz="4" w:space="0" w:color="auto"/>
              <w:right w:val="single" w:sz="4" w:space="0" w:color="auto"/>
            </w:tcBorders>
          </w:tcPr>
          <w:p w14:paraId="550BEB35" w14:textId="77777777" w:rsidR="00EB3A92" w:rsidRPr="008E6588" w:rsidRDefault="00EB3A92" w:rsidP="003759A5">
            <w:pPr>
              <w:widowControl w:val="0"/>
              <w:jc w:val="left"/>
              <w:rPr>
                <w:rFonts w:ascii="Arial Narrow" w:hAnsi="Arial Narrow" w:cs="Arial"/>
                <w:sz w:val="20"/>
                <w:szCs w:val="20"/>
              </w:rPr>
            </w:pPr>
          </w:p>
        </w:tc>
        <w:tc>
          <w:tcPr>
            <w:tcW w:w="392" w:type="pct"/>
            <w:tcBorders>
              <w:left w:val="single" w:sz="4" w:space="0" w:color="auto"/>
              <w:right w:val="single" w:sz="4" w:space="0" w:color="auto"/>
            </w:tcBorders>
          </w:tcPr>
          <w:p w14:paraId="454B2A78" w14:textId="2FB91AC8" w:rsidR="00EB3A92" w:rsidRPr="008E6588" w:rsidRDefault="00EB3A92" w:rsidP="003759A5">
            <w:pPr>
              <w:widowControl w:val="0"/>
              <w:jc w:val="left"/>
              <w:rPr>
                <w:rFonts w:ascii="Arial Narrow" w:hAnsi="Arial Narrow" w:cs="Arial"/>
                <w:sz w:val="20"/>
                <w:szCs w:val="20"/>
              </w:rPr>
            </w:pPr>
          </w:p>
        </w:tc>
        <w:tc>
          <w:tcPr>
            <w:tcW w:w="4293" w:type="pct"/>
            <w:gridSpan w:val="6"/>
            <w:tcBorders>
              <w:top w:val="single" w:sz="4" w:space="0" w:color="auto"/>
              <w:left w:val="single" w:sz="4" w:space="0" w:color="auto"/>
              <w:bottom w:val="single" w:sz="4" w:space="0" w:color="auto"/>
              <w:right w:val="single" w:sz="4" w:space="0" w:color="auto"/>
            </w:tcBorders>
          </w:tcPr>
          <w:p w14:paraId="6FA90BBE" w14:textId="7F37BB7C" w:rsidR="00EB3A92" w:rsidRPr="008E6588" w:rsidRDefault="00EB3A92" w:rsidP="003759A5">
            <w:pPr>
              <w:widowControl w:val="0"/>
              <w:textAlignment w:val="baseline"/>
              <w:rPr>
                <w:rFonts w:ascii="Arial Narrow" w:hAnsi="Arial Narrow"/>
                <w:sz w:val="20"/>
                <w:szCs w:val="20"/>
              </w:rPr>
            </w:pPr>
            <w:r w:rsidRPr="008E6588">
              <w:rPr>
                <w:rFonts w:ascii="Arial Narrow" w:hAnsi="Arial Narrow"/>
                <w:b/>
                <w:sz w:val="20"/>
                <w:szCs w:val="20"/>
              </w:rPr>
              <w:t>Administrative Advice:</w:t>
            </w:r>
            <w:r w:rsidRPr="008E6588">
              <w:rPr>
                <w:rFonts w:ascii="Arial Narrow" w:hAnsi="Arial Narrow"/>
                <w:sz w:val="20"/>
                <w:szCs w:val="20"/>
              </w:rPr>
              <w:t xml:space="preserve"> </w:t>
            </w:r>
            <w:r w:rsidR="00D22150" w:rsidRPr="008E6588">
              <w:rPr>
                <w:rFonts w:ascii="Arial Narrow" w:hAnsi="Arial Narrow"/>
                <w:sz w:val="20"/>
                <w:szCs w:val="20"/>
              </w:rPr>
              <w:t xml:space="preserve">Pharmaceutical benefits that have the form omalizumab </w:t>
            </w:r>
            <w:r w:rsidR="00D22150" w:rsidRPr="008E6588">
              <w:rPr>
                <w:rFonts w:ascii="Arial Narrow" w:hAnsi="Arial Narrow" w:cs="Arial"/>
                <w:sz w:val="20"/>
                <w:szCs w:val="20"/>
              </w:rPr>
              <w:t xml:space="preserve">150 mg/mL </w:t>
            </w:r>
            <w:r w:rsidR="00D22150" w:rsidRPr="008E6588">
              <w:rPr>
                <w:rFonts w:ascii="Arial Narrow" w:hAnsi="Arial Narrow"/>
                <w:sz w:val="20"/>
                <w:szCs w:val="20"/>
              </w:rPr>
              <w:t xml:space="preserve">syringes and pharmaceutical benefits that have the form omalizumab </w:t>
            </w:r>
            <w:r w:rsidR="00D22150" w:rsidRPr="008E6588">
              <w:rPr>
                <w:rFonts w:ascii="Arial Narrow" w:hAnsi="Arial Narrow" w:cs="Arial"/>
                <w:sz w:val="20"/>
                <w:szCs w:val="20"/>
              </w:rPr>
              <w:t xml:space="preserve">150 mg/mL </w:t>
            </w:r>
            <w:r w:rsidR="00D22150" w:rsidRPr="008E6588">
              <w:rPr>
                <w:rFonts w:ascii="Arial Narrow" w:hAnsi="Arial Narrow"/>
                <w:sz w:val="20"/>
                <w:szCs w:val="20"/>
              </w:rPr>
              <w:t>pen devices are equivalent for the purposes of substitution.</w:t>
            </w:r>
          </w:p>
        </w:tc>
      </w:tr>
      <w:tr w:rsidR="00EB3A92" w:rsidRPr="008E6588" w14:paraId="20CB48E1" w14:textId="77777777" w:rsidTr="00836DB5">
        <w:tblPrEx>
          <w:tblCellMar>
            <w:top w:w="15" w:type="dxa"/>
            <w:bottom w:w="15" w:type="dxa"/>
          </w:tblCellMar>
          <w:tblLook w:val="04A0" w:firstRow="1" w:lastRow="0" w:firstColumn="1" w:lastColumn="0" w:noHBand="0" w:noVBand="1"/>
        </w:tblPrEx>
        <w:trPr>
          <w:cantSplit/>
          <w:trHeight w:val="20"/>
        </w:trPr>
        <w:tc>
          <w:tcPr>
            <w:tcW w:w="4997" w:type="pct"/>
            <w:gridSpan w:val="8"/>
            <w:vAlign w:val="center"/>
          </w:tcPr>
          <w:p w14:paraId="4BCD5F3B" w14:textId="77777777" w:rsidR="00EB3A92" w:rsidRPr="008E6588" w:rsidRDefault="00EB3A92" w:rsidP="003759A5">
            <w:pPr>
              <w:widowControl w:val="0"/>
              <w:rPr>
                <w:rFonts w:ascii="Arial Narrow" w:hAnsi="Arial Narrow"/>
                <w:color w:val="333333"/>
                <w:sz w:val="20"/>
                <w:szCs w:val="20"/>
              </w:rPr>
            </w:pPr>
            <w:r w:rsidRPr="008E6588">
              <w:rPr>
                <w:rFonts w:ascii="Arial Narrow" w:hAnsi="Arial Narrow"/>
                <w:b/>
                <w:sz w:val="20"/>
                <w:szCs w:val="20"/>
              </w:rPr>
              <w:lastRenderedPageBreak/>
              <w:t>Restriction Summary 15845/ Treatment of Concept: 15846: Authority Required</w:t>
            </w:r>
          </w:p>
        </w:tc>
      </w:tr>
      <w:tr w:rsidR="00EB3A92" w:rsidRPr="008E6588" w14:paraId="23A818BB"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vAlign w:val="center"/>
          </w:tcPr>
          <w:p w14:paraId="31B7AF8A" w14:textId="6B4533A2" w:rsidR="00EB3A92" w:rsidRPr="008E6588" w:rsidRDefault="00EB3A92" w:rsidP="003759A5">
            <w:pPr>
              <w:widowControl w:val="0"/>
              <w:jc w:val="center"/>
              <w:rPr>
                <w:rFonts w:ascii="Arial Narrow" w:hAnsi="Arial Narrow"/>
                <w:sz w:val="20"/>
                <w:szCs w:val="20"/>
              </w:rPr>
            </w:pPr>
          </w:p>
        </w:tc>
        <w:tc>
          <w:tcPr>
            <w:tcW w:w="4293" w:type="pct"/>
            <w:gridSpan w:val="6"/>
            <w:vAlign w:val="center"/>
          </w:tcPr>
          <w:p w14:paraId="6ED605C4"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Indication:</w:t>
            </w:r>
            <w:r w:rsidRPr="008E6588">
              <w:rPr>
                <w:rFonts w:ascii="Arial Narrow" w:hAnsi="Arial Narrow"/>
                <w:sz w:val="20"/>
                <w:szCs w:val="20"/>
              </w:rPr>
              <w:t xml:space="preserve"> Uncontrolled severe asthma</w:t>
            </w:r>
          </w:p>
        </w:tc>
      </w:tr>
      <w:tr w:rsidR="00EB3A92" w:rsidRPr="008E6588" w14:paraId="1012D774" w14:textId="77777777" w:rsidTr="00B923E6">
        <w:tblPrEx>
          <w:tblCellMar>
            <w:top w:w="15" w:type="dxa"/>
            <w:bottom w:w="15" w:type="dxa"/>
          </w:tblCellMar>
        </w:tblPrEx>
        <w:trPr>
          <w:cantSplit/>
          <w:trHeight w:val="20"/>
        </w:trPr>
        <w:tc>
          <w:tcPr>
            <w:tcW w:w="704" w:type="pct"/>
            <w:gridSpan w:val="2"/>
            <w:vAlign w:val="center"/>
          </w:tcPr>
          <w:p w14:paraId="02C98066" w14:textId="77777777" w:rsidR="00EB3A92" w:rsidRPr="008E6588" w:rsidRDefault="00EB3A92" w:rsidP="003759A5">
            <w:pPr>
              <w:widowControl w:val="0"/>
              <w:jc w:val="center"/>
              <w:rPr>
                <w:rFonts w:ascii="Arial Narrow" w:hAnsi="Arial Narrow"/>
                <w:sz w:val="20"/>
                <w:szCs w:val="20"/>
              </w:rPr>
            </w:pPr>
          </w:p>
        </w:tc>
        <w:tc>
          <w:tcPr>
            <w:tcW w:w="4293" w:type="pct"/>
            <w:gridSpan w:val="6"/>
            <w:vAlign w:val="center"/>
            <w:hideMark/>
          </w:tcPr>
          <w:p w14:paraId="074F80F4" w14:textId="77777777" w:rsidR="00EB3A92" w:rsidRPr="008E6588" w:rsidRDefault="00EB3A92" w:rsidP="003759A5">
            <w:pPr>
              <w:widowControl w:val="0"/>
              <w:rPr>
                <w:rFonts w:ascii="Arial Narrow" w:hAnsi="Arial Narrow"/>
                <w:sz w:val="20"/>
                <w:szCs w:val="20"/>
              </w:rPr>
            </w:pPr>
            <w:r w:rsidRPr="008E6588">
              <w:rPr>
                <w:rFonts w:ascii="Arial Narrow" w:hAnsi="Arial Narrow"/>
                <w:b/>
                <w:bCs/>
                <w:sz w:val="20"/>
                <w:szCs w:val="20"/>
              </w:rPr>
              <w:t>Treatment Phase:</w:t>
            </w:r>
            <w:r w:rsidRPr="008E6588">
              <w:rPr>
                <w:rFonts w:ascii="Arial Narrow" w:hAnsi="Arial Narrow"/>
                <w:sz w:val="20"/>
                <w:szCs w:val="20"/>
              </w:rPr>
              <w:t xml:space="preserve"> Initial treatment - Initial 1 (New patients; or Recommencement of treatment in a new treatment cycle following a break in PBS subsidised biological medicine therapy)</w:t>
            </w:r>
          </w:p>
        </w:tc>
      </w:tr>
      <w:tr w:rsidR="00EB3A92" w:rsidRPr="008E6588" w14:paraId="600DDFB7"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03A33" w14:textId="58DACAE8"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25828A"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Treatment criteria:</w:t>
            </w:r>
          </w:p>
        </w:tc>
      </w:tr>
      <w:tr w:rsidR="00EB3A92" w:rsidRPr="008E6588" w14:paraId="1F8FEDF7"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C6BCA" w14:textId="5CA70643"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CFE4FA"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Must be treated by a medical practitioner who is either a: (</w:t>
            </w:r>
            <w:proofErr w:type="spellStart"/>
            <w:r w:rsidRPr="008E6588">
              <w:rPr>
                <w:rFonts w:ascii="Arial Narrow" w:hAnsi="Arial Narrow"/>
                <w:sz w:val="20"/>
                <w:szCs w:val="20"/>
              </w:rPr>
              <w:t>i</w:t>
            </w:r>
            <w:proofErr w:type="spellEnd"/>
            <w:r w:rsidRPr="008E6588">
              <w:rPr>
                <w:rFonts w:ascii="Arial Narrow" w:hAnsi="Arial Narrow"/>
                <w:sz w:val="20"/>
                <w:szCs w:val="20"/>
              </w:rPr>
              <w:t>) respiratory physician, (ii) clinical immunologist, (iii) allergist, (iv) general physician experienced in the management of patients with severe asthma</w:t>
            </w:r>
          </w:p>
        </w:tc>
      </w:tr>
      <w:tr w:rsidR="00EB3A92" w:rsidRPr="008E6588" w14:paraId="4FC2BF54"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8D779" w14:textId="0EA82C55"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5F3D62"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16CBE2C3"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2D47A" w14:textId="64B9733F"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0E39CB"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Patient must be under the care of the same physician for at least 6 months; or</w:t>
            </w:r>
          </w:p>
        </w:tc>
      </w:tr>
      <w:tr w:rsidR="00EB3A92" w:rsidRPr="008E6588" w14:paraId="1CC4B00D"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7074B" w14:textId="398724D5"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6F816B"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Patient must have been diagnosed by a multidisciplinary severe asthma clinic team</w:t>
            </w:r>
          </w:p>
        </w:tc>
      </w:tr>
      <w:tr w:rsidR="00EB3A92" w:rsidRPr="008E6588" w14:paraId="757FAFC6"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2B5D2" w14:textId="77777777"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25FDA0"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AND</w:t>
            </w:r>
          </w:p>
        </w:tc>
      </w:tr>
      <w:tr w:rsidR="00EB3A92" w:rsidRPr="008E6588" w14:paraId="7C70807A"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7382A" w14:textId="109CDD44"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827933"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5E289FCB"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DB831" w14:textId="6CE14408"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8FEA9E"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Patient must not have received PBS-subsidised treatment with a biological medicine for severe asthma; or</w:t>
            </w:r>
          </w:p>
        </w:tc>
      </w:tr>
      <w:tr w:rsidR="00EB3A92" w:rsidRPr="008E6588" w14:paraId="70A1DB41"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70AE8" w14:textId="18FBC7F1"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BA5027"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Patient must have had a break in treatment of at least 12 months from the most recently approved PBS-subsidised biological medicine for severe asthma</w:t>
            </w:r>
          </w:p>
        </w:tc>
      </w:tr>
      <w:tr w:rsidR="00EB3A92" w:rsidRPr="008E6588" w14:paraId="400609D8"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54CD2" w14:textId="77777777"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40BFAD"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AND</w:t>
            </w:r>
          </w:p>
        </w:tc>
      </w:tr>
      <w:tr w:rsidR="00EB3A92" w:rsidRPr="008E6588" w14:paraId="093C65DE"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46D93" w14:textId="0E3224B9"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DC6C88"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014918DE"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C9B8F" w14:textId="34B77B37"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88B9B4" w14:textId="4AD26708"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Patient must have a diagnosis of asthma confirmed and documented in the patient</w:t>
            </w:r>
            <w:r w:rsidR="00B301F5" w:rsidRPr="008E6588">
              <w:rPr>
                <w:rFonts w:ascii="Arial Narrow" w:hAnsi="Arial Narrow"/>
                <w:sz w:val="20"/>
                <w:szCs w:val="20"/>
              </w:rPr>
              <w:t>’</w:t>
            </w:r>
            <w:r w:rsidRPr="008E6588">
              <w:rPr>
                <w:rFonts w:ascii="Arial Narrow" w:hAnsi="Arial Narrow"/>
                <w:sz w:val="20"/>
                <w:szCs w:val="20"/>
              </w:rPr>
              <w:t>s medical records by either a: (</w:t>
            </w:r>
            <w:proofErr w:type="spellStart"/>
            <w:r w:rsidRPr="008E6588">
              <w:rPr>
                <w:rFonts w:ascii="Arial Narrow" w:hAnsi="Arial Narrow"/>
                <w:sz w:val="20"/>
                <w:szCs w:val="20"/>
              </w:rPr>
              <w:t>i</w:t>
            </w:r>
            <w:proofErr w:type="spellEnd"/>
            <w:r w:rsidRPr="008E6588">
              <w:rPr>
                <w:rFonts w:ascii="Arial Narrow" w:hAnsi="Arial Narrow"/>
                <w:sz w:val="20"/>
                <w:szCs w:val="20"/>
              </w:rPr>
              <w:t>) respiratory physician, (ii) clinical immunologist, (iii) allergist, (iv) general physician experienced in the management of patients with severe asthma, defined by at least one of the following standard clinical features: (a) forced expiratory volume (FEV1) reversibility greater than or equal to 12% and greater than or equal to 200 mL at baseline within 30 minutes after administration of salbutamol (200 to 400 micrograms), (b) airway hyperresponsiveness defined as a greater than 20% decline in FEV1 during a direct bronchial provocation test or greater than 15% decline during an indirect bronchial provocation test, (c) peak expiratory flow (PEF) variability of greater than 15% between the two highest and two lowest peak expiratory flow rates during 14 days; or</w:t>
            </w:r>
          </w:p>
        </w:tc>
      </w:tr>
      <w:tr w:rsidR="00EB3A92" w:rsidRPr="008E6588" w14:paraId="421D7F32"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BB478" w14:textId="7DFEB4AF"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5745CC" w14:textId="7B1254B6"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Patient must have a diagnosis of asthma from at least two physicians experienced in the management of patients with severe asthma with the details documented in the patient</w:t>
            </w:r>
            <w:r w:rsidR="00B301F5" w:rsidRPr="008E6588">
              <w:rPr>
                <w:rFonts w:ascii="Arial Narrow" w:hAnsi="Arial Narrow"/>
                <w:sz w:val="20"/>
                <w:szCs w:val="20"/>
              </w:rPr>
              <w:t>’</w:t>
            </w:r>
            <w:r w:rsidRPr="008E6588">
              <w:rPr>
                <w:rFonts w:ascii="Arial Narrow" w:hAnsi="Arial Narrow"/>
                <w:sz w:val="20"/>
                <w:szCs w:val="20"/>
              </w:rPr>
              <w:t>s medical records</w:t>
            </w:r>
          </w:p>
        </w:tc>
      </w:tr>
      <w:tr w:rsidR="00EB3A92" w:rsidRPr="008E6588" w14:paraId="6D98EA6E"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58413" w14:textId="77777777"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C87762"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AND</w:t>
            </w:r>
          </w:p>
        </w:tc>
      </w:tr>
      <w:tr w:rsidR="00EB3A92" w:rsidRPr="008E6588" w14:paraId="7902399F"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65E9F" w14:textId="2F669742"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48B986"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2E8A20E3"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970D6" w14:textId="0DC59838"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1AA71F"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Patient must have a duration of asthma of at least 1 year</w:t>
            </w:r>
          </w:p>
        </w:tc>
      </w:tr>
      <w:tr w:rsidR="00EB3A92" w:rsidRPr="008E6588" w14:paraId="0587D52C"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C6907" w14:textId="77777777"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5ECBC"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AND</w:t>
            </w:r>
          </w:p>
        </w:tc>
      </w:tr>
      <w:tr w:rsidR="00EB3A92" w:rsidRPr="008E6588" w14:paraId="6E0FF1C9"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9A98A" w14:textId="706D5CA1"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B9E195"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6299F4D7"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B91FE" w14:textId="2E8786D9"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CC5B7"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Patient must have past or current evidence of atopy that is no more than 1 year old at the time of application that is documented by either: (</w:t>
            </w:r>
            <w:proofErr w:type="spellStart"/>
            <w:r w:rsidRPr="008E6588">
              <w:rPr>
                <w:rFonts w:ascii="Arial Narrow" w:hAnsi="Arial Narrow"/>
                <w:sz w:val="20"/>
                <w:szCs w:val="20"/>
              </w:rPr>
              <w:t>i</w:t>
            </w:r>
            <w:proofErr w:type="spellEnd"/>
            <w:r w:rsidRPr="008E6588">
              <w:rPr>
                <w:rFonts w:ascii="Arial Narrow" w:hAnsi="Arial Narrow"/>
                <w:sz w:val="20"/>
                <w:szCs w:val="20"/>
              </w:rPr>
              <w:t>) skin prick testing, (ii) an in vitro measure of specific IgE</w:t>
            </w:r>
          </w:p>
        </w:tc>
      </w:tr>
      <w:tr w:rsidR="00EB3A92" w:rsidRPr="008E6588" w14:paraId="576FF017"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2C382" w14:textId="77777777"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231F2D"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AND</w:t>
            </w:r>
          </w:p>
        </w:tc>
      </w:tr>
      <w:tr w:rsidR="00EB3A92" w:rsidRPr="008E6588" w14:paraId="6F556C1B"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A8E06" w14:textId="204CFE23"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077D0F"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5B699AC4"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148D6" w14:textId="44BE4D3F"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F40B7E"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Patient must have total serum human immunoglobulin E of at least 30 IU/mL, measured no more than 12 months prior to the time of application</w:t>
            </w:r>
          </w:p>
        </w:tc>
      </w:tr>
      <w:tr w:rsidR="00EB3A92" w:rsidRPr="008E6588" w14:paraId="6ABE627D"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341AB" w14:textId="77777777"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DB2F9C"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AND</w:t>
            </w:r>
          </w:p>
        </w:tc>
      </w:tr>
      <w:tr w:rsidR="00EB3A92" w:rsidRPr="008E6588" w14:paraId="3AE3CFEF"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5480D" w14:textId="53A63D22"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39F11E"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7F243548"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CDAF7" w14:textId="2B8413A0"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591917" w14:textId="0948B172"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Patient must have failed to achieve adequate control with optimised asthma therapy, despite formal assessment of and adherence to correct inhaler technique, which has been documented in the patient</w:t>
            </w:r>
            <w:r w:rsidR="00B301F5" w:rsidRPr="008E6588">
              <w:rPr>
                <w:rFonts w:ascii="Arial Narrow" w:hAnsi="Arial Narrow"/>
                <w:sz w:val="20"/>
                <w:szCs w:val="20"/>
              </w:rPr>
              <w:t>’</w:t>
            </w:r>
            <w:r w:rsidRPr="008E6588">
              <w:rPr>
                <w:rFonts w:ascii="Arial Narrow" w:hAnsi="Arial Narrow"/>
                <w:sz w:val="20"/>
                <w:szCs w:val="20"/>
              </w:rPr>
              <w:t>s medical records</w:t>
            </w:r>
          </w:p>
        </w:tc>
      </w:tr>
      <w:tr w:rsidR="00EB3A92" w:rsidRPr="008E6588" w14:paraId="25589AC2"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D189F" w14:textId="77777777"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466335"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AND</w:t>
            </w:r>
          </w:p>
        </w:tc>
      </w:tr>
      <w:tr w:rsidR="00EB3A92" w:rsidRPr="008E6588" w14:paraId="3ED34B9E"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5C849" w14:textId="04F1A58A"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51811E"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7C1B6B7F"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08BF92" w14:textId="45684C64"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AA0F58"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Patient must not receive more than 32 weeks of treatment under this restriction</w:t>
            </w:r>
          </w:p>
        </w:tc>
      </w:tr>
      <w:tr w:rsidR="00EB3A92" w:rsidRPr="008E6588" w14:paraId="54FBE4AC"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7E0BF" w14:textId="77777777"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75D1BC"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AND</w:t>
            </w:r>
          </w:p>
        </w:tc>
      </w:tr>
      <w:tr w:rsidR="00EB3A92" w:rsidRPr="008E6588" w14:paraId="625CDC26"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09058" w14:textId="4D476714"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2E7576"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188458DB"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6850F" w14:textId="474A406F"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DB4F77"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The treatment must not be used in combination with and within 4 weeks of another PBS-subsidised biological medicine prescribed for severe asthma</w:t>
            </w:r>
          </w:p>
        </w:tc>
      </w:tr>
      <w:tr w:rsidR="00EB3A92" w:rsidRPr="008E6588" w14:paraId="548CAD03"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18E1F" w14:textId="0696B7D2"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C5F674" w14:textId="77777777" w:rsidR="00EB3A92" w:rsidRPr="008E6588" w:rsidRDefault="00EB3A92" w:rsidP="003759A5">
            <w:pPr>
              <w:widowControl w:val="0"/>
              <w:rPr>
                <w:rFonts w:ascii="Arial Narrow" w:hAnsi="Arial Narrow"/>
                <w:sz w:val="20"/>
                <w:szCs w:val="20"/>
              </w:rPr>
            </w:pPr>
            <w:r w:rsidRPr="008E6588">
              <w:rPr>
                <w:rFonts w:ascii="Arial Narrow" w:hAnsi="Arial Narrow"/>
                <w:b/>
                <w:bCs/>
                <w:sz w:val="20"/>
                <w:szCs w:val="20"/>
              </w:rPr>
              <w:t>Population criteria</w:t>
            </w:r>
            <w:r w:rsidRPr="008E6588">
              <w:rPr>
                <w:rFonts w:ascii="Arial Narrow" w:hAnsi="Arial Narrow"/>
                <w:sz w:val="20"/>
                <w:szCs w:val="20"/>
              </w:rPr>
              <w:t>:</w:t>
            </w:r>
          </w:p>
        </w:tc>
      </w:tr>
      <w:tr w:rsidR="00EB3A92" w:rsidRPr="008E6588" w14:paraId="48D0E901"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62302" w14:textId="5F16B06E"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09D22D"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Patient must be aged 12 years or older</w:t>
            </w:r>
          </w:p>
        </w:tc>
      </w:tr>
      <w:tr w:rsidR="00EB3A92" w:rsidRPr="008E6588" w14:paraId="55D263ED"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7B158" w14:textId="047B4E32"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AB389D" w14:textId="77777777" w:rsidR="00EB3A92" w:rsidRPr="008E6588" w:rsidRDefault="00EB3A92" w:rsidP="003759A5">
            <w:pPr>
              <w:widowControl w:val="0"/>
              <w:rPr>
                <w:rFonts w:ascii="Arial Narrow" w:hAnsi="Arial Narrow"/>
                <w:sz w:val="20"/>
                <w:szCs w:val="20"/>
              </w:rPr>
            </w:pPr>
            <w:r w:rsidRPr="008E6588">
              <w:rPr>
                <w:rFonts w:ascii="Arial Narrow" w:hAnsi="Arial Narrow"/>
                <w:b/>
                <w:bCs/>
                <w:sz w:val="20"/>
                <w:szCs w:val="20"/>
              </w:rPr>
              <w:t>Prescribing Instructions</w:t>
            </w:r>
            <w:r w:rsidRPr="008E6588">
              <w:rPr>
                <w:rFonts w:ascii="Arial Narrow" w:hAnsi="Arial Narrow"/>
                <w:sz w:val="20"/>
                <w:szCs w:val="20"/>
              </w:rPr>
              <w:t>:</w:t>
            </w:r>
          </w:p>
          <w:p w14:paraId="4CA7A8FD"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Optimised asthma therapy includes adherence to maximal inhaled therapy, including high dose inhaled corticosteroid (ICS) plus long-acting beta-2 agonist (LABA) therapy for at least 12 months, unless contraindicated or not tolerated.</w:t>
            </w:r>
          </w:p>
          <w:p w14:paraId="570AD676"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tc>
      </w:tr>
      <w:tr w:rsidR="00EB3A92" w:rsidRPr="008E6588" w14:paraId="40613DD2"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06CFE" w14:textId="09738CAA"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720359"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Prescribing Instructions:</w:t>
            </w:r>
          </w:p>
          <w:p w14:paraId="13F73438"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The following initiation criteria indicate failure to achieve adequate control and must be demonstrated in all patients at the time of the application:</w:t>
            </w:r>
          </w:p>
          <w:p w14:paraId="0D9B0C62"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(a) an Asthma Control Questionnaire (ACQ-5) score of at least 2.0, as assessed in the previous month, AND</w:t>
            </w:r>
          </w:p>
          <w:p w14:paraId="1036BC62"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1EE5B898"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The Asthma Control Questionnaire (5 item version) assessment of the patient's response to this initial course of treatment, and the assessment of oral corticosteroid dose, should be made at around 28 weeks after the first PBS-subsidised dose of this drug under this restriction so that there is adequate time for a response to be demonstrated and for the application for the first continuing therapy to be processed.</w:t>
            </w:r>
          </w:p>
          <w:p w14:paraId="6DE77383"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This assessment, which will be used to determine eligibility for the first continuing treatment, should be conducted within 4 weeks of the last dose of biological medicine. Where a response assessment is not undertaken and provided, the patient will be deemed to have failed to respond to treatment with this drug.</w:t>
            </w:r>
          </w:p>
          <w:p w14:paraId="63474FB0"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 xml:space="preserve">If a patient fails to demonstrate a response to treatment with this </w:t>
            </w:r>
            <w:proofErr w:type="gramStart"/>
            <w:r w:rsidRPr="008E6588">
              <w:rPr>
                <w:rFonts w:ascii="Arial Narrow" w:hAnsi="Arial Narrow"/>
                <w:sz w:val="20"/>
                <w:szCs w:val="20"/>
              </w:rPr>
              <w:t>drug</w:t>
            </w:r>
            <w:proofErr w:type="gramEnd"/>
            <w:r w:rsidRPr="008E6588">
              <w:rPr>
                <w:rFonts w:ascii="Arial Narrow" w:hAnsi="Arial Narrow"/>
                <w:sz w:val="20"/>
                <w:szCs w:val="20"/>
              </w:rPr>
              <w:t xml:space="preserve"> they will not be eligible to receive further PBS-subsidised treatment with this drug for severe asthma within the same treatment cycle.</w:t>
            </w:r>
          </w:p>
          <w:p w14:paraId="41C910BE"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A treatment break in PBS-subsidised biological medicine therapy of at least 12 months must be observed in a patient who has either failed to achieve or sustain a response to treatment with 4 biological medicines for severe asthma within the same treatment cycle.</w:t>
            </w:r>
          </w:p>
          <w:p w14:paraId="599421E3"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The length of the break in therapy is measured from the date the most recent treatment with a PBS-subsidised biological medicine was administered until the date of the first application for recommencement of treatment with a biological medicine under the new treatment cycle.</w:t>
            </w:r>
          </w:p>
          <w:p w14:paraId="22E4EBA4"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There is no limit to the number of treatment cycles that a patient may undertake in their lifetime.</w:t>
            </w:r>
          </w:p>
          <w:p w14:paraId="4330B4D1"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At the time of the authority application, medical practitioners should request the appropriate maximum quantity and number of repeats to provide for an initial course of omalizumab consisting of the recommended number of doses for the baseline IgE level and body weight of the patient (refer to the TGA-approved Product Information) to be administered every 2 or 4 weeks.</w:t>
            </w:r>
          </w:p>
          <w:p w14:paraId="3E957F48"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A multidisciplinary severe asthma clinic team comprises of:</w:t>
            </w:r>
          </w:p>
          <w:p w14:paraId="0840C055"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w:t>
            </w:r>
            <w:proofErr w:type="spellStart"/>
            <w:r w:rsidRPr="008E6588">
              <w:rPr>
                <w:rFonts w:ascii="Arial Narrow" w:hAnsi="Arial Narrow"/>
                <w:sz w:val="20"/>
                <w:szCs w:val="20"/>
              </w:rPr>
              <w:t>i</w:t>
            </w:r>
            <w:proofErr w:type="spellEnd"/>
            <w:r w:rsidRPr="008E6588">
              <w:rPr>
                <w:rFonts w:ascii="Arial Narrow" w:hAnsi="Arial Narrow"/>
                <w:sz w:val="20"/>
                <w:szCs w:val="20"/>
              </w:rPr>
              <w:t>) A respiratory physician; and</w:t>
            </w:r>
          </w:p>
          <w:p w14:paraId="371F21D2"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(ii) A pharmacist, nurse or asthma educator.</w:t>
            </w:r>
          </w:p>
        </w:tc>
      </w:tr>
      <w:tr w:rsidR="00EB3A92" w:rsidRPr="008E6588" w14:paraId="54F37F9D"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C7E0A" w14:textId="35D16550"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3C308E"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Prescribing Instructions:</w:t>
            </w:r>
          </w:p>
          <w:p w14:paraId="681F9924"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The authority application must be made in writing and must include:</w:t>
            </w:r>
          </w:p>
          <w:p w14:paraId="1F42E6F4"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(1) details of the proposed prescription; and</w:t>
            </w:r>
          </w:p>
          <w:p w14:paraId="64A2CF31"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(2) a completed authority application form relevant to the indication and treatment phase (the latest version is located on the website specified in the Administrative Advice).</w:t>
            </w:r>
          </w:p>
        </w:tc>
      </w:tr>
      <w:tr w:rsidR="00EB3A92" w:rsidRPr="008E6588" w14:paraId="11B6296D"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38AB2" w14:textId="1C66010C"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9C8E48"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Prescribing Instructions:</w:t>
            </w:r>
          </w:p>
          <w:p w14:paraId="6C0B1BCC"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The following must be provided at the time of application and documented in the patient's medical records:</w:t>
            </w:r>
          </w:p>
          <w:p w14:paraId="0136516E"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(a) details of prior optimised asthma drug therapy (dosage, date of commencement, duration of therapy); and</w:t>
            </w:r>
          </w:p>
          <w:p w14:paraId="1BDEA73B"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lastRenderedPageBreak/>
              <w:t>(b) If applicable, details of contraindications and/or intolerances of a severity necessitating permanent treatment withdrawal to standard therapy according to the relevant TGA-approved Product Information; and</w:t>
            </w:r>
          </w:p>
          <w:p w14:paraId="47C233BD"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(c) details of severe exacerbation/s experienced in the past 12 months while receiving optimised asthma therapy (date and treatment); and</w:t>
            </w:r>
          </w:p>
          <w:p w14:paraId="0047AC93"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(d) the IgE result and date; and</w:t>
            </w:r>
          </w:p>
          <w:p w14:paraId="58B4232C"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(e) Asthma Control Questionnaire (ACQ-5) score.</w:t>
            </w:r>
          </w:p>
        </w:tc>
      </w:tr>
      <w:tr w:rsidR="00EB3A92" w:rsidRPr="008E6588" w14:paraId="5A9B69D7"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005AE" w14:textId="1042DC64"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C697D6" w14:textId="77777777" w:rsidR="00EB3A92" w:rsidRPr="008E6588" w:rsidRDefault="00EB3A92" w:rsidP="003759A5">
            <w:pPr>
              <w:widowControl w:val="0"/>
              <w:rPr>
                <w:rFonts w:ascii="Arial Narrow" w:hAnsi="Arial Narrow"/>
                <w:sz w:val="20"/>
                <w:szCs w:val="20"/>
              </w:rPr>
            </w:pPr>
            <w:r w:rsidRPr="008E6588">
              <w:rPr>
                <w:rFonts w:ascii="Arial Narrow" w:hAnsi="Arial Narrow"/>
                <w:b/>
                <w:bCs/>
                <w:sz w:val="20"/>
                <w:szCs w:val="20"/>
              </w:rPr>
              <w:t>Administrative Advice</w:t>
            </w:r>
            <w:r w:rsidRPr="008E6588">
              <w:rPr>
                <w:rFonts w:ascii="Arial Narrow" w:hAnsi="Arial Narrow"/>
                <w:sz w:val="20"/>
                <w:szCs w:val="20"/>
              </w:rPr>
              <w:t>:</w:t>
            </w:r>
          </w:p>
          <w:p w14:paraId="57BBCC59"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The Services Australia website (www.servicesaustralia.gov.au) has details of the accepted toxicities, including severity, which will be accepted for the purposes of exempting a patient from the requirement of treatment with optimised asthma therapy.</w:t>
            </w:r>
          </w:p>
        </w:tc>
      </w:tr>
      <w:tr w:rsidR="00EB3A92" w:rsidRPr="008E6588" w14:paraId="111058BF"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85272" w14:textId="700D9030"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BFA41F"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Administrative Advice:</w:t>
            </w:r>
          </w:p>
          <w:p w14:paraId="610828C1"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Formal assessment and correction of inhaler technique should be performed in accordance with the National Asthma Council (NAC) Information Paper for Health Professionals on Inhaler Technique (available at www.nationalasthma.org.au); the assessment and adherence to correct technique should be documented in the patient's medical records. Patients can obtain support with inhaler technique through their local Asthma Foundation (1800 645 130).</w:t>
            </w:r>
          </w:p>
        </w:tc>
      </w:tr>
      <w:tr w:rsidR="00EB3A92" w:rsidRPr="008E6588" w14:paraId="39D675B5" w14:textId="77777777" w:rsidTr="00E4489F">
        <w:tblPrEx>
          <w:tblCellMar>
            <w:top w:w="15" w:type="dxa"/>
            <w:bottom w:w="15" w:type="dxa"/>
          </w:tblCellMar>
          <w:tblLook w:val="04A0" w:firstRow="1" w:lastRow="0" w:firstColumn="1" w:lastColumn="0" w:noHBand="0" w:noVBand="1"/>
        </w:tblPrEx>
        <w:trPr>
          <w:trHeight w:val="20"/>
        </w:trPr>
        <w:tc>
          <w:tcPr>
            <w:tcW w:w="4997" w:type="pct"/>
            <w:gridSpan w:val="8"/>
            <w:vAlign w:val="center"/>
          </w:tcPr>
          <w:p w14:paraId="3B2948B1" w14:textId="77777777" w:rsidR="00EB3A92" w:rsidRPr="008E6588" w:rsidRDefault="00EB3A92" w:rsidP="003759A5">
            <w:pPr>
              <w:widowControl w:val="0"/>
              <w:rPr>
                <w:rFonts w:ascii="Arial Narrow" w:hAnsi="Arial Narrow"/>
                <w:sz w:val="20"/>
                <w:szCs w:val="20"/>
              </w:rPr>
            </w:pPr>
          </w:p>
        </w:tc>
      </w:tr>
      <w:tr w:rsidR="00EB3A92" w:rsidRPr="008E6588" w14:paraId="70FA4409" w14:textId="77777777" w:rsidTr="00E4489F">
        <w:tblPrEx>
          <w:tblCellMar>
            <w:top w:w="15" w:type="dxa"/>
            <w:bottom w:w="15" w:type="dxa"/>
          </w:tblCellMar>
          <w:tblLook w:val="04A0" w:firstRow="1" w:lastRow="0" w:firstColumn="1" w:lastColumn="0" w:noHBand="0" w:noVBand="1"/>
        </w:tblPrEx>
        <w:trPr>
          <w:trHeight w:val="20"/>
        </w:trPr>
        <w:tc>
          <w:tcPr>
            <w:tcW w:w="4997" w:type="pct"/>
            <w:gridSpan w:val="8"/>
            <w:vAlign w:val="center"/>
          </w:tcPr>
          <w:p w14:paraId="736E7E90"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Restriction Summary 15883 / Treatment of Concept: 15870: Authority Required</w:t>
            </w:r>
          </w:p>
        </w:tc>
      </w:tr>
      <w:tr w:rsidR="00EB3A92" w:rsidRPr="008E6588" w14:paraId="7D6F6D1B"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vAlign w:val="center"/>
          </w:tcPr>
          <w:p w14:paraId="4C10F27F" w14:textId="5361738D" w:rsidR="00EB3A92" w:rsidRPr="008E6588" w:rsidRDefault="00EB3A92" w:rsidP="003759A5">
            <w:pPr>
              <w:widowControl w:val="0"/>
              <w:jc w:val="center"/>
              <w:rPr>
                <w:rFonts w:ascii="Arial Narrow" w:hAnsi="Arial Narrow"/>
                <w:sz w:val="20"/>
                <w:szCs w:val="20"/>
              </w:rPr>
            </w:pPr>
          </w:p>
        </w:tc>
        <w:tc>
          <w:tcPr>
            <w:tcW w:w="4293" w:type="pct"/>
            <w:gridSpan w:val="6"/>
            <w:vAlign w:val="center"/>
          </w:tcPr>
          <w:p w14:paraId="4133DB43" w14:textId="77777777" w:rsidR="00EB3A92" w:rsidRPr="008E6588" w:rsidRDefault="00EB3A92" w:rsidP="003759A5">
            <w:pPr>
              <w:widowControl w:val="0"/>
              <w:rPr>
                <w:rFonts w:ascii="Arial Narrow" w:hAnsi="Arial Narrow"/>
                <w:sz w:val="20"/>
                <w:szCs w:val="20"/>
              </w:rPr>
            </w:pPr>
            <w:r w:rsidRPr="008E6588">
              <w:rPr>
                <w:rFonts w:ascii="Arial Narrow" w:hAnsi="Arial Narrow"/>
                <w:b/>
                <w:bCs/>
                <w:sz w:val="20"/>
                <w:szCs w:val="20"/>
              </w:rPr>
              <w:t>Indication:</w:t>
            </w:r>
            <w:r w:rsidRPr="008E6588">
              <w:rPr>
                <w:rFonts w:ascii="Arial Narrow" w:hAnsi="Arial Narrow"/>
                <w:sz w:val="20"/>
                <w:szCs w:val="20"/>
              </w:rPr>
              <w:t xml:space="preserve"> Uncontrolled severe asthma</w:t>
            </w:r>
          </w:p>
        </w:tc>
      </w:tr>
      <w:tr w:rsidR="00EB3A92" w:rsidRPr="008E6588" w14:paraId="671DEAF1"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vAlign w:val="center"/>
          </w:tcPr>
          <w:p w14:paraId="36B9A7DC" w14:textId="77777777" w:rsidR="00EB3A92" w:rsidRPr="008E6588" w:rsidRDefault="00EB3A92" w:rsidP="003759A5">
            <w:pPr>
              <w:widowControl w:val="0"/>
              <w:jc w:val="center"/>
              <w:rPr>
                <w:rFonts w:ascii="Arial Narrow" w:hAnsi="Arial Narrow"/>
                <w:sz w:val="20"/>
                <w:szCs w:val="20"/>
              </w:rPr>
            </w:pPr>
          </w:p>
        </w:tc>
        <w:tc>
          <w:tcPr>
            <w:tcW w:w="4293" w:type="pct"/>
            <w:gridSpan w:val="6"/>
            <w:vAlign w:val="center"/>
          </w:tcPr>
          <w:p w14:paraId="0B6970ED" w14:textId="77777777" w:rsidR="00EB3A92" w:rsidRPr="008E6588" w:rsidRDefault="00EB3A92" w:rsidP="003759A5">
            <w:pPr>
              <w:widowControl w:val="0"/>
              <w:rPr>
                <w:rFonts w:ascii="Arial Narrow" w:hAnsi="Arial Narrow"/>
                <w:sz w:val="20"/>
                <w:szCs w:val="20"/>
              </w:rPr>
            </w:pPr>
            <w:r w:rsidRPr="008E6588">
              <w:rPr>
                <w:rFonts w:ascii="Arial Narrow" w:hAnsi="Arial Narrow"/>
                <w:b/>
                <w:bCs/>
                <w:sz w:val="20"/>
                <w:szCs w:val="20"/>
              </w:rPr>
              <w:t xml:space="preserve">Treatment Phase: </w:t>
            </w:r>
            <w:r w:rsidRPr="008E6588">
              <w:rPr>
                <w:rFonts w:ascii="Arial Narrow" w:hAnsi="Arial Narrow"/>
                <w:sz w:val="20"/>
                <w:szCs w:val="20"/>
              </w:rPr>
              <w:t>Initial treatment - Initial 2 (Change of treatment)</w:t>
            </w:r>
          </w:p>
        </w:tc>
      </w:tr>
      <w:tr w:rsidR="00EB3A92" w:rsidRPr="008E6588" w14:paraId="0D40B29A"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B1E42" w14:textId="5C9ADAA3"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54835F"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Treatment criteria:</w:t>
            </w:r>
          </w:p>
        </w:tc>
      </w:tr>
      <w:tr w:rsidR="00EB3A92" w:rsidRPr="008E6588" w14:paraId="5E5BD8FC"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07552" w14:textId="3BC28711"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71872E"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Must be treated by a medical practitioner who is either a: (</w:t>
            </w:r>
            <w:proofErr w:type="spellStart"/>
            <w:r w:rsidRPr="008E6588">
              <w:rPr>
                <w:rFonts w:ascii="Arial Narrow" w:hAnsi="Arial Narrow"/>
                <w:sz w:val="20"/>
                <w:szCs w:val="20"/>
              </w:rPr>
              <w:t>i</w:t>
            </w:r>
            <w:proofErr w:type="spellEnd"/>
            <w:r w:rsidRPr="008E6588">
              <w:rPr>
                <w:rFonts w:ascii="Arial Narrow" w:hAnsi="Arial Narrow"/>
                <w:sz w:val="20"/>
                <w:szCs w:val="20"/>
              </w:rPr>
              <w:t>) respiratory physician, (ii) clinical immunologist, (iii) allergist, (iv) general physician experienced in the management of patients with severe asthma</w:t>
            </w:r>
          </w:p>
        </w:tc>
      </w:tr>
      <w:tr w:rsidR="00EB3A92" w:rsidRPr="008E6588" w14:paraId="460DDD20"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01D42" w14:textId="30C46793"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8F1B10"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137FE6D6"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8E3D4" w14:textId="79C6486B"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78EF45"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Patient must be under the care of the same physician for at least 6 months; or</w:t>
            </w:r>
          </w:p>
        </w:tc>
      </w:tr>
      <w:tr w:rsidR="00EB3A92" w:rsidRPr="008E6588" w14:paraId="53490075"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75F22" w14:textId="46D51ECA"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996873"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Patient must have been diagnosed by a multidisciplinary severe asthma clinic team</w:t>
            </w:r>
          </w:p>
        </w:tc>
      </w:tr>
      <w:tr w:rsidR="00EB3A92" w:rsidRPr="008E6588" w14:paraId="7294ADF8"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36BEF" w14:textId="77777777"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708B16"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AND</w:t>
            </w:r>
          </w:p>
        </w:tc>
      </w:tr>
      <w:tr w:rsidR="00EB3A92" w:rsidRPr="008E6588" w14:paraId="1DC81480"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30146" w14:textId="790B1734"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B4AFC6"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28D0C3E4"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7369D" w14:textId="39860E57"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86DCC8"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Patient must have received prior PBS-subsidised treatment with a biological medicine for severe asthma in this treatment cycle</w:t>
            </w:r>
          </w:p>
        </w:tc>
      </w:tr>
      <w:tr w:rsidR="00EB3A92" w:rsidRPr="008E6588" w14:paraId="1B37BAC2"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7D67F" w14:textId="77777777"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ECA9B8"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AND</w:t>
            </w:r>
          </w:p>
        </w:tc>
      </w:tr>
      <w:tr w:rsidR="00EB3A92" w:rsidRPr="008E6588" w14:paraId="101A2DFA"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45FD2" w14:textId="66E10189"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DCCFBB"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504ED6DA"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6278CE" w14:textId="6104CE1E"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C15E62"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Patient must not have failed, or ceased to respond to, PBS-subsidised treatment with this drug for severe asthma during the current treatment cycle</w:t>
            </w:r>
          </w:p>
        </w:tc>
      </w:tr>
      <w:tr w:rsidR="00EB3A92" w:rsidRPr="008E6588" w14:paraId="7BFD255A"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54FC5" w14:textId="77777777"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222BF5"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AND</w:t>
            </w:r>
          </w:p>
        </w:tc>
      </w:tr>
      <w:tr w:rsidR="00EB3A92" w:rsidRPr="008E6588" w14:paraId="50D1CE2C"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ED53F" w14:textId="10643D94"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97ACED"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378CCD74"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F522B" w14:textId="709B00B9"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5FE97A"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Patient must have past or current evidence of atopy, documented by skin prick testing or an in vitro measure of specific IgE in the past 12 months or in the 12 months prior to initiating PBS-subsidised treatment with a biological medicine for severe asthma</w:t>
            </w:r>
          </w:p>
        </w:tc>
      </w:tr>
      <w:tr w:rsidR="00EB3A92" w:rsidRPr="008E6588" w14:paraId="0F5A7870"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2B6B4" w14:textId="77777777"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17EFE1"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AND</w:t>
            </w:r>
          </w:p>
        </w:tc>
      </w:tr>
      <w:tr w:rsidR="00EB3A92" w:rsidRPr="008E6588" w14:paraId="017FD83A"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B112B" w14:textId="0577AEA0"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5E661B"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36BE0F22"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96E850" w14:textId="5B72D583"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5B043A"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Patient must have total serum human immunoglobulin E of at least 30 IU/mL, measured no more than 12 months prior to initiating PBS-subsidised treatment with a biological medicine for severe asthma</w:t>
            </w:r>
          </w:p>
        </w:tc>
      </w:tr>
      <w:tr w:rsidR="00EB3A92" w:rsidRPr="008E6588" w14:paraId="2FFADD1B"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75648" w14:textId="77777777"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95D436"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AND</w:t>
            </w:r>
          </w:p>
        </w:tc>
      </w:tr>
      <w:tr w:rsidR="00EB3A92" w:rsidRPr="008E6588" w14:paraId="71649CFC"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12535" w14:textId="5F75F4EE"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FD3846"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433ADE37"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75B4B" w14:textId="4B422F58"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A62DE1"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Patient must not receive more than 32 weeks of treatment under this restriction</w:t>
            </w:r>
          </w:p>
        </w:tc>
      </w:tr>
      <w:tr w:rsidR="00EB3A92" w:rsidRPr="008E6588" w14:paraId="5563BF09"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6BB6C7" w14:textId="77777777"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4FBF1D"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AND</w:t>
            </w:r>
          </w:p>
        </w:tc>
      </w:tr>
      <w:tr w:rsidR="00EB3A92" w:rsidRPr="008E6588" w14:paraId="03F6C142"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A48DB7" w14:textId="451F177D"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DD9054"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26DAD7D0"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0B32E" w14:textId="54D4EC0D"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C6BA04"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The treatment must not be used in combination with and within 4 weeks of another PBS-subsidised biological medicine prescribed for severe asthma</w:t>
            </w:r>
          </w:p>
        </w:tc>
      </w:tr>
      <w:tr w:rsidR="00EB3A92" w:rsidRPr="008E6588" w14:paraId="4375C2FC"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960E6B" w14:textId="0770A02B"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B40020"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Population criteria:</w:t>
            </w:r>
          </w:p>
        </w:tc>
      </w:tr>
      <w:tr w:rsidR="00EB3A92" w:rsidRPr="008E6588" w14:paraId="078D48B5"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62507" w14:textId="06BD4540"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872B1A"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Patient must be aged 12 years or older</w:t>
            </w:r>
          </w:p>
        </w:tc>
      </w:tr>
      <w:tr w:rsidR="00EB3A92" w:rsidRPr="008E6588" w14:paraId="20838267"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2B0D70" w14:textId="2616617F"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AF58AE"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Prescribing Instructions:</w:t>
            </w:r>
          </w:p>
          <w:p w14:paraId="59E9E0A1"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An application for a patient who has received PBS-subsidised biological medicine treatment for this condition who wishes to change therapy to this biological medicine, must be accompanied by the results of an ACQ-5 assessment of the patient's most recent course of PBS-subsidised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p>
          <w:p w14:paraId="7C5B5D05"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An ACQ-5 assessment of the patient may be made at the time of application for treatment (to establish a new baseline score</w:t>
            </w:r>
            <w:proofErr w:type="gramStart"/>
            <w:r w:rsidRPr="008E6588">
              <w:rPr>
                <w:rFonts w:ascii="Arial Narrow" w:hAnsi="Arial Narrow"/>
                <w:sz w:val="20"/>
                <w:szCs w:val="20"/>
              </w:rPr>
              <w:t>), but</w:t>
            </w:r>
            <w:proofErr w:type="gramEnd"/>
            <w:r w:rsidRPr="008E6588">
              <w:rPr>
                <w:rFonts w:ascii="Arial Narrow" w:hAnsi="Arial Narrow"/>
                <w:sz w:val="20"/>
                <w:szCs w:val="20"/>
              </w:rPr>
              <w:t xml:space="preserve"> should be made again around 28 weeks after the first PBS-subsidised dose of this biological medicine under this restriction so that there is adequate time for a response to be demonstrated and for the application for the first continuing therapy to be processed.</w:t>
            </w:r>
          </w:p>
          <w:p w14:paraId="580C9588"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This assessment, which will be used to determine eligibility for the first continuing treatment, should be conducted within 4 weeks of the last dose of biological medicine. Where a response assessment is not undertaken and provided, the patient will be deemed to have failed to respond to treatment with this biological medicine.</w:t>
            </w:r>
          </w:p>
          <w:p w14:paraId="75D1610A"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At the time of the authority application, medical practitioners should request an appropriate maximum quantity based on IgE level and body weight (refer to the TGA-approved Product Information) to be administered every 2 to 4 weeks and up to 7 repeats to provide for an initial course sufficient for up to 32 weeks of therapy.</w:t>
            </w:r>
          </w:p>
          <w:p w14:paraId="7C84A647"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A multidisciplinary severe asthma clinic team comprises of:</w:t>
            </w:r>
          </w:p>
          <w:p w14:paraId="07EBF67F"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w:t>
            </w:r>
            <w:proofErr w:type="spellStart"/>
            <w:r w:rsidRPr="008E6588">
              <w:rPr>
                <w:rFonts w:ascii="Arial Narrow" w:hAnsi="Arial Narrow"/>
                <w:sz w:val="20"/>
                <w:szCs w:val="20"/>
              </w:rPr>
              <w:t>i</w:t>
            </w:r>
            <w:proofErr w:type="spellEnd"/>
            <w:r w:rsidRPr="008E6588">
              <w:rPr>
                <w:rFonts w:ascii="Arial Narrow" w:hAnsi="Arial Narrow"/>
                <w:sz w:val="20"/>
                <w:szCs w:val="20"/>
              </w:rPr>
              <w:t>) A respiratory physician; and</w:t>
            </w:r>
          </w:p>
          <w:p w14:paraId="025C0DA1" w14:textId="77777777" w:rsidR="00EB3A92" w:rsidRPr="008E6588" w:rsidRDefault="00EB3A92" w:rsidP="003759A5">
            <w:pPr>
              <w:widowControl w:val="0"/>
              <w:rPr>
                <w:rFonts w:ascii="Arial Narrow" w:hAnsi="Arial Narrow"/>
                <w:b/>
                <w:bCs/>
                <w:sz w:val="20"/>
                <w:szCs w:val="20"/>
              </w:rPr>
            </w:pPr>
            <w:r w:rsidRPr="008E6588">
              <w:rPr>
                <w:rFonts w:ascii="Arial Narrow" w:hAnsi="Arial Narrow"/>
                <w:sz w:val="20"/>
                <w:szCs w:val="20"/>
              </w:rPr>
              <w:t>(ii) A pharmacist, nurse or asthma educator.</w:t>
            </w:r>
          </w:p>
        </w:tc>
      </w:tr>
      <w:tr w:rsidR="00EB3A92" w:rsidRPr="008E6588" w14:paraId="295EAC07"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15A3A" w14:textId="7A1DCF09"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DF4035"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Prescribing Instructions:</w:t>
            </w:r>
          </w:p>
          <w:p w14:paraId="73AF02A0"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The authority application must be made in writing and must include:</w:t>
            </w:r>
          </w:p>
          <w:p w14:paraId="1C049802"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(1) details of the proposed prescription; and</w:t>
            </w:r>
          </w:p>
          <w:p w14:paraId="77483D25" w14:textId="77777777" w:rsidR="00EB3A92" w:rsidRPr="008E6588" w:rsidRDefault="00EB3A92" w:rsidP="003759A5">
            <w:pPr>
              <w:widowControl w:val="0"/>
              <w:rPr>
                <w:rFonts w:ascii="Arial Narrow" w:hAnsi="Arial Narrow"/>
                <w:b/>
                <w:bCs/>
                <w:sz w:val="20"/>
                <w:szCs w:val="20"/>
              </w:rPr>
            </w:pPr>
            <w:r w:rsidRPr="008E6588">
              <w:rPr>
                <w:rFonts w:ascii="Arial Narrow" w:hAnsi="Arial Narrow"/>
                <w:sz w:val="20"/>
                <w:szCs w:val="20"/>
              </w:rPr>
              <w:t>(2) a completed authority application form relevant to the indication and treatment phase (the latest version is located on the website specified in the Administrative Advice).</w:t>
            </w:r>
          </w:p>
        </w:tc>
      </w:tr>
      <w:tr w:rsidR="00EB3A92" w:rsidRPr="008E6588" w14:paraId="7CB8A691" w14:textId="77777777" w:rsidTr="00E4489F">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A5E7D" w14:textId="162DA024" w:rsidR="00EB3A92" w:rsidRPr="008E6588" w:rsidRDefault="00EB3A92" w:rsidP="003759A5">
            <w:pPr>
              <w:widowControl w:val="0"/>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07A200" w14:textId="77777777" w:rsidR="00EB3A92" w:rsidRPr="008E6588" w:rsidRDefault="00EB3A92" w:rsidP="003759A5">
            <w:pPr>
              <w:widowControl w:val="0"/>
              <w:rPr>
                <w:rFonts w:ascii="Arial Narrow" w:hAnsi="Arial Narrow"/>
                <w:b/>
                <w:bCs/>
                <w:sz w:val="20"/>
                <w:szCs w:val="20"/>
              </w:rPr>
            </w:pPr>
            <w:r w:rsidRPr="008E6588">
              <w:rPr>
                <w:rFonts w:ascii="Arial Narrow" w:hAnsi="Arial Narrow"/>
                <w:b/>
                <w:bCs/>
                <w:sz w:val="20"/>
                <w:szCs w:val="20"/>
              </w:rPr>
              <w:t>Prescribing Instructions:</w:t>
            </w:r>
          </w:p>
          <w:p w14:paraId="46DEA381"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The following must be provided at the time of application and documented in the patient's medical records:</w:t>
            </w:r>
          </w:p>
          <w:p w14:paraId="66336CF8"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(a) Asthma Control Questionnaire (ACQ-5 item version) score (where a new baseline is being submitted or where the patient has responded to prior treatment); and</w:t>
            </w:r>
          </w:p>
          <w:p w14:paraId="5DE84F84"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(b) details (date and duration of treatment) of prior biological medicine treatment; and</w:t>
            </w:r>
          </w:p>
          <w:p w14:paraId="343F6A99"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(c) the IgE results and date; and</w:t>
            </w:r>
          </w:p>
          <w:p w14:paraId="7FE93BC8" w14:textId="77777777" w:rsidR="00EB3A92" w:rsidRPr="008E6588" w:rsidRDefault="00EB3A92" w:rsidP="003759A5">
            <w:pPr>
              <w:widowControl w:val="0"/>
              <w:rPr>
                <w:rFonts w:ascii="Arial Narrow" w:hAnsi="Arial Narrow"/>
                <w:sz w:val="20"/>
                <w:szCs w:val="20"/>
              </w:rPr>
            </w:pPr>
            <w:r w:rsidRPr="008E6588">
              <w:rPr>
                <w:rFonts w:ascii="Arial Narrow" w:hAnsi="Arial Narrow"/>
                <w:sz w:val="20"/>
                <w:szCs w:val="20"/>
              </w:rPr>
              <w:t>(d) if applicable, the dose of the maintenance oral corticosteroid (where the response criteria or baseline is based on corticosteroid dose); and</w:t>
            </w:r>
          </w:p>
          <w:p w14:paraId="31A75D72" w14:textId="77777777" w:rsidR="00EB3A92" w:rsidRPr="008E6588" w:rsidRDefault="00EB3A92" w:rsidP="003759A5">
            <w:pPr>
              <w:widowControl w:val="0"/>
              <w:rPr>
                <w:rFonts w:ascii="Arial Narrow" w:hAnsi="Arial Narrow"/>
                <w:b/>
                <w:bCs/>
                <w:sz w:val="20"/>
                <w:szCs w:val="20"/>
              </w:rPr>
            </w:pPr>
            <w:r w:rsidRPr="008E6588">
              <w:rPr>
                <w:rFonts w:ascii="Arial Narrow" w:hAnsi="Arial Narrow"/>
                <w:sz w:val="20"/>
                <w:szCs w:val="20"/>
              </w:rPr>
              <w:t>(e) the reason for switching therapy (e.g. failure of prior therapy, partial response to prior therapy, adverse event to prior therapy).</w:t>
            </w:r>
          </w:p>
        </w:tc>
      </w:tr>
    </w:tbl>
    <w:p w14:paraId="214DE0DB" w14:textId="63C6B13D" w:rsidR="00EB1567" w:rsidRDefault="00EB1567">
      <w:pPr>
        <w:rPr>
          <w:rFonts w:ascii="Arial Narrow" w:hAnsi="Arial Narrow"/>
          <w:sz w:val="20"/>
          <w:szCs w:val="20"/>
        </w:rPr>
      </w:pPr>
    </w:p>
    <w:p w14:paraId="588A661F" w14:textId="77777777" w:rsidR="00EB1567" w:rsidRDefault="00EB1567">
      <w:pPr>
        <w:jc w:val="left"/>
        <w:rPr>
          <w:rFonts w:ascii="Arial Narrow" w:hAnsi="Arial Narrow"/>
          <w:sz w:val="20"/>
          <w:szCs w:val="20"/>
        </w:rPr>
      </w:pPr>
      <w:r>
        <w:rPr>
          <w:rFonts w:ascii="Arial Narrow" w:hAnsi="Arial Narrow"/>
          <w:sz w:val="20"/>
          <w:szCs w:val="20"/>
        </w:rPr>
        <w:br w:type="page"/>
      </w:r>
    </w:p>
    <w:p w14:paraId="1D9E7A4E" w14:textId="77777777" w:rsidR="003042E7" w:rsidRPr="008E6588" w:rsidRDefault="003042E7">
      <w:pPr>
        <w:rPr>
          <w:rFonts w:ascii="Arial Narrow" w:hAnsi="Arial Narrow"/>
          <w:sz w:val="20"/>
          <w:szCs w:val="20"/>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commended listing "/>
        <w:tblDescription w:val="Uncontrolled severe asthma - initial treatment &#10;omalizumab 300 mg/2 mL injection, 2 mL syringe - NEW item / Public&#10;omalizumab 300 mg/2 mL injection, 2 mL syringe - NEW item / Private&#10;omalizumab 300 mg/2 mL injection, 2 mL pen device - NEW item / Public&#10;omalizumab 300 mg/2 mL injection, 2 mL pen device - NEW item / Private&#10;"/>
      </w:tblPr>
      <w:tblGrid>
        <w:gridCol w:w="569"/>
        <w:gridCol w:w="707"/>
        <w:gridCol w:w="2972"/>
        <w:gridCol w:w="992"/>
        <w:gridCol w:w="992"/>
        <w:gridCol w:w="992"/>
        <w:gridCol w:w="850"/>
        <w:gridCol w:w="947"/>
      </w:tblGrid>
      <w:tr w:rsidR="00EB3A92" w:rsidRPr="008E6588" w14:paraId="2B68204C" w14:textId="77777777" w:rsidTr="00836DB5">
        <w:trPr>
          <w:cantSplit/>
          <w:trHeight w:val="20"/>
        </w:trPr>
        <w:tc>
          <w:tcPr>
            <w:tcW w:w="2354" w:type="pct"/>
            <w:gridSpan w:val="3"/>
          </w:tcPr>
          <w:p w14:paraId="07AF3BCA" w14:textId="77777777" w:rsidR="00EB3A92" w:rsidRPr="008E6588" w:rsidRDefault="00EB3A92" w:rsidP="00836DB5">
            <w:pPr>
              <w:keepLines/>
              <w:jc w:val="left"/>
              <w:rPr>
                <w:rFonts w:ascii="Arial Narrow" w:hAnsi="Arial Narrow" w:cs="Arial"/>
                <w:b/>
                <w:bCs/>
                <w:sz w:val="20"/>
                <w:szCs w:val="20"/>
              </w:rPr>
            </w:pPr>
            <w:r w:rsidRPr="008E6588">
              <w:rPr>
                <w:rFonts w:ascii="Arial Narrow" w:hAnsi="Arial Narrow" w:cs="Arial"/>
                <w:b/>
                <w:bCs/>
                <w:sz w:val="20"/>
                <w:szCs w:val="20"/>
              </w:rPr>
              <w:t>MEDICINAL PRODUCT</w:t>
            </w:r>
          </w:p>
          <w:p w14:paraId="68955E44" w14:textId="77777777" w:rsidR="00EB3A92" w:rsidRPr="008E6588" w:rsidRDefault="00EB3A92" w:rsidP="00836DB5">
            <w:pPr>
              <w:keepLines/>
              <w:jc w:val="left"/>
              <w:rPr>
                <w:rFonts w:ascii="Arial Narrow" w:hAnsi="Arial Narrow" w:cs="Arial"/>
                <w:b/>
                <w:sz w:val="20"/>
                <w:szCs w:val="20"/>
              </w:rPr>
            </w:pPr>
            <w:r w:rsidRPr="008E6588">
              <w:rPr>
                <w:rFonts w:ascii="Arial Narrow" w:hAnsi="Arial Narrow" w:cs="Arial"/>
                <w:b/>
                <w:bCs/>
                <w:sz w:val="20"/>
                <w:szCs w:val="20"/>
              </w:rPr>
              <w:t>medicinal product pack</w:t>
            </w:r>
          </w:p>
        </w:tc>
        <w:tc>
          <w:tcPr>
            <w:tcW w:w="550" w:type="pct"/>
          </w:tcPr>
          <w:p w14:paraId="454E4526" w14:textId="77777777" w:rsidR="00EB3A92" w:rsidRPr="008E6588" w:rsidRDefault="00EB3A92" w:rsidP="00836DB5">
            <w:pPr>
              <w:keepLines/>
              <w:jc w:val="left"/>
              <w:rPr>
                <w:rFonts w:ascii="Arial Narrow" w:hAnsi="Arial Narrow" w:cs="Arial"/>
                <w:b/>
                <w:sz w:val="20"/>
                <w:szCs w:val="20"/>
              </w:rPr>
            </w:pPr>
            <w:r w:rsidRPr="008E6588">
              <w:rPr>
                <w:rFonts w:ascii="Arial Narrow" w:hAnsi="Arial Narrow" w:cs="Arial"/>
                <w:b/>
                <w:sz w:val="20"/>
                <w:szCs w:val="20"/>
              </w:rPr>
              <w:t>PBS item code</w:t>
            </w:r>
          </w:p>
        </w:tc>
        <w:tc>
          <w:tcPr>
            <w:tcW w:w="550" w:type="pct"/>
          </w:tcPr>
          <w:p w14:paraId="66BF929A" w14:textId="77777777" w:rsidR="00EB3A92" w:rsidRPr="008E6588" w:rsidRDefault="00EB3A92" w:rsidP="00836DB5">
            <w:pPr>
              <w:keepLines/>
              <w:jc w:val="left"/>
              <w:rPr>
                <w:rFonts w:ascii="Arial Narrow" w:hAnsi="Arial Narrow" w:cs="Arial"/>
                <w:b/>
                <w:sz w:val="20"/>
                <w:szCs w:val="20"/>
              </w:rPr>
            </w:pPr>
            <w:r w:rsidRPr="008E6588">
              <w:rPr>
                <w:rFonts w:ascii="Arial Narrow" w:hAnsi="Arial Narrow" w:cs="Arial"/>
                <w:b/>
                <w:sz w:val="20"/>
                <w:szCs w:val="20"/>
              </w:rPr>
              <w:t>Max. qty packs</w:t>
            </w:r>
          </w:p>
        </w:tc>
        <w:tc>
          <w:tcPr>
            <w:tcW w:w="550" w:type="pct"/>
          </w:tcPr>
          <w:p w14:paraId="5E6808F1" w14:textId="77777777" w:rsidR="00EB3A92" w:rsidRPr="008E6588" w:rsidRDefault="00EB3A92" w:rsidP="00836DB5">
            <w:pPr>
              <w:keepLines/>
              <w:jc w:val="left"/>
              <w:rPr>
                <w:rFonts w:ascii="Arial Narrow" w:hAnsi="Arial Narrow" w:cs="Arial"/>
                <w:b/>
                <w:sz w:val="20"/>
                <w:szCs w:val="20"/>
              </w:rPr>
            </w:pPr>
            <w:r w:rsidRPr="008E6588">
              <w:rPr>
                <w:rFonts w:ascii="Arial Narrow" w:hAnsi="Arial Narrow" w:cs="Arial"/>
                <w:b/>
                <w:sz w:val="20"/>
                <w:szCs w:val="20"/>
              </w:rPr>
              <w:t>Max. qty units</w:t>
            </w:r>
          </w:p>
        </w:tc>
        <w:tc>
          <w:tcPr>
            <w:tcW w:w="471" w:type="pct"/>
          </w:tcPr>
          <w:p w14:paraId="582BEE13" w14:textId="77777777" w:rsidR="00EB3A92" w:rsidRPr="008E6588" w:rsidRDefault="00EB3A92" w:rsidP="00836DB5">
            <w:pPr>
              <w:keepLines/>
              <w:jc w:val="left"/>
              <w:rPr>
                <w:rFonts w:ascii="Arial Narrow" w:hAnsi="Arial Narrow" w:cs="Arial"/>
                <w:b/>
                <w:bCs/>
                <w:sz w:val="20"/>
                <w:szCs w:val="20"/>
              </w:rPr>
            </w:pPr>
            <w:proofErr w:type="gramStart"/>
            <w:r w:rsidRPr="008E6588">
              <w:rPr>
                <w:rFonts w:ascii="Arial Narrow" w:hAnsi="Arial Narrow" w:cs="Arial"/>
                <w:b/>
                <w:bCs/>
                <w:sz w:val="20"/>
                <w:szCs w:val="20"/>
              </w:rPr>
              <w:t>№.of</w:t>
            </w:r>
            <w:proofErr w:type="gramEnd"/>
          </w:p>
          <w:p w14:paraId="285937A7" w14:textId="77777777" w:rsidR="00EB3A92" w:rsidRPr="008E6588" w:rsidRDefault="00EB3A92" w:rsidP="00836DB5">
            <w:pPr>
              <w:keepLines/>
              <w:jc w:val="left"/>
              <w:rPr>
                <w:rFonts w:ascii="Arial Narrow" w:hAnsi="Arial Narrow" w:cs="Arial"/>
                <w:b/>
                <w:bCs/>
                <w:sz w:val="20"/>
                <w:szCs w:val="20"/>
              </w:rPr>
            </w:pPr>
            <w:r w:rsidRPr="008E6588">
              <w:rPr>
                <w:rFonts w:ascii="Arial Narrow" w:hAnsi="Arial Narrow" w:cs="Arial"/>
                <w:b/>
                <w:bCs/>
                <w:sz w:val="20"/>
                <w:szCs w:val="20"/>
              </w:rPr>
              <w:t>Rpts</w:t>
            </w:r>
          </w:p>
        </w:tc>
        <w:tc>
          <w:tcPr>
            <w:tcW w:w="522" w:type="pct"/>
          </w:tcPr>
          <w:p w14:paraId="01B8D8F7" w14:textId="77777777" w:rsidR="00EB3A92" w:rsidRPr="008E6588" w:rsidRDefault="00EB3A92" w:rsidP="00836DB5">
            <w:pPr>
              <w:keepLines/>
              <w:jc w:val="left"/>
              <w:rPr>
                <w:rFonts w:ascii="Arial Narrow" w:hAnsi="Arial Narrow" w:cs="Arial"/>
                <w:b/>
                <w:sz w:val="20"/>
                <w:szCs w:val="20"/>
                <w:lang w:val="fr-FR"/>
              </w:rPr>
            </w:pPr>
            <w:r w:rsidRPr="008E6588">
              <w:rPr>
                <w:rFonts w:ascii="Arial Narrow" w:hAnsi="Arial Narrow" w:cs="Arial"/>
                <w:b/>
                <w:sz w:val="20"/>
                <w:szCs w:val="20"/>
              </w:rPr>
              <w:t>Available brands</w:t>
            </w:r>
          </w:p>
        </w:tc>
      </w:tr>
      <w:tr w:rsidR="00EB3A92" w:rsidRPr="008E6588" w14:paraId="5E4A853F" w14:textId="77777777" w:rsidTr="00836DB5">
        <w:trPr>
          <w:cantSplit/>
          <w:trHeight w:val="20"/>
        </w:trPr>
        <w:tc>
          <w:tcPr>
            <w:tcW w:w="4997" w:type="pct"/>
            <w:gridSpan w:val="8"/>
            <w:vAlign w:val="center"/>
          </w:tcPr>
          <w:p w14:paraId="54ABCFAA" w14:textId="77777777" w:rsidR="00EB3A92" w:rsidRPr="008E6588" w:rsidRDefault="00EB3A92" w:rsidP="00836DB5">
            <w:pPr>
              <w:keepLines/>
              <w:rPr>
                <w:rFonts w:ascii="Arial Narrow" w:hAnsi="Arial Narrow" w:cs="Arial"/>
                <w:sz w:val="20"/>
                <w:szCs w:val="20"/>
              </w:rPr>
            </w:pPr>
            <w:r w:rsidRPr="008E6588">
              <w:rPr>
                <w:rFonts w:ascii="Arial Narrow" w:hAnsi="Arial Narrow" w:cs="Arial"/>
                <w:sz w:val="20"/>
                <w:szCs w:val="20"/>
              </w:rPr>
              <w:t>OMALIZUMAB</w:t>
            </w:r>
          </w:p>
        </w:tc>
      </w:tr>
      <w:tr w:rsidR="0036725F" w:rsidRPr="008E6588" w14:paraId="229D1DB6" w14:textId="77777777" w:rsidTr="00836DB5">
        <w:trPr>
          <w:cantSplit/>
          <w:trHeight w:val="20"/>
        </w:trPr>
        <w:tc>
          <w:tcPr>
            <w:tcW w:w="2354" w:type="pct"/>
            <w:gridSpan w:val="3"/>
            <w:vAlign w:val="center"/>
          </w:tcPr>
          <w:p w14:paraId="6BE6AF94" w14:textId="2CF63373" w:rsidR="0036725F" w:rsidRPr="008E6588" w:rsidRDefault="0036725F" w:rsidP="0036725F">
            <w:pPr>
              <w:keepLines/>
              <w:rPr>
                <w:rFonts w:ascii="Arial Narrow" w:hAnsi="Arial Narrow" w:cs="Arial"/>
                <w:sz w:val="20"/>
                <w:szCs w:val="20"/>
              </w:rPr>
            </w:pPr>
            <w:r w:rsidRPr="008E6588">
              <w:rPr>
                <w:rFonts w:ascii="Arial Narrow" w:hAnsi="Arial Narrow" w:cs="Arial"/>
                <w:sz w:val="20"/>
                <w:szCs w:val="20"/>
              </w:rPr>
              <w:t>omalizumab 300 mg/2 mL injection, 2 mL syringe</w:t>
            </w:r>
          </w:p>
        </w:tc>
        <w:tc>
          <w:tcPr>
            <w:tcW w:w="550" w:type="pct"/>
            <w:vAlign w:val="center"/>
          </w:tcPr>
          <w:p w14:paraId="0BEABDF9" w14:textId="6DD4E525" w:rsidR="0036725F" w:rsidRPr="008E6588" w:rsidRDefault="0036725F" w:rsidP="0036725F">
            <w:pPr>
              <w:keepLines/>
              <w:jc w:val="center"/>
              <w:rPr>
                <w:rFonts w:ascii="Arial Narrow" w:hAnsi="Arial Narrow" w:cs="Arial"/>
                <w:sz w:val="20"/>
                <w:szCs w:val="20"/>
              </w:rPr>
            </w:pPr>
            <w:r w:rsidRPr="008E6588">
              <w:rPr>
                <w:rFonts w:ascii="Arial Narrow" w:hAnsi="Arial Narrow" w:cs="Arial"/>
                <w:iCs/>
                <w:sz w:val="20"/>
                <w:szCs w:val="20"/>
              </w:rPr>
              <w:t>NEW</w:t>
            </w:r>
            <w:r w:rsidR="004B7838" w:rsidRPr="008E6588">
              <w:rPr>
                <w:rFonts w:ascii="Arial Narrow" w:hAnsi="Arial Narrow" w:cs="Arial"/>
                <w:iCs/>
                <w:sz w:val="20"/>
                <w:szCs w:val="20"/>
              </w:rPr>
              <w:t>/ Public</w:t>
            </w:r>
          </w:p>
        </w:tc>
        <w:tc>
          <w:tcPr>
            <w:tcW w:w="550" w:type="pct"/>
          </w:tcPr>
          <w:p w14:paraId="4786C103" w14:textId="2C56B206" w:rsidR="0036725F" w:rsidRPr="008E6588" w:rsidRDefault="0036725F" w:rsidP="0036725F">
            <w:pPr>
              <w:keepLines/>
              <w:jc w:val="center"/>
              <w:rPr>
                <w:rFonts w:ascii="Arial Narrow" w:hAnsi="Arial Narrow" w:cs="Arial"/>
                <w:sz w:val="20"/>
                <w:szCs w:val="20"/>
              </w:rPr>
            </w:pPr>
            <w:r w:rsidRPr="008E6588">
              <w:rPr>
                <w:rFonts w:ascii="Arial Narrow" w:hAnsi="Arial Narrow" w:cs="Arial"/>
                <w:sz w:val="20"/>
                <w:szCs w:val="20"/>
              </w:rPr>
              <w:t>1</w:t>
            </w:r>
          </w:p>
        </w:tc>
        <w:tc>
          <w:tcPr>
            <w:tcW w:w="550" w:type="pct"/>
          </w:tcPr>
          <w:p w14:paraId="17A77BD7" w14:textId="16EBABCE" w:rsidR="0036725F" w:rsidRPr="008E6588" w:rsidRDefault="0036725F" w:rsidP="0036725F">
            <w:pPr>
              <w:keepLines/>
              <w:jc w:val="center"/>
              <w:rPr>
                <w:rFonts w:ascii="Arial Narrow" w:hAnsi="Arial Narrow" w:cs="Arial"/>
                <w:sz w:val="20"/>
                <w:szCs w:val="20"/>
              </w:rPr>
            </w:pPr>
            <w:r w:rsidRPr="008E6588">
              <w:rPr>
                <w:rFonts w:ascii="Arial Narrow" w:hAnsi="Arial Narrow" w:cs="Arial"/>
                <w:sz w:val="20"/>
                <w:szCs w:val="20"/>
              </w:rPr>
              <w:t>1</w:t>
            </w:r>
          </w:p>
        </w:tc>
        <w:tc>
          <w:tcPr>
            <w:tcW w:w="471" w:type="pct"/>
          </w:tcPr>
          <w:p w14:paraId="0F46A23A" w14:textId="03EF4F95" w:rsidR="0036725F" w:rsidRPr="008E6588" w:rsidRDefault="0036725F" w:rsidP="0036725F">
            <w:pPr>
              <w:keepLines/>
              <w:jc w:val="center"/>
              <w:rPr>
                <w:rFonts w:ascii="Arial Narrow" w:hAnsi="Arial Narrow" w:cs="Arial"/>
                <w:sz w:val="20"/>
                <w:szCs w:val="20"/>
              </w:rPr>
            </w:pPr>
            <w:r w:rsidRPr="008E6588">
              <w:rPr>
                <w:rFonts w:ascii="Arial Narrow" w:hAnsi="Arial Narrow" w:cs="Arial"/>
                <w:sz w:val="20"/>
                <w:szCs w:val="20"/>
              </w:rPr>
              <w:t>7</w:t>
            </w:r>
          </w:p>
        </w:tc>
        <w:tc>
          <w:tcPr>
            <w:tcW w:w="522" w:type="pct"/>
            <w:vMerge w:val="restart"/>
          </w:tcPr>
          <w:p w14:paraId="23CA4A9D" w14:textId="77777777" w:rsidR="0036725F" w:rsidRPr="008E6588" w:rsidRDefault="0036725F" w:rsidP="0036725F">
            <w:pPr>
              <w:keepLines/>
              <w:jc w:val="center"/>
              <w:rPr>
                <w:rFonts w:ascii="Arial Narrow" w:hAnsi="Arial Narrow" w:cs="Arial"/>
                <w:sz w:val="20"/>
                <w:szCs w:val="20"/>
              </w:rPr>
            </w:pPr>
            <w:proofErr w:type="spellStart"/>
            <w:r w:rsidRPr="008E6588">
              <w:rPr>
                <w:rFonts w:ascii="Arial Narrow" w:hAnsi="Arial Narrow"/>
                <w:sz w:val="20"/>
                <w:szCs w:val="20"/>
                <w:vertAlign w:val="superscript"/>
              </w:rPr>
              <w:t>a</w:t>
            </w:r>
            <w:r w:rsidRPr="008E6588">
              <w:rPr>
                <w:rFonts w:ascii="Arial Narrow" w:hAnsi="Arial Narrow" w:cs="Arial"/>
                <w:sz w:val="20"/>
                <w:szCs w:val="20"/>
              </w:rPr>
              <w:t>Xolair</w:t>
            </w:r>
            <w:proofErr w:type="spellEnd"/>
          </w:p>
        </w:tc>
      </w:tr>
      <w:tr w:rsidR="0036725F" w:rsidRPr="008E6588" w14:paraId="12B6AF19" w14:textId="77777777" w:rsidTr="00836DB5">
        <w:trPr>
          <w:cantSplit/>
          <w:trHeight w:val="20"/>
        </w:trPr>
        <w:tc>
          <w:tcPr>
            <w:tcW w:w="2354" w:type="pct"/>
            <w:gridSpan w:val="3"/>
            <w:vAlign w:val="center"/>
          </w:tcPr>
          <w:p w14:paraId="00899D32" w14:textId="5E7EA539" w:rsidR="0036725F" w:rsidRPr="008E6588" w:rsidRDefault="0036725F" w:rsidP="0036725F">
            <w:pPr>
              <w:keepLines/>
              <w:rPr>
                <w:rFonts w:ascii="Arial Narrow" w:hAnsi="Arial Narrow" w:cs="Arial"/>
                <w:sz w:val="20"/>
                <w:szCs w:val="20"/>
              </w:rPr>
            </w:pPr>
            <w:r w:rsidRPr="008E6588">
              <w:rPr>
                <w:rFonts w:ascii="Arial Narrow" w:hAnsi="Arial Narrow" w:cs="Arial"/>
                <w:sz w:val="20"/>
                <w:szCs w:val="20"/>
              </w:rPr>
              <w:t>omalizumab 300 mg/2 mL injection, 2 mL syringe</w:t>
            </w:r>
          </w:p>
        </w:tc>
        <w:tc>
          <w:tcPr>
            <w:tcW w:w="550" w:type="pct"/>
            <w:vAlign w:val="center"/>
          </w:tcPr>
          <w:p w14:paraId="3A6044FB" w14:textId="2AA6AE98" w:rsidR="0036725F" w:rsidRPr="008E6588" w:rsidRDefault="0036725F" w:rsidP="0036725F">
            <w:pPr>
              <w:keepLines/>
              <w:jc w:val="center"/>
              <w:rPr>
                <w:rFonts w:ascii="Arial Narrow" w:hAnsi="Arial Narrow" w:cs="Arial"/>
                <w:sz w:val="20"/>
                <w:szCs w:val="20"/>
              </w:rPr>
            </w:pPr>
            <w:r w:rsidRPr="008E6588">
              <w:rPr>
                <w:rFonts w:ascii="Arial Narrow" w:hAnsi="Arial Narrow" w:cs="Arial"/>
                <w:iCs/>
                <w:sz w:val="20"/>
                <w:szCs w:val="20"/>
              </w:rPr>
              <w:t>NEW</w:t>
            </w:r>
            <w:r w:rsidR="004B7838" w:rsidRPr="008E6588">
              <w:rPr>
                <w:rFonts w:ascii="Arial Narrow" w:hAnsi="Arial Narrow" w:cs="Arial"/>
                <w:iCs/>
                <w:sz w:val="20"/>
                <w:szCs w:val="20"/>
              </w:rPr>
              <w:t>/ Private</w:t>
            </w:r>
          </w:p>
        </w:tc>
        <w:tc>
          <w:tcPr>
            <w:tcW w:w="550" w:type="pct"/>
          </w:tcPr>
          <w:p w14:paraId="1A432568" w14:textId="43E9E7D1" w:rsidR="0036725F" w:rsidRPr="008E6588" w:rsidRDefault="0036725F" w:rsidP="0036725F">
            <w:pPr>
              <w:keepLines/>
              <w:jc w:val="center"/>
              <w:rPr>
                <w:rFonts w:ascii="Arial Narrow" w:hAnsi="Arial Narrow" w:cs="Arial"/>
                <w:sz w:val="20"/>
                <w:szCs w:val="20"/>
              </w:rPr>
            </w:pPr>
            <w:r w:rsidRPr="008E6588">
              <w:rPr>
                <w:rFonts w:ascii="Arial Narrow" w:hAnsi="Arial Narrow" w:cs="Arial"/>
                <w:sz w:val="20"/>
                <w:szCs w:val="20"/>
              </w:rPr>
              <w:t>1</w:t>
            </w:r>
          </w:p>
        </w:tc>
        <w:tc>
          <w:tcPr>
            <w:tcW w:w="550" w:type="pct"/>
          </w:tcPr>
          <w:p w14:paraId="1CFECC04" w14:textId="61A9E751" w:rsidR="0036725F" w:rsidRPr="008E6588" w:rsidRDefault="0036725F" w:rsidP="0036725F">
            <w:pPr>
              <w:keepLines/>
              <w:jc w:val="center"/>
              <w:rPr>
                <w:rFonts w:ascii="Arial Narrow" w:hAnsi="Arial Narrow" w:cs="Arial"/>
                <w:sz w:val="20"/>
                <w:szCs w:val="20"/>
              </w:rPr>
            </w:pPr>
            <w:r w:rsidRPr="008E6588">
              <w:rPr>
                <w:rFonts w:ascii="Arial Narrow" w:hAnsi="Arial Narrow" w:cs="Arial"/>
                <w:sz w:val="20"/>
                <w:szCs w:val="20"/>
              </w:rPr>
              <w:t>1</w:t>
            </w:r>
          </w:p>
        </w:tc>
        <w:tc>
          <w:tcPr>
            <w:tcW w:w="471" w:type="pct"/>
          </w:tcPr>
          <w:p w14:paraId="75E588FF" w14:textId="215976FA" w:rsidR="0036725F" w:rsidRPr="008E6588" w:rsidRDefault="0036725F" w:rsidP="0036725F">
            <w:pPr>
              <w:keepLines/>
              <w:jc w:val="center"/>
              <w:rPr>
                <w:rFonts w:ascii="Arial Narrow" w:hAnsi="Arial Narrow" w:cs="Arial"/>
                <w:sz w:val="20"/>
                <w:szCs w:val="20"/>
              </w:rPr>
            </w:pPr>
            <w:r w:rsidRPr="008E6588">
              <w:rPr>
                <w:rFonts w:ascii="Arial Narrow" w:hAnsi="Arial Narrow" w:cs="Arial"/>
                <w:sz w:val="20"/>
                <w:szCs w:val="20"/>
              </w:rPr>
              <w:t>7</w:t>
            </w:r>
          </w:p>
        </w:tc>
        <w:tc>
          <w:tcPr>
            <w:tcW w:w="522" w:type="pct"/>
            <w:vMerge/>
            <w:vAlign w:val="center"/>
          </w:tcPr>
          <w:p w14:paraId="01C58CC9" w14:textId="77777777" w:rsidR="0036725F" w:rsidRPr="008E6588" w:rsidRDefault="0036725F" w:rsidP="0036725F">
            <w:pPr>
              <w:keepLines/>
              <w:rPr>
                <w:rFonts w:ascii="Arial Narrow" w:hAnsi="Arial Narrow" w:cs="Arial"/>
                <w:sz w:val="20"/>
                <w:szCs w:val="20"/>
              </w:rPr>
            </w:pPr>
          </w:p>
        </w:tc>
      </w:tr>
      <w:tr w:rsidR="0036725F" w:rsidRPr="008E6588" w14:paraId="0465527D" w14:textId="77777777" w:rsidTr="00836DB5">
        <w:trPr>
          <w:cantSplit/>
          <w:trHeight w:val="20"/>
        </w:trPr>
        <w:tc>
          <w:tcPr>
            <w:tcW w:w="2354" w:type="pct"/>
            <w:gridSpan w:val="3"/>
            <w:vAlign w:val="center"/>
          </w:tcPr>
          <w:p w14:paraId="05680EC8" w14:textId="38F0E358" w:rsidR="0036725F" w:rsidRPr="008E6588" w:rsidRDefault="0036725F" w:rsidP="0036725F">
            <w:pPr>
              <w:keepLines/>
              <w:rPr>
                <w:rFonts w:ascii="Arial Narrow" w:hAnsi="Arial Narrow" w:cs="Arial"/>
                <w:sz w:val="20"/>
                <w:szCs w:val="20"/>
              </w:rPr>
            </w:pPr>
            <w:r w:rsidRPr="008E6588">
              <w:rPr>
                <w:rFonts w:ascii="Arial Narrow" w:hAnsi="Arial Narrow" w:cs="Arial"/>
                <w:sz w:val="20"/>
                <w:szCs w:val="20"/>
              </w:rPr>
              <w:t>omalizumab 300 mg/2 mL injection, 2 mL pen device</w:t>
            </w:r>
          </w:p>
        </w:tc>
        <w:tc>
          <w:tcPr>
            <w:tcW w:w="550" w:type="pct"/>
            <w:vAlign w:val="center"/>
          </w:tcPr>
          <w:p w14:paraId="040BB7B9" w14:textId="759C9E61" w:rsidR="0036725F" w:rsidRPr="008E6588" w:rsidRDefault="0036725F" w:rsidP="0036725F">
            <w:pPr>
              <w:keepLines/>
              <w:jc w:val="center"/>
              <w:rPr>
                <w:rFonts w:ascii="Arial Narrow" w:hAnsi="Arial Narrow" w:cs="Arial"/>
                <w:iCs/>
                <w:sz w:val="20"/>
                <w:szCs w:val="20"/>
              </w:rPr>
            </w:pPr>
            <w:r w:rsidRPr="008E6588">
              <w:rPr>
                <w:rFonts w:ascii="Arial Narrow" w:hAnsi="Arial Narrow" w:cs="Arial"/>
                <w:iCs/>
                <w:sz w:val="20"/>
                <w:szCs w:val="20"/>
              </w:rPr>
              <w:t>NEW</w:t>
            </w:r>
            <w:r w:rsidR="004B7838" w:rsidRPr="008E6588">
              <w:rPr>
                <w:rFonts w:ascii="Arial Narrow" w:hAnsi="Arial Narrow" w:cs="Arial"/>
                <w:iCs/>
                <w:sz w:val="20"/>
                <w:szCs w:val="20"/>
              </w:rPr>
              <w:t>/ Public</w:t>
            </w:r>
          </w:p>
        </w:tc>
        <w:tc>
          <w:tcPr>
            <w:tcW w:w="550" w:type="pct"/>
          </w:tcPr>
          <w:p w14:paraId="5093D600" w14:textId="14E5F476" w:rsidR="0036725F" w:rsidRPr="008E6588" w:rsidRDefault="0036725F" w:rsidP="0036725F">
            <w:pPr>
              <w:keepLines/>
              <w:jc w:val="center"/>
              <w:rPr>
                <w:rFonts w:ascii="Arial Narrow" w:hAnsi="Arial Narrow" w:cs="Arial"/>
                <w:sz w:val="20"/>
                <w:szCs w:val="20"/>
              </w:rPr>
            </w:pPr>
            <w:r w:rsidRPr="008E6588">
              <w:rPr>
                <w:rFonts w:ascii="Arial Narrow" w:hAnsi="Arial Narrow" w:cs="Arial"/>
                <w:sz w:val="20"/>
                <w:szCs w:val="20"/>
              </w:rPr>
              <w:t>1</w:t>
            </w:r>
          </w:p>
        </w:tc>
        <w:tc>
          <w:tcPr>
            <w:tcW w:w="550" w:type="pct"/>
          </w:tcPr>
          <w:p w14:paraId="528594C4" w14:textId="310433C8" w:rsidR="0036725F" w:rsidRPr="008E6588" w:rsidRDefault="0036725F" w:rsidP="0036725F">
            <w:pPr>
              <w:keepLines/>
              <w:jc w:val="center"/>
              <w:rPr>
                <w:rFonts w:ascii="Arial Narrow" w:hAnsi="Arial Narrow" w:cs="Arial"/>
                <w:sz w:val="20"/>
                <w:szCs w:val="20"/>
              </w:rPr>
            </w:pPr>
            <w:r w:rsidRPr="008E6588">
              <w:rPr>
                <w:rFonts w:ascii="Arial Narrow" w:hAnsi="Arial Narrow" w:cs="Arial"/>
                <w:sz w:val="20"/>
                <w:szCs w:val="20"/>
              </w:rPr>
              <w:t>1</w:t>
            </w:r>
          </w:p>
        </w:tc>
        <w:tc>
          <w:tcPr>
            <w:tcW w:w="471" w:type="pct"/>
          </w:tcPr>
          <w:p w14:paraId="69A90A14" w14:textId="748014D4" w:rsidR="0036725F" w:rsidRPr="008E6588" w:rsidRDefault="0036725F" w:rsidP="0036725F">
            <w:pPr>
              <w:keepLines/>
              <w:jc w:val="center"/>
              <w:rPr>
                <w:rFonts w:ascii="Arial Narrow" w:hAnsi="Arial Narrow" w:cs="Arial"/>
                <w:sz w:val="20"/>
                <w:szCs w:val="20"/>
              </w:rPr>
            </w:pPr>
            <w:r w:rsidRPr="008E6588">
              <w:rPr>
                <w:rFonts w:ascii="Arial Narrow" w:hAnsi="Arial Narrow" w:cs="Arial"/>
                <w:sz w:val="20"/>
                <w:szCs w:val="20"/>
              </w:rPr>
              <w:t>7</w:t>
            </w:r>
          </w:p>
        </w:tc>
        <w:tc>
          <w:tcPr>
            <w:tcW w:w="522" w:type="pct"/>
            <w:vMerge/>
            <w:vAlign w:val="center"/>
          </w:tcPr>
          <w:p w14:paraId="14F48A2B" w14:textId="77777777" w:rsidR="0036725F" w:rsidRPr="008E6588" w:rsidRDefault="0036725F" w:rsidP="0036725F">
            <w:pPr>
              <w:keepLines/>
              <w:rPr>
                <w:rFonts w:ascii="Arial Narrow" w:hAnsi="Arial Narrow" w:cs="Arial"/>
                <w:sz w:val="20"/>
                <w:szCs w:val="20"/>
              </w:rPr>
            </w:pPr>
          </w:p>
        </w:tc>
      </w:tr>
      <w:tr w:rsidR="0036725F" w:rsidRPr="008E6588" w14:paraId="15FE65D9" w14:textId="77777777" w:rsidTr="00836DB5">
        <w:trPr>
          <w:cantSplit/>
          <w:trHeight w:val="20"/>
        </w:trPr>
        <w:tc>
          <w:tcPr>
            <w:tcW w:w="2354" w:type="pct"/>
            <w:gridSpan w:val="3"/>
            <w:vAlign w:val="center"/>
          </w:tcPr>
          <w:p w14:paraId="3E1A4819" w14:textId="1072178C" w:rsidR="0036725F" w:rsidRPr="008E6588" w:rsidRDefault="0036725F" w:rsidP="0036725F">
            <w:pPr>
              <w:keepLines/>
              <w:rPr>
                <w:rFonts w:ascii="Arial Narrow" w:hAnsi="Arial Narrow" w:cs="Arial"/>
                <w:sz w:val="20"/>
                <w:szCs w:val="20"/>
              </w:rPr>
            </w:pPr>
            <w:r w:rsidRPr="008E6588">
              <w:rPr>
                <w:rFonts w:ascii="Arial Narrow" w:hAnsi="Arial Narrow" w:cs="Arial"/>
                <w:sz w:val="20"/>
                <w:szCs w:val="20"/>
              </w:rPr>
              <w:t>omalizumab 300 mg/2 mL injection, 2 mL pen device</w:t>
            </w:r>
          </w:p>
        </w:tc>
        <w:tc>
          <w:tcPr>
            <w:tcW w:w="550" w:type="pct"/>
            <w:vAlign w:val="center"/>
          </w:tcPr>
          <w:p w14:paraId="114CB3E3" w14:textId="4CA47232" w:rsidR="0036725F" w:rsidRPr="008E6588" w:rsidRDefault="0036725F" w:rsidP="0036725F">
            <w:pPr>
              <w:keepLines/>
              <w:jc w:val="center"/>
              <w:rPr>
                <w:rFonts w:ascii="Arial Narrow" w:hAnsi="Arial Narrow" w:cs="Arial"/>
                <w:iCs/>
                <w:sz w:val="20"/>
                <w:szCs w:val="20"/>
              </w:rPr>
            </w:pPr>
            <w:r w:rsidRPr="008E6588">
              <w:rPr>
                <w:rFonts w:ascii="Arial Narrow" w:hAnsi="Arial Narrow" w:cs="Arial"/>
                <w:iCs/>
                <w:sz w:val="20"/>
                <w:szCs w:val="20"/>
              </w:rPr>
              <w:t>NEW</w:t>
            </w:r>
            <w:r w:rsidR="004B7838" w:rsidRPr="008E6588">
              <w:rPr>
                <w:rFonts w:ascii="Arial Narrow" w:hAnsi="Arial Narrow" w:cs="Arial"/>
                <w:iCs/>
                <w:sz w:val="20"/>
                <w:szCs w:val="20"/>
              </w:rPr>
              <w:t>/ Private</w:t>
            </w:r>
          </w:p>
        </w:tc>
        <w:tc>
          <w:tcPr>
            <w:tcW w:w="550" w:type="pct"/>
          </w:tcPr>
          <w:p w14:paraId="469DC5E9" w14:textId="51814601" w:rsidR="0036725F" w:rsidRPr="008E6588" w:rsidRDefault="0036725F" w:rsidP="0036725F">
            <w:pPr>
              <w:keepLines/>
              <w:jc w:val="center"/>
              <w:rPr>
                <w:rFonts w:ascii="Arial Narrow" w:hAnsi="Arial Narrow" w:cs="Arial"/>
                <w:sz w:val="20"/>
                <w:szCs w:val="20"/>
              </w:rPr>
            </w:pPr>
            <w:r w:rsidRPr="008E6588">
              <w:rPr>
                <w:rFonts w:ascii="Arial Narrow" w:hAnsi="Arial Narrow" w:cs="Arial"/>
                <w:sz w:val="20"/>
                <w:szCs w:val="20"/>
              </w:rPr>
              <w:t>1</w:t>
            </w:r>
          </w:p>
        </w:tc>
        <w:tc>
          <w:tcPr>
            <w:tcW w:w="550" w:type="pct"/>
          </w:tcPr>
          <w:p w14:paraId="2DBE4932" w14:textId="04E79EFB" w:rsidR="0036725F" w:rsidRPr="008E6588" w:rsidRDefault="0036725F" w:rsidP="0036725F">
            <w:pPr>
              <w:keepLines/>
              <w:jc w:val="center"/>
              <w:rPr>
                <w:rFonts w:ascii="Arial Narrow" w:hAnsi="Arial Narrow" w:cs="Arial"/>
                <w:sz w:val="20"/>
                <w:szCs w:val="20"/>
              </w:rPr>
            </w:pPr>
            <w:r w:rsidRPr="008E6588">
              <w:rPr>
                <w:rFonts w:ascii="Arial Narrow" w:hAnsi="Arial Narrow" w:cs="Arial"/>
                <w:sz w:val="20"/>
                <w:szCs w:val="20"/>
              </w:rPr>
              <w:t>1</w:t>
            </w:r>
          </w:p>
        </w:tc>
        <w:tc>
          <w:tcPr>
            <w:tcW w:w="471" w:type="pct"/>
          </w:tcPr>
          <w:p w14:paraId="780ADCED" w14:textId="3188EF27" w:rsidR="0036725F" w:rsidRPr="008E6588" w:rsidRDefault="0036725F" w:rsidP="0036725F">
            <w:pPr>
              <w:keepLines/>
              <w:jc w:val="center"/>
              <w:rPr>
                <w:rFonts w:ascii="Arial Narrow" w:hAnsi="Arial Narrow" w:cs="Arial"/>
                <w:sz w:val="20"/>
                <w:szCs w:val="20"/>
              </w:rPr>
            </w:pPr>
            <w:r w:rsidRPr="008E6588">
              <w:rPr>
                <w:rFonts w:ascii="Arial Narrow" w:hAnsi="Arial Narrow" w:cs="Arial"/>
                <w:sz w:val="20"/>
                <w:szCs w:val="20"/>
              </w:rPr>
              <w:t>7</w:t>
            </w:r>
          </w:p>
        </w:tc>
        <w:tc>
          <w:tcPr>
            <w:tcW w:w="522" w:type="pct"/>
            <w:vMerge/>
            <w:vAlign w:val="center"/>
          </w:tcPr>
          <w:p w14:paraId="53CA612A" w14:textId="77777777" w:rsidR="0036725F" w:rsidRPr="008E6588" w:rsidRDefault="0036725F" w:rsidP="0036725F">
            <w:pPr>
              <w:keepLines/>
              <w:rPr>
                <w:rFonts w:ascii="Arial Narrow" w:hAnsi="Arial Narrow" w:cs="Arial"/>
                <w:sz w:val="20"/>
                <w:szCs w:val="20"/>
              </w:rPr>
            </w:pPr>
          </w:p>
        </w:tc>
      </w:tr>
      <w:tr w:rsidR="00EB3A92" w:rsidRPr="008E6588" w14:paraId="714C9469" w14:textId="77777777" w:rsidTr="00836DB5">
        <w:tblPrEx>
          <w:tblCellMar>
            <w:top w:w="15" w:type="dxa"/>
            <w:bottom w:w="15" w:type="dxa"/>
          </w:tblCellMar>
          <w:tblLook w:val="04A0" w:firstRow="1" w:lastRow="0" w:firstColumn="1" w:lastColumn="0" w:noHBand="0" w:noVBand="1"/>
        </w:tblPrEx>
        <w:trPr>
          <w:trHeight w:val="20"/>
        </w:trPr>
        <w:tc>
          <w:tcPr>
            <w:tcW w:w="4997" w:type="pct"/>
            <w:gridSpan w:val="8"/>
            <w:tcBorders>
              <w:top w:val="single" w:sz="4" w:space="0" w:color="auto"/>
              <w:left w:val="single" w:sz="4" w:space="0" w:color="auto"/>
              <w:right w:val="single" w:sz="4" w:space="0" w:color="auto"/>
            </w:tcBorders>
            <w:vAlign w:val="center"/>
          </w:tcPr>
          <w:p w14:paraId="349C754B" w14:textId="77777777" w:rsidR="00EB3A92" w:rsidRPr="008E6588" w:rsidRDefault="00EB3A92" w:rsidP="00836DB5">
            <w:pPr>
              <w:keepLines/>
              <w:rPr>
                <w:rFonts w:ascii="Arial Narrow" w:hAnsi="Arial Narrow" w:cs="Arial"/>
                <w:b/>
                <w:sz w:val="20"/>
                <w:szCs w:val="20"/>
              </w:rPr>
            </w:pPr>
          </w:p>
        </w:tc>
      </w:tr>
      <w:tr w:rsidR="00EB3A92" w:rsidRPr="008E6588" w14:paraId="2406E9F8" w14:textId="77777777" w:rsidTr="00836DB5">
        <w:tblPrEx>
          <w:tblCellMar>
            <w:top w:w="15" w:type="dxa"/>
            <w:bottom w:w="15" w:type="dxa"/>
          </w:tblCellMar>
          <w:tblLook w:val="04A0" w:firstRow="1" w:lastRow="0" w:firstColumn="1" w:lastColumn="0" w:noHBand="0" w:noVBand="1"/>
        </w:tblPrEx>
        <w:trPr>
          <w:trHeight w:val="20"/>
        </w:trPr>
        <w:tc>
          <w:tcPr>
            <w:tcW w:w="704" w:type="pct"/>
            <w:gridSpan w:val="2"/>
            <w:vMerge w:val="restart"/>
            <w:tcBorders>
              <w:top w:val="single" w:sz="4" w:space="0" w:color="auto"/>
              <w:left w:val="single" w:sz="4" w:space="0" w:color="auto"/>
              <w:right w:val="single" w:sz="4" w:space="0" w:color="auto"/>
            </w:tcBorders>
          </w:tcPr>
          <w:p w14:paraId="21E67C01" w14:textId="77777777" w:rsidR="00EB3A92" w:rsidRPr="008E6588" w:rsidRDefault="00EB3A92" w:rsidP="00836DB5">
            <w:pPr>
              <w:jc w:val="center"/>
              <w:rPr>
                <w:rFonts w:ascii="Arial Narrow" w:hAnsi="Arial Narrow" w:cs="Arial"/>
                <w:b/>
                <w:sz w:val="20"/>
                <w:szCs w:val="20"/>
              </w:rPr>
            </w:pPr>
            <w:r w:rsidRPr="008E6588">
              <w:rPr>
                <w:rFonts w:ascii="Arial Narrow" w:hAnsi="Arial Narrow" w:cs="Arial"/>
                <w:b/>
                <w:sz w:val="20"/>
                <w:szCs w:val="20"/>
              </w:rPr>
              <w:t xml:space="preserve">Concept ID </w:t>
            </w:r>
            <w:r w:rsidRPr="008E6588">
              <w:rPr>
                <w:rFonts w:ascii="Arial Narrow" w:hAnsi="Arial Narrow" w:cs="Arial"/>
                <w:sz w:val="20"/>
                <w:szCs w:val="20"/>
              </w:rPr>
              <w:t>(for internal Dept. use)</w:t>
            </w:r>
          </w:p>
        </w:tc>
        <w:tc>
          <w:tcPr>
            <w:tcW w:w="4293" w:type="pct"/>
            <w:gridSpan w:val="6"/>
            <w:tcBorders>
              <w:top w:val="single" w:sz="4" w:space="0" w:color="auto"/>
              <w:left w:val="single" w:sz="4" w:space="0" w:color="auto"/>
              <w:bottom w:val="single" w:sz="4" w:space="0" w:color="auto"/>
              <w:right w:val="single" w:sz="4" w:space="0" w:color="auto"/>
            </w:tcBorders>
            <w:vAlign w:val="center"/>
          </w:tcPr>
          <w:p w14:paraId="222FEF95" w14:textId="77777777" w:rsidR="00EB3A92" w:rsidRPr="008E6588" w:rsidRDefault="00EB3A92" w:rsidP="00836DB5">
            <w:pPr>
              <w:keepLines/>
              <w:rPr>
                <w:rFonts w:ascii="Arial Narrow" w:hAnsi="Arial Narrow" w:cs="Arial"/>
                <w:sz w:val="20"/>
                <w:szCs w:val="20"/>
              </w:rPr>
            </w:pPr>
            <w:r w:rsidRPr="008E6588">
              <w:rPr>
                <w:rFonts w:ascii="Arial Narrow" w:hAnsi="Arial Narrow" w:cs="Arial"/>
                <w:b/>
                <w:sz w:val="20"/>
                <w:szCs w:val="20"/>
              </w:rPr>
              <w:t>Category / Program:</w:t>
            </w:r>
            <w:r w:rsidRPr="008E6588">
              <w:rPr>
                <w:rFonts w:ascii="Arial Narrow" w:hAnsi="Arial Narrow" w:cs="Arial"/>
                <w:sz w:val="20"/>
                <w:szCs w:val="20"/>
              </w:rPr>
              <w:t xml:space="preserve"> </w:t>
            </w:r>
            <w:r w:rsidRPr="008E6588">
              <w:rPr>
                <w:rFonts w:ascii="Arial Narrow" w:eastAsia="Calibri" w:hAnsi="Arial Narrow" w:cs="Arial"/>
                <w:sz w:val="20"/>
                <w:szCs w:val="20"/>
              </w:rPr>
              <w:t>Section 100 – Highly Specialised Drugs Program – Public (Code HB)</w:t>
            </w:r>
            <w:r w:rsidRPr="008E6588">
              <w:rPr>
                <w:rFonts w:ascii="Arial Narrow" w:eastAsia="Calibri" w:hAnsi="Arial Narrow" w:cs="Arial"/>
                <w:color w:val="FF0000"/>
                <w:sz w:val="20"/>
                <w:szCs w:val="20"/>
              </w:rPr>
              <w:t xml:space="preserve"> </w:t>
            </w:r>
            <w:r w:rsidRPr="008E6588">
              <w:rPr>
                <w:rFonts w:ascii="Arial Narrow" w:eastAsia="Calibri" w:hAnsi="Arial Narrow" w:cs="Arial"/>
                <w:sz w:val="20"/>
                <w:szCs w:val="20"/>
              </w:rPr>
              <w:t>/ Private (Code HS)</w:t>
            </w:r>
          </w:p>
        </w:tc>
      </w:tr>
      <w:tr w:rsidR="00EB3A92" w:rsidRPr="008E6588" w14:paraId="7AF5D231" w14:textId="77777777">
        <w:tblPrEx>
          <w:tblCellMar>
            <w:top w:w="15" w:type="dxa"/>
            <w:bottom w:w="15" w:type="dxa"/>
          </w:tblCellMar>
          <w:tblLook w:val="04A0" w:firstRow="1" w:lastRow="0" w:firstColumn="1" w:lastColumn="0" w:noHBand="0" w:noVBand="1"/>
        </w:tblPrEx>
        <w:trPr>
          <w:trHeight w:val="20"/>
        </w:trPr>
        <w:tc>
          <w:tcPr>
            <w:tcW w:w="704" w:type="pct"/>
            <w:gridSpan w:val="2"/>
            <w:vMerge/>
            <w:tcBorders>
              <w:left w:val="single" w:sz="4" w:space="0" w:color="auto"/>
              <w:right w:val="single" w:sz="4" w:space="0" w:color="auto"/>
            </w:tcBorders>
          </w:tcPr>
          <w:p w14:paraId="384A8378" w14:textId="77777777" w:rsidR="00EB3A92" w:rsidRPr="008E6588" w:rsidRDefault="00EB3A92" w:rsidP="00836DB5">
            <w:pPr>
              <w:rPr>
                <w:rFonts w:ascii="Arial Narrow" w:hAnsi="Arial Narrow" w:cs="Arial"/>
                <w:sz w:val="20"/>
                <w:szCs w:val="20"/>
              </w:rPr>
            </w:pPr>
          </w:p>
        </w:tc>
        <w:tc>
          <w:tcPr>
            <w:tcW w:w="4293" w:type="pct"/>
            <w:gridSpan w:val="6"/>
            <w:tcBorders>
              <w:top w:val="single" w:sz="4" w:space="0" w:color="auto"/>
              <w:left w:val="single" w:sz="4" w:space="0" w:color="auto"/>
              <w:bottom w:val="single" w:sz="4" w:space="0" w:color="auto"/>
              <w:right w:val="single" w:sz="4" w:space="0" w:color="auto"/>
            </w:tcBorders>
            <w:vAlign w:val="center"/>
          </w:tcPr>
          <w:p w14:paraId="1DA26B29" w14:textId="77777777" w:rsidR="00EB3A92" w:rsidRPr="008E6588" w:rsidRDefault="00EB3A92" w:rsidP="00836DB5">
            <w:pPr>
              <w:keepLines/>
              <w:rPr>
                <w:rFonts w:ascii="Arial Narrow" w:hAnsi="Arial Narrow" w:cs="Arial"/>
                <w:b/>
                <w:sz w:val="20"/>
                <w:szCs w:val="20"/>
              </w:rPr>
            </w:pPr>
            <w:r w:rsidRPr="008E6588">
              <w:rPr>
                <w:rFonts w:ascii="Arial Narrow" w:hAnsi="Arial Narrow" w:cs="Arial"/>
                <w:b/>
                <w:sz w:val="20"/>
                <w:szCs w:val="20"/>
              </w:rPr>
              <w:t xml:space="preserve">Prescriber type: </w:t>
            </w:r>
            <w:r w:rsidRPr="008E6588">
              <w:rPr>
                <w:rFonts w:ascii="Arial Narrow" w:hAnsi="Arial Narrow" w:cs="Arial"/>
                <w:sz w:val="20"/>
                <w:szCs w:val="20"/>
              </w:rPr>
              <w:fldChar w:fldCharType="begin" w:fldLock="1">
                <w:ffData>
                  <w:name w:val=""/>
                  <w:enabled/>
                  <w:calcOnExit w:val="0"/>
                  <w:checkBox>
                    <w:sizeAuto/>
                    <w:default w:val="1"/>
                  </w:checkBox>
                </w:ffData>
              </w:fldChar>
            </w:r>
            <w:r w:rsidRPr="008E6588">
              <w:rPr>
                <w:rFonts w:ascii="Arial Narrow" w:hAnsi="Arial Narrow" w:cs="Arial"/>
                <w:sz w:val="20"/>
                <w:szCs w:val="20"/>
              </w:rPr>
              <w:instrText xml:space="preserve"> FORMCHECKBOX </w:instrText>
            </w:r>
            <w:r w:rsidRPr="008E6588">
              <w:rPr>
                <w:rFonts w:ascii="Arial Narrow" w:hAnsi="Arial Narrow" w:cs="Arial"/>
                <w:sz w:val="20"/>
                <w:szCs w:val="20"/>
              </w:rPr>
            </w:r>
            <w:r w:rsidRPr="008E6588">
              <w:rPr>
                <w:rFonts w:ascii="Arial Narrow" w:hAnsi="Arial Narrow" w:cs="Arial"/>
                <w:sz w:val="20"/>
                <w:szCs w:val="20"/>
              </w:rPr>
              <w:fldChar w:fldCharType="separate"/>
            </w:r>
            <w:r w:rsidRPr="008E6588">
              <w:rPr>
                <w:rFonts w:ascii="Arial Narrow" w:hAnsi="Arial Narrow" w:cs="Arial"/>
                <w:sz w:val="20"/>
                <w:szCs w:val="20"/>
              </w:rPr>
              <w:fldChar w:fldCharType="end"/>
            </w:r>
            <w:r w:rsidRPr="008E6588">
              <w:rPr>
                <w:rFonts w:ascii="Arial Narrow" w:hAnsi="Arial Narrow" w:cs="Arial"/>
                <w:sz w:val="20"/>
                <w:szCs w:val="20"/>
              </w:rPr>
              <w:t xml:space="preserve">Medical Practitioners </w:t>
            </w:r>
          </w:p>
        </w:tc>
      </w:tr>
      <w:tr w:rsidR="00EB3A92" w:rsidRPr="008E6588" w14:paraId="6841310B" w14:textId="77777777">
        <w:tblPrEx>
          <w:tblCellMar>
            <w:top w:w="15" w:type="dxa"/>
            <w:bottom w:w="15" w:type="dxa"/>
          </w:tblCellMar>
          <w:tblLook w:val="04A0" w:firstRow="1" w:lastRow="0" w:firstColumn="1" w:lastColumn="0" w:noHBand="0" w:noVBand="1"/>
        </w:tblPrEx>
        <w:trPr>
          <w:trHeight w:val="20"/>
        </w:trPr>
        <w:tc>
          <w:tcPr>
            <w:tcW w:w="704" w:type="pct"/>
            <w:gridSpan w:val="2"/>
            <w:vMerge/>
            <w:tcBorders>
              <w:left w:val="single" w:sz="4" w:space="0" w:color="auto"/>
              <w:right w:val="single" w:sz="4" w:space="0" w:color="auto"/>
            </w:tcBorders>
          </w:tcPr>
          <w:p w14:paraId="438D9AE3" w14:textId="77777777" w:rsidR="00EB3A92" w:rsidRPr="008E6588" w:rsidRDefault="00EB3A92" w:rsidP="00836DB5">
            <w:pPr>
              <w:rPr>
                <w:rFonts w:ascii="Arial Narrow" w:hAnsi="Arial Narrow" w:cs="Arial"/>
                <w:sz w:val="20"/>
                <w:szCs w:val="20"/>
              </w:rPr>
            </w:pPr>
          </w:p>
        </w:tc>
        <w:tc>
          <w:tcPr>
            <w:tcW w:w="4293" w:type="pct"/>
            <w:gridSpan w:val="6"/>
            <w:tcBorders>
              <w:top w:val="single" w:sz="4" w:space="0" w:color="auto"/>
              <w:left w:val="single" w:sz="4" w:space="0" w:color="auto"/>
              <w:bottom w:val="single" w:sz="4" w:space="0" w:color="auto"/>
              <w:right w:val="single" w:sz="4" w:space="0" w:color="auto"/>
            </w:tcBorders>
            <w:vAlign w:val="center"/>
          </w:tcPr>
          <w:p w14:paraId="2A7BBE53" w14:textId="77777777" w:rsidR="00EB3A92" w:rsidRPr="008E6588" w:rsidRDefault="00EB3A92" w:rsidP="00836DB5">
            <w:pPr>
              <w:keepLines/>
              <w:rPr>
                <w:rFonts w:ascii="Arial Narrow" w:eastAsia="Calibri" w:hAnsi="Arial Narrow" w:cs="Arial"/>
                <w:color w:val="FF0000"/>
                <w:sz w:val="20"/>
                <w:szCs w:val="20"/>
              </w:rPr>
            </w:pPr>
            <w:r w:rsidRPr="008E6588">
              <w:rPr>
                <w:rFonts w:ascii="Arial Narrow" w:hAnsi="Arial Narrow" w:cs="Arial"/>
                <w:b/>
                <w:sz w:val="20"/>
                <w:szCs w:val="20"/>
              </w:rPr>
              <w:t xml:space="preserve">Restriction type: </w:t>
            </w:r>
            <w:r w:rsidRPr="008E6588">
              <w:rPr>
                <w:rFonts w:ascii="Arial Narrow" w:eastAsia="Calibri" w:hAnsi="Arial Narrow" w:cs="Arial"/>
                <w:sz w:val="20"/>
                <w:szCs w:val="20"/>
              </w:rPr>
              <w:fldChar w:fldCharType="begin" w:fldLock="1">
                <w:ffData>
                  <w:name w:val=""/>
                  <w:enabled/>
                  <w:calcOnExit w:val="0"/>
                  <w:checkBox>
                    <w:sizeAuto/>
                    <w:default w:val="1"/>
                  </w:checkBox>
                </w:ffData>
              </w:fldChar>
            </w:r>
            <w:r w:rsidRPr="008E6588">
              <w:rPr>
                <w:rFonts w:ascii="Arial Narrow" w:eastAsia="Calibri" w:hAnsi="Arial Narrow" w:cs="Arial"/>
                <w:sz w:val="20"/>
                <w:szCs w:val="20"/>
              </w:rPr>
              <w:instrText xml:space="preserve"> FORMCHECKBOX </w:instrText>
            </w:r>
            <w:r w:rsidRPr="008E6588">
              <w:rPr>
                <w:rFonts w:ascii="Arial Narrow" w:eastAsia="Calibri" w:hAnsi="Arial Narrow" w:cs="Arial"/>
                <w:sz w:val="20"/>
                <w:szCs w:val="20"/>
              </w:rPr>
            </w:r>
            <w:r w:rsidRPr="008E6588">
              <w:rPr>
                <w:rFonts w:ascii="Arial Narrow" w:eastAsia="Calibri" w:hAnsi="Arial Narrow" w:cs="Arial"/>
                <w:sz w:val="20"/>
                <w:szCs w:val="20"/>
              </w:rPr>
              <w:fldChar w:fldCharType="separate"/>
            </w:r>
            <w:r w:rsidRPr="008E6588">
              <w:rPr>
                <w:rFonts w:ascii="Arial Narrow" w:eastAsia="Calibri" w:hAnsi="Arial Narrow" w:cs="Arial"/>
                <w:sz w:val="20"/>
                <w:szCs w:val="20"/>
              </w:rPr>
              <w:fldChar w:fldCharType="end"/>
            </w:r>
            <w:r w:rsidRPr="008E6588">
              <w:rPr>
                <w:rFonts w:ascii="Arial Narrow" w:eastAsia="Calibri" w:hAnsi="Arial Narrow" w:cs="Arial"/>
                <w:sz w:val="20"/>
                <w:szCs w:val="20"/>
              </w:rPr>
              <w:t>Authority Required (in writing only via post/HPOS upload)</w:t>
            </w:r>
          </w:p>
        </w:tc>
      </w:tr>
      <w:tr w:rsidR="00EB3A92" w:rsidRPr="008E6588" w14:paraId="6A2ED7D1" w14:textId="77777777">
        <w:tblPrEx>
          <w:tblCellMar>
            <w:top w:w="15" w:type="dxa"/>
            <w:bottom w:w="15" w:type="dxa"/>
          </w:tblCellMar>
          <w:tblLook w:val="04A0" w:firstRow="1" w:lastRow="0" w:firstColumn="1" w:lastColumn="0" w:noHBand="0" w:noVBand="1"/>
        </w:tblPrEx>
        <w:trPr>
          <w:cantSplit/>
          <w:trHeight w:val="20"/>
        </w:trPr>
        <w:tc>
          <w:tcPr>
            <w:tcW w:w="704" w:type="pct"/>
            <w:gridSpan w:val="2"/>
            <w:vMerge/>
            <w:tcBorders>
              <w:left w:val="single" w:sz="4" w:space="0" w:color="auto"/>
              <w:right w:val="single" w:sz="4" w:space="0" w:color="auto"/>
            </w:tcBorders>
            <w:vAlign w:val="center"/>
          </w:tcPr>
          <w:p w14:paraId="28036A5C" w14:textId="77777777" w:rsidR="00EB3A92" w:rsidRPr="008E6588" w:rsidRDefault="00EB3A92" w:rsidP="00836DB5">
            <w:pPr>
              <w:keepLines/>
              <w:jc w:val="center"/>
              <w:rPr>
                <w:rFonts w:ascii="Arial Narrow" w:hAnsi="Arial Narrow"/>
                <w:sz w:val="20"/>
                <w:szCs w:val="20"/>
              </w:rPr>
            </w:pPr>
          </w:p>
        </w:tc>
        <w:tc>
          <w:tcPr>
            <w:tcW w:w="4293" w:type="pct"/>
            <w:gridSpan w:val="6"/>
            <w:tcBorders>
              <w:left w:val="single" w:sz="4" w:space="0" w:color="auto"/>
            </w:tcBorders>
            <w:vAlign w:val="center"/>
          </w:tcPr>
          <w:p w14:paraId="26140C76" w14:textId="5A2C9971" w:rsidR="00EB3A92" w:rsidRPr="008E6588" w:rsidRDefault="0020460A" w:rsidP="00836DB5">
            <w:pPr>
              <w:keepLines/>
              <w:rPr>
                <w:rFonts w:ascii="Arial Narrow" w:hAnsi="Arial Narrow"/>
                <w:color w:val="333333"/>
                <w:sz w:val="20"/>
                <w:szCs w:val="20"/>
              </w:rPr>
            </w:pPr>
            <w:r w:rsidRPr="008E6588">
              <w:rPr>
                <w:rFonts w:ascii="Arial Narrow" w:hAnsi="Arial Narrow"/>
                <w:b/>
                <w:sz w:val="20"/>
                <w:szCs w:val="20"/>
              </w:rPr>
              <w:t xml:space="preserve">Authority type: </w:t>
            </w:r>
            <w:r w:rsidRPr="008E6588">
              <w:rPr>
                <w:rFonts w:ascii="Arial Narrow" w:eastAsia="Calibri" w:hAnsi="Arial Narrow"/>
                <w:sz w:val="20"/>
                <w:szCs w:val="20"/>
              </w:rPr>
              <w:fldChar w:fldCharType="begin" w:fldLock="1">
                <w:ffData>
                  <w:name w:val=""/>
                  <w:enabled/>
                  <w:calcOnExit w:val="0"/>
                  <w:checkBox>
                    <w:sizeAuto/>
                    <w:default w:val="1"/>
                  </w:checkBox>
                </w:ffData>
              </w:fldChar>
            </w:r>
            <w:r w:rsidRPr="008E6588">
              <w:rPr>
                <w:rFonts w:ascii="Arial Narrow" w:eastAsia="Calibri" w:hAnsi="Arial Narrow"/>
                <w:sz w:val="20"/>
                <w:szCs w:val="20"/>
              </w:rPr>
              <w:instrText xml:space="preserve"> FORMCHECKBOX </w:instrText>
            </w:r>
            <w:r w:rsidRPr="008E6588">
              <w:rPr>
                <w:rFonts w:ascii="Arial Narrow" w:eastAsia="Calibri" w:hAnsi="Arial Narrow"/>
                <w:sz w:val="20"/>
                <w:szCs w:val="20"/>
              </w:rPr>
            </w:r>
            <w:r w:rsidRPr="008E6588">
              <w:rPr>
                <w:rFonts w:ascii="Arial Narrow" w:eastAsia="Calibri" w:hAnsi="Arial Narrow"/>
                <w:sz w:val="20"/>
                <w:szCs w:val="20"/>
              </w:rPr>
              <w:fldChar w:fldCharType="separate"/>
            </w:r>
            <w:r w:rsidRPr="008E6588">
              <w:rPr>
                <w:rFonts w:ascii="Arial Narrow" w:eastAsia="Calibri" w:hAnsi="Arial Narrow"/>
                <w:sz w:val="20"/>
                <w:szCs w:val="20"/>
              </w:rPr>
              <w:fldChar w:fldCharType="end"/>
            </w:r>
            <w:r w:rsidRPr="008E6588">
              <w:rPr>
                <w:rFonts w:ascii="Arial Narrow" w:eastAsia="Calibri" w:hAnsi="Arial Narrow"/>
                <w:sz w:val="20"/>
                <w:szCs w:val="20"/>
              </w:rPr>
              <w:t xml:space="preserve"> Complex Authority Required (CAR)</w:t>
            </w:r>
          </w:p>
        </w:tc>
      </w:tr>
      <w:tr w:rsidR="00EB3A92" w:rsidRPr="008E6588" w14:paraId="455CEC0D" w14:textId="77777777" w:rsidTr="00836DB5">
        <w:tblPrEx>
          <w:tblCellMar>
            <w:top w:w="15" w:type="dxa"/>
            <w:bottom w:w="15" w:type="dxa"/>
          </w:tblCellMar>
        </w:tblPrEx>
        <w:trPr>
          <w:trHeight w:val="20"/>
        </w:trPr>
        <w:tc>
          <w:tcPr>
            <w:tcW w:w="315" w:type="pct"/>
            <w:vMerge w:val="restart"/>
            <w:tcBorders>
              <w:left w:val="single" w:sz="4" w:space="0" w:color="auto"/>
              <w:right w:val="single" w:sz="4" w:space="0" w:color="auto"/>
            </w:tcBorders>
            <w:textDirection w:val="btLr"/>
          </w:tcPr>
          <w:p w14:paraId="221A5BAC" w14:textId="77777777" w:rsidR="00EB3A92" w:rsidRPr="008E6588" w:rsidRDefault="00EB3A92" w:rsidP="00836DB5">
            <w:pPr>
              <w:ind w:left="113" w:right="113"/>
              <w:jc w:val="center"/>
              <w:rPr>
                <w:rFonts w:ascii="Arial Narrow" w:hAnsi="Arial Narrow" w:cs="Arial"/>
                <w:sz w:val="20"/>
                <w:szCs w:val="20"/>
              </w:rPr>
            </w:pPr>
            <w:r w:rsidRPr="008E6588">
              <w:rPr>
                <w:rFonts w:ascii="Arial Narrow" w:hAnsi="Arial Narrow" w:cs="Arial"/>
                <w:sz w:val="20"/>
                <w:szCs w:val="20"/>
              </w:rPr>
              <w:t>Prescribing rule level</w:t>
            </w:r>
          </w:p>
        </w:tc>
        <w:tc>
          <w:tcPr>
            <w:tcW w:w="392" w:type="pct"/>
            <w:tcBorders>
              <w:left w:val="single" w:sz="4" w:space="0" w:color="auto"/>
              <w:right w:val="single" w:sz="4" w:space="0" w:color="auto"/>
            </w:tcBorders>
          </w:tcPr>
          <w:p w14:paraId="683B9ACA" w14:textId="6F65558C" w:rsidR="00EB3A92" w:rsidRPr="008E6588" w:rsidRDefault="00EB3A92" w:rsidP="00836DB5">
            <w:pPr>
              <w:jc w:val="left"/>
              <w:rPr>
                <w:rFonts w:ascii="Arial Narrow" w:hAnsi="Arial Narrow" w:cs="Arial"/>
                <w:sz w:val="20"/>
                <w:szCs w:val="20"/>
              </w:rPr>
            </w:pPr>
          </w:p>
        </w:tc>
        <w:tc>
          <w:tcPr>
            <w:tcW w:w="4293" w:type="pct"/>
            <w:gridSpan w:val="6"/>
            <w:tcBorders>
              <w:top w:val="single" w:sz="4" w:space="0" w:color="auto"/>
              <w:left w:val="single" w:sz="4" w:space="0" w:color="auto"/>
              <w:bottom w:val="single" w:sz="4" w:space="0" w:color="auto"/>
              <w:right w:val="single" w:sz="4" w:space="0" w:color="auto"/>
            </w:tcBorders>
          </w:tcPr>
          <w:p w14:paraId="51AE3842"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
                <w:sz w:val="20"/>
                <w:szCs w:val="20"/>
              </w:rPr>
              <w:t xml:space="preserve">Administrative Advice: </w:t>
            </w:r>
          </w:p>
          <w:p w14:paraId="23B12601" w14:textId="77777777" w:rsidR="00EB3A92" w:rsidRPr="008E6588" w:rsidRDefault="00EB3A92" w:rsidP="00836DB5">
            <w:pPr>
              <w:keepLines/>
              <w:jc w:val="left"/>
              <w:rPr>
                <w:rFonts w:ascii="Arial Narrow" w:hAnsi="Arial Narrow" w:cs="Arial"/>
                <w:b/>
                <w:sz w:val="20"/>
                <w:szCs w:val="20"/>
              </w:rPr>
            </w:pPr>
            <w:r w:rsidRPr="008E6588">
              <w:rPr>
                <w:rFonts w:ascii="Arial Narrow" w:hAnsi="Arial Narrow" w:cs="Arial"/>
                <w:b/>
                <w:bCs/>
                <w:sz w:val="20"/>
                <w:szCs w:val="20"/>
              </w:rPr>
              <w:t>TREATMENT OF ADULT AND ADOLESCENT PATIENTS WITH UNCONTROLLED SEVERE ASTHMA</w:t>
            </w:r>
          </w:p>
          <w:p w14:paraId="5E0BA8A9"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The following information applies to the prescribing under the Pharmaceutical Benefits Scheme (PBS) of the biological medicines for uncontrolled severe asthma. Where the term biological medicine appears in the following notes and restrictions it refers to all PBS benefits with the specific PBS indication of 'uncontrolled severe asthma'.</w:t>
            </w:r>
          </w:p>
          <w:p w14:paraId="0052535C"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A patient is eligible for PBS-subsidised treatment with only 1 biological medicine for uncontrolled severe asthma at any one time.</w:t>
            </w:r>
          </w:p>
          <w:p w14:paraId="71549C7A"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 xml:space="preserve">A patient receiving PBS-subsidised treatment for uncontrolled severe asthma </w:t>
            </w:r>
            <w:proofErr w:type="gramStart"/>
            <w:r w:rsidRPr="008E6588">
              <w:rPr>
                <w:rFonts w:ascii="Arial Narrow" w:hAnsi="Arial Narrow" w:cs="Arial"/>
                <w:bCs/>
                <w:sz w:val="20"/>
                <w:szCs w:val="20"/>
              </w:rPr>
              <w:t>is able to</w:t>
            </w:r>
            <w:proofErr w:type="gramEnd"/>
            <w:r w:rsidRPr="008E6588">
              <w:rPr>
                <w:rFonts w:ascii="Arial Narrow" w:hAnsi="Arial Narrow" w:cs="Arial"/>
                <w:bCs/>
                <w:sz w:val="20"/>
                <w:szCs w:val="20"/>
              </w:rPr>
              <w:t xml:space="preserve"> commence a treatment cycle where they may trial a biological medicine without having to experience a disease flare when swapping to an alternate biological medicine within the same treatment cycle.</w:t>
            </w:r>
          </w:p>
          <w:p w14:paraId="5603ED08"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 xml:space="preserve">Under these arrangements, within a treatment cycle, a patient may receive long-term treatment with a biological medicine </w:t>
            </w:r>
            <w:proofErr w:type="gramStart"/>
            <w:r w:rsidRPr="008E6588">
              <w:rPr>
                <w:rFonts w:ascii="Arial Narrow" w:hAnsi="Arial Narrow" w:cs="Arial"/>
                <w:bCs/>
                <w:sz w:val="20"/>
                <w:szCs w:val="20"/>
              </w:rPr>
              <w:t>as long as</w:t>
            </w:r>
            <w:proofErr w:type="gramEnd"/>
            <w:r w:rsidRPr="008E6588">
              <w:rPr>
                <w:rFonts w:ascii="Arial Narrow" w:hAnsi="Arial Narrow" w:cs="Arial"/>
                <w:bCs/>
                <w:sz w:val="20"/>
                <w:szCs w:val="20"/>
              </w:rPr>
              <w:t xml:space="preserve"> they sustain a response to therapy.</w:t>
            </w:r>
          </w:p>
          <w:p w14:paraId="6FA925BE"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A patient currently receiving PBS-subsidised treatment as of 1 April 2021 is considered to have started a cycle of treatment.</w:t>
            </w:r>
          </w:p>
          <w:p w14:paraId="4719E20F"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Within the same treatment cycle, a patient cannot trial and fail, or cease to respond to, the same PBS-subsidised biological medicine more than once.</w:t>
            </w:r>
          </w:p>
          <w:p w14:paraId="470232FD"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Therefore, once a patient fails to meet the response criteria for a PBS-subsidised biological medicine, they must change to an alternate biological medicine if they wish to continue PBS-subsidised biological treatment.</w:t>
            </w:r>
          </w:p>
          <w:p w14:paraId="3A6AF013"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Once a patient has either failed to achieve or sustain a response to treatment 4 times, they are deemed to have completed a single treatment cycle. They must have at least a 12-month break in PBS-subsidised biological medicine therapy before they are eligible to recommence another new treatment cycle [further details are under 'Recommencement of treatment after a treatment break in PBS-subsidised therapy' below].</w:t>
            </w:r>
          </w:p>
          <w:p w14:paraId="3388CC6A"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The length of the break in therapy is measured from the date the most recent treatment with a PBS-subsidised biological medicine is ceased until the date of the first application for recommencement of treatment with a biological medicine under the new treatment cycle.</w:t>
            </w:r>
          </w:p>
          <w:p w14:paraId="2216CB3D"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There is no limit to the number of treatment cycles that a patient may undertake in their lifetime.</w:t>
            </w:r>
          </w:p>
          <w:p w14:paraId="5F7F96A2"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How to prescribe PBS-subsidised biological medicine treatment for uncontrolled severe asthma.</w:t>
            </w:r>
          </w:p>
          <w:p w14:paraId="3CC2BCE3"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(1) Initial treatment:</w:t>
            </w:r>
          </w:p>
          <w:p w14:paraId="15D529DB"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Applications for initial treatment should be made where:</w:t>
            </w:r>
          </w:p>
          <w:p w14:paraId="2DB384C9"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w:t>
            </w:r>
            <w:proofErr w:type="spellStart"/>
            <w:r w:rsidRPr="008E6588">
              <w:rPr>
                <w:rFonts w:ascii="Arial Narrow" w:hAnsi="Arial Narrow" w:cs="Arial"/>
                <w:bCs/>
                <w:sz w:val="20"/>
                <w:szCs w:val="20"/>
              </w:rPr>
              <w:t>i</w:t>
            </w:r>
            <w:proofErr w:type="spellEnd"/>
            <w:r w:rsidRPr="008E6588">
              <w:rPr>
                <w:rFonts w:ascii="Arial Narrow" w:hAnsi="Arial Narrow" w:cs="Arial"/>
                <w:bCs/>
                <w:sz w:val="20"/>
                <w:szCs w:val="20"/>
              </w:rPr>
              <w:t>) a patient has not received prior PBS-subsidised biological medicine treatment and wishes to commence such therapy (Initial 1 restriction); or</w:t>
            </w:r>
          </w:p>
          <w:p w14:paraId="5AF9DEC5"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lastRenderedPageBreak/>
              <w:t>(ii) a patient has received prior PBS-subsidised treatment with a biological medicine and wishes to recommence a new treatment cycle with this biological medicine following a treatment break in PBS-subsidised therapy (Initial 1 restriction); or</w:t>
            </w:r>
          </w:p>
          <w:p w14:paraId="3EE41DE8"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(iii) a patient has received prior PBS-subsidised biological medicine therapy and wishes to trial an alternate biological medicine within the same treatment cycle (Initial 2 restriction) - [further details are under 'Swapping therapy' below].</w:t>
            </w:r>
          </w:p>
          <w:p w14:paraId="505C2E2A"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All applications for initial treatment will be limited to provide for a maximum of up to 32 weeks of therapy of a biological medicine. It is recommended that a patient be reviewed in the month prior to completing their course of initial treatment to ensure uninterrupted biological medicine supply.</w:t>
            </w:r>
          </w:p>
          <w:p w14:paraId="7B63D5C6"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(2) Continuing treatment:</w:t>
            </w:r>
          </w:p>
          <w:p w14:paraId="400D08F0"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Following the completion of an initial treatment course with a specific biological medicine, a patient may qualify to receive up to 24 weeks of continuing treatment with that biological medicine providing they have demonstrated an adequate response to treatment. The patient remains eligible to receive continuing biological medicine treatment with the same drug in courses of up to 24 weeks providing they continue to sustain the response. It is recommended that a patient be reviewed the month prior to completing their current course of treatment to ensure uninterrupted biological medicine supply.</w:t>
            </w:r>
          </w:p>
          <w:p w14:paraId="4F1CAA57"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(3) Baseline measurements to determine response:</w:t>
            </w:r>
          </w:p>
          <w:p w14:paraId="19BFAC91"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Baseline measurements of the Asthma Control Questionnaire (ACQ; 5 item version) or oral corticosteroid dose submitted with the Initial authority application for a biological medicine must be used to determine whether an adequate response to treatment has been achieved or sustained.</w:t>
            </w:r>
          </w:p>
          <w:p w14:paraId="694BEBCC"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For patients transitioned from the paediatric to the adolescent/adult restriction, the exacerbation history may also be used to determine response.</w:t>
            </w:r>
          </w:p>
          <w:p w14:paraId="20A1E8FF"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 xml:space="preserve">However, prescribers may provide new baseline measurements when a new Initial treatment authority application is </w:t>
            </w:r>
            <w:proofErr w:type="gramStart"/>
            <w:r w:rsidRPr="008E6588">
              <w:rPr>
                <w:rFonts w:ascii="Arial Narrow" w:hAnsi="Arial Narrow" w:cs="Arial"/>
                <w:bCs/>
                <w:sz w:val="20"/>
                <w:szCs w:val="20"/>
              </w:rPr>
              <w:t>submitted</w:t>
            </w:r>
            <w:proofErr w:type="gramEnd"/>
            <w:r w:rsidRPr="008E6588">
              <w:rPr>
                <w:rFonts w:ascii="Arial Narrow" w:hAnsi="Arial Narrow" w:cs="Arial"/>
                <w:bCs/>
                <w:sz w:val="20"/>
                <w:szCs w:val="20"/>
              </w:rPr>
              <w:t xml:space="preserve"> and these new baseline measurements may be used to assess response.</w:t>
            </w:r>
          </w:p>
          <w:p w14:paraId="7E744A16"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(4) Swapping therapy within the same treatment cycle.</w:t>
            </w:r>
          </w:p>
          <w:p w14:paraId="4E4B2AD2"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Once initial treatment with the first PBS-subsidised biological medicine is approved, a patient may swap to an alternate biological medicine at any time by qualifying under an Initial 2 restriction.</w:t>
            </w:r>
          </w:p>
          <w:p w14:paraId="34B6ABCE"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However, they cannot swap to a particular biological medicine if they have failed to respond to prior treatment with that drug within the same treatment cycle.</w:t>
            </w:r>
          </w:p>
          <w:p w14:paraId="5EE9DECB"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Within the same treatment cycle a patient may alternate between therapy with any biological medicine of their choice (1 at a time) providing:</w:t>
            </w:r>
          </w:p>
          <w:p w14:paraId="4D14ED3C"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w:t>
            </w:r>
            <w:proofErr w:type="spellStart"/>
            <w:r w:rsidRPr="008E6588">
              <w:rPr>
                <w:rFonts w:ascii="Arial Narrow" w:hAnsi="Arial Narrow" w:cs="Arial"/>
                <w:bCs/>
                <w:sz w:val="20"/>
                <w:szCs w:val="20"/>
              </w:rPr>
              <w:t>i</w:t>
            </w:r>
            <w:proofErr w:type="spellEnd"/>
            <w:r w:rsidRPr="008E6588">
              <w:rPr>
                <w:rFonts w:ascii="Arial Narrow" w:hAnsi="Arial Narrow" w:cs="Arial"/>
                <w:bCs/>
                <w:sz w:val="20"/>
                <w:szCs w:val="20"/>
              </w:rPr>
              <w:t xml:space="preserve">) they have not received PBS-subsidised treatment with that </w:t>
            </w:r>
            <w:proofErr w:type="gramStart"/>
            <w:r w:rsidRPr="008E6588">
              <w:rPr>
                <w:rFonts w:ascii="Arial Narrow" w:hAnsi="Arial Narrow" w:cs="Arial"/>
                <w:bCs/>
                <w:sz w:val="20"/>
                <w:szCs w:val="20"/>
              </w:rPr>
              <w:t>particular biological</w:t>
            </w:r>
            <w:proofErr w:type="gramEnd"/>
            <w:r w:rsidRPr="008E6588">
              <w:rPr>
                <w:rFonts w:ascii="Arial Narrow" w:hAnsi="Arial Narrow" w:cs="Arial"/>
                <w:bCs/>
                <w:sz w:val="20"/>
                <w:szCs w:val="20"/>
              </w:rPr>
              <w:t xml:space="preserve"> medicine previously; or</w:t>
            </w:r>
          </w:p>
          <w:p w14:paraId="36DDE852"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 xml:space="preserve">(ii) they have demonstrated an adequate response to that </w:t>
            </w:r>
            <w:proofErr w:type="gramStart"/>
            <w:r w:rsidRPr="008E6588">
              <w:rPr>
                <w:rFonts w:ascii="Arial Narrow" w:hAnsi="Arial Narrow" w:cs="Arial"/>
                <w:bCs/>
                <w:sz w:val="20"/>
                <w:szCs w:val="20"/>
              </w:rPr>
              <w:t>particular biological</w:t>
            </w:r>
            <w:proofErr w:type="gramEnd"/>
            <w:r w:rsidRPr="008E6588">
              <w:rPr>
                <w:rFonts w:ascii="Arial Narrow" w:hAnsi="Arial Narrow" w:cs="Arial"/>
                <w:bCs/>
                <w:sz w:val="20"/>
                <w:szCs w:val="20"/>
              </w:rPr>
              <w:t xml:space="preserve"> medicine if they have previously trialled it on the PBS; and</w:t>
            </w:r>
          </w:p>
          <w:p w14:paraId="7A265D3D"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(iii) they have not previously failed to respond to treatment with all 4 biological medicines in this treatment cycle.</w:t>
            </w:r>
          </w:p>
          <w:p w14:paraId="2CD3E9FE"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(5) Re-commencement of a new treatment cycle after a treatment break in PBS-subsidised therapy:</w:t>
            </w:r>
          </w:p>
          <w:p w14:paraId="58C4806D"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A patient who wishes to trial a second or subsequent new treatment cycle, following a break in PBS-subsidised therapy of at least 12 months (in patients who have failed to achieve or ceased to sustain a response to treatment 4 times within a treatment cycle), must re-qualify through an Initial 1 restriction.</w:t>
            </w:r>
          </w:p>
          <w:p w14:paraId="057FB68F"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(6) Monitoring of patients:</w:t>
            </w:r>
          </w:p>
          <w:p w14:paraId="0F8B4114"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Omalizumab only:</w:t>
            </w:r>
          </w:p>
          <w:p w14:paraId="6C4C476C"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 xml:space="preserve">Anaphylaxis and anaphylactoid reactions have been reported following first or subsequent administration of omalizumab (see Product Information). Patients should be monitored post-injection, and medications for the treatment of anaphylactic reactions should be available for immediate use following administration of omalizumab. Patients should be informed that such reactions are </w:t>
            </w:r>
            <w:proofErr w:type="gramStart"/>
            <w:r w:rsidRPr="008E6588">
              <w:rPr>
                <w:rFonts w:ascii="Arial Narrow" w:hAnsi="Arial Narrow" w:cs="Arial"/>
                <w:bCs/>
                <w:sz w:val="20"/>
                <w:szCs w:val="20"/>
              </w:rPr>
              <w:t>possible</w:t>
            </w:r>
            <w:proofErr w:type="gramEnd"/>
            <w:r w:rsidRPr="008E6588">
              <w:rPr>
                <w:rFonts w:ascii="Arial Narrow" w:hAnsi="Arial Narrow" w:cs="Arial"/>
                <w:bCs/>
                <w:sz w:val="20"/>
                <w:szCs w:val="20"/>
              </w:rPr>
              <w:t xml:space="preserve"> and prompt medical attention should be sought if allergic reactions occur.</w:t>
            </w:r>
          </w:p>
        </w:tc>
      </w:tr>
      <w:tr w:rsidR="00EB3A92" w:rsidRPr="008E6588" w14:paraId="3AAA9D7E" w14:textId="77777777" w:rsidTr="00836DB5">
        <w:tblPrEx>
          <w:tblCellMar>
            <w:top w:w="15" w:type="dxa"/>
            <w:bottom w:w="15" w:type="dxa"/>
          </w:tblCellMar>
        </w:tblPrEx>
        <w:trPr>
          <w:trHeight w:val="20"/>
        </w:trPr>
        <w:tc>
          <w:tcPr>
            <w:tcW w:w="315" w:type="pct"/>
            <w:vMerge/>
            <w:tcBorders>
              <w:left w:val="single" w:sz="4" w:space="0" w:color="auto"/>
              <w:right w:val="single" w:sz="4" w:space="0" w:color="auto"/>
            </w:tcBorders>
            <w:textDirection w:val="btLr"/>
          </w:tcPr>
          <w:p w14:paraId="18D88544" w14:textId="77777777" w:rsidR="00EB3A92" w:rsidRPr="008E6588" w:rsidRDefault="00EB3A92" w:rsidP="00836DB5">
            <w:pPr>
              <w:ind w:left="113" w:right="113"/>
              <w:jc w:val="center"/>
              <w:rPr>
                <w:rFonts w:ascii="Arial Narrow" w:hAnsi="Arial Narrow" w:cs="Arial"/>
                <w:sz w:val="20"/>
                <w:szCs w:val="20"/>
              </w:rPr>
            </w:pPr>
          </w:p>
        </w:tc>
        <w:tc>
          <w:tcPr>
            <w:tcW w:w="392" w:type="pct"/>
            <w:tcBorders>
              <w:left w:val="single" w:sz="4" w:space="0" w:color="auto"/>
              <w:right w:val="single" w:sz="4" w:space="0" w:color="auto"/>
            </w:tcBorders>
          </w:tcPr>
          <w:p w14:paraId="457D53AD" w14:textId="1D8FDF36" w:rsidR="00EB3A92" w:rsidRPr="008E6588" w:rsidRDefault="00EB3A92" w:rsidP="00836DB5">
            <w:pPr>
              <w:jc w:val="left"/>
              <w:rPr>
                <w:rFonts w:ascii="Arial Narrow" w:hAnsi="Arial Narrow" w:cs="Arial"/>
                <w:sz w:val="20"/>
                <w:szCs w:val="20"/>
              </w:rPr>
            </w:pPr>
          </w:p>
        </w:tc>
        <w:tc>
          <w:tcPr>
            <w:tcW w:w="4293" w:type="pct"/>
            <w:gridSpan w:val="6"/>
            <w:tcBorders>
              <w:top w:val="single" w:sz="4" w:space="0" w:color="auto"/>
              <w:left w:val="single" w:sz="4" w:space="0" w:color="auto"/>
              <w:bottom w:val="single" w:sz="4" w:space="0" w:color="auto"/>
              <w:right w:val="single" w:sz="4" w:space="0" w:color="auto"/>
            </w:tcBorders>
          </w:tcPr>
          <w:p w14:paraId="73FFE2BF" w14:textId="77777777" w:rsidR="00EB3A92" w:rsidRPr="008E6588" w:rsidRDefault="00EB3A92" w:rsidP="00836DB5">
            <w:pPr>
              <w:keepLines/>
              <w:jc w:val="left"/>
              <w:rPr>
                <w:rFonts w:ascii="Arial Narrow" w:hAnsi="Arial Narrow" w:cs="Arial"/>
                <w:b/>
                <w:sz w:val="20"/>
                <w:szCs w:val="20"/>
              </w:rPr>
            </w:pPr>
            <w:r w:rsidRPr="008E6588">
              <w:rPr>
                <w:rFonts w:ascii="Arial Narrow" w:hAnsi="Arial Narrow" w:cs="Arial"/>
                <w:b/>
                <w:sz w:val="20"/>
                <w:szCs w:val="20"/>
              </w:rPr>
              <w:t xml:space="preserve">Administrative Advice: </w:t>
            </w:r>
            <w:r w:rsidRPr="008E6588">
              <w:rPr>
                <w:rFonts w:ascii="Arial Narrow" w:hAnsi="Arial Narrow" w:cs="Arial"/>
                <w:bCs/>
                <w:sz w:val="20"/>
                <w:szCs w:val="20"/>
              </w:rPr>
              <w:t>For copies of the ACQ and the calculation sheets please contact Novartis Medical Information on 1800 671 203 or medinfo.phauno@novartis.com</w:t>
            </w:r>
          </w:p>
        </w:tc>
      </w:tr>
      <w:tr w:rsidR="00EB3A92" w:rsidRPr="008E6588" w14:paraId="399E92B0" w14:textId="77777777" w:rsidTr="00836DB5">
        <w:tblPrEx>
          <w:tblCellMar>
            <w:top w:w="15" w:type="dxa"/>
            <w:bottom w:w="15" w:type="dxa"/>
          </w:tblCellMar>
        </w:tblPrEx>
        <w:trPr>
          <w:trHeight w:val="20"/>
        </w:trPr>
        <w:tc>
          <w:tcPr>
            <w:tcW w:w="315" w:type="pct"/>
            <w:vMerge/>
            <w:tcBorders>
              <w:left w:val="single" w:sz="4" w:space="0" w:color="auto"/>
              <w:right w:val="single" w:sz="4" w:space="0" w:color="auto"/>
            </w:tcBorders>
          </w:tcPr>
          <w:p w14:paraId="3E68B806" w14:textId="77777777" w:rsidR="00EB3A92" w:rsidRPr="008E6588" w:rsidRDefault="00EB3A92" w:rsidP="00836DB5">
            <w:pPr>
              <w:jc w:val="left"/>
              <w:rPr>
                <w:rFonts w:ascii="Arial Narrow" w:hAnsi="Arial Narrow" w:cs="Arial"/>
                <w:sz w:val="20"/>
                <w:szCs w:val="20"/>
              </w:rPr>
            </w:pPr>
          </w:p>
        </w:tc>
        <w:tc>
          <w:tcPr>
            <w:tcW w:w="392" w:type="pct"/>
            <w:tcBorders>
              <w:left w:val="single" w:sz="4" w:space="0" w:color="auto"/>
              <w:right w:val="single" w:sz="4" w:space="0" w:color="auto"/>
            </w:tcBorders>
          </w:tcPr>
          <w:p w14:paraId="132C5784" w14:textId="48010D76" w:rsidR="00EB3A92" w:rsidRPr="008E6588" w:rsidRDefault="00EB3A92" w:rsidP="00836DB5">
            <w:pPr>
              <w:jc w:val="left"/>
              <w:textAlignment w:val="baseline"/>
              <w:rPr>
                <w:rFonts w:ascii="Arial Narrow" w:hAnsi="Arial Narrow" w:cs="Open Sans"/>
                <w:color w:val="333333"/>
                <w:sz w:val="20"/>
                <w:szCs w:val="20"/>
              </w:rPr>
            </w:pPr>
          </w:p>
        </w:tc>
        <w:tc>
          <w:tcPr>
            <w:tcW w:w="4293" w:type="pct"/>
            <w:gridSpan w:val="6"/>
            <w:tcBorders>
              <w:top w:val="single" w:sz="4" w:space="0" w:color="auto"/>
              <w:left w:val="single" w:sz="4" w:space="0" w:color="auto"/>
              <w:bottom w:val="single" w:sz="4" w:space="0" w:color="auto"/>
              <w:right w:val="single" w:sz="4" w:space="0" w:color="auto"/>
            </w:tcBorders>
          </w:tcPr>
          <w:p w14:paraId="2726189B" w14:textId="77777777" w:rsidR="00EB3A92" w:rsidRPr="008E6588" w:rsidRDefault="00EB3A92" w:rsidP="00836DB5">
            <w:pPr>
              <w:keepLines/>
              <w:jc w:val="left"/>
              <w:rPr>
                <w:rFonts w:ascii="Arial Narrow" w:hAnsi="Arial Narrow" w:cs="Arial"/>
                <w:sz w:val="20"/>
                <w:szCs w:val="20"/>
              </w:rPr>
            </w:pPr>
            <w:r w:rsidRPr="008E6588">
              <w:rPr>
                <w:rFonts w:ascii="Arial Narrow" w:hAnsi="Arial Narrow" w:cs="Arial"/>
                <w:b/>
                <w:sz w:val="20"/>
                <w:szCs w:val="20"/>
              </w:rPr>
              <w:t>Administrative Advice</w:t>
            </w:r>
            <w:r w:rsidRPr="008E6588">
              <w:rPr>
                <w:rFonts w:ascii="Arial Narrow" w:hAnsi="Arial Narrow" w:cs="Arial"/>
                <w:sz w:val="20"/>
                <w:szCs w:val="20"/>
              </w:rPr>
              <w:t xml:space="preserve">: </w:t>
            </w:r>
          </w:p>
          <w:p w14:paraId="7B8AA7E1"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Any queries concerning the arrangements to prescribe may be directed to Services Australia on 1800 700 270 (hours of operation 8 a.m. to 5 p.m. Monday to Friday).</w:t>
            </w:r>
          </w:p>
          <w:p w14:paraId="11575E13"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Prescribing information (including Authority Application forms and other relevant documentation as applicable) is available on the Services Australia website at www.servicesaustralia.gov.au</w:t>
            </w:r>
          </w:p>
          <w:p w14:paraId="5FC0B1C7"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lastRenderedPageBreak/>
              <w:t>Applications for authority to prescribe should be submitted online using the form upload facility in Health Professional Online Services (HPOS) at www.servicesaustralia.gov.au/hpos</w:t>
            </w:r>
          </w:p>
          <w:p w14:paraId="7E7105F1"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Or mailed to:</w:t>
            </w:r>
          </w:p>
          <w:p w14:paraId="50FDE8E8"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Services Australia</w:t>
            </w:r>
          </w:p>
          <w:p w14:paraId="37DCFDF3"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Complex Drugs</w:t>
            </w:r>
          </w:p>
          <w:p w14:paraId="34071BCF"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Reply Paid 9826</w:t>
            </w:r>
          </w:p>
          <w:p w14:paraId="0FC2A773" w14:textId="77777777" w:rsidR="00EB3A92" w:rsidRPr="008E6588" w:rsidRDefault="00EB3A92" w:rsidP="00836DB5">
            <w:pPr>
              <w:keepLines/>
              <w:jc w:val="left"/>
              <w:rPr>
                <w:rFonts w:ascii="Arial Narrow" w:hAnsi="Arial Narrow" w:cs="Arial"/>
                <w:bCs/>
                <w:sz w:val="20"/>
                <w:szCs w:val="20"/>
              </w:rPr>
            </w:pPr>
            <w:r w:rsidRPr="008E6588">
              <w:rPr>
                <w:rFonts w:ascii="Arial Narrow" w:hAnsi="Arial Narrow" w:cs="Arial"/>
                <w:bCs/>
                <w:sz w:val="20"/>
                <w:szCs w:val="20"/>
              </w:rPr>
              <w:t>HOBART TAS 7001</w:t>
            </w:r>
          </w:p>
        </w:tc>
      </w:tr>
      <w:tr w:rsidR="00EB3A92" w:rsidRPr="008E6588" w14:paraId="5E0B6C7F" w14:textId="77777777" w:rsidTr="00836DB5">
        <w:tblPrEx>
          <w:tblCellMar>
            <w:top w:w="15" w:type="dxa"/>
            <w:bottom w:w="15" w:type="dxa"/>
          </w:tblCellMar>
        </w:tblPrEx>
        <w:trPr>
          <w:trHeight w:val="20"/>
        </w:trPr>
        <w:tc>
          <w:tcPr>
            <w:tcW w:w="315" w:type="pct"/>
            <w:vMerge/>
            <w:tcBorders>
              <w:left w:val="single" w:sz="4" w:space="0" w:color="auto"/>
              <w:right w:val="single" w:sz="4" w:space="0" w:color="auto"/>
            </w:tcBorders>
          </w:tcPr>
          <w:p w14:paraId="136E2E5A" w14:textId="77777777" w:rsidR="00EB3A92" w:rsidRPr="008E6588" w:rsidRDefault="00EB3A92" w:rsidP="00836DB5">
            <w:pPr>
              <w:jc w:val="left"/>
              <w:rPr>
                <w:rFonts w:ascii="Arial Narrow" w:hAnsi="Arial Narrow" w:cs="Arial"/>
                <w:sz w:val="20"/>
                <w:szCs w:val="20"/>
              </w:rPr>
            </w:pPr>
          </w:p>
        </w:tc>
        <w:tc>
          <w:tcPr>
            <w:tcW w:w="392" w:type="pct"/>
            <w:tcBorders>
              <w:left w:val="single" w:sz="4" w:space="0" w:color="auto"/>
              <w:right w:val="single" w:sz="4" w:space="0" w:color="auto"/>
            </w:tcBorders>
          </w:tcPr>
          <w:p w14:paraId="04F4DFF5" w14:textId="0120E995" w:rsidR="00EB3A92" w:rsidRPr="008E6588" w:rsidRDefault="00EB3A92" w:rsidP="00836DB5">
            <w:pPr>
              <w:jc w:val="left"/>
              <w:rPr>
                <w:rFonts w:ascii="Arial Narrow" w:hAnsi="Arial Narrow" w:cs="Arial"/>
                <w:sz w:val="20"/>
                <w:szCs w:val="20"/>
              </w:rPr>
            </w:pPr>
          </w:p>
        </w:tc>
        <w:tc>
          <w:tcPr>
            <w:tcW w:w="4293" w:type="pct"/>
            <w:gridSpan w:val="6"/>
            <w:tcBorders>
              <w:top w:val="single" w:sz="4" w:space="0" w:color="auto"/>
              <w:left w:val="single" w:sz="4" w:space="0" w:color="auto"/>
              <w:bottom w:val="single" w:sz="4" w:space="0" w:color="auto"/>
              <w:right w:val="single" w:sz="4" w:space="0" w:color="auto"/>
            </w:tcBorders>
          </w:tcPr>
          <w:p w14:paraId="41406264" w14:textId="2A4ED465" w:rsidR="00EB3A92" w:rsidRPr="008E6588" w:rsidRDefault="00EB3A92" w:rsidP="00836DB5">
            <w:pPr>
              <w:jc w:val="left"/>
              <w:rPr>
                <w:rFonts w:ascii="Arial Narrow" w:hAnsi="Arial Narrow"/>
                <w:sz w:val="20"/>
                <w:szCs w:val="20"/>
              </w:rPr>
            </w:pPr>
            <w:r w:rsidRPr="008E6588">
              <w:rPr>
                <w:rFonts w:ascii="Arial Narrow" w:hAnsi="Arial Narrow"/>
                <w:b/>
                <w:bCs/>
                <w:sz w:val="20"/>
                <w:szCs w:val="20"/>
              </w:rPr>
              <w:t>Administrative Advice:</w:t>
            </w:r>
            <w:r w:rsidRPr="008E6588">
              <w:rPr>
                <w:rFonts w:ascii="Arial Narrow" w:hAnsi="Arial Narrow"/>
                <w:sz w:val="20"/>
                <w:szCs w:val="20"/>
              </w:rPr>
              <w:t xml:space="preserve"> </w:t>
            </w:r>
            <w:r w:rsidR="006D7CCC" w:rsidRPr="008E6588">
              <w:rPr>
                <w:rFonts w:ascii="Arial Narrow" w:hAnsi="Arial Narrow"/>
                <w:iCs/>
                <w:sz w:val="20"/>
                <w:szCs w:val="20"/>
              </w:rPr>
              <w:t xml:space="preserve">Pharmaceutical benefits that have the form omalizumab </w:t>
            </w:r>
            <w:r w:rsidR="006D7CCC" w:rsidRPr="008E6588">
              <w:rPr>
                <w:rFonts w:ascii="Arial Narrow" w:hAnsi="Arial Narrow" w:cs="Arial"/>
                <w:iCs/>
                <w:sz w:val="20"/>
                <w:szCs w:val="20"/>
              </w:rPr>
              <w:t xml:space="preserve">300 mg/2 mL </w:t>
            </w:r>
            <w:r w:rsidR="006D7CCC" w:rsidRPr="008E6588">
              <w:rPr>
                <w:rFonts w:ascii="Arial Narrow" w:hAnsi="Arial Narrow"/>
                <w:iCs/>
                <w:sz w:val="20"/>
                <w:szCs w:val="20"/>
              </w:rPr>
              <w:t xml:space="preserve">syringes and pharmaceutical benefits that have the form omalizumab </w:t>
            </w:r>
            <w:r w:rsidR="006D7CCC" w:rsidRPr="008E6588">
              <w:rPr>
                <w:rFonts w:ascii="Arial Narrow" w:hAnsi="Arial Narrow" w:cs="Arial"/>
                <w:iCs/>
                <w:sz w:val="20"/>
                <w:szCs w:val="20"/>
              </w:rPr>
              <w:t xml:space="preserve">300 mg/2 mL </w:t>
            </w:r>
            <w:r w:rsidR="006D7CCC" w:rsidRPr="008E6588">
              <w:rPr>
                <w:rFonts w:ascii="Arial Narrow" w:hAnsi="Arial Narrow"/>
                <w:iCs/>
                <w:sz w:val="20"/>
                <w:szCs w:val="20"/>
              </w:rPr>
              <w:t>pen devices are equivalent for the purposes of substitution.</w:t>
            </w:r>
          </w:p>
        </w:tc>
      </w:tr>
      <w:tr w:rsidR="00EB3A92" w:rsidRPr="008E6588" w14:paraId="0A3A18FF" w14:textId="77777777" w:rsidTr="002A4CA6">
        <w:tblPrEx>
          <w:tblCellMar>
            <w:top w:w="15" w:type="dxa"/>
            <w:bottom w:w="15" w:type="dxa"/>
          </w:tblCellMar>
          <w:tblLook w:val="04A0" w:firstRow="1" w:lastRow="0" w:firstColumn="1" w:lastColumn="0" w:noHBand="0" w:noVBand="1"/>
        </w:tblPrEx>
        <w:trPr>
          <w:trHeight w:val="20"/>
        </w:trPr>
        <w:tc>
          <w:tcPr>
            <w:tcW w:w="4997" w:type="pct"/>
            <w:gridSpan w:val="8"/>
            <w:vAlign w:val="center"/>
          </w:tcPr>
          <w:p w14:paraId="774E19A0" w14:textId="77777777" w:rsidR="00EB3A92" w:rsidRPr="008E6588" w:rsidRDefault="00EB3A92" w:rsidP="00836DB5">
            <w:pPr>
              <w:keepLines/>
              <w:rPr>
                <w:rFonts w:ascii="Arial Narrow" w:hAnsi="Arial Narrow"/>
                <w:color w:val="333333"/>
                <w:sz w:val="20"/>
                <w:szCs w:val="20"/>
              </w:rPr>
            </w:pPr>
            <w:r w:rsidRPr="008E6588">
              <w:rPr>
                <w:rFonts w:ascii="Arial Narrow" w:hAnsi="Arial Narrow"/>
                <w:b/>
                <w:sz w:val="20"/>
                <w:szCs w:val="20"/>
              </w:rPr>
              <w:t>Restriction Summary 15845/ Treatment of Concept: 15846: Authority Required</w:t>
            </w:r>
          </w:p>
        </w:tc>
      </w:tr>
      <w:tr w:rsidR="00EB3A92" w:rsidRPr="008E6588" w14:paraId="20F9928D"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vAlign w:val="center"/>
          </w:tcPr>
          <w:p w14:paraId="71DDAA80" w14:textId="66ADB2F9" w:rsidR="00EB3A92" w:rsidRPr="008E6588" w:rsidRDefault="00EB3A92" w:rsidP="00836DB5">
            <w:pPr>
              <w:keepLines/>
              <w:jc w:val="center"/>
              <w:rPr>
                <w:rFonts w:ascii="Arial Narrow" w:hAnsi="Arial Narrow"/>
                <w:sz w:val="20"/>
                <w:szCs w:val="20"/>
              </w:rPr>
            </w:pPr>
          </w:p>
        </w:tc>
        <w:tc>
          <w:tcPr>
            <w:tcW w:w="4293" w:type="pct"/>
            <w:gridSpan w:val="6"/>
            <w:vAlign w:val="center"/>
          </w:tcPr>
          <w:p w14:paraId="5FE2F5B9" w14:textId="77777777" w:rsidR="00EB3A92" w:rsidRPr="008E6588" w:rsidRDefault="00EB3A92" w:rsidP="00836DB5">
            <w:pPr>
              <w:keepLines/>
              <w:rPr>
                <w:rFonts w:ascii="Arial Narrow" w:hAnsi="Arial Narrow"/>
                <w:b/>
                <w:bCs/>
                <w:sz w:val="20"/>
                <w:szCs w:val="20"/>
              </w:rPr>
            </w:pPr>
            <w:r w:rsidRPr="008E6588">
              <w:rPr>
                <w:rFonts w:ascii="Arial Narrow" w:hAnsi="Arial Narrow"/>
                <w:b/>
                <w:bCs/>
                <w:sz w:val="20"/>
                <w:szCs w:val="20"/>
              </w:rPr>
              <w:t>Indication:</w:t>
            </w:r>
            <w:r w:rsidRPr="008E6588">
              <w:rPr>
                <w:rFonts w:ascii="Arial Narrow" w:hAnsi="Arial Narrow"/>
                <w:sz w:val="20"/>
                <w:szCs w:val="20"/>
              </w:rPr>
              <w:t xml:space="preserve"> Uncontrolled severe asthma</w:t>
            </w:r>
          </w:p>
        </w:tc>
      </w:tr>
      <w:tr w:rsidR="00EB3A92" w:rsidRPr="008E6588" w14:paraId="4AA43BC7" w14:textId="77777777" w:rsidTr="00B923E6">
        <w:tblPrEx>
          <w:tblCellMar>
            <w:top w:w="15" w:type="dxa"/>
            <w:bottom w:w="15" w:type="dxa"/>
          </w:tblCellMar>
        </w:tblPrEx>
        <w:trPr>
          <w:trHeight w:val="20"/>
        </w:trPr>
        <w:tc>
          <w:tcPr>
            <w:tcW w:w="704" w:type="pct"/>
            <w:gridSpan w:val="2"/>
            <w:vAlign w:val="center"/>
          </w:tcPr>
          <w:p w14:paraId="2177E49F" w14:textId="77777777" w:rsidR="00EB3A92" w:rsidRPr="008E6588" w:rsidRDefault="00EB3A92" w:rsidP="00836DB5">
            <w:pPr>
              <w:jc w:val="center"/>
              <w:rPr>
                <w:rFonts w:ascii="Arial Narrow" w:hAnsi="Arial Narrow"/>
                <w:sz w:val="20"/>
                <w:szCs w:val="20"/>
              </w:rPr>
            </w:pPr>
          </w:p>
        </w:tc>
        <w:tc>
          <w:tcPr>
            <w:tcW w:w="4293" w:type="pct"/>
            <w:gridSpan w:val="6"/>
            <w:vAlign w:val="center"/>
            <w:hideMark/>
          </w:tcPr>
          <w:p w14:paraId="0F8A607C" w14:textId="77777777" w:rsidR="00EB3A92" w:rsidRPr="008E6588" w:rsidRDefault="00EB3A92" w:rsidP="00836DB5">
            <w:pPr>
              <w:rPr>
                <w:rFonts w:ascii="Arial Narrow" w:hAnsi="Arial Narrow"/>
                <w:sz w:val="20"/>
                <w:szCs w:val="20"/>
              </w:rPr>
            </w:pPr>
            <w:r w:rsidRPr="008E6588">
              <w:rPr>
                <w:rFonts w:ascii="Arial Narrow" w:hAnsi="Arial Narrow"/>
                <w:b/>
                <w:bCs/>
                <w:sz w:val="20"/>
                <w:szCs w:val="20"/>
              </w:rPr>
              <w:t>Treatment Phase:</w:t>
            </w:r>
            <w:r w:rsidRPr="008E6588">
              <w:rPr>
                <w:rFonts w:ascii="Arial Narrow" w:hAnsi="Arial Narrow"/>
                <w:sz w:val="20"/>
                <w:szCs w:val="20"/>
              </w:rPr>
              <w:t xml:space="preserve"> Initial treatment - Initial 1 (New patients; or Recommencement of treatment in a new treatment cycle following a break in PBS subsidised biological medicine therapy)</w:t>
            </w:r>
          </w:p>
        </w:tc>
      </w:tr>
      <w:tr w:rsidR="00EB3A92" w:rsidRPr="008E6588" w14:paraId="09193A55"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62D1E" w14:textId="30B7DCFD"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4D99FD"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Treatment criteria:</w:t>
            </w:r>
          </w:p>
        </w:tc>
      </w:tr>
      <w:tr w:rsidR="00EB3A92" w:rsidRPr="008E6588" w14:paraId="3C3AC507"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F83EE" w14:textId="18A5B5BF"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D50C04"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Must be treated by a medical practitioner who is either a: (</w:t>
            </w:r>
            <w:proofErr w:type="spellStart"/>
            <w:r w:rsidRPr="008E6588">
              <w:rPr>
                <w:rFonts w:ascii="Arial Narrow" w:hAnsi="Arial Narrow"/>
                <w:sz w:val="20"/>
                <w:szCs w:val="20"/>
              </w:rPr>
              <w:t>i</w:t>
            </w:r>
            <w:proofErr w:type="spellEnd"/>
            <w:r w:rsidRPr="008E6588">
              <w:rPr>
                <w:rFonts w:ascii="Arial Narrow" w:hAnsi="Arial Narrow"/>
                <w:sz w:val="20"/>
                <w:szCs w:val="20"/>
              </w:rPr>
              <w:t>) respiratory physician, (ii) clinical immunologist, (iii) allergist, (iv) general physician experienced in the management of patients with severe asthma</w:t>
            </w:r>
          </w:p>
        </w:tc>
      </w:tr>
      <w:tr w:rsidR="00EB3A92" w:rsidRPr="008E6588" w14:paraId="103FF44A"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573A3" w14:textId="283A2014"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5202BE"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6DDA6168"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B7661" w14:textId="58ED61E0"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492343"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Patient must be under the care of the same physician for at least 6 months; or</w:t>
            </w:r>
          </w:p>
        </w:tc>
      </w:tr>
      <w:tr w:rsidR="00EB3A92" w:rsidRPr="008E6588" w14:paraId="008A1D1A"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7D497" w14:textId="25D0BA93"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03957A"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Patient must have been diagnosed by a multidisciplinary severe asthma clinic team</w:t>
            </w:r>
          </w:p>
        </w:tc>
      </w:tr>
      <w:tr w:rsidR="00EB3A92" w:rsidRPr="008E6588" w14:paraId="18B477DD"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B0F43" w14:textId="77777777"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D56C9B"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AND</w:t>
            </w:r>
          </w:p>
        </w:tc>
      </w:tr>
      <w:tr w:rsidR="00EB3A92" w:rsidRPr="008E6588" w14:paraId="49E6F1B3"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70F02" w14:textId="539257F7"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B7A2A2"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1BA7D0BA"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3397E" w14:textId="30459245"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516BF8"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Patient must not have received PBS-subsidised treatment with a biological medicine for severe asthma; or</w:t>
            </w:r>
          </w:p>
        </w:tc>
      </w:tr>
      <w:tr w:rsidR="00EB3A92" w:rsidRPr="008E6588" w14:paraId="274C40FF"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F3BED" w14:textId="78093E59"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AAAA18"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Patient must have had a break in treatment of at least 12 months from the most recently approved PBS-subsidised biological medicine for severe asthma</w:t>
            </w:r>
          </w:p>
        </w:tc>
      </w:tr>
      <w:tr w:rsidR="00EB3A92" w:rsidRPr="008E6588" w14:paraId="4D12FC0D"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64E27" w14:textId="77777777"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D10E00"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AND</w:t>
            </w:r>
          </w:p>
        </w:tc>
      </w:tr>
      <w:tr w:rsidR="00EB3A92" w:rsidRPr="008E6588" w14:paraId="5B44C7C8"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C67D8" w14:textId="15A9E202"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08C39A"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79D9A3B5"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11F84" w14:textId="31501C00"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12FF51" w14:textId="49AB3975" w:rsidR="00EB3A92" w:rsidRPr="008E6588" w:rsidRDefault="00EB3A92" w:rsidP="00836DB5">
            <w:pPr>
              <w:rPr>
                <w:rFonts w:ascii="Arial Narrow" w:hAnsi="Arial Narrow"/>
                <w:sz w:val="20"/>
                <w:szCs w:val="20"/>
              </w:rPr>
            </w:pPr>
            <w:r w:rsidRPr="008E6588">
              <w:rPr>
                <w:rFonts w:ascii="Arial Narrow" w:hAnsi="Arial Narrow"/>
                <w:sz w:val="20"/>
                <w:szCs w:val="20"/>
              </w:rPr>
              <w:t xml:space="preserve">Patient must have a diagnosis of asthma confirmed and documented in the </w:t>
            </w:r>
            <w:r w:rsidR="00742775" w:rsidRPr="008E6588">
              <w:rPr>
                <w:rFonts w:ascii="Arial Narrow" w:hAnsi="Arial Narrow"/>
                <w:sz w:val="20"/>
                <w:szCs w:val="20"/>
              </w:rPr>
              <w:t>patient’s</w:t>
            </w:r>
            <w:r w:rsidR="00EA348D">
              <w:rPr>
                <w:rFonts w:ascii="Arial Narrow" w:hAnsi="Arial Narrow"/>
                <w:sz w:val="20"/>
                <w:szCs w:val="20"/>
              </w:rPr>
              <w:t xml:space="preserve"> </w:t>
            </w:r>
            <w:r w:rsidRPr="008E6588">
              <w:rPr>
                <w:rFonts w:ascii="Arial Narrow" w:hAnsi="Arial Narrow"/>
                <w:sz w:val="20"/>
                <w:szCs w:val="20"/>
              </w:rPr>
              <w:t>medical records by either a: (</w:t>
            </w:r>
            <w:proofErr w:type="spellStart"/>
            <w:r w:rsidRPr="008E6588">
              <w:rPr>
                <w:rFonts w:ascii="Arial Narrow" w:hAnsi="Arial Narrow"/>
                <w:sz w:val="20"/>
                <w:szCs w:val="20"/>
              </w:rPr>
              <w:t>i</w:t>
            </w:r>
            <w:proofErr w:type="spellEnd"/>
            <w:r w:rsidRPr="008E6588">
              <w:rPr>
                <w:rFonts w:ascii="Arial Narrow" w:hAnsi="Arial Narrow"/>
                <w:sz w:val="20"/>
                <w:szCs w:val="20"/>
              </w:rPr>
              <w:t>) respiratory physician, (ii) clinical immunologist, (iii) allergist, (iv) general physician experienced in the management of patients with severe asthma, defined by at least one of the following standard clinical features: (a) forced expiratory volume (FEV1) reversibility greater than or equal to 12% and greater than or equal to 200 mL at baseline within 30 minutes after administration of salbutamol (200 to 400 micrograms), (b) airway hyperresponsiveness defined as a greater than 20% decline in FEV1 during a direct bronchial provocation test or greater than 15% decline during an indirect bronchial provocation test, (c) peak expiratory flow (PEF) variability of greater than 15% between the two highest and two lowest peak expiratory flow rates during 14 days; or</w:t>
            </w:r>
          </w:p>
        </w:tc>
      </w:tr>
      <w:tr w:rsidR="00EB3A92" w:rsidRPr="008E6588" w14:paraId="1C64E642"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A5C6D" w14:textId="694F0B75"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689D3C" w14:textId="67397D6D" w:rsidR="00EB3A92" w:rsidRPr="008E6588" w:rsidRDefault="00EB3A92" w:rsidP="00836DB5">
            <w:pPr>
              <w:rPr>
                <w:rFonts w:ascii="Arial Narrow" w:hAnsi="Arial Narrow"/>
                <w:sz w:val="20"/>
                <w:szCs w:val="20"/>
              </w:rPr>
            </w:pPr>
            <w:r w:rsidRPr="008E6588">
              <w:rPr>
                <w:rFonts w:ascii="Arial Narrow" w:hAnsi="Arial Narrow"/>
                <w:sz w:val="20"/>
                <w:szCs w:val="20"/>
              </w:rPr>
              <w:t xml:space="preserve">Patient must have a diagnosis of asthma from at least two physicians experienced in the management of patients with severe asthma with the details documented in the </w:t>
            </w:r>
            <w:r w:rsidR="00742775" w:rsidRPr="008E6588">
              <w:rPr>
                <w:rFonts w:ascii="Arial Narrow" w:hAnsi="Arial Narrow"/>
                <w:sz w:val="20"/>
                <w:szCs w:val="20"/>
              </w:rPr>
              <w:t>patient’s</w:t>
            </w:r>
            <w:r w:rsidRPr="008E6588">
              <w:rPr>
                <w:rFonts w:ascii="Arial Narrow" w:hAnsi="Arial Narrow"/>
                <w:sz w:val="20"/>
                <w:szCs w:val="20"/>
              </w:rPr>
              <w:t xml:space="preserve"> medical records</w:t>
            </w:r>
          </w:p>
        </w:tc>
      </w:tr>
      <w:tr w:rsidR="00EB3A92" w:rsidRPr="008E6588" w14:paraId="755975FD"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2352F" w14:textId="77777777"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1F49A8"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AND</w:t>
            </w:r>
          </w:p>
        </w:tc>
      </w:tr>
      <w:tr w:rsidR="00EB3A92" w:rsidRPr="008E6588" w14:paraId="0FFA737E"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06173" w14:textId="18777115"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773A0B"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6BA862A8"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D64CB" w14:textId="3939E37C"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80862D"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Patient must have a duration of asthma of at least 1 year</w:t>
            </w:r>
          </w:p>
        </w:tc>
      </w:tr>
      <w:tr w:rsidR="00EB3A92" w:rsidRPr="008E6588" w14:paraId="6628E754"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DBFF7" w14:textId="77777777"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1A472A"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AND</w:t>
            </w:r>
          </w:p>
        </w:tc>
      </w:tr>
      <w:tr w:rsidR="00EB3A92" w:rsidRPr="008E6588" w14:paraId="5F47CC5D"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F6FE2" w14:textId="7CD8D001"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B4204B"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3FAE6282"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7F402" w14:textId="24B0ACE7"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D8E3F7"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Patient must have past or current evidence of atopy that is no more than 1 year old at the time of application that is documented by either: (</w:t>
            </w:r>
            <w:proofErr w:type="spellStart"/>
            <w:r w:rsidRPr="008E6588">
              <w:rPr>
                <w:rFonts w:ascii="Arial Narrow" w:hAnsi="Arial Narrow"/>
                <w:sz w:val="20"/>
                <w:szCs w:val="20"/>
              </w:rPr>
              <w:t>i</w:t>
            </w:r>
            <w:proofErr w:type="spellEnd"/>
            <w:r w:rsidRPr="008E6588">
              <w:rPr>
                <w:rFonts w:ascii="Arial Narrow" w:hAnsi="Arial Narrow"/>
                <w:sz w:val="20"/>
                <w:szCs w:val="20"/>
              </w:rPr>
              <w:t>) skin prick testing, (ii) an in vitro measure of specific IgE</w:t>
            </w:r>
          </w:p>
        </w:tc>
      </w:tr>
      <w:tr w:rsidR="00EB3A92" w:rsidRPr="008E6588" w14:paraId="26B5A20F"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5DEBC" w14:textId="77777777"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3E8D0B"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AND</w:t>
            </w:r>
          </w:p>
        </w:tc>
      </w:tr>
      <w:tr w:rsidR="00EB3A92" w:rsidRPr="008E6588" w14:paraId="05E3CA25"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6E2BB" w14:textId="28E5DB2F"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04EC24"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0049C631"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E8F3D" w14:textId="15165592"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59C791"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Patient must have total serum human immunoglobulin E of at least 30 IU/mL, measured no more than 12 months prior to the time of application</w:t>
            </w:r>
          </w:p>
        </w:tc>
      </w:tr>
      <w:tr w:rsidR="00EB3A92" w:rsidRPr="008E6588" w14:paraId="1D47E308"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50857" w14:textId="77777777"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5DB078"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AND</w:t>
            </w:r>
          </w:p>
        </w:tc>
      </w:tr>
      <w:tr w:rsidR="00EB3A92" w:rsidRPr="008E6588" w14:paraId="000F8EDD"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D71E9" w14:textId="14DD7E0F"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67E6D6"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363574C6"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87625" w14:textId="1039CBE3"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095CAF" w14:textId="17B24835" w:rsidR="00EB3A92" w:rsidRPr="008E6588" w:rsidRDefault="00EB3A92" w:rsidP="00836DB5">
            <w:pPr>
              <w:rPr>
                <w:rFonts w:ascii="Arial Narrow" w:hAnsi="Arial Narrow"/>
                <w:sz w:val="20"/>
                <w:szCs w:val="20"/>
              </w:rPr>
            </w:pPr>
            <w:r w:rsidRPr="008E6588">
              <w:rPr>
                <w:rFonts w:ascii="Arial Narrow" w:hAnsi="Arial Narrow"/>
                <w:sz w:val="20"/>
                <w:szCs w:val="20"/>
              </w:rPr>
              <w:t xml:space="preserve">Patient must have failed to achieve adequate control with optimised asthma therapy, despite formal assessment of and adherence to correct inhaler technique, which has been documented in the </w:t>
            </w:r>
            <w:r w:rsidR="00742775" w:rsidRPr="008E6588">
              <w:rPr>
                <w:rFonts w:ascii="Arial Narrow" w:hAnsi="Arial Narrow"/>
                <w:sz w:val="20"/>
                <w:szCs w:val="20"/>
              </w:rPr>
              <w:t>patient’s</w:t>
            </w:r>
            <w:r w:rsidRPr="008E6588">
              <w:rPr>
                <w:rFonts w:ascii="Arial Narrow" w:hAnsi="Arial Narrow"/>
                <w:sz w:val="20"/>
                <w:szCs w:val="20"/>
              </w:rPr>
              <w:t xml:space="preserve"> medical records</w:t>
            </w:r>
          </w:p>
        </w:tc>
      </w:tr>
      <w:tr w:rsidR="00EB3A92" w:rsidRPr="008E6588" w14:paraId="58CD0BE0"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DA98B" w14:textId="77777777"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EE1CA0"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AND</w:t>
            </w:r>
          </w:p>
        </w:tc>
      </w:tr>
      <w:tr w:rsidR="00EB3A92" w:rsidRPr="008E6588" w14:paraId="532203AA"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D83D7" w14:textId="144F6D0E"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C7A56D"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29070FED"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36C05" w14:textId="46175E4B"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83DECC"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Patient must not receive more than 32 weeks of treatment under this restriction</w:t>
            </w:r>
          </w:p>
        </w:tc>
      </w:tr>
      <w:tr w:rsidR="00EB3A92" w:rsidRPr="008E6588" w14:paraId="7F92F7DE"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ACC72" w14:textId="77777777"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81E09E"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AND</w:t>
            </w:r>
          </w:p>
        </w:tc>
      </w:tr>
      <w:tr w:rsidR="00EB3A92" w:rsidRPr="008E6588" w14:paraId="6827F4CE"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C041F" w14:textId="09894388"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76F87F"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77BCCF7D"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7666A" w14:textId="71F07B8A"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50D9B5"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The treatment must not be used in combination with and within 4 weeks of another PBS-subsidised biological medicine prescribed for severe asthma</w:t>
            </w:r>
          </w:p>
        </w:tc>
      </w:tr>
      <w:tr w:rsidR="00EB3A92" w:rsidRPr="008E6588" w14:paraId="3D2586BE"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0ED57" w14:textId="31C053BF"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4DF10F" w14:textId="77777777" w:rsidR="00EB3A92" w:rsidRPr="008E6588" w:rsidRDefault="00EB3A92" w:rsidP="00836DB5">
            <w:pPr>
              <w:rPr>
                <w:rFonts w:ascii="Arial Narrow" w:hAnsi="Arial Narrow"/>
                <w:sz w:val="20"/>
                <w:szCs w:val="20"/>
              </w:rPr>
            </w:pPr>
            <w:r w:rsidRPr="008E6588">
              <w:rPr>
                <w:rFonts w:ascii="Arial Narrow" w:hAnsi="Arial Narrow"/>
                <w:b/>
                <w:bCs/>
                <w:sz w:val="20"/>
                <w:szCs w:val="20"/>
              </w:rPr>
              <w:t>Population criteria</w:t>
            </w:r>
            <w:r w:rsidRPr="008E6588">
              <w:rPr>
                <w:rFonts w:ascii="Arial Narrow" w:hAnsi="Arial Narrow"/>
                <w:sz w:val="20"/>
                <w:szCs w:val="20"/>
              </w:rPr>
              <w:t>:</w:t>
            </w:r>
          </w:p>
        </w:tc>
      </w:tr>
      <w:tr w:rsidR="00EB3A92" w:rsidRPr="008E6588" w14:paraId="0C5165AF"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F0D00" w14:textId="3A598E8B"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929B01"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Patient must be aged 12 years or older</w:t>
            </w:r>
          </w:p>
        </w:tc>
      </w:tr>
      <w:tr w:rsidR="00EB3A92" w:rsidRPr="008E6588" w14:paraId="5BFAE013"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6A8C4" w14:textId="18BE4144"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7537E6" w14:textId="77777777" w:rsidR="00EB3A92" w:rsidRPr="008E6588" w:rsidRDefault="00EB3A92" w:rsidP="00836DB5">
            <w:pPr>
              <w:rPr>
                <w:rFonts w:ascii="Arial Narrow" w:hAnsi="Arial Narrow"/>
                <w:sz w:val="20"/>
                <w:szCs w:val="20"/>
              </w:rPr>
            </w:pPr>
            <w:r w:rsidRPr="008E6588">
              <w:rPr>
                <w:rFonts w:ascii="Arial Narrow" w:hAnsi="Arial Narrow"/>
                <w:b/>
                <w:bCs/>
                <w:sz w:val="20"/>
                <w:szCs w:val="20"/>
              </w:rPr>
              <w:t>Prescribing Instructions</w:t>
            </w:r>
            <w:r w:rsidRPr="008E6588">
              <w:rPr>
                <w:rFonts w:ascii="Arial Narrow" w:hAnsi="Arial Narrow"/>
                <w:sz w:val="20"/>
                <w:szCs w:val="20"/>
              </w:rPr>
              <w:t>:</w:t>
            </w:r>
          </w:p>
          <w:p w14:paraId="2EEE6472"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Optimised asthma therapy includes adherence to maximal inhaled therapy, including high dose inhaled corticosteroid (ICS) plus long-acting beta-2 agonist (LABA) therapy for at least 12 months, unless contraindicated or not tolerated.</w:t>
            </w:r>
          </w:p>
          <w:p w14:paraId="0A9046DA"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tc>
      </w:tr>
      <w:tr w:rsidR="00EB3A92" w:rsidRPr="008E6588" w14:paraId="729ED4C6"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332A9" w14:textId="507CA1DB"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6B5D9A"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Prescribing Instructions:</w:t>
            </w:r>
          </w:p>
          <w:p w14:paraId="29F2BF7A"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The following initiation criteria indicate failure to achieve adequate control and must be demonstrated in all patients at the time of the application:</w:t>
            </w:r>
          </w:p>
          <w:p w14:paraId="60A87FB0"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(a) an Asthma Control Questionnaire (ACQ-5) score of at least 2.0, as assessed in the previous month, AND</w:t>
            </w:r>
          </w:p>
          <w:p w14:paraId="3B377102"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58F72D0C"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The Asthma Control Questionnaire (5 item version) assessment of the patient's response to this initial course of treatment, and the assessment of oral corticosteroid dose, should be made at around 28 weeks after the first PBS-subsidised dose of this drug under this restriction so that there is adequate time for a response to be demonstrated and for the application for the first continuing therapy to be processed.</w:t>
            </w:r>
          </w:p>
          <w:p w14:paraId="1D87FE9A"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This assessment, which will be used to determine eligibility for the first continuing treatment, should be conducted within 4 weeks of the last dose of biological medicine. Where a response assessment is not undertaken and provided, the patient will be deemed to have failed to respond to treatment with this drug.</w:t>
            </w:r>
          </w:p>
          <w:p w14:paraId="053F1A3D"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 xml:space="preserve">If a patient fails to demonstrate a response to treatment with this </w:t>
            </w:r>
            <w:proofErr w:type="gramStart"/>
            <w:r w:rsidRPr="008E6588">
              <w:rPr>
                <w:rFonts w:ascii="Arial Narrow" w:hAnsi="Arial Narrow"/>
                <w:sz w:val="20"/>
                <w:szCs w:val="20"/>
              </w:rPr>
              <w:t>drug</w:t>
            </w:r>
            <w:proofErr w:type="gramEnd"/>
            <w:r w:rsidRPr="008E6588">
              <w:rPr>
                <w:rFonts w:ascii="Arial Narrow" w:hAnsi="Arial Narrow"/>
                <w:sz w:val="20"/>
                <w:szCs w:val="20"/>
              </w:rPr>
              <w:t xml:space="preserve"> they will not be eligible to receive further PBS-subsidised treatment with this drug for severe asthma within the same treatment cycle.</w:t>
            </w:r>
          </w:p>
          <w:p w14:paraId="60DE43CA"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A treatment break in PBS-subsidised biological medicine therapy of at least 12 months must be observed in a patient who has either failed to achieve or sustain a response to treatment with 4 biological medicines for severe asthma within the same treatment cycle.</w:t>
            </w:r>
          </w:p>
          <w:p w14:paraId="49DB8DF9"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The length of the break in therapy is measured from the date the most recent treatment with a PBS-subsidised biological medicine was administered until the date of the first application for recommencement of treatment with a biological medicine under the new treatment cycle.</w:t>
            </w:r>
          </w:p>
          <w:p w14:paraId="06E27163"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There is no limit to the number of treatment cycles that a patient may undertake in their lifetime.</w:t>
            </w:r>
          </w:p>
          <w:p w14:paraId="382493F8"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At the time of the authority application, medical practitioners should request the appropriate maximum quantity and number of repeats to provide for an initial course of omalizumab consisting of the recommended number of doses for the baseline IgE level and body weight of the patient (refer to the TGA-approved Product Information) to be administered every 2 or 4 weeks.</w:t>
            </w:r>
          </w:p>
          <w:p w14:paraId="6E4D62FD"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A multidisciplinary severe asthma clinic team comprises of:</w:t>
            </w:r>
          </w:p>
          <w:p w14:paraId="29DB7235"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w:t>
            </w:r>
            <w:proofErr w:type="spellStart"/>
            <w:r w:rsidRPr="008E6588">
              <w:rPr>
                <w:rFonts w:ascii="Arial Narrow" w:hAnsi="Arial Narrow"/>
                <w:sz w:val="20"/>
                <w:szCs w:val="20"/>
              </w:rPr>
              <w:t>i</w:t>
            </w:r>
            <w:proofErr w:type="spellEnd"/>
            <w:r w:rsidRPr="008E6588">
              <w:rPr>
                <w:rFonts w:ascii="Arial Narrow" w:hAnsi="Arial Narrow"/>
                <w:sz w:val="20"/>
                <w:szCs w:val="20"/>
              </w:rPr>
              <w:t>) A respiratory physician; and</w:t>
            </w:r>
          </w:p>
          <w:p w14:paraId="62B91D1D" w14:textId="77777777" w:rsidR="00EB3A92" w:rsidRPr="008E6588" w:rsidRDefault="00EB3A92" w:rsidP="00836DB5">
            <w:pPr>
              <w:rPr>
                <w:rFonts w:ascii="Arial Narrow" w:hAnsi="Arial Narrow"/>
                <w:sz w:val="20"/>
                <w:szCs w:val="20"/>
              </w:rPr>
            </w:pPr>
            <w:r w:rsidRPr="008E6588">
              <w:rPr>
                <w:rFonts w:ascii="Arial Narrow" w:hAnsi="Arial Narrow"/>
                <w:sz w:val="20"/>
                <w:szCs w:val="20"/>
              </w:rPr>
              <w:lastRenderedPageBreak/>
              <w:t>(ii) A pharmacist, nurse or asthma educator.</w:t>
            </w:r>
          </w:p>
        </w:tc>
      </w:tr>
      <w:tr w:rsidR="00EB3A92" w:rsidRPr="008E6588" w14:paraId="7AF06C1E"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9C442" w14:textId="2FC3A976"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DAF915"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Prescribing Instructions:</w:t>
            </w:r>
          </w:p>
          <w:p w14:paraId="6292840D"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The authority application must be made in writing and must include:</w:t>
            </w:r>
          </w:p>
          <w:p w14:paraId="29E0D65E"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(1) details of the proposed prescription; and</w:t>
            </w:r>
          </w:p>
          <w:p w14:paraId="318CA05A"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(2) a completed authority application form relevant to the indication and treatment phase (the latest version is located on the website specified in the Administrative Advice).</w:t>
            </w:r>
          </w:p>
        </w:tc>
      </w:tr>
      <w:tr w:rsidR="00EB3A92" w:rsidRPr="008E6588" w14:paraId="3EAFEC93"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0A96A" w14:textId="348C092E"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2044B7"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Prescribing Instructions:</w:t>
            </w:r>
          </w:p>
          <w:p w14:paraId="6DF8E809"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The following must be provided at the time of application and documented in the patient's medical records:</w:t>
            </w:r>
          </w:p>
          <w:p w14:paraId="00EA8D05"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(a) details of prior optimised asthma drug therapy (dosage, date of commencement, duration of therapy); and</w:t>
            </w:r>
          </w:p>
          <w:p w14:paraId="4130B416"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(b) If applicable, details of contraindications and/or intolerances of a severity necessitating permanent treatment withdrawal to standard therapy according to the relevant TGA-approved Product Information; and</w:t>
            </w:r>
          </w:p>
          <w:p w14:paraId="04797D79"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(c) details of severe exacerbation/s experienced in the past 12 months while receiving optimised asthma therapy (date and treatment); and</w:t>
            </w:r>
          </w:p>
          <w:p w14:paraId="43CF42DB"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(d) the IgE result and date; and</w:t>
            </w:r>
          </w:p>
          <w:p w14:paraId="0144925F"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(e) Asthma Control Questionnaire (ACQ-5) score.</w:t>
            </w:r>
          </w:p>
        </w:tc>
      </w:tr>
      <w:tr w:rsidR="00EB3A92" w:rsidRPr="008E6588" w14:paraId="5755C357"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13A7BB" w14:textId="7B48F755"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169E8E" w14:textId="77777777" w:rsidR="00EB3A92" w:rsidRPr="008E6588" w:rsidRDefault="00EB3A92" w:rsidP="00836DB5">
            <w:pPr>
              <w:rPr>
                <w:rFonts w:ascii="Arial Narrow" w:hAnsi="Arial Narrow"/>
                <w:sz w:val="20"/>
                <w:szCs w:val="20"/>
              </w:rPr>
            </w:pPr>
            <w:r w:rsidRPr="008E6588">
              <w:rPr>
                <w:rFonts w:ascii="Arial Narrow" w:hAnsi="Arial Narrow"/>
                <w:b/>
                <w:bCs/>
                <w:sz w:val="20"/>
                <w:szCs w:val="20"/>
              </w:rPr>
              <w:t>Administrative Advice</w:t>
            </w:r>
            <w:r w:rsidRPr="008E6588">
              <w:rPr>
                <w:rFonts w:ascii="Arial Narrow" w:hAnsi="Arial Narrow"/>
                <w:sz w:val="20"/>
                <w:szCs w:val="20"/>
              </w:rPr>
              <w:t>:</w:t>
            </w:r>
          </w:p>
          <w:p w14:paraId="25CD7D89"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The Services Australia website (www.servicesaustralia.gov.au) has details of the accepted toxicities, including severity, which will be accepted for the purposes of exempting a patient from the requirement of treatment with optimised asthma therapy.</w:t>
            </w:r>
          </w:p>
        </w:tc>
      </w:tr>
      <w:tr w:rsidR="00EB3A92" w:rsidRPr="008E6588" w14:paraId="3071E144"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3C0E4" w14:textId="39457EFA"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7BADF7"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Administrative Advice:</w:t>
            </w:r>
          </w:p>
          <w:p w14:paraId="1FCDACFB"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Formal assessment and correction of inhaler technique should be performed in accordance with the National Asthma Council (NAC) Information Paper for Health Professionals on Inhaler Technique (available at www.nationalasthma.org.au); the assessment and adherence to correct technique should be documented in the patient's medical records. Patients can obtain support with inhaler technique through their local Asthma Foundation (1800 645 130).</w:t>
            </w:r>
          </w:p>
        </w:tc>
      </w:tr>
      <w:tr w:rsidR="00EB3A92" w:rsidRPr="008E6588" w14:paraId="5801C27F" w14:textId="77777777" w:rsidTr="002A4CA6">
        <w:tblPrEx>
          <w:tblCellMar>
            <w:top w:w="15" w:type="dxa"/>
            <w:bottom w:w="15" w:type="dxa"/>
          </w:tblCellMar>
          <w:tblLook w:val="04A0" w:firstRow="1" w:lastRow="0" w:firstColumn="1" w:lastColumn="0" w:noHBand="0" w:noVBand="1"/>
        </w:tblPrEx>
        <w:trPr>
          <w:trHeight w:val="20"/>
        </w:trPr>
        <w:tc>
          <w:tcPr>
            <w:tcW w:w="4997" w:type="pct"/>
            <w:gridSpan w:val="8"/>
            <w:vAlign w:val="center"/>
          </w:tcPr>
          <w:p w14:paraId="1BDBBD81" w14:textId="77777777" w:rsidR="00EB3A92" w:rsidRPr="008E6588" w:rsidRDefault="00EB3A92" w:rsidP="00836DB5">
            <w:pPr>
              <w:rPr>
                <w:rFonts w:ascii="Arial Narrow" w:hAnsi="Arial Narrow"/>
                <w:sz w:val="20"/>
                <w:szCs w:val="20"/>
              </w:rPr>
            </w:pPr>
          </w:p>
        </w:tc>
      </w:tr>
      <w:tr w:rsidR="00EB3A92" w:rsidRPr="008E6588" w14:paraId="56FBBE25" w14:textId="77777777" w:rsidTr="002A4CA6">
        <w:tblPrEx>
          <w:tblCellMar>
            <w:top w:w="15" w:type="dxa"/>
            <w:bottom w:w="15" w:type="dxa"/>
          </w:tblCellMar>
          <w:tblLook w:val="04A0" w:firstRow="1" w:lastRow="0" w:firstColumn="1" w:lastColumn="0" w:noHBand="0" w:noVBand="1"/>
        </w:tblPrEx>
        <w:trPr>
          <w:trHeight w:val="20"/>
        </w:trPr>
        <w:tc>
          <w:tcPr>
            <w:tcW w:w="4997" w:type="pct"/>
            <w:gridSpan w:val="8"/>
            <w:vAlign w:val="center"/>
          </w:tcPr>
          <w:p w14:paraId="568F6AA9"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Restriction Summary 15883 / Treatment of Concept: 15870: Authority Required</w:t>
            </w:r>
          </w:p>
        </w:tc>
      </w:tr>
      <w:tr w:rsidR="00EB3A92" w:rsidRPr="008E6588" w14:paraId="78C4E01F"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vAlign w:val="center"/>
          </w:tcPr>
          <w:p w14:paraId="12BA68BC" w14:textId="3A25037A" w:rsidR="00EB3A92" w:rsidRPr="008E6588" w:rsidRDefault="00EB3A92" w:rsidP="00836DB5">
            <w:pPr>
              <w:jc w:val="center"/>
              <w:rPr>
                <w:rFonts w:ascii="Arial Narrow" w:hAnsi="Arial Narrow"/>
                <w:sz w:val="20"/>
                <w:szCs w:val="20"/>
              </w:rPr>
            </w:pPr>
          </w:p>
        </w:tc>
        <w:tc>
          <w:tcPr>
            <w:tcW w:w="4293" w:type="pct"/>
            <w:gridSpan w:val="6"/>
            <w:vAlign w:val="center"/>
          </w:tcPr>
          <w:p w14:paraId="1450BF3A" w14:textId="77777777" w:rsidR="00EB3A92" w:rsidRPr="008E6588" w:rsidRDefault="00EB3A92" w:rsidP="00836DB5">
            <w:pPr>
              <w:rPr>
                <w:rFonts w:ascii="Arial Narrow" w:hAnsi="Arial Narrow"/>
                <w:sz w:val="20"/>
                <w:szCs w:val="20"/>
              </w:rPr>
            </w:pPr>
            <w:r w:rsidRPr="008E6588">
              <w:rPr>
                <w:rFonts w:ascii="Arial Narrow" w:hAnsi="Arial Narrow"/>
                <w:b/>
                <w:bCs/>
                <w:sz w:val="20"/>
                <w:szCs w:val="20"/>
              </w:rPr>
              <w:t>Indication:</w:t>
            </w:r>
            <w:r w:rsidRPr="008E6588">
              <w:rPr>
                <w:rFonts w:ascii="Arial Narrow" w:hAnsi="Arial Narrow"/>
                <w:sz w:val="20"/>
                <w:szCs w:val="20"/>
              </w:rPr>
              <w:t xml:space="preserve"> Uncontrolled severe asthma</w:t>
            </w:r>
          </w:p>
        </w:tc>
      </w:tr>
      <w:tr w:rsidR="00EB3A92" w:rsidRPr="008E6588" w14:paraId="301B0396"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vAlign w:val="center"/>
          </w:tcPr>
          <w:p w14:paraId="33D6ED1D" w14:textId="77777777" w:rsidR="00EB3A92" w:rsidRPr="008E6588" w:rsidRDefault="00EB3A92" w:rsidP="00836DB5">
            <w:pPr>
              <w:jc w:val="center"/>
              <w:rPr>
                <w:rFonts w:ascii="Arial Narrow" w:hAnsi="Arial Narrow"/>
                <w:sz w:val="20"/>
                <w:szCs w:val="20"/>
              </w:rPr>
            </w:pPr>
          </w:p>
        </w:tc>
        <w:tc>
          <w:tcPr>
            <w:tcW w:w="4293" w:type="pct"/>
            <w:gridSpan w:val="6"/>
            <w:vAlign w:val="center"/>
          </w:tcPr>
          <w:p w14:paraId="57534215" w14:textId="77777777" w:rsidR="00EB3A92" w:rsidRPr="008E6588" w:rsidRDefault="00EB3A92" w:rsidP="00836DB5">
            <w:pPr>
              <w:rPr>
                <w:rFonts w:ascii="Arial Narrow" w:hAnsi="Arial Narrow"/>
                <w:sz w:val="20"/>
                <w:szCs w:val="20"/>
              </w:rPr>
            </w:pPr>
            <w:r w:rsidRPr="008E6588">
              <w:rPr>
                <w:rFonts w:ascii="Arial Narrow" w:hAnsi="Arial Narrow"/>
                <w:b/>
                <w:bCs/>
                <w:sz w:val="20"/>
                <w:szCs w:val="20"/>
              </w:rPr>
              <w:t xml:space="preserve">Treatment Phase: </w:t>
            </w:r>
            <w:r w:rsidRPr="008E6588">
              <w:rPr>
                <w:rFonts w:ascii="Arial Narrow" w:hAnsi="Arial Narrow"/>
                <w:sz w:val="20"/>
                <w:szCs w:val="20"/>
              </w:rPr>
              <w:t>Initial treatment - Initial 2 (Change of treatment)</w:t>
            </w:r>
          </w:p>
        </w:tc>
      </w:tr>
      <w:tr w:rsidR="00EB3A92" w:rsidRPr="008E6588" w14:paraId="54C02651"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550CF" w14:textId="3903442D"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D9DB56"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Treatment criteria:</w:t>
            </w:r>
          </w:p>
        </w:tc>
      </w:tr>
      <w:tr w:rsidR="00EB3A92" w:rsidRPr="008E6588" w14:paraId="6C7039D0"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AD47B" w14:textId="4D5B388E"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065177"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Must be treated by a medical practitioner who is either a: (</w:t>
            </w:r>
            <w:proofErr w:type="spellStart"/>
            <w:r w:rsidRPr="008E6588">
              <w:rPr>
                <w:rFonts w:ascii="Arial Narrow" w:hAnsi="Arial Narrow"/>
                <w:sz w:val="20"/>
                <w:szCs w:val="20"/>
              </w:rPr>
              <w:t>i</w:t>
            </w:r>
            <w:proofErr w:type="spellEnd"/>
            <w:r w:rsidRPr="008E6588">
              <w:rPr>
                <w:rFonts w:ascii="Arial Narrow" w:hAnsi="Arial Narrow"/>
                <w:sz w:val="20"/>
                <w:szCs w:val="20"/>
              </w:rPr>
              <w:t>) respiratory physician, (ii) clinical immunologist, (iii) allergist, (iv) general physician experienced in the management of patients with severe asthma</w:t>
            </w:r>
          </w:p>
        </w:tc>
      </w:tr>
      <w:tr w:rsidR="00EB3A92" w:rsidRPr="008E6588" w14:paraId="227D1853"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6DCDF" w14:textId="3F9580FE"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3417AE"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2CBD3AB1"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ADEC7" w14:textId="65826F35"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E13BBB"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Patient must be under the care of the same physician for at least 6 months; or</w:t>
            </w:r>
          </w:p>
        </w:tc>
      </w:tr>
      <w:tr w:rsidR="00EB3A92" w:rsidRPr="008E6588" w14:paraId="5CB87F33"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17642" w14:textId="57F12369"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A2B9A2"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Patient must have been diagnosed by a multidisciplinary severe asthma clinic team</w:t>
            </w:r>
          </w:p>
        </w:tc>
      </w:tr>
      <w:tr w:rsidR="00EB3A92" w:rsidRPr="008E6588" w14:paraId="27082A48"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4B167" w14:textId="77777777"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468925"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AND</w:t>
            </w:r>
          </w:p>
        </w:tc>
      </w:tr>
      <w:tr w:rsidR="00EB3A92" w:rsidRPr="008E6588" w14:paraId="33B64F15"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ADDD3" w14:textId="58E86735"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2CE767"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66F4635E"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4AB6C" w14:textId="66CC43F4"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31436B"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Patient must have received prior PBS-subsidised treatment with a biological medicine for severe asthma in this treatment cycle</w:t>
            </w:r>
          </w:p>
        </w:tc>
      </w:tr>
      <w:tr w:rsidR="00EB3A92" w:rsidRPr="008E6588" w14:paraId="570F26C8"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504F5" w14:textId="77777777"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EC15DB"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AND</w:t>
            </w:r>
          </w:p>
        </w:tc>
      </w:tr>
      <w:tr w:rsidR="00EB3A92" w:rsidRPr="008E6588" w14:paraId="459623E1"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FB7A5" w14:textId="4557D077"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4531D9"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3BFDE0DF"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B449C" w14:textId="54E5437D"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B3CE4A"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Patient must not have failed, or ceased to respond to, PBS-subsidised treatment with this drug for severe asthma during the current treatment cycle</w:t>
            </w:r>
          </w:p>
        </w:tc>
      </w:tr>
      <w:tr w:rsidR="00EB3A92" w:rsidRPr="008E6588" w14:paraId="3AE6FBFB"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8ABBF" w14:textId="77777777"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D184F9"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AND</w:t>
            </w:r>
          </w:p>
        </w:tc>
      </w:tr>
      <w:tr w:rsidR="00EB3A92" w:rsidRPr="008E6588" w14:paraId="31EB2E84"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D9684" w14:textId="7A5AFF94"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6417A1"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42413D35"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44C2E" w14:textId="100BC38F"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CB4C76"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Patient must have past or current evidence of atopy, documented by skin prick testing or an in vitro measure of specific IgE in the past 12 months or in the 12 months prior to initiating PBS-subsidised treatment with a biological medicine for severe asthma</w:t>
            </w:r>
          </w:p>
        </w:tc>
      </w:tr>
      <w:tr w:rsidR="00EB3A92" w:rsidRPr="008E6588" w14:paraId="5656A138"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5FB49" w14:textId="77777777"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1601FA"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AND</w:t>
            </w:r>
          </w:p>
        </w:tc>
      </w:tr>
      <w:tr w:rsidR="00EB3A92" w:rsidRPr="008E6588" w14:paraId="2859A63E"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3D389" w14:textId="2E5A02EB"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8701B6"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794887E3"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B6D92" w14:textId="4E2EAD2A"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B733BB"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Patient must have total serum human immunoglobulin E of at least 30 IU/mL, measured no more than 12 months prior to initiating PBS-subsidised treatment with a biological medicine for severe asthma</w:t>
            </w:r>
          </w:p>
        </w:tc>
      </w:tr>
      <w:tr w:rsidR="00EB3A92" w:rsidRPr="008E6588" w14:paraId="621FB0ED"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21283" w14:textId="77777777"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DD1FF3"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AND</w:t>
            </w:r>
          </w:p>
        </w:tc>
      </w:tr>
      <w:tr w:rsidR="00EB3A92" w:rsidRPr="008E6588" w14:paraId="46B18A38"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3537A" w14:textId="6FB5FC25"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367849"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08E6B346"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0704B" w14:textId="33971A1E"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B0C0F1"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Patient must not receive more than 32 weeks of treatment under this restriction</w:t>
            </w:r>
          </w:p>
        </w:tc>
      </w:tr>
      <w:tr w:rsidR="00EB3A92" w:rsidRPr="008E6588" w14:paraId="63FBB566"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8301E" w14:textId="77777777"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DA9E67"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AND</w:t>
            </w:r>
          </w:p>
        </w:tc>
      </w:tr>
      <w:tr w:rsidR="00EB3A92" w:rsidRPr="008E6588" w14:paraId="04DAE885"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AFE0B" w14:textId="46D1C258"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A0CCBB"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Clinical criteria:</w:t>
            </w:r>
          </w:p>
        </w:tc>
      </w:tr>
      <w:tr w:rsidR="00EB3A92" w:rsidRPr="008E6588" w14:paraId="7FBC525A"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6EDD6" w14:textId="781994D0"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AF1B6F"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The treatment must not be used in combination with and within 4 weeks of another PBS-subsidised biological medicine prescribed for severe asthma</w:t>
            </w:r>
          </w:p>
        </w:tc>
      </w:tr>
      <w:tr w:rsidR="00EB3A92" w:rsidRPr="008E6588" w14:paraId="17D556B5"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B04F83" w14:textId="086EF085"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E74881"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Population criteria:</w:t>
            </w:r>
          </w:p>
        </w:tc>
      </w:tr>
      <w:tr w:rsidR="00EB3A92" w:rsidRPr="008E6588" w14:paraId="5F708D30"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C090F" w14:textId="230DC2A9"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A48434"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Patient must be aged 12 years or older</w:t>
            </w:r>
          </w:p>
        </w:tc>
      </w:tr>
      <w:tr w:rsidR="00EB3A92" w:rsidRPr="008E6588" w14:paraId="74FF9283"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56385" w14:textId="61F1848A"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27D38A"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Prescribing Instructions:</w:t>
            </w:r>
          </w:p>
          <w:p w14:paraId="54EB101A"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An application for a patient who has received PBS-subsidised biological medicine treatment for this condition who wishes to change therapy to this biological medicine, must be accompanied by the results of an ACQ-5 assessment of the patient's most recent course of PBS-subsidised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p>
          <w:p w14:paraId="58D58D69"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An ACQ-5 assessment of the patient may be made at the time of application for treatment (to establish a new baseline score</w:t>
            </w:r>
            <w:proofErr w:type="gramStart"/>
            <w:r w:rsidRPr="008E6588">
              <w:rPr>
                <w:rFonts w:ascii="Arial Narrow" w:hAnsi="Arial Narrow"/>
                <w:sz w:val="20"/>
                <w:szCs w:val="20"/>
              </w:rPr>
              <w:t>), but</w:t>
            </w:r>
            <w:proofErr w:type="gramEnd"/>
            <w:r w:rsidRPr="008E6588">
              <w:rPr>
                <w:rFonts w:ascii="Arial Narrow" w:hAnsi="Arial Narrow"/>
                <w:sz w:val="20"/>
                <w:szCs w:val="20"/>
              </w:rPr>
              <w:t xml:space="preserve"> should be made again around 28 weeks after the first PBS-subsidised dose of this biological medicine under this restriction so that there is adequate time for a response to be demonstrated and for the application for the first continuing therapy to be processed.</w:t>
            </w:r>
          </w:p>
          <w:p w14:paraId="139ED86D"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This assessment, which will be used to determine eligibility for the first continuing treatment, should be conducted within 4 weeks of the last dose of biological medicine. Where a response assessment is not undertaken and provided, the patient will be deemed to have failed to respond to treatment with this biological medicine.</w:t>
            </w:r>
          </w:p>
          <w:p w14:paraId="4FE19AEC"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At the time of the authority application, medical practitioners should request an appropriate maximum quantity based on IgE level and body weight (refer to the TGA-approved Product Information) to be administered every 2 to 4 weeks and up to 7 repeats to provide for an initial course sufficient for up to 32 weeks of therapy.</w:t>
            </w:r>
          </w:p>
          <w:p w14:paraId="1D013AF6"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A multidisciplinary severe asthma clinic team comprises of:</w:t>
            </w:r>
          </w:p>
          <w:p w14:paraId="533FA012"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w:t>
            </w:r>
            <w:proofErr w:type="spellStart"/>
            <w:r w:rsidRPr="008E6588">
              <w:rPr>
                <w:rFonts w:ascii="Arial Narrow" w:hAnsi="Arial Narrow"/>
                <w:sz w:val="20"/>
                <w:szCs w:val="20"/>
              </w:rPr>
              <w:t>i</w:t>
            </w:r>
            <w:proofErr w:type="spellEnd"/>
            <w:r w:rsidRPr="008E6588">
              <w:rPr>
                <w:rFonts w:ascii="Arial Narrow" w:hAnsi="Arial Narrow"/>
                <w:sz w:val="20"/>
                <w:szCs w:val="20"/>
              </w:rPr>
              <w:t>) A respiratory physician; and</w:t>
            </w:r>
          </w:p>
          <w:p w14:paraId="4AECAEED" w14:textId="77777777" w:rsidR="00EB3A92" w:rsidRPr="008E6588" w:rsidRDefault="00EB3A92" w:rsidP="00836DB5">
            <w:pPr>
              <w:rPr>
                <w:rFonts w:ascii="Arial Narrow" w:hAnsi="Arial Narrow"/>
                <w:b/>
                <w:bCs/>
                <w:sz w:val="20"/>
                <w:szCs w:val="20"/>
              </w:rPr>
            </w:pPr>
            <w:r w:rsidRPr="008E6588">
              <w:rPr>
                <w:rFonts w:ascii="Arial Narrow" w:hAnsi="Arial Narrow"/>
                <w:sz w:val="20"/>
                <w:szCs w:val="20"/>
              </w:rPr>
              <w:t>(ii) A pharmacist, nurse or asthma educator.</w:t>
            </w:r>
          </w:p>
        </w:tc>
      </w:tr>
      <w:tr w:rsidR="00EB3A92" w:rsidRPr="008E6588" w14:paraId="6FCACD88"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E0877" w14:textId="798176D6"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E78B4E"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Prescribing Instructions:</w:t>
            </w:r>
          </w:p>
          <w:p w14:paraId="5FD81383"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The authority application must be made in writing and must include:</w:t>
            </w:r>
          </w:p>
          <w:p w14:paraId="7F71832B"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(1) details of the proposed prescription; and</w:t>
            </w:r>
          </w:p>
          <w:p w14:paraId="40C20F1E" w14:textId="77777777" w:rsidR="00EB3A92" w:rsidRPr="008E6588" w:rsidRDefault="00EB3A92" w:rsidP="00836DB5">
            <w:pPr>
              <w:rPr>
                <w:rFonts w:ascii="Arial Narrow" w:hAnsi="Arial Narrow"/>
                <w:b/>
                <w:bCs/>
                <w:sz w:val="20"/>
                <w:szCs w:val="20"/>
              </w:rPr>
            </w:pPr>
            <w:r w:rsidRPr="008E6588">
              <w:rPr>
                <w:rFonts w:ascii="Arial Narrow" w:hAnsi="Arial Narrow"/>
                <w:sz w:val="20"/>
                <w:szCs w:val="20"/>
              </w:rPr>
              <w:t>(2) a completed authority application form relevant to the indication and treatment phase (the latest version is located on the website specified in the Administrative Advice).</w:t>
            </w:r>
          </w:p>
        </w:tc>
      </w:tr>
      <w:tr w:rsidR="00EB3A92" w:rsidRPr="008E6588" w14:paraId="43B58D38" w14:textId="77777777" w:rsidTr="002A4CA6">
        <w:tblPrEx>
          <w:tblCellMar>
            <w:top w:w="15" w:type="dxa"/>
            <w:bottom w:w="15" w:type="dxa"/>
          </w:tblCellMar>
          <w:tblLook w:val="04A0" w:firstRow="1" w:lastRow="0" w:firstColumn="1" w:lastColumn="0" w:noHBand="0" w:noVBand="1"/>
        </w:tblPrEx>
        <w:trPr>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BE03A" w14:textId="7A10631B" w:rsidR="00EB3A92" w:rsidRPr="008E6588" w:rsidRDefault="00EB3A92" w:rsidP="00836DB5">
            <w:pPr>
              <w:jc w:val="center"/>
              <w:rPr>
                <w:rFonts w:ascii="Arial Narrow" w:hAnsi="Arial Narrow"/>
                <w:sz w:val="20"/>
                <w:szCs w:val="20"/>
              </w:rPr>
            </w:pPr>
          </w:p>
        </w:tc>
        <w:tc>
          <w:tcPr>
            <w:tcW w:w="42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15FACB" w14:textId="77777777" w:rsidR="00EB3A92" w:rsidRPr="008E6588" w:rsidRDefault="00EB3A92" w:rsidP="00836DB5">
            <w:pPr>
              <w:rPr>
                <w:rFonts w:ascii="Arial Narrow" w:hAnsi="Arial Narrow"/>
                <w:b/>
                <w:bCs/>
                <w:sz w:val="20"/>
                <w:szCs w:val="20"/>
              </w:rPr>
            </w:pPr>
            <w:r w:rsidRPr="008E6588">
              <w:rPr>
                <w:rFonts w:ascii="Arial Narrow" w:hAnsi="Arial Narrow"/>
                <w:b/>
                <w:bCs/>
                <w:sz w:val="20"/>
                <w:szCs w:val="20"/>
              </w:rPr>
              <w:t>Prescribing Instructions:</w:t>
            </w:r>
          </w:p>
          <w:p w14:paraId="0C4322E7"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The following must be provided at the time of application and documented in the patient's medical records:</w:t>
            </w:r>
          </w:p>
          <w:p w14:paraId="069EB3A4"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(a) Asthma Control Questionnaire (ACQ-5 item version) score (where a new baseline is being submitted or where the patient has responded to prior treatment); and</w:t>
            </w:r>
          </w:p>
          <w:p w14:paraId="115E4524"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(b) details (date and duration of treatment) of prior biological medicine treatment; and</w:t>
            </w:r>
          </w:p>
          <w:p w14:paraId="688F3025"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(c) the IgE results and date; and</w:t>
            </w:r>
          </w:p>
          <w:p w14:paraId="5836F2E0" w14:textId="77777777" w:rsidR="00EB3A92" w:rsidRPr="008E6588" w:rsidRDefault="00EB3A92" w:rsidP="00836DB5">
            <w:pPr>
              <w:rPr>
                <w:rFonts w:ascii="Arial Narrow" w:hAnsi="Arial Narrow"/>
                <w:sz w:val="20"/>
                <w:szCs w:val="20"/>
              </w:rPr>
            </w:pPr>
            <w:r w:rsidRPr="008E6588">
              <w:rPr>
                <w:rFonts w:ascii="Arial Narrow" w:hAnsi="Arial Narrow"/>
                <w:sz w:val="20"/>
                <w:szCs w:val="20"/>
              </w:rPr>
              <w:t>(d) if applicable, the dose of the maintenance oral corticosteroid (where the response criteria or baseline is based on corticosteroid dose); and</w:t>
            </w:r>
          </w:p>
          <w:p w14:paraId="4F1069BE" w14:textId="77777777" w:rsidR="00EB3A92" w:rsidRPr="008E6588" w:rsidRDefault="00EB3A92" w:rsidP="00836DB5">
            <w:pPr>
              <w:rPr>
                <w:rFonts w:ascii="Arial Narrow" w:hAnsi="Arial Narrow"/>
                <w:b/>
                <w:bCs/>
                <w:sz w:val="20"/>
                <w:szCs w:val="20"/>
              </w:rPr>
            </w:pPr>
            <w:r w:rsidRPr="008E6588">
              <w:rPr>
                <w:rFonts w:ascii="Arial Narrow" w:hAnsi="Arial Narrow"/>
                <w:sz w:val="20"/>
                <w:szCs w:val="20"/>
              </w:rPr>
              <w:t>(e) the reason for switching therapy (e.g. failure of prior therapy, partial response to prior therapy, adverse event to prior therapy).</w:t>
            </w:r>
          </w:p>
        </w:tc>
      </w:tr>
    </w:tbl>
    <w:p w14:paraId="1612BADE" w14:textId="06BCB422" w:rsidR="00EB1567" w:rsidRDefault="00EB1567">
      <w:pPr>
        <w:rPr>
          <w:rFonts w:ascii="Arial Narrow" w:hAnsi="Arial Narrow"/>
          <w:sz w:val="20"/>
          <w:szCs w:val="20"/>
        </w:rPr>
      </w:pPr>
    </w:p>
    <w:p w14:paraId="10572976" w14:textId="77777777" w:rsidR="00EB1567" w:rsidRDefault="00EB1567">
      <w:pPr>
        <w:jc w:val="left"/>
        <w:rPr>
          <w:rFonts w:ascii="Arial Narrow" w:hAnsi="Arial Narrow"/>
          <w:sz w:val="20"/>
          <w:szCs w:val="20"/>
        </w:rPr>
      </w:pPr>
      <w:r>
        <w:rPr>
          <w:rFonts w:ascii="Arial Narrow" w:hAnsi="Arial Narrow"/>
          <w:sz w:val="20"/>
          <w:szCs w:val="20"/>
        </w:rPr>
        <w:br w:type="page"/>
      </w:r>
    </w:p>
    <w:p w14:paraId="42D6B3D0" w14:textId="4CDCC933" w:rsidR="0000165E" w:rsidRPr="00EB1567" w:rsidRDefault="0000165E" w:rsidP="00EB1567">
      <w:pPr>
        <w:pStyle w:val="4-SubsectionHeading"/>
      </w:pPr>
      <w:r w:rsidRPr="00EB1567">
        <w:lastRenderedPageBreak/>
        <w:t>Uncontrolled severe asthma - Continuing treatment</w:t>
      </w:r>
    </w:p>
    <w:tbl>
      <w:tblPr>
        <w:tblW w:w="499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commended listing"/>
        <w:tblDescription w:val="Uncontrolled severe asthma - continuing treatment &#10;omalizumab 75 mg/0.5 mL injection, 0.5 mL syringe - item code 11835X/ Public&#10;omalizumab 75 mg/0.5 mL injection, 0.5 mL syringe - item code 11840E/ Private&#10;omalizumab 75 mg/0.5 mL injection, 0.5 mL pen device - NEW item / Public&#10;omalizumab 75 mg/0.5 mL injection, 0.5 mL pen device - NEW item / Private&#10;"/>
      </w:tblPr>
      <w:tblGrid>
        <w:gridCol w:w="563"/>
        <w:gridCol w:w="710"/>
        <w:gridCol w:w="3110"/>
        <w:gridCol w:w="993"/>
        <w:gridCol w:w="993"/>
        <w:gridCol w:w="993"/>
        <w:gridCol w:w="707"/>
        <w:gridCol w:w="945"/>
      </w:tblGrid>
      <w:tr w:rsidR="00AF1FF5" w:rsidRPr="008E6588" w14:paraId="328100DE" w14:textId="77777777" w:rsidTr="0063273D">
        <w:trPr>
          <w:cantSplit/>
          <w:trHeight w:val="20"/>
        </w:trPr>
        <w:tc>
          <w:tcPr>
            <w:tcW w:w="2431" w:type="pct"/>
            <w:gridSpan w:val="3"/>
            <w:vAlign w:val="center"/>
          </w:tcPr>
          <w:p w14:paraId="1F9C00CA" w14:textId="77777777" w:rsidR="004164CF" w:rsidRPr="008E6588" w:rsidRDefault="004164CF" w:rsidP="00160DF3">
            <w:pPr>
              <w:keepLines/>
              <w:jc w:val="left"/>
              <w:rPr>
                <w:rFonts w:ascii="Arial Narrow" w:hAnsi="Arial Narrow" w:cs="Arial"/>
                <w:b/>
                <w:bCs/>
                <w:sz w:val="20"/>
                <w:szCs w:val="20"/>
              </w:rPr>
            </w:pPr>
            <w:r w:rsidRPr="008E6588">
              <w:rPr>
                <w:rFonts w:ascii="Arial Narrow" w:hAnsi="Arial Narrow" w:cs="Arial"/>
                <w:b/>
                <w:bCs/>
                <w:sz w:val="20"/>
                <w:szCs w:val="20"/>
              </w:rPr>
              <w:t>MEDICINAL PRODUCT</w:t>
            </w:r>
          </w:p>
          <w:p w14:paraId="3ED70406" w14:textId="77777777" w:rsidR="004164CF" w:rsidRPr="008E6588" w:rsidRDefault="004164CF" w:rsidP="00160DF3">
            <w:pPr>
              <w:keepLines/>
              <w:jc w:val="left"/>
              <w:rPr>
                <w:rFonts w:ascii="Arial Narrow" w:hAnsi="Arial Narrow" w:cs="Arial"/>
                <w:b/>
                <w:bCs/>
                <w:sz w:val="20"/>
                <w:szCs w:val="20"/>
              </w:rPr>
            </w:pPr>
            <w:r w:rsidRPr="008E6588">
              <w:rPr>
                <w:rFonts w:ascii="Arial Narrow" w:hAnsi="Arial Narrow" w:cs="Arial"/>
                <w:b/>
                <w:bCs/>
                <w:sz w:val="20"/>
                <w:szCs w:val="20"/>
              </w:rPr>
              <w:t>medicinal product pack</w:t>
            </w:r>
          </w:p>
        </w:tc>
        <w:tc>
          <w:tcPr>
            <w:tcW w:w="551" w:type="pct"/>
            <w:vAlign w:val="center"/>
          </w:tcPr>
          <w:p w14:paraId="59C22E53" w14:textId="77777777" w:rsidR="004164CF" w:rsidRPr="008E6588" w:rsidRDefault="004164CF" w:rsidP="00160DF3">
            <w:pPr>
              <w:keepLines/>
              <w:jc w:val="left"/>
              <w:rPr>
                <w:rFonts w:ascii="Arial Narrow" w:hAnsi="Arial Narrow" w:cs="Arial"/>
                <w:b/>
                <w:bCs/>
                <w:sz w:val="20"/>
                <w:szCs w:val="20"/>
              </w:rPr>
            </w:pPr>
            <w:r w:rsidRPr="008E6588">
              <w:rPr>
                <w:rFonts w:ascii="Arial Narrow" w:hAnsi="Arial Narrow" w:cs="Arial"/>
                <w:b/>
                <w:bCs/>
                <w:sz w:val="20"/>
                <w:szCs w:val="20"/>
              </w:rPr>
              <w:t>PBS item code</w:t>
            </w:r>
          </w:p>
        </w:tc>
        <w:tc>
          <w:tcPr>
            <w:tcW w:w="551" w:type="pct"/>
            <w:vAlign w:val="center"/>
          </w:tcPr>
          <w:p w14:paraId="0977FF52" w14:textId="77777777" w:rsidR="004164CF" w:rsidRPr="008E6588" w:rsidRDefault="004164CF" w:rsidP="00160DF3">
            <w:pPr>
              <w:keepLines/>
              <w:jc w:val="left"/>
              <w:rPr>
                <w:rFonts w:ascii="Arial Narrow" w:hAnsi="Arial Narrow" w:cs="Arial"/>
                <w:b/>
                <w:bCs/>
                <w:sz w:val="20"/>
                <w:szCs w:val="20"/>
              </w:rPr>
            </w:pPr>
            <w:r w:rsidRPr="008E6588">
              <w:rPr>
                <w:rFonts w:ascii="Arial Narrow" w:hAnsi="Arial Narrow" w:cs="Arial"/>
                <w:b/>
                <w:bCs/>
                <w:sz w:val="20"/>
                <w:szCs w:val="20"/>
              </w:rPr>
              <w:t>Max. qty packs</w:t>
            </w:r>
          </w:p>
        </w:tc>
        <w:tc>
          <w:tcPr>
            <w:tcW w:w="551" w:type="pct"/>
            <w:vAlign w:val="center"/>
          </w:tcPr>
          <w:p w14:paraId="5B8AA61C" w14:textId="77777777" w:rsidR="004164CF" w:rsidRPr="008E6588" w:rsidRDefault="004164CF" w:rsidP="00160DF3">
            <w:pPr>
              <w:keepLines/>
              <w:jc w:val="left"/>
              <w:rPr>
                <w:rFonts w:ascii="Arial Narrow" w:hAnsi="Arial Narrow" w:cs="Arial"/>
                <w:b/>
                <w:bCs/>
                <w:sz w:val="20"/>
                <w:szCs w:val="20"/>
              </w:rPr>
            </w:pPr>
            <w:r w:rsidRPr="008E6588">
              <w:rPr>
                <w:rFonts w:ascii="Arial Narrow" w:hAnsi="Arial Narrow" w:cs="Arial"/>
                <w:b/>
                <w:bCs/>
                <w:sz w:val="20"/>
                <w:szCs w:val="20"/>
              </w:rPr>
              <w:t>Max. qty units</w:t>
            </w:r>
          </w:p>
        </w:tc>
        <w:tc>
          <w:tcPr>
            <w:tcW w:w="392" w:type="pct"/>
            <w:vAlign w:val="center"/>
          </w:tcPr>
          <w:p w14:paraId="71135849" w14:textId="77777777" w:rsidR="004164CF" w:rsidRPr="008E6588" w:rsidRDefault="004164CF" w:rsidP="00160DF3">
            <w:pPr>
              <w:keepLines/>
              <w:jc w:val="left"/>
              <w:rPr>
                <w:rFonts w:ascii="Arial Narrow" w:hAnsi="Arial Narrow" w:cs="Arial"/>
                <w:b/>
                <w:bCs/>
                <w:sz w:val="20"/>
                <w:szCs w:val="20"/>
              </w:rPr>
            </w:pPr>
            <w:proofErr w:type="gramStart"/>
            <w:r w:rsidRPr="008E6588">
              <w:rPr>
                <w:rFonts w:ascii="Arial Narrow" w:hAnsi="Arial Narrow" w:cs="Arial"/>
                <w:b/>
                <w:bCs/>
                <w:sz w:val="20"/>
                <w:szCs w:val="20"/>
              </w:rPr>
              <w:t>№.of</w:t>
            </w:r>
            <w:proofErr w:type="gramEnd"/>
          </w:p>
          <w:p w14:paraId="0E2ED9BD" w14:textId="77777777" w:rsidR="004164CF" w:rsidRPr="008E6588" w:rsidRDefault="004164CF" w:rsidP="00160DF3">
            <w:pPr>
              <w:keepLines/>
              <w:jc w:val="left"/>
              <w:rPr>
                <w:rFonts w:ascii="Arial Narrow" w:hAnsi="Arial Narrow" w:cs="Arial"/>
                <w:b/>
                <w:bCs/>
                <w:sz w:val="20"/>
                <w:szCs w:val="20"/>
              </w:rPr>
            </w:pPr>
            <w:r w:rsidRPr="008E6588">
              <w:rPr>
                <w:rFonts w:ascii="Arial Narrow" w:hAnsi="Arial Narrow" w:cs="Arial"/>
                <w:b/>
                <w:bCs/>
                <w:sz w:val="20"/>
                <w:szCs w:val="20"/>
              </w:rPr>
              <w:t>Rpts</w:t>
            </w:r>
          </w:p>
        </w:tc>
        <w:tc>
          <w:tcPr>
            <w:tcW w:w="524" w:type="pct"/>
            <w:vAlign w:val="center"/>
          </w:tcPr>
          <w:p w14:paraId="3663ECD2" w14:textId="77777777" w:rsidR="004164CF" w:rsidRPr="008E6588" w:rsidRDefault="004164CF" w:rsidP="00160DF3">
            <w:pPr>
              <w:keepLines/>
              <w:jc w:val="left"/>
              <w:rPr>
                <w:rFonts w:ascii="Arial Narrow" w:hAnsi="Arial Narrow" w:cs="Arial"/>
                <w:b/>
                <w:bCs/>
                <w:sz w:val="20"/>
                <w:szCs w:val="20"/>
              </w:rPr>
            </w:pPr>
            <w:r w:rsidRPr="008E6588">
              <w:rPr>
                <w:rFonts w:ascii="Arial Narrow" w:hAnsi="Arial Narrow" w:cs="Arial"/>
                <w:b/>
                <w:bCs/>
                <w:sz w:val="20"/>
                <w:szCs w:val="20"/>
              </w:rPr>
              <w:t>Available brands</w:t>
            </w:r>
          </w:p>
        </w:tc>
      </w:tr>
      <w:tr w:rsidR="004164CF" w:rsidRPr="008E6588" w14:paraId="3586CB23" w14:textId="77777777" w:rsidTr="00AD7802">
        <w:trPr>
          <w:cantSplit/>
          <w:trHeight w:val="20"/>
        </w:trPr>
        <w:tc>
          <w:tcPr>
            <w:tcW w:w="5000" w:type="pct"/>
            <w:gridSpan w:val="8"/>
            <w:vAlign w:val="center"/>
          </w:tcPr>
          <w:p w14:paraId="1A0B108E" w14:textId="77777777" w:rsidR="004164CF" w:rsidRPr="008E6588" w:rsidRDefault="004164CF" w:rsidP="00160DF3">
            <w:pPr>
              <w:keepLines/>
              <w:jc w:val="left"/>
              <w:rPr>
                <w:rFonts w:ascii="Arial Narrow" w:hAnsi="Arial Narrow" w:cs="Arial"/>
                <w:sz w:val="20"/>
                <w:szCs w:val="20"/>
              </w:rPr>
            </w:pPr>
            <w:r w:rsidRPr="008E6588">
              <w:rPr>
                <w:rFonts w:ascii="Arial Narrow" w:hAnsi="Arial Narrow" w:cs="Arial"/>
                <w:sz w:val="20"/>
                <w:szCs w:val="20"/>
              </w:rPr>
              <w:t>OMALIZUMAB</w:t>
            </w:r>
          </w:p>
        </w:tc>
      </w:tr>
      <w:tr w:rsidR="0000165E" w:rsidRPr="008E6588" w14:paraId="39BB5283" w14:textId="77777777" w:rsidTr="0000165E">
        <w:trPr>
          <w:cantSplit/>
          <w:trHeight w:val="20"/>
        </w:trPr>
        <w:tc>
          <w:tcPr>
            <w:tcW w:w="2431" w:type="pct"/>
            <w:gridSpan w:val="3"/>
            <w:vAlign w:val="center"/>
          </w:tcPr>
          <w:p w14:paraId="0F2BD65C" w14:textId="77777777" w:rsidR="0000165E" w:rsidRPr="008E6588" w:rsidRDefault="0000165E" w:rsidP="00160DF3">
            <w:pPr>
              <w:keepLines/>
              <w:jc w:val="left"/>
              <w:rPr>
                <w:rFonts w:ascii="Arial Narrow" w:hAnsi="Arial Narrow" w:cs="Arial"/>
                <w:sz w:val="20"/>
                <w:szCs w:val="20"/>
              </w:rPr>
            </w:pPr>
            <w:r w:rsidRPr="008E6588">
              <w:rPr>
                <w:rFonts w:ascii="Arial Narrow" w:hAnsi="Arial Narrow" w:cs="Arial"/>
                <w:sz w:val="20"/>
                <w:szCs w:val="20"/>
              </w:rPr>
              <w:t>omalizumab 75 mg/0.5 mL injection, 0.5 mL syringe</w:t>
            </w:r>
          </w:p>
        </w:tc>
        <w:tc>
          <w:tcPr>
            <w:tcW w:w="551" w:type="pct"/>
          </w:tcPr>
          <w:p w14:paraId="1FCB3654" w14:textId="77777777" w:rsidR="0000165E" w:rsidRPr="008E6588" w:rsidRDefault="0000165E" w:rsidP="00160DF3">
            <w:pPr>
              <w:keepLines/>
              <w:jc w:val="left"/>
              <w:rPr>
                <w:rFonts w:ascii="Arial Narrow" w:hAnsi="Arial Narrow" w:cs="Arial"/>
                <w:sz w:val="20"/>
                <w:szCs w:val="20"/>
              </w:rPr>
            </w:pPr>
            <w:r w:rsidRPr="008E6588">
              <w:rPr>
                <w:rFonts w:ascii="Arial Narrow" w:hAnsi="Arial Narrow" w:cs="Arial"/>
                <w:sz w:val="20"/>
                <w:szCs w:val="20"/>
              </w:rPr>
              <w:t>11835X/ Public</w:t>
            </w:r>
          </w:p>
        </w:tc>
        <w:tc>
          <w:tcPr>
            <w:tcW w:w="551" w:type="pct"/>
          </w:tcPr>
          <w:p w14:paraId="51F0031D" w14:textId="77777777" w:rsidR="0000165E" w:rsidRPr="008E6588" w:rsidRDefault="0000165E" w:rsidP="00160DF3">
            <w:pPr>
              <w:keepLines/>
              <w:jc w:val="left"/>
              <w:rPr>
                <w:rFonts w:ascii="Arial Narrow" w:hAnsi="Arial Narrow" w:cs="Arial"/>
                <w:sz w:val="20"/>
                <w:szCs w:val="20"/>
              </w:rPr>
            </w:pPr>
            <w:r w:rsidRPr="008E6588">
              <w:rPr>
                <w:rFonts w:ascii="Arial Narrow" w:hAnsi="Arial Narrow" w:cs="Arial"/>
                <w:sz w:val="20"/>
                <w:szCs w:val="20"/>
              </w:rPr>
              <w:t>1</w:t>
            </w:r>
          </w:p>
        </w:tc>
        <w:tc>
          <w:tcPr>
            <w:tcW w:w="551" w:type="pct"/>
          </w:tcPr>
          <w:p w14:paraId="7FB45E20" w14:textId="77777777" w:rsidR="0000165E" w:rsidRPr="008E6588" w:rsidRDefault="0000165E" w:rsidP="00160DF3">
            <w:pPr>
              <w:keepLines/>
              <w:jc w:val="left"/>
              <w:rPr>
                <w:rFonts w:ascii="Arial Narrow" w:hAnsi="Arial Narrow" w:cs="Arial"/>
                <w:sz w:val="20"/>
                <w:szCs w:val="20"/>
              </w:rPr>
            </w:pPr>
            <w:r w:rsidRPr="008E6588">
              <w:rPr>
                <w:rFonts w:ascii="Arial Narrow" w:hAnsi="Arial Narrow" w:cs="Arial"/>
                <w:sz w:val="20"/>
                <w:szCs w:val="20"/>
              </w:rPr>
              <w:t>1</w:t>
            </w:r>
          </w:p>
        </w:tc>
        <w:tc>
          <w:tcPr>
            <w:tcW w:w="392" w:type="pct"/>
          </w:tcPr>
          <w:p w14:paraId="458BF5B9" w14:textId="77777777" w:rsidR="0000165E" w:rsidRPr="008E6588" w:rsidRDefault="0000165E" w:rsidP="00160DF3">
            <w:pPr>
              <w:keepLines/>
              <w:jc w:val="left"/>
              <w:rPr>
                <w:rFonts w:ascii="Arial Narrow" w:hAnsi="Arial Narrow" w:cs="Arial"/>
                <w:sz w:val="20"/>
                <w:szCs w:val="20"/>
              </w:rPr>
            </w:pPr>
            <w:r w:rsidRPr="008E6588">
              <w:rPr>
                <w:rFonts w:ascii="Arial Narrow" w:hAnsi="Arial Narrow" w:cs="Arial"/>
                <w:sz w:val="20"/>
                <w:szCs w:val="20"/>
              </w:rPr>
              <w:t>5</w:t>
            </w:r>
          </w:p>
        </w:tc>
        <w:tc>
          <w:tcPr>
            <w:tcW w:w="524" w:type="pct"/>
            <w:vMerge w:val="restart"/>
          </w:tcPr>
          <w:p w14:paraId="255E9D0A" w14:textId="4CAE7DDE" w:rsidR="0000165E" w:rsidRPr="008E6588" w:rsidRDefault="0000165E" w:rsidP="0000165E">
            <w:pPr>
              <w:keepLines/>
              <w:jc w:val="center"/>
              <w:rPr>
                <w:rFonts w:ascii="Arial Narrow" w:hAnsi="Arial Narrow" w:cs="Arial"/>
                <w:sz w:val="20"/>
                <w:szCs w:val="20"/>
              </w:rPr>
            </w:pPr>
            <w:proofErr w:type="spellStart"/>
            <w:r w:rsidRPr="008E6588">
              <w:rPr>
                <w:rFonts w:ascii="Arial Narrow" w:hAnsi="Arial Narrow"/>
                <w:sz w:val="20"/>
                <w:szCs w:val="20"/>
                <w:vertAlign w:val="superscript"/>
              </w:rPr>
              <w:t>a</w:t>
            </w:r>
            <w:r w:rsidRPr="008E6588">
              <w:rPr>
                <w:rFonts w:ascii="Arial Narrow" w:hAnsi="Arial Narrow" w:cs="Arial"/>
                <w:sz w:val="20"/>
                <w:szCs w:val="20"/>
              </w:rPr>
              <w:t>Xolair</w:t>
            </w:r>
            <w:proofErr w:type="spellEnd"/>
          </w:p>
        </w:tc>
      </w:tr>
      <w:tr w:rsidR="0000165E" w:rsidRPr="008E6588" w14:paraId="6FB48B7D" w14:textId="77777777" w:rsidTr="0063273D">
        <w:trPr>
          <w:cantSplit/>
          <w:trHeight w:val="20"/>
        </w:trPr>
        <w:tc>
          <w:tcPr>
            <w:tcW w:w="2431" w:type="pct"/>
            <w:gridSpan w:val="3"/>
            <w:vAlign w:val="center"/>
          </w:tcPr>
          <w:p w14:paraId="6259492C" w14:textId="77777777" w:rsidR="0000165E" w:rsidRPr="008E6588" w:rsidRDefault="0000165E" w:rsidP="00160DF3">
            <w:pPr>
              <w:keepLines/>
              <w:jc w:val="left"/>
              <w:rPr>
                <w:rFonts w:ascii="Arial Narrow" w:hAnsi="Arial Narrow" w:cs="Arial"/>
                <w:sz w:val="20"/>
                <w:szCs w:val="20"/>
              </w:rPr>
            </w:pPr>
            <w:r w:rsidRPr="008E6588">
              <w:rPr>
                <w:rFonts w:ascii="Arial Narrow" w:hAnsi="Arial Narrow" w:cs="Arial"/>
                <w:sz w:val="20"/>
                <w:szCs w:val="20"/>
              </w:rPr>
              <w:t>omalizumab 75 mg/0.5 mL injection, 0.5 mL syringe</w:t>
            </w:r>
          </w:p>
        </w:tc>
        <w:tc>
          <w:tcPr>
            <w:tcW w:w="551" w:type="pct"/>
          </w:tcPr>
          <w:p w14:paraId="1659182B" w14:textId="77777777" w:rsidR="0000165E" w:rsidRPr="008E6588" w:rsidRDefault="0000165E" w:rsidP="00160DF3">
            <w:pPr>
              <w:keepLines/>
              <w:jc w:val="left"/>
              <w:rPr>
                <w:rFonts w:ascii="Arial Narrow" w:hAnsi="Arial Narrow" w:cs="Arial"/>
                <w:sz w:val="20"/>
                <w:szCs w:val="20"/>
              </w:rPr>
            </w:pPr>
            <w:r w:rsidRPr="008E6588">
              <w:rPr>
                <w:rFonts w:ascii="Arial Narrow" w:hAnsi="Arial Narrow" w:cs="Arial"/>
                <w:sz w:val="20"/>
                <w:szCs w:val="20"/>
              </w:rPr>
              <w:t>11840E/ Private</w:t>
            </w:r>
          </w:p>
        </w:tc>
        <w:tc>
          <w:tcPr>
            <w:tcW w:w="551" w:type="pct"/>
          </w:tcPr>
          <w:p w14:paraId="7300F4C5" w14:textId="77777777" w:rsidR="0000165E" w:rsidRPr="008E6588" w:rsidRDefault="0000165E" w:rsidP="00160DF3">
            <w:pPr>
              <w:keepLines/>
              <w:jc w:val="left"/>
              <w:rPr>
                <w:rFonts w:ascii="Arial Narrow" w:hAnsi="Arial Narrow" w:cs="Arial"/>
                <w:sz w:val="20"/>
                <w:szCs w:val="20"/>
              </w:rPr>
            </w:pPr>
            <w:r w:rsidRPr="008E6588">
              <w:rPr>
                <w:rFonts w:ascii="Arial Narrow" w:hAnsi="Arial Narrow" w:cs="Arial"/>
                <w:sz w:val="20"/>
                <w:szCs w:val="20"/>
              </w:rPr>
              <w:t>1</w:t>
            </w:r>
          </w:p>
        </w:tc>
        <w:tc>
          <w:tcPr>
            <w:tcW w:w="551" w:type="pct"/>
          </w:tcPr>
          <w:p w14:paraId="06BB30E4" w14:textId="77777777" w:rsidR="0000165E" w:rsidRPr="008E6588" w:rsidRDefault="0000165E" w:rsidP="00160DF3">
            <w:pPr>
              <w:keepLines/>
              <w:jc w:val="left"/>
              <w:rPr>
                <w:rFonts w:ascii="Arial Narrow" w:hAnsi="Arial Narrow" w:cs="Arial"/>
                <w:sz w:val="20"/>
                <w:szCs w:val="20"/>
              </w:rPr>
            </w:pPr>
            <w:r w:rsidRPr="008E6588">
              <w:rPr>
                <w:rFonts w:ascii="Arial Narrow" w:hAnsi="Arial Narrow" w:cs="Arial"/>
                <w:sz w:val="20"/>
                <w:szCs w:val="20"/>
              </w:rPr>
              <w:t>1</w:t>
            </w:r>
          </w:p>
        </w:tc>
        <w:tc>
          <w:tcPr>
            <w:tcW w:w="392" w:type="pct"/>
          </w:tcPr>
          <w:p w14:paraId="564F501A" w14:textId="77777777" w:rsidR="0000165E" w:rsidRPr="008E6588" w:rsidRDefault="0000165E" w:rsidP="00160DF3">
            <w:pPr>
              <w:keepLines/>
              <w:jc w:val="left"/>
              <w:rPr>
                <w:rFonts w:ascii="Arial Narrow" w:hAnsi="Arial Narrow" w:cs="Arial"/>
                <w:sz w:val="20"/>
                <w:szCs w:val="20"/>
              </w:rPr>
            </w:pPr>
            <w:r w:rsidRPr="008E6588">
              <w:rPr>
                <w:rFonts w:ascii="Arial Narrow" w:hAnsi="Arial Narrow" w:cs="Arial"/>
                <w:sz w:val="20"/>
                <w:szCs w:val="20"/>
              </w:rPr>
              <w:t>5</w:t>
            </w:r>
          </w:p>
        </w:tc>
        <w:tc>
          <w:tcPr>
            <w:tcW w:w="524" w:type="pct"/>
            <w:vMerge/>
            <w:vAlign w:val="center"/>
          </w:tcPr>
          <w:p w14:paraId="3BC0D4E8" w14:textId="77777777" w:rsidR="0000165E" w:rsidRPr="008E6588" w:rsidRDefault="0000165E" w:rsidP="00160DF3">
            <w:pPr>
              <w:keepLines/>
              <w:jc w:val="left"/>
              <w:rPr>
                <w:rFonts w:ascii="Arial Narrow" w:hAnsi="Arial Narrow" w:cs="Arial"/>
                <w:sz w:val="20"/>
                <w:szCs w:val="20"/>
              </w:rPr>
            </w:pPr>
          </w:p>
        </w:tc>
      </w:tr>
      <w:tr w:rsidR="0000165E" w:rsidRPr="008E6588" w14:paraId="426BE38A" w14:textId="77777777" w:rsidTr="0063273D">
        <w:trPr>
          <w:cantSplit/>
          <w:trHeight w:val="20"/>
        </w:trPr>
        <w:tc>
          <w:tcPr>
            <w:tcW w:w="2431" w:type="pct"/>
            <w:gridSpan w:val="3"/>
            <w:vAlign w:val="center"/>
          </w:tcPr>
          <w:p w14:paraId="7C5837FD" w14:textId="77777777" w:rsidR="0000165E" w:rsidRPr="008E6588" w:rsidRDefault="0000165E" w:rsidP="00160DF3">
            <w:pPr>
              <w:keepLines/>
              <w:jc w:val="left"/>
              <w:rPr>
                <w:rFonts w:ascii="Arial Narrow" w:hAnsi="Arial Narrow" w:cs="Arial"/>
                <w:sz w:val="20"/>
                <w:szCs w:val="20"/>
              </w:rPr>
            </w:pPr>
            <w:r w:rsidRPr="008E6588">
              <w:rPr>
                <w:rFonts w:ascii="Arial Narrow" w:hAnsi="Arial Narrow" w:cs="Arial"/>
                <w:sz w:val="20"/>
                <w:szCs w:val="20"/>
              </w:rPr>
              <w:t>omalizumab 75 mg/0.5 mL injection, 0.5 mL pen device</w:t>
            </w:r>
          </w:p>
        </w:tc>
        <w:tc>
          <w:tcPr>
            <w:tcW w:w="551" w:type="pct"/>
            <w:vAlign w:val="center"/>
          </w:tcPr>
          <w:p w14:paraId="5F68CF3B" w14:textId="1E423E14" w:rsidR="0000165E" w:rsidRPr="008E6588" w:rsidRDefault="0000165E" w:rsidP="00160DF3">
            <w:pPr>
              <w:keepLines/>
              <w:jc w:val="left"/>
              <w:rPr>
                <w:rFonts w:ascii="Arial Narrow" w:hAnsi="Arial Narrow" w:cs="Arial"/>
                <w:sz w:val="20"/>
                <w:szCs w:val="20"/>
              </w:rPr>
            </w:pPr>
            <w:r w:rsidRPr="008E6588">
              <w:rPr>
                <w:rFonts w:ascii="Arial Narrow" w:hAnsi="Arial Narrow" w:cs="Arial"/>
                <w:sz w:val="20"/>
                <w:szCs w:val="20"/>
              </w:rPr>
              <w:t>NEW</w:t>
            </w:r>
            <w:r w:rsidR="000A1050" w:rsidRPr="008E6588">
              <w:rPr>
                <w:rFonts w:ascii="Arial Narrow" w:hAnsi="Arial Narrow" w:cs="Arial"/>
                <w:sz w:val="20"/>
                <w:szCs w:val="20"/>
              </w:rPr>
              <w:t>/ Public</w:t>
            </w:r>
          </w:p>
        </w:tc>
        <w:tc>
          <w:tcPr>
            <w:tcW w:w="551" w:type="pct"/>
          </w:tcPr>
          <w:p w14:paraId="52E3010B" w14:textId="77777777" w:rsidR="0000165E" w:rsidRPr="008E6588" w:rsidRDefault="0000165E" w:rsidP="00160DF3">
            <w:pPr>
              <w:keepLines/>
              <w:jc w:val="left"/>
              <w:rPr>
                <w:rFonts w:ascii="Arial Narrow" w:hAnsi="Arial Narrow" w:cs="Arial"/>
                <w:sz w:val="20"/>
                <w:szCs w:val="20"/>
              </w:rPr>
            </w:pPr>
            <w:r w:rsidRPr="008E6588">
              <w:rPr>
                <w:rFonts w:ascii="Arial Narrow" w:hAnsi="Arial Narrow" w:cs="Arial"/>
                <w:sz w:val="20"/>
                <w:szCs w:val="20"/>
              </w:rPr>
              <w:t>1</w:t>
            </w:r>
          </w:p>
        </w:tc>
        <w:tc>
          <w:tcPr>
            <w:tcW w:w="551" w:type="pct"/>
          </w:tcPr>
          <w:p w14:paraId="69ABF170" w14:textId="77777777" w:rsidR="0000165E" w:rsidRPr="008E6588" w:rsidRDefault="0000165E" w:rsidP="00160DF3">
            <w:pPr>
              <w:keepLines/>
              <w:jc w:val="left"/>
              <w:rPr>
                <w:rFonts w:ascii="Arial Narrow" w:hAnsi="Arial Narrow" w:cs="Arial"/>
                <w:sz w:val="20"/>
                <w:szCs w:val="20"/>
              </w:rPr>
            </w:pPr>
            <w:r w:rsidRPr="008E6588">
              <w:rPr>
                <w:rFonts w:ascii="Arial Narrow" w:hAnsi="Arial Narrow" w:cs="Arial"/>
                <w:sz w:val="20"/>
                <w:szCs w:val="20"/>
              </w:rPr>
              <w:t>1</w:t>
            </w:r>
          </w:p>
        </w:tc>
        <w:tc>
          <w:tcPr>
            <w:tcW w:w="392" w:type="pct"/>
          </w:tcPr>
          <w:p w14:paraId="045A4BDA" w14:textId="77777777" w:rsidR="0000165E" w:rsidRPr="008E6588" w:rsidRDefault="0000165E" w:rsidP="00160DF3">
            <w:pPr>
              <w:keepLines/>
              <w:jc w:val="left"/>
              <w:rPr>
                <w:rFonts w:ascii="Arial Narrow" w:hAnsi="Arial Narrow" w:cs="Arial"/>
                <w:sz w:val="20"/>
                <w:szCs w:val="20"/>
              </w:rPr>
            </w:pPr>
            <w:r w:rsidRPr="008E6588">
              <w:rPr>
                <w:rFonts w:ascii="Arial Narrow" w:hAnsi="Arial Narrow" w:cs="Arial"/>
                <w:sz w:val="20"/>
                <w:szCs w:val="20"/>
              </w:rPr>
              <w:t>5</w:t>
            </w:r>
          </w:p>
        </w:tc>
        <w:tc>
          <w:tcPr>
            <w:tcW w:w="524" w:type="pct"/>
            <w:vMerge/>
            <w:vAlign w:val="center"/>
          </w:tcPr>
          <w:p w14:paraId="171CAED5" w14:textId="77777777" w:rsidR="0000165E" w:rsidRPr="008E6588" w:rsidRDefault="0000165E" w:rsidP="00160DF3">
            <w:pPr>
              <w:keepLines/>
              <w:jc w:val="left"/>
              <w:rPr>
                <w:rFonts w:ascii="Arial Narrow" w:hAnsi="Arial Narrow" w:cs="Arial"/>
                <w:sz w:val="20"/>
                <w:szCs w:val="20"/>
              </w:rPr>
            </w:pPr>
          </w:p>
        </w:tc>
      </w:tr>
      <w:tr w:rsidR="0000165E" w:rsidRPr="008E6588" w14:paraId="0BF89D4D" w14:textId="77777777" w:rsidTr="0063273D">
        <w:trPr>
          <w:cantSplit/>
          <w:trHeight w:val="20"/>
        </w:trPr>
        <w:tc>
          <w:tcPr>
            <w:tcW w:w="2431" w:type="pct"/>
            <w:gridSpan w:val="3"/>
            <w:vAlign w:val="center"/>
          </w:tcPr>
          <w:p w14:paraId="40050DE2" w14:textId="77777777" w:rsidR="0000165E" w:rsidRPr="008E6588" w:rsidRDefault="0000165E" w:rsidP="00160DF3">
            <w:pPr>
              <w:keepLines/>
              <w:jc w:val="left"/>
              <w:rPr>
                <w:rFonts w:ascii="Arial Narrow" w:hAnsi="Arial Narrow" w:cs="Arial"/>
                <w:sz w:val="20"/>
                <w:szCs w:val="20"/>
              </w:rPr>
            </w:pPr>
            <w:r w:rsidRPr="008E6588">
              <w:rPr>
                <w:rFonts w:ascii="Arial Narrow" w:hAnsi="Arial Narrow" w:cs="Arial"/>
                <w:sz w:val="20"/>
                <w:szCs w:val="20"/>
              </w:rPr>
              <w:t>omalizumab 75 mg/0.5 mL injection, 0.5 mL pen device</w:t>
            </w:r>
          </w:p>
        </w:tc>
        <w:tc>
          <w:tcPr>
            <w:tcW w:w="551" w:type="pct"/>
            <w:vAlign w:val="center"/>
          </w:tcPr>
          <w:p w14:paraId="1CF26E65" w14:textId="6893C0D5" w:rsidR="0000165E" w:rsidRPr="008E6588" w:rsidRDefault="0000165E" w:rsidP="00160DF3">
            <w:pPr>
              <w:keepLines/>
              <w:jc w:val="left"/>
              <w:rPr>
                <w:rFonts w:ascii="Arial Narrow" w:hAnsi="Arial Narrow" w:cs="Arial"/>
                <w:sz w:val="20"/>
                <w:szCs w:val="20"/>
              </w:rPr>
            </w:pPr>
            <w:r w:rsidRPr="008E6588">
              <w:rPr>
                <w:rFonts w:ascii="Arial Narrow" w:hAnsi="Arial Narrow" w:cs="Arial"/>
                <w:sz w:val="20"/>
                <w:szCs w:val="20"/>
              </w:rPr>
              <w:t>NEW</w:t>
            </w:r>
            <w:r w:rsidR="000A1050" w:rsidRPr="008E6588">
              <w:rPr>
                <w:rFonts w:ascii="Arial Narrow" w:hAnsi="Arial Narrow" w:cs="Arial"/>
                <w:sz w:val="20"/>
                <w:szCs w:val="20"/>
              </w:rPr>
              <w:t>/ Private</w:t>
            </w:r>
          </w:p>
        </w:tc>
        <w:tc>
          <w:tcPr>
            <w:tcW w:w="551" w:type="pct"/>
          </w:tcPr>
          <w:p w14:paraId="1B81E39F" w14:textId="77777777" w:rsidR="0000165E" w:rsidRPr="008E6588" w:rsidRDefault="0000165E" w:rsidP="00160DF3">
            <w:pPr>
              <w:keepLines/>
              <w:jc w:val="left"/>
              <w:rPr>
                <w:rFonts w:ascii="Arial Narrow" w:hAnsi="Arial Narrow" w:cs="Arial"/>
                <w:sz w:val="20"/>
                <w:szCs w:val="20"/>
              </w:rPr>
            </w:pPr>
            <w:r w:rsidRPr="008E6588">
              <w:rPr>
                <w:rFonts w:ascii="Arial Narrow" w:hAnsi="Arial Narrow" w:cs="Arial"/>
                <w:sz w:val="20"/>
                <w:szCs w:val="20"/>
              </w:rPr>
              <w:t>1</w:t>
            </w:r>
          </w:p>
        </w:tc>
        <w:tc>
          <w:tcPr>
            <w:tcW w:w="551" w:type="pct"/>
          </w:tcPr>
          <w:p w14:paraId="610616D0" w14:textId="77777777" w:rsidR="0000165E" w:rsidRPr="008E6588" w:rsidRDefault="0000165E" w:rsidP="00160DF3">
            <w:pPr>
              <w:keepLines/>
              <w:jc w:val="left"/>
              <w:rPr>
                <w:rFonts w:ascii="Arial Narrow" w:hAnsi="Arial Narrow" w:cs="Arial"/>
                <w:sz w:val="20"/>
                <w:szCs w:val="20"/>
              </w:rPr>
            </w:pPr>
            <w:r w:rsidRPr="008E6588">
              <w:rPr>
                <w:rFonts w:ascii="Arial Narrow" w:hAnsi="Arial Narrow" w:cs="Arial"/>
                <w:sz w:val="20"/>
                <w:szCs w:val="20"/>
              </w:rPr>
              <w:t>1</w:t>
            </w:r>
          </w:p>
        </w:tc>
        <w:tc>
          <w:tcPr>
            <w:tcW w:w="392" w:type="pct"/>
          </w:tcPr>
          <w:p w14:paraId="41A6116A" w14:textId="77777777" w:rsidR="0000165E" w:rsidRPr="008E6588" w:rsidRDefault="0000165E" w:rsidP="00160DF3">
            <w:pPr>
              <w:keepLines/>
              <w:jc w:val="left"/>
              <w:rPr>
                <w:rFonts w:ascii="Arial Narrow" w:hAnsi="Arial Narrow" w:cs="Arial"/>
                <w:sz w:val="20"/>
                <w:szCs w:val="20"/>
              </w:rPr>
            </w:pPr>
            <w:r w:rsidRPr="008E6588">
              <w:rPr>
                <w:rFonts w:ascii="Arial Narrow" w:hAnsi="Arial Narrow" w:cs="Arial"/>
                <w:sz w:val="20"/>
                <w:szCs w:val="20"/>
              </w:rPr>
              <w:t>5</w:t>
            </w:r>
          </w:p>
        </w:tc>
        <w:tc>
          <w:tcPr>
            <w:tcW w:w="524" w:type="pct"/>
            <w:vMerge/>
            <w:vAlign w:val="center"/>
          </w:tcPr>
          <w:p w14:paraId="1AF6DFE9" w14:textId="77777777" w:rsidR="0000165E" w:rsidRPr="008E6588" w:rsidRDefault="0000165E" w:rsidP="00160DF3">
            <w:pPr>
              <w:keepLines/>
              <w:jc w:val="left"/>
              <w:rPr>
                <w:rFonts w:ascii="Arial Narrow" w:hAnsi="Arial Narrow" w:cs="Arial"/>
                <w:sz w:val="20"/>
                <w:szCs w:val="20"/>
              </w:rPr>
            </w:pPr>
          </w:p>
        </w:tc>
      </w:tr>
      <w:tr w:rsidR="004164CF" w:rsidRPr="008E6588" w14:paraId="2042082C" w14:textId="77777777" w:rsidTr="00AD7802">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78E5BAF4" w14:textId="77777777" w:rsidR="004164CF" w:rsidRPr="008E6588" w:rsidRDefault="004164CF" w:rsidP="00160DF3">
            <w:pPr>
              <w:keepLines/>
              <w:jc w:val="left"/>
              <w:rPr>
                <w:rFonts w:ascii="Arial Narrow" w:hAnsi="Arial Narrow" w:cs="Arial"/>
                <w:sz w:val="20"/>
                <w:szCs w:val="20"/>
              </w:rPr>
            </w:pPr>
          </w:p>
        </w:tc>
      </w:tr>
      <w:tr w:rsidR="004164CF" w:rsidRPr="008E6588" w14:paraId="5ABAFF43" w14:textId="77777777" w:rsidTr="00AD7802">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20403842" w14:textId="77777777" w:rsidR="004164CF" w:rsidRPr="008E6588" w:rsidRDefault="004164CF" w:rsidP="00836DB5">
            <w:pPr>
              <w:keepLines/>
              <w:rPr>
                <w:rFonts w:ascii="Arial Narrow" w:hAnsi="Arial Narrow" w:cs="Arial"/>
                <w:b/>
                <w:sz w:val="20"/>
                <w:szCs w:val="20"/>
              </w:rPr>
            </w:pPr>
            <w:r w:rsidRPr="008E6588">
              <w:rPr>
                <w:rFonts w:ascii="Arial Narrow" w:hAnsi="Arial Narrow"/>
                <w:b/>
                <w:sz w:val="20"/>
                <w:szCs w:val="20"/>
              </w:rPr>
              <w:t>Restriction Summary 15379/ Treatment of Concept: 15347</w:t>
            </w:r>
          </w:p>
        </w:tc>
      </w:tr>
      <w:tr w:rsidR="004164CF" w:rsidRPr="008E6588" w14:paraId="2B68A3A7" w14:textId="77777777" w:rsidTr="00FE384D">
        <w:tblPrEx>
          <w:tblCellMar>
            <w:top w:w="15" w:type="dxa"/>
            <w:bottom w:w="15" w:type="dxa"/>
          </w:tblCellMar>
          <w:tblLook w:val="04A0" w:firstRow="1" w:lastRow="0" w:firstColumn="1" w:lastColumn="0" w:noHBand="0" w:noVBand="1"/>
        </w:tblPrEx>
        <w:trPr>
          <w:trHeight w:val="20"/>
        </w:trPr>
        <w:tc>
          <w:tcPr>
            <w:tcW w:w="706" w:type="pct"/>
            <w:gridSpan w:val="2"/>
            <w:vMerge w:val="restart"/>
            <w:tcBorders>
              <w:top w:val="single" w:sz="4" w:space="0" w:color="auto"/>
              <w:left w:val="single" w:sz="4" w:space="0" w:color="auto"/>
              <w:right w:val="single" w:sz="4" w:space="0" w:color="auto"/>
            </w:tcBorders>
          </w:tcPr>
          <w:p w14:paraId="52DF8B86" w14:textId="77777777" w:rsidR="004164CF" w:rsidRPr="008E6588" w:rsidRDefault="004164CF" w:rsidP="00836DB5">
            <w:pPr>
              <w:jc w:val="center"/>
              <w:rPr>
                <w:rFonts w:ascii="Arial Narrow" w:hAnsi="Arial Narrow" w:cs="Arial"/>
                <w:b/>
                <w:sz w:val="20"/>
                <w:szCs w:val="20"/>
              </w:rPr>
            </w:pPr>
            <w:r w:rsidRPr="008E6588">
              <w:rPr>
                <w:rFonts w:ascii="Arial Narrow" w:hAnsi="Arial Narrow" w:cs="Arial"/>
                <w:b/>
                <w:sz w:val="20"/>
                <w:szCs w:val="20"/>
              </w:rPr>
              <w:t xml:space="preserve">Concept ID </w:t>
            </w:r>
            <w:r w:rsidRPr="008E6588">
              <w:rPr>
                <w:rFonts w:ascii="Arial Narrow" w:hAnsi="Arial Narrow" w:cs="Arial"/>
                <w:sz w:val="20"/>
                <w:szCs w:val="20"/>
              </w:rPr>
              <w:t>(for internal Dept. use)</w:t>
            </w:r>
          </w:p>
        </w:tc>
        <w:tc>
          <w:tcPr>
            <w:tcW w:w="4294" w:type="pct"/>
            <w:gridSpan w:val="6"/>
            <w:tcBorders>
              <w:top w:val="single" w:sz="4" w:space="0" w:color="auto"/>
              <w:left w:val="single" w:sz="4" w:space="0" w:color="auto"/>
              <w:bottom w:val="single" w:sz="4" w:space="0" w:color="auto"/>
              <w:right w:val="single" w:sz="4" w:space="0" w:color="auto"/>
            </w:tcBorders>
            <w:vAlign w:val="center"/>
          </w:tcPr>
          <w:p w14:paraId="64F879E1" w14:textId="77777777" w:rsidR="004164CF" w:rsidRPr="008E6588" w:rsidRDefault="004164CF" w:rsidP="00836DB5">
            <w:pPr>
              <w:keepLines/>
              <w:rPr>
                <w:rFonts w:ascii="Arial Narrow" w:hAnsi="Arial Narrow" w:cs="Arial"/>
                <w:sz w:val="20"/>
                <w:szCs w:val="20"/>
              </w:rPr>
            </w:pPr>
            <w:r w:rsidRPr="008E6588">
              <w:rPr>
                <w:rFonts w:ascii="Arial Narrow" w:hAnsi="Arial Narrow" w:cs="Arial"/>
                <w:b/>
                <w:sz w:val="20"/>
                <w:szCs w:val="20"/>
              </w:rPr>
              <w:t>Category / Program:</w:t>
            </w:r>
            <w:r w:rsidRPr="008E6588">
              <w:rPr>
                <w:rFonts w:ascii="Arial Narrow" w:hAnsi="Arial Narrow" w:cs="Arial"/>
                <w:sz w:val="20"/>
                <w:szCs w:val="20"/>
              </w:rPr>
              <w:t xml:space="preserve"> </w:t>
            </w:r>
            <w:r w:rsidRPr="008E6588">
              <w:rPr>
                <w:rFonts w:ascii="Arial Narrow" w:eastAsia="Calibri" w:hAnsi="Arial Narrow" w:cs="Arial"/>
                <w:sz w:val="20"/>
                <w:szCs w:val="20"/>
              </w:rPr>
              <w:t>Section 100 – Highly Specialised Drugs Program – Public (Code HB)</w:t>
            </w:r>
            <w:r w:rsidRPr="008E6588">
              <w:rPr>
                <w:rFonts w:ascii="Arial Narrow" w:eastAsia="Calibri" w:hAnsi="Arial Narrow" w:cs="Arial"/>
                <w:color w:val="FF0000"/>
                <w:sz w:val="20"/>
                <w:szCs w:val="20"/>
              </w:rPr>
              <w:t xml:space="preserve"> </w:t>
            </w:r>
            <w:r w:rsidRPr="008E6588">
              <w:rPr>
                <w:rFonts w:ascii="Arial Narrow" w:eastAsia="Calibri" w:hAnsi="Arial Narrow" w:cs="Arial"/>
                <w:sz w:val="20"/>
                <w:szCs w:val="20"/>
              </w:rPr>
              <w:t>/ Private (Code HS)</w:t>
            </w:r>
          </w:p>
        </w:tc>
      </w:tr>
      <w:tr w:rsidR="004164CF" w:rsidRPr="008E6588" w14:paraId="34010B2A" w14:textId="77777777">
        <w:tblPrEx>
          <w:tblCellMar>
            <w:top w:w="15" w:type="dxa"/>
            <w:bottom w:w="15" w:type="dxa"/>
          </w:tblCellMar>
          <w:tblLook w:val="04A0" w:firstRow="1" w:lastRow="0" w:firstColumn="1" w:lastColumn="0" w:noHBand="0" w:noVBand="1"/>
        </w:tblPrEx>
        <w:trPr>
          <w:trHeight w:val="20"/>
        </w:trPr>
        <w:tc>
          <w:tcPr>
            <w:tcW w:w="706" w:type="pct"/>
            <w:gridSpan w:val="2"/>
            <w:vMerge/>
            <w:tcBorders>
              <w:left w:val="single" w:sz="4" w:space="0" w:color="auto"/>
              <w:right w:val="single" w:sz="4" w:space="0" w:color="auto"/>
            </w:tcBorders>
          </w:tcPr>
          <w:p w14:paraId="685AFB42" w14:textId="77777777" w:rsidR="004164CF" w:rsidRPr="008E6588" w:rsidRDefault="004164CF" w:rsidP="00836DB5">
            <w:pPr>
              <w:rPr>
                <w:rFonts w:ascii="Arial Narrow" w:hAnsi="Arial Narrow" w:cs="Arial"/>
                <w:sz w:val="20"/>
                <w:szCs w:val="20"/>
              </w:rPr>
            </w:pPr>
          </w:p>
        </w:tc>
        <w:tc>
          <w:tcPr>
            <w:tcW w:w="4294" w:type="pct"/>
            <w:gridSpan w:val="6"/>
            <w:tcBorders>
              <w:top w:val="single" w:sz="4" w:space="0" w:color="auto"/>
              <w:left w:val="single" w:sz="4" w:space="0" w:color="auto"/>
              <w:bottom w:val="single" w:sz="4" w:space="0" w:color="auto"/>
              <w:right w:val="single" w:sz="4" w:space="0" w:color="auto"/>
            </w:tcBorders>
            <w:vAlign w:val="center"/>
          </w:tcPr>
          <w:p w14:paraId="0565F8A8" w14:textId="77777777" w:rsidR="004164CF" w:rsidRPr="008E6588" w:rsidRDefault="004164CF" w:rsidP="00836DB5">
            <w:pPr>
              <w:keepLines/>
              <w:rPr>
                <w:rFonts w:ascii="Arial Narrow" w:hAnsi="Arial Narrow" w:cs="Arial"/>
                <w:b/>
                <w:sz w:val="20"/>
                <w:szCs w:val="20"/>
              </w:rPr>
            </w:pPr>
            <w:r w:rsidRPr="008E6588">
              <w:rPr>
                <w:rFonts w:ascii="Arial Narrow" w:hAnsi="Arial Narrow" w:cs="Arial"/>
                <w:b/>
                <w:sz w:val="20"/>
                <w:szCs w:val="20"/>
              </w:rPr>
              <w:t xml:space="preserve">Prescriber type: </w:t>
            </w:r>
            <w:r w:rsidRPr="008E6588">
              <w:rPr>
                <w:rFonts w:ascii="Arial Narrow" w:hAnsi="Arial Narrow" w:cs="Arial"/>
                <w:sz w:val="20"/>
                <w:szCs w:val="20"/>
              </w:rPr>
              <w:fldChar w:fldCharType="begin" w:fldLock="1">
                <w:ffData>
                  <w:name w:val=""/>
                  <w:enabled/>
                  <w:calcOnExit w:val="0"/>
                  <w:checkBox>
                    <w:sizeAuto/>
                    <w:default w:val="1"/>
                  </w:checkBox>
                </w:ffData>
              </w:fldChar>
            </w:r>
            <w:r w:rsidRPr="008E6588">
              <w:rPr>
                <w:rFonts w:ascii="Arial Narrow" w:hAnsi="Arial Narrow" w:cs="Arial"/>
                <w:sz w:val="20"/>
                <w:szCs w:val="20"/>
              </w:rPr>
              <w:instrText xml:space="preserve"> FORMCHECKBOX </w:instrText>
            </w:r>
            <w:r w:rsidRPr="008E6588">
              <w:rPr>
                <w:rFonts w:ascii="Arial Narrow" w:hAnsi="Arial Narrow" w:cs="Arial"/>
                <w:sz w:val="20"/>
                <w:szCs w:val="20"/>
              </w:rPr>
            </w:r>
            <w:r w:rsidRPr="008E6588">
              <w:rPr>
                <w:rFonts w:ascii="Arial Narrow" w:hAnsi="Arial Narrow" w:cs="Arial"/>
                <w:sz w:val="20"/>
                <w:szCs w:val="20"/>
              </w:rPr>
              <w:fldChar w:fldCharType="separate"/>
            </w:r>
            <w:r w:rsidRPr="008E6588">
              <w:rPr>
                <w:rFonts w:ascii="Arial Narrow" w:hAnsi="Arial Narrow" w:cs="Arial"/>
                <w:sz w:val="20"/>
                <w:szCs w:val="20"/>
              </w:rPr>
              <w:fldChar w:fldCharType="end"/>
            </w:r>
            <w:r w:rsidRPr="008E6588">
              <w:rPr>
                <w:rFonts w:ascii="Arial Narrow" w:hAnsi="Arial Narrow" w:cs="Arial"/>
                <w:sz w:val="20"/>
                <w:szCs w:val="20"/>
              </w:rPr>
              <w:t xml:space="preserve">Medical Practitioners </w:t>
            </w:r>
          </w:p>
        </w:tc>
      </w:tr>
      <w:tr w:rsidR="004164CF" w:rsidRPr="008E6588" w14:paraId="3CB7A8A1" w14:textId="77777777">
        <w:tblPrEx>
          <w:tblCellMar>
            <w:top w:w="15" w:type="dxa"/>
            <w:bottom w:w="15" w:type="dxa"/>
          </w:tblCellMar>
          <w:tblLook w:val="04A0" w:firstRow="1" w:lastRow="0" w:firstColumn="1" w:lastColumn="0" w:noHBand="0" w:noVBand="1"/>
        </w:tblPrEx>
        <w:trPr>
          <w:trHeight w:val="20"/>
        </w:trPr>
        <w:tc>
          <w:tcPr>
            <w:tcW w:w="706" w:type="pct"/>
            <w:gridSpan w:val="2"/>
            <w:vMerge/>
            <w:tcBorders>
              <w:left w:val="single" w:sz="4" w:space="0" w:color="auto"/>
              <w:right w:val="single" w:sz="4" w:space="0" w:color="auto"/>
            </w:tcBorders>
          </w:tcPr>
          <w:p w14:paraId="271624B3" w14:textId="77777777" w:rsidR="004164CF" w:rsidRPr="008E6588" w:rsidRDefault="004164CF" w:rsidP="00836DB5">
            <w:pPr>
              <w:rPr>
                <w:rFonts w:ascii="Arial Narrow" w:hAnsi="Arial Narrow" w:cs="Arial"/>
                <w:sz w:val="20"/>
                <w:szCs w:val="20"/>
              </w:rPr>
            </w:pPr>
          </w:p>
        </w:tc>
        <w:tc>
          <w:tcPr>
            <w:tcW w:w="4294" w:type="pct"/>
            <w:gridSpan w:val="6"/>
            <w:tcBorders>
              <w:top w:val="single" w:sz="4" w:space="0" w:color="auto"/>
              <w:left w:val="single" w:sz="4" w:space="0" w:color="auto"/>
              <w:bottom w:val="single" w:sz="4" w:space="0" w:color="auto"/>
              <w:right w:val="single" w:sz="4" w:space="0" w:color="auto"/>
            </w:tcBorders>
            <w:vAlign w:val="center"/>
          </w:tcPr>
          <w:p w14:paraId="178AA3B9" w14:textId="77777777" w:rsidR="004164CF" w:rsidRPr="008E6588" w:rsidRDefault="004164CF" w:rsidP="00836DB5">
            <w:pPr>
              <w:keepLines/>
              <w:rPr>
                <w:rFonts w:ascii="Arial Narrow" w:eastAsia="Calibri" w:hAnsi="Arial Narrow" w:cs="Arial"/>
                <w:color w:val="FF0000"/>
                <w:sz w:val="20"/>
                <w:szCs w:val="20"/>
              </w:rPr>
            </w:pPr>
            <w:r w:rsidRPr="008E6588">
              <w:rPr>
                <w:rFonts w:ascii="Arial Narrow" w:hAnsi="Arial Narrow" w:cs="Arial"/>
                <w:b/>
                <w:sz w:val="20"/>
                <w:szCs w:val="20"/>
              </w:rPr>
              <w:t xml:space="preserve">Restriction type: </w:t>
            </w:r>
            <w:r w:rsidRPr="008E6588">
              <w:rPr>
                <w:rFonts w:ascii="Arial Narrow" w:eastAsia="Calibri" w:hAnsi="Arial Narrow" w:cs="Arial"/>
                <w:sz w:val="20"/>
                <w:szCs w:val="20"/>
              </w:rPr>
              <w:fldChar w:fldCharType="begin" w:fldLock="1">
                <w:ffData>
                  <w:name w:val=""/>
                  <w:enabled/>
                  <w:calcOnExit w:val="0"/>
                  <w:checkBox>
                    <w:sizeAuto/>
                    <w:default w:val="1"/>
                  </w:checkBox>
                </w:ffData>
              </w:fldChar>
            </w:r>
            <w:r w:rsidRPr="008E6588">
              <w:rPr>
                <w:rFonts w:ascii="Arial Narrow" w:eastAsia="Calibri" w:hAnsi="Arial Narrow" w:cs="Arial"/>
                <w:sz w:val="20"/>
                <w:szCs w:val="20"/>
              </w:rPr>
              <w:instrText xml:space="preserve"> FORMCHECKBOX </w:instrText>
            </w:r>
            <w:r w:rsidRPr="008E6588">
              <w:rPr>
                <w:rFonts w:ascii="Arial Narrow" w:eastAsia="Calibri" w:hAnsi="Arial Narrow" w:cs="Arial"/>
                <w:sz w:val="20"/>
                <w:szCs w:val="20"/>
              </w:rPr>
            </w:r>
            <w:r w:rsidRPr="008E6588">
              <w:rPr>
                <w:rFonts w:ascii="Arial Narrow" w:eastAsia="Calibri" w:hAnsi="Arial Narrow" w:cs="Arial"/>
                <w:sz w:val="20"/>
                <w:szCs w:val="20"/>
              </w:rPr>
              <w:fldChar w:fldCharType="separate"/>
            </w:r>
            <w:r w:rsidRPr="008E6588">
              <w:rPr>
                <w:rFonts w:ascii="Arial Narrow" w:eastAsia="Calibri" w:hAnsi="Arial Narrow" w:cs="Arial"/>
                <w:sz w:val="20"/>
                <w:szCs w:val="20"/>
              </w:rPr>
              <w:fldChar w:fldCharType="end"/>
            </w:r>
            <w:r w:rsidRPr="008E6588">
              <w:rPr>
                <w:rFonts w:ascii="Arial Narrow" w:eastAsia="Calibri" w:hAnsi="Arial Narrow" w:cs="Arial"/>
                <w:sz w:val="20"/>
                <w:szCs w:val="20"/>
              </w:rPr>
              <w:t>Authority Required (telephone/online PBS Authorities system)</w:t>
            </w:r>
          </w:p>
        </w:tc>
      </w:tr>
      <w:tr w:rsidR="0020460A" w:rsidRPr="008E6588" w14:paraId="4A0481A6" w14:textId="77777777">
        <w:tblPrEx>
          <w:tblCellMar>
            <w:top w:w="15" w:type="dxa"/>
            <w:bottom w:w="15" w:type="dxa"/>
          </w:tblCellMar>
          <w:tblLook w:val="04A0" w:firstRow="1" w:lastRow="0" w:firstColumn="1" w:lastColumn="0" w:noHBand="0" w:noVBand="1"/>
        </w:tblPrEx>
        <w:trPr>
          <w:trHeight w:val="20"/>
        </w:trPr>
        <w:tc>
          <w:tcPr>
            <w:tcW w:w="706" w:type="pct"/>
            <w:gridSpan w:val="2"/>
            <w:vMerge/>
            <w:tcBorders>
              <w:left w:val="single" w:sz="4" w:space="0" w:color="auto"/>
              <w:right w:val="single" w:sz="4" w:space="0" w:color="auto"/>
            </w:tcBorders>
          </w:tcPr>
          <w:p w14:paraId="7C97B0C0" w14:textId="77777777" w:rsidR="0020460A" w:rsidRPr="008E6588" w:rsidRDefault="0020460A">
            <w:pPr>
              <w:rPr>
                <w:rFonts w:ascii="Arial Narrow" w:hAnsi="Arial Narrow" w:cs="Arial"/>
                <w:sz w:val="20"/>
                <w:szCs w:val="20"/>
              </w:rPr>
            </w:pPr>
          </w:p>
        </w:tc>
        <w:tc>
          <w:tcPr>
            <w:tcW w:w="4294" w:type="pct"/>
            <w:gridSpan w:val="6"/>
            <w:tcBorders>
              <w:top w:val="single" w:sz="4" w:space="0" w:color="auto"/>
              <w:left w:val="single" w:sz="4" w:space="0" w:color="auto"/>
              <w:bottom w:val="single" w:sz="4" w:space="0" w:color="auto"/>
              <w:right w:val="single" w:sz="4" w:space="0" w:color="auto"/>
            </w:tcBorders>
            <w:vAlign w:val="center"/>
          </w:tcPr>
          <w:p w14:paraId="6264A46B" w14:textId="430C5450" w:rsidR="0020460A" w:rsidRPr="008E6588" w:rsidRDefault="0020460A">
            <w:pPr>
              <w:keepLines/>
              <w:rPr>
                <w:rFonts w:ascii="Arial Narrow" w:hAnsi="Arial Narrow" w:cs="Arial"/>
                <w:b/>
                <w:sz w:val="20"/>
                <w:szCs w:val="20"/>
              </w:rPr>
            </w:pPr>
            <w:r w:rsidRPr="008E6588">
              <w:rPr>
                <w:rFonts w:ascii="Arial Narrow" w:hAnsi="Arial Narrow"/>
                <w:b/>
                <w:sz w:val="20"/>
                <w:szCs w:val="20"/>
              </w:rPr>
              <w:t xml:space="preserve">Authority type: </w:t>
            </w:r>
            <w:r w:rsidRPr="008E6588">
              <w:rPr>
                <w:rFonts w:ascii="Arial Narrow" w:eastAsia="Calibri" w:hAnsi="Arial Narrow"/>
                <w:sz w:val="20"/>
                <w:szCs w:val="20"/>
              </w:rPr>
              <w:fldChar w:fldCharType="begin" w:fldLock="1">
                <w:ffData>
                  <w:name w:val=""/>
                  <w:enabled/>
                  <w:calcOnExit w:val="0"/>
                  <w:checkBox>
                    <w:sizeAuto/>
                    <w:default w:val="1"/>
                  </w:checkBox>
                </w:ffData>
              </w:fldChar>
            </w:r>
            <w:r w:rsidRPr="008E6588">
              <w:rPr>
                <w:rFonts w:ascii="Arial Narrow" w:eastAsia="Calibri" w:hAnsi="Arial Narrow"/>
                <w:sz w:val="20"/>
                <w:szCs w:val="20"/>
              </w:rPr>
              <w:instrText xml:space="preserve"> FORMCHECKBOX </w:instrText>
            </w:r>
            <w:r w:rsidRPr="008E6588">
              <w:rPr>
                <w:rFonts w:ascii="Arial Narrow" w:eastAsia="Calibri" w:hAnsi="Arial Narrow"/>
                <w:sz w:val="20"/>
                <w:szCs w:val="20"/>
              </w:rPr>
            </w:r>
            <w:r w:rsidRPr="008E6588">
              <w:rPr>
                <w:rFonts w:ascii="Arial Narrow" w:eastAsia="Calibri" w:hAnsi="Arial Narrow"/>
                <w:sz w:val="20"/>
                <w:szCs w:val="20"/>
              </w:rPr>
              <w:fldChar w:fldCharType="separate"/>
            </w:r>
            <w:r w:rsidRPr="008E6588">
              <w:rPr>
                <w:rFonts w:ascii="Arial Narrow" w:eastAsia="Calibri" w:hAnsi="Arial Narrow"/>
                <w:sz w:val="20"/>
                <w:szCs w:val="20"/>
              </w:rPr>
              <w:fldChar w:fldCharType="end"/>
            </w:r>
            <w:r w:rsidRPr="008E6588">
              <w:rPr>
                <w:rFonts w:ascii="Arial Narrow" w:eastAsia="Calibri" w:hAnsi="Arial Narrow"/>
                <w:sz w:val="20"/>
                <w:szCs w:val="20"/>
              </w:rPr>
              <w:t xml:space="preserve"> Complex Authority Required (CAR)</w:t>
            </w:r>
          </w:p>
        </w:tc>
      </w:tr>
      <w:tr w:rsidR="002053C8" w:rsidRPr="008E6588" w14:paraId="49FC59D3" w14:textId="77777777" w:rsidTr="0063273D">
        <w:tblPrEx>
          <w:tblCellMar>
            <w:top w:w="15" w:type="dxa"/>
            <w:bottom w:w="15" w:type="dxa"/>
          </w:tblCellMar>
        </w:tblPrEx>
        <w:trPr>
          <w:trHeight w:val="20"/>
        </w:trPr>
        <w:tc>
          <w:tcPr>
            <w:tcW w:w="312" w:type="pct"/>
            <w:vMerge w:val="restart"/>
            <w:tcBorders>
              <w:left w:val="single" w:sz="4" w:space="0" w:color="auto"/>
              <w:right w:val="single" w:sz="4" w:space="0" w:color="auto"/>
            </w:tcBorders>
            <w:textDirection w:val="btLr"/>
          </w:tcPr>
          <w:p w14:paraId="6ECA2BC7" w14:textId="77777777" w:rsidR="00AF1FF5" w:rsidRPr="008E6588" w:rsidRDefault="00AF1FF5" w:rsidP="00836DB5">
            <w:pPr>
              <w:ind w:left="113" w:right="113"/>
              <w:jc w:val="center"/>
              <w:rPr>
                <w:rFonts w:ascii="Arial Narrow" w:hAnsi="Arial Narrow" w:cs="Arial"/>
                <w:sz w:val="20"/>
                <w:szCs w:val="20"/>
              </w:rPr>
            </w:pPr>
            <w:r w:rsidRPr="008E6588">
              <w:rPr>
                <w:rFonts w:ascii="Arial Narrow" w:hAnsi="Arial Narrow" w:cs="Arial"/>
                <w:sz w:val="20"/>
                <w:szCs w:val="20"/>
              </w:rPr>
              <w:t>Prescribing rule level</w:t>
            </w:r>
          </w:p>
        </w:tc>
        <w:tc>
          <w:tcPr>
            <w:tcW w:w="394" w:type="pct"/>
            <w:tcBorders>
              <w:left w:val="single" w:sz="4" w:space="0" w:color="auto"/>
              <w:right w:val="single" w:sz="4" w:space="0" w:color="auto"/>
            </w:tcBorders>
          </w:tcPr>
          <w:p w14:paraId="5CFE607C" w14:textId="61B70B07" w:rsidR="00AF1FF5" w:rsidRPr="008E6588" w:rsidRDefault="00AF1FF5" w:rsidP="00836DB5">
            <w:pPr>
              <w:jc w:val="left"/>
              <w:rPr>
                <w:rFonts w:ascii="Arial Narrow" w:hAnsi="Arial Narrow" w:cs="Arial"/>
                <w:sz w:val="20"/>
                <w:szCs w:val="20"/>
              </w:rPr>
            </w:pPr>
          </w:p>
        </w:tc>
        <w:tc>
          <w:tcPr>
            <w:tcW w:w="4294" w:type="pct"/>
            <w:gridSpan w:val="6"/>
            <w:tcBorders>
              <w:top w:val="single" w:sz="4" w:space="0" w:color="auto"/>
              <w:left w:val="single" w:sz="4" w:space="0" w:color="auto"/>
              <w:bottom w:val="single" w:sz="4" w:space="0" w:color="auto"/>
              <w:right w:val="single" w:sz="4" w:space="0" w:color="auto"/>
            </w:tcBorders>
          </w:tcPr>
          <w:p w14:paraId="25C8642B"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
                <w:sz w:val="20"/>
                <w:szCs w:val="20"/>
              </w:rPr>
              <w:t xml:space="preserve">Administrative Advice: </w:t>
            </w:r>
          </w:p>
          <w:p w14:paraId="13B78769" w14:textId="77777777" w:rsidR="00AF1FF5" w:rsidRPr="008E6588" w:rsidRDefault="00AF1FF5" w:rsidP="00836DB5">
            <w:pPr>
              <w:keepLines/>
              <w:jc w:val="left"/>
              <w:rPr>
                <w:rFonts w:ascii="Arial Narrow" w:hAnsi="Arial Narrow" w:cs="Arial"/>
                <w:b/>
                <w:sz w:val="20"/>
                <w:szCs w:val="20"/>
              </w:rPr>
            </w:pPr>
            <w:r w:rsidRPr="008E6588">
              <w:rPr>
                <w:rFonts w:ascii="Arial Narrow" w:hAnsi="Arial Narrow" w:cs="Arial"/>
                <w:b/>
                <w:bCs/>
                <w:sz w:val="20"/>
                <w:szCs w:val="20"/>
              </w:rPr>
              <w:t>TREATMENT OF ADULT AND ADOLESCENT PATIENTS WITH UNCONTROLLED SEVERE ASTHMA</w:t>
            </w:r>
          </w:p>
          <w:p w14:paraId="02D28D0F"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The following information applies to the prescribing under the Pharmaceutical Benefits Scheme (PBS) of the biological medicines for uncontrolled severe asthma. Where the term biological medicine appears in the following notes and restrictions it refers to all PBS benefits with the specific PBS indication of 'uncontrolled severe asthma'.</w:t>
            </w:r>
          </w:p>
          <w:p w14:paraId="627A179E"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A patient is eligible for PBS-subsidised treatment with only 1 biological medicine for uncontrolled severe asthma at any one time.</w:t>
            </w:r>
          </w:p>
          <w:p w14:paraId="00E8F7D3"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 xml:space="preserve">A patient receiving PBS-subsidised treatment for uncontrolled severe asthma </w:t>
            </w:r>
            <w:proofErr w:type="gramStart"/>
            <w:r w:rsidRPr="008E6588">
              <w:rPr>
                <w:rFonts w:ascii="Arial Narrow" w:hAnsi="Arial Narrow" w:cs="Arial"/>
                <w:bCs/>
                <w:sz w:val="20"/>
                <w:szCs w:val="20"/>
              </w:rPr>
              <w:t>is able to</w:t>
            </w:r>
            <w:proofErr w:type="gramEnd"/>
            <w:r w:rsidRPr="008E6588">
              <w:rPr>
                <w:rFonts w:ascii="Arial Narrow" w:hAnsi="Arial Narrow" w:cs="Arial"/>
                <w:bCs/>
                <w:sz w:val="20"/>
                <w:szCs w:val="20"/>
              </w:rPr>
              <w:t xml:space="preserve"> commence a treatment cycle where they may trial a biological medicine without having to experience a disease flare when swapping to an alternate biological medicine within the same treatment cycle.</w:t>
            </w:r>
          </w:p>
          <w:p w14:paraId="04780198"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 xml:space="preserve">Under these arrangements, within a treatment cycle, a patient may receive long-term treatment with a biological medicine </w:t>
            </w:r>
            <w:proofErr w:type="gramStart"/>
            <w:r w:rsidRPr="008E6588">
              <w:rPr>
                <w:rFonts w:ascii="Arial Narrow" w:hAnsi="Arial Narrow" w:cs="Arial"/>
                <w:bCs/>
                <w:sz w:val="20"/>
                <w:szCs w:val="20"/>
              </w:rPr>
              <w:t>as long as</w:t>
            </w:r>
            <w:proofErr w:type="gramEnd"/>
            <w:r w:rsidRPr="008E6588">
              <w:rPr>
                <w:rFonts w:ascii="Arial Narrow" w:hAnsi="Arial Narrow" w:cs="Arial"/>
                <w:bCs/>
                <w:sz w:val="20"/>
                <w:szCs w:val="20"/>
              </w:rPr>
              <w:t xml:space="preserve"> they sustain a response to therapy.</w:t>
            </w:r>
          </w:p>
          <w:p w14:paraId="0AE1D095"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A patient currently receiving PBS-subsidised treatment as of 1 April 2021 is considered to have started a cycle of treatment.</w:t>
            </w:r>
          </w:p>
          <w:p w14:paraId="140B911F"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Within the same treatment cycle, a patient cannot trial and fail, or cease to respond to, the same PBS-subsidised biological medicine more than once.</w:t>
            </w:r>
          </w:p>
          <w:p w14:paraId="1ACB142F"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Therefore, once a patient fails to meet the response criteria for a PBS-subsidised biological medicine, they must change to an alternate biological medicine if they wish to continue PBS-subsidised biological treatment.</w:t>
            </w:r>
          </w:p>
          <w:p w14:paraId="7BD20467"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Once a patient has either failed to achieve or sustain a response to treatment 4 times, they are deemed to have completed a single treatment cycle. They must have at least a 12-month break in PBS-subsidised biological medicine therapy before they are eligible to recommence another new treatment cycle [further details are under 'Recommencement of treatment after a treatment break in PBS-subsidised therapy' below].</w:t>
            </w:r>
          </w:p>
          <w:p w14:paraId="42FFD1B6"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The length of the break in therapy is measured from the date the most recent treatment with a PBS-subsidised biological medicine is ceased until the date of the first application for recommencement of treatment with a biological medicine under the new treatment cycle.</w:t>
            </w:r>
          </w:p>
          <w:p w14:paraId="6B1D1B57"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There is no limit to the number of treatment cycles that a patient may undertake in their lifetime.</w:t>
            </w:r>
          </w:p>
          <w:p w14:paraId="56AECBD8"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How to prescribe PBS-subsidised biological medicine treatment for uncontrolled severe asthma.</w:t>
            </w:r>
          </w:p>
          <w:p w14:paraId="0ACF0566"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(1) Initial treatment:</w:t>
            </w:r>
          </w:p>
          <w:p w14:paraId="430ECB0F"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Applications for initial treatment should be made where:</w:t>
            </w:r>
          </w:p>
          <w:p w14:paraId="2990D059"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lastRenderedPageBreak/>
              <w:t>(</w:t>
            </w:r>
            <w:proofErr w:type="spellStart"/>
            <w:r w:rsidRPr="008E6588">
              <w:rPr>
                <w:rFonts w:ascii="Arial Narrow" w:hAnsi="Arial Narrow" w:cs="Arial"/>
                <w:bCs/>
                <w:sz w:val="20"/>
                <w:szCs w:val="20"/>
              </w:rPr>
              <w:t>i</w:t>
            </w:r>
            <w:proofErr w:type="spellEnd"/>
            <w:r w:rsidRPr="008E6588">
              <w:rPr>
                <w:rFonts w:ascii="Arial Narrow" w:hAnsi="Arial Narrow" w:cs="Arial"/>
                <w:bCs/>
                <w:sz w:val="20"/>
                <w:szCs w:val="20"/>
              </w:rPr>
              <w:t>) a patient has not received prior PBS-subsidised biological medicine treatment and wishes to commence such therapy (Initial 1 restriction); or</w:t>
            </w:r>
          </w:p>
          <w:p w14:paraId="3395AE44"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(ii) a patient has received prior PBS-subsidised treatment with a biological medicine and wishes to recommence a new treatment cycle with this biological medicine following a treatment break in PBS-subsidised therapy (Initial 1 restriction); or</w:t>
            </w:r>
          </w:p>
          <w:p w14:paraId="104B2891"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(iii) a patient has received prior PBS-subsidised biological medicine therapy and wishes to trial an alternate biological medicine within the same treatment cycle (Initial 2 restriction) - [further details are under 'Swapping therapy' below].</w:t>
            </w:r>
          </w:p>
          <w:p w14:paraId="2E600F8E"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All applications for initial treatment will be limited to provide for a maximum of up to 32 weeks of therapy of a biological medicine. It is recommended that a patient be reviewed in the month prior to completing their course of initial treatment to ensure uninterrupted biological medicine supply.</w:t>
            </w:r>
          </w:p>
          <w:p w14:paraId="36417C00"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(2) Continuing treatment:</w:t>
            </w:r>
          </w:p>
          <w:p w14:paraId="093ED56F"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Following the completion of an initial treatment course with a specific biological medicine, a patient may qualify to receive up to 24 weeks of continuing treatment with that biological medicine providing they have demonstrated an adequate response to treatment. The patient remains eligible to receive continuing biological medicine treatment with the same drug in courses of up to 24 weeks providing they continue to sustain the response. It is recommended that a patient be reviewed the month prior to completing their current course of treatment to ensure uninterrupted biological medicine supply.</w:t>
            </w:r>
          </w:p>
          <w:p w14:paraId="4A8EB719"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(3) Baseline measurements to determine response:</w:t>
            </w:r>
          </w:p>
          <w:p w14:paraId="601327A0"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Baseline measurements of the Asthma Control Questionnaire (ACQ; 5 item version) or oral corticosteroid dose submitted with the Initial authority application for a biological medicine must be used to determine whether an adequate response to treatment has been achieved or sustained.</w:t>
            </w:r>
          </w:p>
          <w:p w14:paraId="59E41464"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For patients transitioned from the paediatric to the adolescent/adult restriction, the exacerbation history may also be used to determine response.</w:t>
            </w:r>
          </w:p>
          <w:p w14:paraId="1DEF366B"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 xml:space="preserve">However, prescribers may provide new baseline measurements when a new Initial treatment authority application is </w:t>
            </w:r>
            <w:proofErr w:type="gramStart"/>
            <w:r w:rsidRPr="008E6588">
              <w:rPr>
                <w:rFonts w:ascii="Arial Narrow" w:hAnsi="Arial Narrow" w:cs="Arial"/>
                <w:bCs/>
                <w:sz w:val="20"/>
                <w:szCs w:val="20"/>
              </w:rPr>
              <w:t>submitted</w:t>
            </w:r>
            <w:proofErr w:type="gramEnd"/>
            <w:r w:rsidRPr="008E6588">
              <w:rPr>
                <w:rFonts w:ascii="Arial Narrow" w:hAnsi="Arial Narrow" w:cs="Arial"/>
                <w:bCs/>
                <w:sz w:val="20"/>
                <w:szCs w:val="20"/>
              </w:rPr>
              <w:t xml:space="preserve"> and these new baseline measurements may be used to assess response.</w:t>
            </w:r>
          </w:p>
          <w:p w14:paraId="7D076489"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(4) Swapping therapy within the same treatment cycle.</w:t>
            </w:r>
          </w:p>
          <w:p w14:paraId="1FA8C86B"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Once initial treatment with the first PBS-subsidised biological medicine is approved, a patient may swap to an alternate biological medicine at any time by qualifying under an Initial 2 restriction.</w:t>
            </w:r>
          </w:p>
          <w:p w14:paraId="291D7309"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However, they cannot swap to a particular biological medicine if they have failed to respond to prior treatment with that drug within the same treatment cycle.</w:t>
            </w:r>
          </w:p>
          <w:p w14:paraId="69D2E2A7"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Within the same treatment cycle a patient may alternate between therapy with any biological medicine of their choice (1 at a time) providing:</w:t>
            </w:r>
          </w:p>
          <w:p w14:paraId="5A4E1E52"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w:t>
            </w:r>
            <w:proofErr w:type="spellStart"/>
            <w:r w:rsidRPr="008E6588">
              <w:rPr>
                <w:rFonts w:ascii="Arial Narrow" w:hAnsi="Arial Narrow" w:cs="Arial"/>
                <w:bCs/>
                <w:sz w:val="20"/>
                <w:szCs w:val="20"/>
              </w:rPr>
              <w:t>i</w:t>
            </w:r>
            <w:proofErr w:type="spellEnd"/>
            <w:r w:rsidRPr="008E6588">
              <w:rPr>
                <w:rFonts w:ascii="Arial Narrow" w:hAnsi="Arial Narrow" w:cs="Arial"/>
                <w:bCs/>
                <w:sz w:val="20"/>
                <w:szCs w:val="20"/>
              </w:rPr>
              <w:t xml:space="preserve">) they have not received PBS-subsidised treatment with that </w:t>
            </w:r>
            <w:proofErr w:type="gramStart"/>
            <w:r w:rsidRPr="008E6588">
              <w:rPr>
                <w:rFonts w:ascii="Arial Narrow" w:hAnsi="Arial Narrow" w:cs="Arial"/>
                <w:bCs/>
                <w:sz w:val="20"/>
                <w:szCs w:val="20"/>
              </w:rPr>
              <w:t>particular biological</w:t>
            </w:r>
            <w:proofErr w:type="gramEnd"/>
            <w:r w:rsidRPr="008E6588">
              <w:rPr>
                <w:rFonts w:ascii="Arial Narrow" w:hAnsi="Arial Narrow" w:cs="Arial"/>
                <w:bCs/>
                <w:sz w:val="20"/>
                <w:szCs w:val="20"/>
              </w:rPr>
              <w:t xml:space="preserve"> medicine previously; or</w:t>
            </w:r>
          </w:p>
          <w:p w14:paraId="01EE2116"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 xml:space="preserve">(ii) they have demonstrated an adequate response to that </w:t>
            </w:r>
            <w:proofErr w:type="gramStart"/>
            <w:r w:rsidRPr="008E6588">
              <w:rPr>
                <w:rFonts w:ascii="Arial Narrow" w:hAnsi="Arial Narrow" w:cs="Arial"/>
                <w:bCs/>
                <w:sz w:val="20"/>
                <w:szCs w:val="20"/>
              </w:rPr>
              <w:t>particular biological</w:t>
            </w:r>
            <w:proofErr w:type="gramEnd"/>
            <w:r w:rsidRPr="008E6588">
              <w:rPr>
                <w:rFonts w:ascii="Arial Narrow" w:hAnsi="Arial Narrow" w:cs="Arial"/>
                <w:bCs/>
                <w:sz w:val="20"/>
                <w:szCs w:val="20"/>
              </w:rPr>
              <w:t xml:space="preserve"> medicine if they have previously trialled it on the PBS; and</w:t>
            </w:r>
          </w:p>
          <w:p w14:paraId="2777EEAF"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(iii) they have not previously failed to respond to treatment with all 4 biological medicines in this treatment cycle.</w:t>
            </w:r>
          </w:p>
          <w:p w14:paraId="3F0C7110"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(5) Re-commencement of a new treatment cycle after a treatment break in PBS-subsidised therapy:</w:t>
            </w:r>
          </w:p>
          <w:p w14:paraId="5B5A5A36"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A patient who wishes to trial a second or subsequent new treatment cycle, following a break in PBS-subsidised therapy of at least 12 months (in patients who have failed to achieve or ceased to sustain a response to treatment 4 times within a treatment cycle), must re-qualify through an Initial 1 restriction.</w:t>
            </w:r>
          </w:p>
          <w:p w14:paraId="3443BCEF"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(6) Monitoring of patients:</w:t>
            </w:r>
          </w:p>
          <w:p w14:paraId="25B3E535"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Omalizumab only:</w:t>
            </w:r>
          </w:p>
          <w:p w14:paraId="016CE791" w14:textId="77777777" w:rsidR="00AF1FF5" w:rsidRPr="008E6588" w:rsidRDefault="00AF1FF5" w:rsidP="00836DB5">
            <w:pPr>
              <w:keepLines/>
              <w:jc w:val="left"/>
              <w:rPr>
                <w:rFonts w:ascii="Arial Narrow" w:hAnsi="Arial Narrow" w:cs="Arial"/>
                <w:bCs/>
                <w:sz w:val="20"/>
                <w:szCs w:val="20"/>
              </w:rPr>
            </w:pPr>
            <w:r w:rsidRPr="008E6588">
              <w:rPr>
                <w:rFonts w:ascii="Arial Narrow" w:hAnsi="Arial Narrow" w:cs="Arial"/>
                <w:bCs/>
                <w:sz w:val="20"/>
                <w:szCs w:val="20"/>
              </w:rPr>
              <w:t xml:space="preserve">Anaphylaxis and anaphylactoid reactions have been reported following first or subsequent administration of omalizumab (see Product Information). Patients should be monitored post-injection, and medications for the treatment of anaphylactic reactions should be available for immediate use following administration of omalizumab. Patients should be informed that such reactions are </w:t>
            </w:r>
            <w:proofErr w:type="gramStart"/>
            <w:r w:rsidRPr="008E6588">
              <w:rPr>
                <w:rFonts w:ascii="Arial Narrow" w:hAnsi="Arial Narrow" w:cs="Arial"/>
                <w:bCs/>
                <w:sz w:val="20"/>
                <w:szCs w:val="20"/>
              </w:rPr>
              <w:t>possible</w:t>
            </w:r>
            <w:proofErr w:type="gramEnd"/>
            <w:r w:rsidRPr="008E6588">
              <w:rPr>
                <w:rFonts w:ascii="Arial Narrow" w:hAnsi="Arial Narrow" w:cs="Arial"/>
                <w:bCs/>
                <w:sz w:val="20"/>
                <w:szCs w:val="20"/>
              </w:rPr>
              <w:t xml:space="preserve"> and prompt medical attention should be sought if allergic reactions occur.</w:t>
            </w:r>
          </w:p>
        </w:tc>
      </w:tr>
      <w:tr w:rsidR="002053C8" w:rsidRPr="008E6588" w14:paraId="13578401" w14:textId="77777777" w:rsidTr="0063273D">
        <w:tblPrEx>
          <w:tblCellMar>
            <w:top w:w="15" w:type="dxa"/>
            <w:bottom w:w="15" w:type="dxa"/>
          </w:tblCellMar>
        </w:tblPrEx>
        <w:trPr>
          <w:trHeight w:val="20"/>
        </w:trPr>
        <w:tc>
          <w:tcPr>
            <w:tcW w:w="312" w:type="pct"/>
            <w:vMerge/>
            <w:tcBorders>
              <w:left w:val="single" w:sz="4" w:space="0" w:color="auto"/>
              <w:right w:val="single" w:sz="4" w:space="0" w:color="auto"/>
            </w:tcBorders>
            <w:textDirection w:val="btLr"/>
          </w:tcPr>
          <w:p w14:paraId="710EDDAD" w14:textId="77777777" w:rsidR="00AF1FF5" w:rsidRPr="008E6588" w:rsidRDefault="00AF1FF5" w:rsidP="00836DB5">
            <w:pPr>
              <w:ind w:left="113" w:right="113"/>
              <w:jc w:val="center"/>
              <w:rPr>
                <w:rFonts w:ascii="Arial Narrow" w:hAnsi="Arial Narrow" w:cs="Arial"/>
                <w:sz w:val="20"/>
                <w:szCs w:val="20"/>
              </w:rPr>
            </w:pPr>
          </w:p>
        </w:tc>
        <w:tc>
          <w:tcPr>
            <w:tcW w:w="394" w:type="pct"/>
            <w:tcBorders>
              <w:left w:val="single" w:sz="4" w:space="0" w:color="auto"/>
              <w:right w:val="single" w:sz="4" w:space="0" w:color="auto"/>
            </w:tcBorders>
          </w:tcPr>
          <w:p w14:paraId="625B1BF9" w14:textId="462EEE13" w:rsidR="00AF1FF5" w:rsidRPr="008E6588" w:rsidRDefault="00AF1FF5" w:rsidP="00836DB5">
            <w:pPr>
              <w:jc w:val="left"/>
              <w:rPr>
                <w:rFonts w:ascii="Arial Narrow" w:hAnsi="Arial Narrow" w:cs="Arial"/>
                <w:sz w:val="20"/>
                <w:szCs w:val="20"/>
              </w:rPr>
            </w:pPr>
          </w:p>
        </w:tc>
        <w:tc>
          <w:tcPr>
            <w:tcW w:w="4294" w:type="pct"/>
            <w:gridSpan w:val="6"/>
            <w:tcBorders>
              <w:top w:val="single" w:sz="4" w:space="0" w:color="auto"/>
              <w:left w:val="single" w:sz="4" w:space="0" w:color="auto"/>
              <w:bottom w:val="single" w:sz="4" w:space="0" w:color="auto"/>
              <w:right w:val="single" w:sz="4" w:space="0" w:color="auto"/>
            </w:tcBorders>
          </w:tcPr>
          <w:p w14:paraId="5C4D0F79" w14:textId="77777777" w:rsidR="00AF1FF5" w:rsidRPr="008E6588" w:rsidRDefault="00AF1FF5" w:rsidP="00836DB5">
            <w:pPr>
              <w:keepLines/>
              <w:jc w:val="left"/>
              <w:rPr>
                <w:rFonts w:ascii="Arial Narrow" w:hAnsi="Arial Narrow" w:cs="Arial"/>
                <w:b/>
                <w:sz w:val="20"/>
                <w:szCs w:val="20"/>
              </w:rPr>
            </w:pPr>
            <w:r w:rsidRPr="008E6588">
              <w:rPr>
                <w:rFonts w:ascii="Arial Narrow" w:hAnsi="Arial Narrow" w:cs="Arial"/>
                <w:b/>
                <w:sz w:val="20"/>
                <w:szCs w:val="20"/>
              </w:rPr>
              <w:t xml:space="preserve">Administrative Advice: </w:t>
            </w:r>
            <w:r w:rsidRPr="008E6588">
              <w:rPr>
                <w:rFonts w:ascii="Arial Narrow" w:hAnsi="Arial Narrow" w:cs="Arial"/>
                <w:bCs/>
                <w:sz w:val="20"/>
                <w:szCs w:val="20"/>
              </w:rPr>
              <w:t>For copies of the ACQ and the calculation sheets please contact Novartis Medical Information on 1800 671 203 or medinfo.phauno@novartis.com</w:t>
            </w:r>
          </w:p>
        </w:tc>
      </w:tr>
      <w:tr w:rsidR="00DF1016" w:rsidRPr="008E6588" w14:paraId="3B366D12" w14:textId="77777777" w:rsidTr="0063273D">
        <w:tblPrEx>
          <w:tblCellMar>
            <w:top w:w="15" w:type="dxa"/>
            <w:bottom w:w="15" w:type="dxa"/>
          </w:tblCellMar>
        </w:tblPrEx>
        <w:trPr>
          <w:trHeight w:val="20"/>
        </w:trPr>
        <w:tc>
          <w:tcPr>
            <w:tcW w:w="312" w:type="pct"/>
            <w:vMerge/>
            <w:tcBorders>
              <w:left w:val="single" w:sz="4" w:space="0" w:color="auto"/>
              <w:right w:val="single" w:sz="4" w:space="0" w:color="auto"/>
            </w:tcBorders>
            <w:textDirection w:val="btLr"/>
          </w:tcPr>
          <w:p w14:paraId="0DC38062" w14:textId="77777777" w:rsidR="00DF1016" w:rsidRPr="008E6588" w:rsidRDefault="00DF1016" w:rsidP="00836DB5">
            <w:pPr>
              <w:ind w:left="113" w:right="113"/>
              <w:jc w:val="center"/>
              <w:rPr>
                <w:rFonts w:ascii="Arial Narrow" w:hAnsi="Arial Narrow" w:cs="Arial"/>
                <w:sz w:val="20"/>
                <w:szCs w:val="20"/>
              </w:rPr>
            </w:pPr>
          </w:p>
        </w:tc>
        <w:tc>
          <w:tcPr>
            <w:tcW w:w="394" w:type="pct"/>
            <w:tcBorders>
              <w:left w:val="single" w:sz="4" w:space="0" w:color="auto"/>
              <w:right w:val="single" w:sz="4" w:space="0" w:color="auto"/>
            </w:tcBorders>
          </w:tcPr>
          <w:p w14:paraId="2020D717" w14:textId="11702346" w:rsidR="00DF1016" w:rsidRPr="008E6588" w:rsidRDefault="00DF1016" w:rsidP="00710A5F">
            <w:pPr>
              <w:jc w:val="left"/>
              <w:rPr>
                <w:rFonts w:ascii="Arial Narrow" w:hAnsi="Arial Narrow" w:cs="Arial"/>
                <w:sz w:val="20"/>
                <w:szCs w:val="20"/>
              </w:rPr>
            </w:pPr>
          </w:p>
        </w:tc>
        <w:tc>
          <w:tcPr>
            <w:tcW w:w="4294" w:type="pct"/>
            <w:gridSpan w:val="6"/>
            <w:tcBorders>
              <w:top w:val="single" w:sz="4" w:space="0" w:color="auto"/>
              <w:left w:val="single" w:sz="4" w:space="0" w:color="auto"/>
              <w:bottom w:val="single" w:sz="4" w:space="0" w:color="auto"/>
              <w:right w:val="single" w:sz="4" w:space="0" w:color="auto"/>
            </w:tcBorders>
          </w:tcPr>
          <w:p w14:paraId="26E85CA2" w14:textId="457EB5A9" w:rsidR="00DF1016" w:rsidRPr="008E6588" w:rsidRDefault="00710A5F" w:rsidP="00836DB5">
            <w:pPr>
              <w:keepLines/>
              <w:jc w:val="left"/>
              <w:rPr>
                <w:rFonts w:ascii="Arial Narrow" w:hAnsi="Arial Narrow" w:cs="Arial"/>
                <w:b/>
                <w:sz w:val="20"/>
                <w:szCs w:val="20"/>
              </w:rPr>
            </w:pPr>
            <w:r w:rsidRPr="008E6588">
              <w:rPr>
                <w:rFonts w:ascii="Arial Narrow" w:hAnsi="Arial Narrow" w:cs="Arial"/>
                <w:b/>
                <w:sz w:val="20"/>
                <w:szCs w:val="20"/>
              </w:rPr>
              <w:t>Administrative Advice:</w:t>
            </w:r>
            <w:r w:rsidR="00A21391" w:rsidRPr="008E6588">
              <w:rPr>
                <w:rFonts w:ascii="Arial Narrow" w:hAnsi="Arial Narrow" w:cs="Arial"/>
                <w:b/>
                <w:sz w:val="20"/>
                <w:szCs w:val="20"/>
              </w:rPr>
              <w:t xml:space="preserve"> </w:t>
            </w:r>
            <w:r w:rsidR="00A21391" w:rsidRPr="008E6588">
              <w:rPr>
                <w:rFonts w:ascii="Arial Narrow" w:hAnsi="Arial Narrow" w:cs="Arial"/>
                <w:bCs/>
                <w:sz w:val="20"/>
                <w:szCs w:val="20"/>
              </w:rPr>
              <w:t>Formal assessment and correction of inhaler technique should be performed in accordance with the National Asthma Council (NAC) Information Paper for Health Professionals on Inhaler Technique (available at www.nationalasthma.org.au); the assessment and adherence to correct technique should be documented in the patient's medical records. Patients can obtain support with inhaler technique through their local Asthma Foundation (1800 645 130).</w:t>
            </w:r>
          </w:p>
        </w:tc>
      </w:tr>
      <w:tr w:rsidR="002053C8" w:rsidRPr="008E6588" w14:paraId="5A1468BF" w14:textId="77777777" w:rsidTr="0063273D">
        <w:tblPrEx>
          <w:tblCellMar>
            <w:top w:w="15" w:type="dxa"/>
            <w:bottom w:w="15" w:type="dxa"/>
          </w:tblCellMar>
        </w:tblPrEx>
        <w:trPr>
          <w:trHeight w:val="20"/>
        </w:trPr>
        <w:tc>
          <w:tcPr>
            <w:tcW w:w="312" w:type="pct"/>
            <w:vMerge/>
            <w:tcBorders>
              <w:left w:val="single" w:sz="4" w:space="0" w:color="auto"/>
              <w:right w:val="single" w:sz="4" w:space="0" w:color="auto"/>
            </w:tcBorders>
          </w:tcPr>
          <w:p w14:paraId="1F6FD52F" w14:textId="77777777" w:rsidR="00AF1FF5" w:rsidRPr="008E6588" w:rsidRDefault="00AF1FF5" w:rsidP="00836DB5">
            <w:pPr>
              <w:jc w:val="left"/>
              <w:rPr>
                <w:rFonts w:ascii="Arial Narrow" w:hAnsi="Arial Narrow" w:cs="Arial"/>
                <w:sz w:val="20"/>
                <w:szCs w:val="20"/>
              </w:rPr>
            </w:pPr>
          </w:p>
        </w:tc>
        <w:tc>
          <w:tcPr>
            <w:tcW w:w="394" w:type="pct"/>
            <w:tcBorders>
              <w:left w:val="single" w:sz="4" w:space="0" w:color="auto"/>
              <w:right w:val="single" w:sz="4" w:space="0" w:color="auto"/>
            </w:tcBorders>
          </w:tcPr>
          <w:p w14:paraId="0CF26EF9" w14:textId="2A1B009B" w:rsidR="00AF1FF5" w:rsidRPr="008E6588" w:rsidRDefault="00AF1FF5" w:rsidP="00836DB5">
            <w:pPr>
              <w:jc w:val="left"/>
              <w:textAlignment w:val="baseline"/>
              <w:rPr>
                <w:rFonts w:ascii="Arial Narrow" w:hAnsi="Arial Narrow" w:cs="Open Sans"/>
                <w:color w:val="333333"/>
                <w:sz w:val="20"/>
                <w:szCs w:val="20"/>
              </w:rPr>
            </w:pPr>
          </w:p>
        </w:tc>
        <w:tc>
          <w:tcPr>
            <w:tcW w:w="4294" w:type="pct"/>
            <w:gridSpan w:val="6"/>
            <w:tcBorders>
              <w:top w:val="single" w:sz="4" w:space="0" w:color="auto"/>
              <w:left w:val="single" w:sz="4" w:space="0" w:color="auto"/>
              <w:bottom w:val="single" w:sz="4" w:space="0" w:color="auto"/>
              <w:right w:val="single" w:sz="4" w:space="0" w:color="auto"/>
            </w:tcBorders>
          </w:tcPr>
          <w:p w14:paraId="36FB19AA" w14:textId="2FB4953B" w:rsidR="00AF1FF5" w:rsidRPr="008E6588" w:rsidRDefault="00AF1FF5" w:rsidP="00836DB5">
            <w:pPr>
              <w:keepLines/>
              <w:jc w:val="left"/>
              <w:rPr>
                <w:rFonts w:ascii="Arial Narrow" w:hAnsi="Arial Narrow" w:cs="Arial"/>
                <w:sz w:val="20"/>
                <w:szCs w:val="20"/>
              </w:rPr>
            </w:pPr>
            <w:r w:rsidRPr="008E6588">
              <w:rPr>
                <w:rFonts w:ascii="Arial Narrow" w:hAnsi="Arial Narrow" w:cs="Arial"/>
                <w:b/>
                <w:sz w:val="20"/>
                <w:szCs w:val="20"/>
              </w:rPr>
              <w:t>Administrative Advice</w:t>
            </w:r>
            <w:r w:rsidRPr="008E6588">
              <w:rPr>
                <w:rFonts w:ascii="Arial Narrow" w:hAnsi="Arial Narrow" w:cs="Arial"/>
                <w:sz w:val="20"/>
                <w:szCs w:val="20"/>
              </w:rPr>
              <w:t xml:space="preserve">: </w:t>
            </w:r>
            <w:r w:rsidR="002B7303" w:rsidRPr="008E6588">
              <w:rPr>
                <w:rFonts w:ascii="Arial Narrow" w:hAnsi="Arial Narrow" w:cs="Arial"/>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2053C8" w:rsidRPr="008E6588" w14:paraId="25F4F159" w14:textId="77777777" w:rsidTr="0063273D">
        <w:tblPrEx>
          <w:tblCellMar>
            <w:top w:w="15" w:type="dxa"/>
            <w:bottom w:w="15" w:type="dxa"/>
          </w:tblCellMar>
        </w:tblPrEx>
        <w:trPr>
          <w:trHeight w:val="20"/>
        </w:trPr>
        <w:tc>
          <w:tcPr>
            <w:tcW w:w="312" w:type="pct"/>
            <w:vMerge/>
            <w:tcBorders>
              <w:left w:val="single" w:sz="4" w:space="0" w:color="auto"/>
              <w:right w:val="single" w:sz="4" w:space="0" w:color="auto"/>
            </w:tcBorders>
          </w:tcPr>
          <w:p w14:paraId="5C0346FE" w14:textId="77777777" w:rsidR="00AF1FF5" w:rsidRPr="008E6588" w:rsidRDefault="00AF1FF5" w:rsidP="00836DB5">
            <w:pPr>
              <w:jc w:val="left"/>
              <w:rPr>
                <w:rFonts w:ascii="Arial Narrow" w:hAnsi="Arial Narrow" w:cs="Arial"/>
                <w:sz w:val="20"/>
                <w:szCs w:val="20"/>
              </w:rPr>
            </w:pPr>
          </w:p>
        </w:tc>
        <w:tc>
          <w:tcPr>
            <w:tcW w:w="394" w:type="pct"/>
            <w:tcBorders>
              <w:left w:val="single" w:sz="4" w:space="0" w:color="auto"/>
              <w:right w:val="single" w:sz="4" w:space="0" w:color="auto"/>
            </w:tcBorders>
          </w:tcPr>
          <w:p w14:paraId="04C775CA" w14:textId="23C3B9CE" w:rsidR="00AF1FF5" w:rsidRPr="008E6588" w:rsidRDefault="00AF1FF5" w:rsidP="00836DB5">
            <w:pPr>
              <w:jc w:val="left"/>
              <w:rPr>
                <w:rFonts w:ascii="Arial Narrow" w:hAnsi="Arial Narrow" w:cs="Arial"/>
                <w:sz w:val="20"/>
                <w:szCs w:val="20"/>
              </w:rPr>
            </w:pPr>
          </w:p>
        </w:tc>
        <w:tc>
          <w:tcPr>
            <w:tcW w:w="4294" w:type="pct"/>
            <w:gridSpan w:val="6"/>
            <w:tcBorders>
              <w:top w:val="single" w:sz="4" w:space="0" w:color="auto"/>
              <w:left w:val="single" w:sz="4" w:space="0" w:color="auto"/>
              <w:bottom w:val="single" w:sz="4" w:space="0" w:color="auto"/>
              <w:right w:val="single" w:sz="4" w:space="0" w:color="auto"/>
            </w:tcBorders>
          </w:tcPr>
          <w:p w14:paraId="72FE6EFE" w14:textId="77777777" w:rsidR="00AF1FF5" w:rsidRPr="008E6588" w:rsidRDefault="00AF1FF5" w:rsidP="00836DB5">
            <w:pPr>
              <w:jc w:val="left"/>
              <w:rPr>
                <w:rFonts w:ascii="Arial Narrow" w:hAnsi="Arial Narrow"/>
                <w:sz w:val="20"/>
                <w:szCs w:val="20"/>
              </w:rPr>
            </w:pPr>
            <w:r w:rsidRPr="008E6588">
              <w:rPr>
                <w:rFonts w:ascii="Arial Narrow" w:hAnsi="Arial Narrow"/>
                <w:b/>
                <w:bCs/>
                <w:sz w:val="20"/>
                <w:szCs w:val="20"/>
              </w:rPr>
              <w:t>Administrative Advice:</w:t>
            </w:r>
            <w:r w:rsidRPr="008E6588">
              <w:rPr>
                <w:rFonts w:ascii="Arial Narrow" w:hAnsi="Arial Narrow"/>
                <w:sz w:val="20"/>
                <w:szCs w:val="20"/>
              </w:rPr>
              <w:t xml:space="preserve"> </w:t>
            </w:r>
            <w:r w:rsidRPr="008E6588">
              <w:rPr>
                <w:rFonts w:ascii="Arial Narrow" w:hAnsi="Arial Narrow"/>
                <w:iCs/>
                <w:sz w:val="20"/>
                <w:szCs w:val="20"/>
              </w:rPr>
              <w:t>Pharmaceutical benefits that have the form omalizumab 75 mg/0.5 mL syringes and pharmaceutical benefits that have the form omalizumab 75 mg/0.5 mL pen devices are equivalent for the purposes of substitution.</w:t>
            </w:r>
          </w:p>
        </w:tc>
      </w:tr>
      <w:tr w:rsidR="00AD7802" w:rsidRPr="008E6588" w14:paraId="601B456D" w14:textId="77777777" w:rsidTr="00AD7802">
        <w:tblPrEx>
          <w:tblCellMar>
            <w:top w:w="15" w:type="dxa"/>
            <w:bottom w:w="15" w:type="dxa"/>
          </w:tblCellMar>
          <w:tblLook w:val="04A0" w:firstRow="1" w:lastRow="0" w:firstColumn="1" w:lastColumn="0" w:noHBand="0" w:noVBand="1"/>
        </w:tblPrEx>
        <w:trPr>
          <w:trHeight w:val="20"/>
        </w:trPr>
        <w:tc>
          <w:tcPr>
            <w:tcW w:w="5000" w:type="pct"/>
            <w:gridSpan w:val="8"/>
            <w:vAlign w:val="center"/>
          </w:tcPr>
          <w:p w14:paraId="038D55A5" w14:textId="77777777" w:rsidR="00AD7802" w:rsidRPr="008E6588" w:rsidRDefault="00AD7802" w:rsidP="00836DB5">
            <w:pPr>
              <w:rPr>
                <w:rFonts w:ascii="Arial Narrow" w:hAnsi="Arial Narrow"/>
                <w:sz w:val="20"/>
                <w:szCs w:val="20"/>
              </w:rPr>
            </w:pPr>
          </w:p>
        </w:tc>
      </w:tr>
      <w:tr w:rsidR="00AD7802" w:rsidRPr="008E6588" w14:paraId="5BFD7B01" w14:textId="77777777" w:rsidTr="00AD7802">
        <w:tblPrEx>
          <w:tblCellMar>
            <w:top w:w="15" w:type="dxa"/>
            <w:bottom w:w="15" w:type="dxa"/>
          </w:tblCellMar>
          <w:tblLook w:val="04A0" w:firstRow="1" w:lastRow="0" w:firstColumn="1" w:lastColumn="0" w:noHBand="0" w:noVBand="1"/>
        </w:tblPrEx>
        <w:trPr>
          <w:trHeight w:val="20"/>
        </w:trPr>
        <w:tc>
          <w:tcPr>
            <w:tcW w:w="5000" w:type="pct"/>
            <w:gridSpan w:val="8"/>
            <w:vAlign w:val="center"/>
          </w:tcPr>
          <w:p w14:paraId="11434011" w14:textId="0D39C45D" w:rsidR="00AD7802" w:rsidRPr="008E6588" w:rsidRDefault="00AD7802" w:rsidP="00836DB5">
            <w:pPr>
              <w:rPr>
                <w:rFonts w:ascii="Arial Narrow" w:hAnsi="Arial Narrow"/>
                <w:b/>
                <w:bCs/>
                <w:sz w:val="20"/>
                <w:szCs w:val="20"/>
              </w:rPr>
            </w:pPr>
            <w:r w:rsidRPr="008E6588">
              <w:rPr>
                <w:rFonts w:ascii="Arial Narrow" w:hAnsi="Arial Narrow"/>
                <w:b/>
                <w:bCs/>
                <w:sz w:val="20"/>
                <w:szCs w:val="20"/>
              </w:rPr>
              <w:t xml:space="preserve">Restriction Summary </w:t>
            </w:r>
            <w:r w:rsidR="00FE384D" w:rsidRPr="008E6588">
              <w:rPr>
                <w:rFonts w:ascii="Arial Narrow" w:hAnsi="Arial Narrow"/>
                <w:b/>
                <w:bCs/>
                <w:sz w:val="20"/>
                <w:szCs w:val="20"/>
              </w:rPr>
              <w:t>15379</w:t>
            </w:r>
            <w:r w:rsidRPr="008E6588">
              <w:rPr>
                <w:rFonts w:ascii="Arial Narrow" w:hAnsi="Arial Narrow"/>
                <w:b/>
                <w:bCs/>
                <w:sz w:val="20"/>
                <w:szCs w:val="20"/>
              </w:rPr>
              <w:t xml:space="preserve"> / Treatment of Concept: </w:t>
            </w:r>
            <w:r w:rsidR="00FE384D" w:rsidRPr="008E6588">
              <w:rPr>
                <w:rFonts w:ascii="Arial Narrow" w:hAnsi="Arial Narrow"/>
                <w:b/>
                <w:bCs/>
                <w:sz w:val="20"/>
                <w:szCs w:val="20"/>
              </w:rPr>
              <w:t>15347: Authority Required</w:t>
            </w:r>
          </w:p>
        </w:tc>
      </w:tr>
      <w:tr w:rsidR="004164CF" w:rsidRPr="008E6588" w14:paraId="748DD379" w14:textId="77777777" w:rsidTr="00B923E6">
        <w:tblPrEx>
          <w:tblCellMar>
            <w:top w:w="15" w:type="dxa"/>
            <w:bottom w:w="15" w:type="dxa"/>
          </w:tblCellMar>
        </w:tblPrEx>
        <w:trPr>
          <w:cantSplit/>
          <w:trHeight w:val="20"/>
        </w:trPr>
        <w:tc>
          <w:tcPr>
            <w:tcW w:w="706" w:type="pct"/>
            <w:gridSpan w:val="2"/>
            <w:vAlign w:val="center"/>
          </w:tcPr>
          <w:p w14:paraId="6CCCF9B5" w14:textId="26BBE00A" w:rsidR="004164CF" w:rsidRPr="008E6588" w:rsidRDefault="004164CF" w:rsidP="00836DB5">
            <w:pPr>
              <w:keepLines/>
              <w:jc w:val="center"/>
              <w:rPr>
                <w:rFonts w:ascii="Arial Narrow" w:hAnsi="Arial Narrow"/>
                <w:sz w:val="20"/>
                <w:szCs w:val="20"/>
              </w:rPr>
            </w:pPr>
          </w:p>
        </w:tc>
        <w:tc>
          <w:tcPr>
            <w:tcW w:w="4294" w:type="pct"/>
            <w:gridSpan w:val="6"/>
            <w:vAlign w:val="center"/>
            <w:hideMark/>
          </w:tcPr>
          <w:p w14:paraId="0E949110" w14:textId="77777777" w:rsidR="004164CF" w:rsidRPr="008E6588" w:rsidRDefault="004164CF" w:rsidP="00836DB5">
            <w:pPr>
              <w:keepLines/>
              <w:rPr>
                <w:rFonts w:ascii="Arial Narrow" w:hAnsi="Arial Narrow"/>
                <w:color w:val="333333"/>
                <w:sz w:val="20"/>
                <w:szCs w:val="20"/>
              </w:rPr>
            </w:pPr>
            <w:r w:rsidRPr="008E6588">
              <w:rPr>
                <w:rFonts w:ascii="Arial Narrow" w:hAnsi="Arial Narrow"/>
                <w:b/>
                <w:bCs/>
                <w:sz w:val="20"/>
                <w:szCs w:val="20"/>
              </w:rPr>
              <w:t>Indication:</w:t>
            </w:r>
            <w:r w:rsidRPr="008E6588">
              <w:rPr>
                <w:rFonts w:ascii="Arial Narrow" w:hAnsi="Arial Narrow"/>
                <w:sz w:val="20"/>
                <w:szCs w:val="20"/>
              </w:rPr>
              <w:t xml:space="preserve"> Uncontrolled severe asthma</w:t>
            </w:r>
          </w:p>
        </w:tc>
      </w:tr>
      <w:tr w:rsidR="004164CF" w:rsidRPr="008E6588" w14:paraId="0B56CE8D" w14:textId="77777777" w:rsidTr="00B923E6">
        <w:tblPrEx>
          <w:tblCellMar>
            <w:top w:w="15" w:type="dxa"/>
            <w:bottom w:w="15" w:type="dxa"/>
          </w:tblCellMar>
        </w:tblPrEx>
        <w:trPr>
          <w:cantSplit/>
          <w:trHeight w:val="20"/>
        </w:trPr>
        <w:tc>
          <w:tcPr>
            <w:tcW w:w="706" w:type="pct"/>
            <w:gridSpan w:val="2"/>
            <w:vAlign w:val="center"/>
          </w:tcPr>
          <w:p w14:paraId="7FF6BFCA" w14:textId="77777777" w:rsidR="004164CF" w:rsidRPr="008E6588" w:rsidRDefault="004164CF" w:rsidP="00836DB5">
            <w:pPr>
              <w:jc w:val="center"/>
              <w:rPr>
                <w:rFonts w:ascii="Arial Narrow" w:hAnsi="Arial Narrow"/>
                <w:sz w:val="20"/>
                <w:szCs w:val="20"/>
              </w:rPr>
            </w:pPr>
          </w:p>
        </w:tc>
        <w:tc>
          <w:tcPr>
            <w:tcW w:w="4294" w:type="pct"/>
            <w:gridSpan w:val="6"/>
            <w:vAlign w:val="center"/>
            <w:hideMark/>
          </w:tcPr>
          <w:p w14:paraId="3828ABE2" w14:textId="77777777" w:rsidR="004164CF" w:rsidRPr="008E6588" w:rsidRDefault="004164CF" w:rsidP="00836DB5">
            <w:pPr>
              <w:rPr>
                <w:rFonts w:ascii="Arial Narrow" w:hAnsi="Arial Narrow"/>
                <w:sz w:val="20"/>
                <w:szCs w:val="20"/>
              </w:rPr>
            </w:pPr>
            <w:r w:rsidRPr="008E6588">
              <w:rPr>
                <w:rFonts w:ascii="Arial Narrow" w:hAnsi="Arial Narrow"/>
                <w:b/>
                <w:bCs/>
                <w:sz w:val="20"/>
                <w:szCs w:val="20"/>
              </w:rPr>
              <w:t>Treatment Phase:</w:t>
            </w:r>
            <w:r w:rsidRPr="008E6588">
              <w:rPr>
                <w:rFonts w:ascii="Arial Narrow" w:hAnsi="Arial Narrow"/>
                <w:sz w:val="20"/>
                <w:szCs w:val="20"/>
              </w:rPr>
              <w:t xml:space="preserve"> Continuing treatment</w:t>
            </w:r>
            <w:r w:rsidRPr="008E6588">
              <w:rPr>
                <w:rFonts w:ascii="Arial Narrow" w:hAnsi="Arial Narrow" w:cs="Open Sans"/>
                <w:color w:val="333333"/>
                <w:sz w:val="20"/>
                <w:szCs w:val="20"/>
                <w:shd w:val="clear" w:color="auto" w:fill="FFFFFF"/>
              </w:rPr>
              <w:t xml:space="preserve"> </w:t>
            </w:r>
          </w:p>
        </w:tc>
      </w:tr>
      <w:tr w:rsidR="0063273D" w:rsidRPr="008E6588" w14:paraId="5831E9D2" w14:textId="77777777" w:rsidTr="0063273D">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9CA707" w14:textId="108EAF0F" w:rsidR="0063273D" w:rsidRPr="008E6588" w:rsidRDefault="0063273D" w:rsidP="0063273D">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C0816C" w14:textId="77777777" w:rsidR="0063273D" w:rsidRPr="008E6588" w:rsidRDefault="0063273D" w:rsidP="0063273D">
            <w:pPr>
              <w:rPr>
                <w:rFonts w:ascii="Arial Narrow" w:hAnsi="Arial Narrow"/>
                <w:b/>
                <w:bCs/>
                <w:sz w:val="20"/>
                <w:szCs w:val="20"/>
              </w:rPr>
            </w:pPr>
            <w:r w:rsidRPr="008E6588">
              <w:rPr>
                <w:rFonts w:ascii="Arial Narrow" w:hAnsi="Arial Narrow"/>
                <w:b/>
                <w:bCs/>
                <w:sz w:val="20"/>
                <w:szCs w:val="20"/>
              </w:rPr>
              <w:t>Treatment criteria:</w:t>
            </w:r>
          </w:p>
        </w:tc>
      </w:tr>
      <w:tr w:rsidR="0063273D" w:rsidRPr="008E6588" w14:paraId="35763C1C" w14:textId="77777777" w:rsidTr="0063273D">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3F21C" w14:textId="4CDE9A9B" w:rsidR="0063273D" w:rsidRPr="008E6588" w:rsidRDefault="0063273D" w:rsidP="0063273D">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CBE752" w14:textId="2BFF9D7F" w:rsidR="0063273D" w:rsidRPr="008E6588" w:rsidRDefault="0063273D" w:rsidP="0063273D">
            <w:pPr>
              <w:rPr>
                <w:rFonts w:ascii="Arial Narrow" w:hAnsi="Arial Narrow"/>
                <w:sz w:val="20"/>
                <w:szCs w:val="20"/>
              </w:rPr>
            </w:pPr>
            <w:r w:rsidRPr="008E6588">
              <w:rPr>
                <w:rFonts w:ascii="Arial Narrow" w:hAnsi="Arial Narrow"/>
                <w:sz w:val="20"/>
                <w:szCs w:val="20"/>
              </w:rPr>
              <w:t>Must be treated by a medical practitioner who is either a: (</w:t>
            </w:r>
            <w:proofErr w:type="spellStart"/>
            <w:r w:rsidRPr="008E6588">
              <w:rPr>
                <w:rFonts w:ascii="Arial Narrow" w:hAnsi="Arial Narrow"/>
                <w:sz w:val="20"/>
                <w:szCs w:val="20"/>
              </w:rPr>
              <w:t>i</w:t>
            </w:r>
            <w:proofErr w:type="spellEnd"/>
            <w:r w:rsidRPr="008E6588">
              <w:rPr>
                <w:rFonts w:ascii="Arial Narrow" w:hAnsi="Arial Narrow"/>
                <w:sz w:val="20"/>
                <w:szCs w:val="20"/>
              </w:rPr>
              <w:t>) respiratory physician, (ii) clinical immunologist, (iii) allergist, (iv) general physician experienced in the management of patients with severe asthma</w:t>
            </w:r>
          </w:p>
        </w:tc>
      </w:tr>
      <w:tr w:rsidR="0063273D" w:rsidRPr="008E6588" w14:paraId="661B4B9A" w14:textId="77777777" w:rsidTr="0063273D">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CD9D0" w14:textId="12DE0314" w:rsidR="0063273D" w:rsidRPr="008E6588" w:rsidRDefault="0063273D" w:rsidP="0063273D">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6CB9A9" w14:textId="77777777" w:rsidR="0063273D" w:rsidRPr="008E6588" w:rsidRDefault="0063273D" w:rsidP="0063273D">
            <w:pPr>
              <w:rPr>
                <w:rFonts w:ascii="Arial Narrow" w:hAnsi="Arial Narrow"/>
                <w:b/>
                <w:bCs/>
                <w:sz w:val="20"/>
                <w:szCs w:val="20"/>
              </w:rPr>
            </w:pPr>
            <w:r w:rsidRPr="008E6588">
              <w:rPr>
                <w:rFonts w:ascii="Arial Narrow" w:hAnsi="Arial Narrow"/>
                <w:b/>
                <w:bCs/>
                <w:sz w:val="20"/>
                <w:szCs w:val="20"/>
              </w:rPr>
              <w:t>Clinical criteria:</w:t>
            </w:r>
          </w:p>
        </w:tc>
      </w:tr>
      <w:tr w:rsidR="0063273D" w:rsidRPr="008E6588" w14:paraId="1E9A35C1" w14:textId="77777777" w:rsidTr="0063273D">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05087" w14:textId="6A28D6C7" w:rsidR="0063273D" w:rsidRPr="008E6588" w:rsidRDefault="0063273D" w:rsidP="0063273D">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8E1A78" w14:textId="6A12BC5B" w:rsidR="0063273D" w:rsidRPr="008E6588" w:rsidRDefault="0063273D" w:rsidP="0063273D">
            <w:pPr>
              <w:rPr>
                <w:rFonts w:ascii="Arial Narrow" w:hAnsi="Arial Narrow"/>
                <w:sz w:val="20"/>
                <w:szCs w:val="20"/>
              </w:rPr>
            </w:pPr>
            <w:r w:rsidRPr="008E6588">
              <w:rPr>
                <w:rFonts w:ascii="Arial Narrow" w:hAnsi="Arial Narrow"/>
                <w:sz w:val="20"/>
                <w:szCs w:val="20"/>
              </w:rPr>
              <w:t>Patient must have received this drug as their most recent course of PBS-subsidised biological agent treatment for this condition in this treatment cycle</w:t>
            </w:r>
          </w:p>
        </w:tc>
      </w:tr>
      <w:tr w:rsidR="0063273D" w:rsidRPr="008E6588" w14:paraId="012268EB" w14:textId="77777777" w:rsidTr="0063273D">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CDD85" w14:textId="77777777" w:rsidR="0063273D" w:rsidRPr="008E6588" w:rsidRDefault="0063273D" w:rsidP="0063273D">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9AF7D5" w14:textId="77777777" w:rsidR="0063273D" w:rsidRPr="008E6588" w:rsidRDefault="0063273D" w:rsidP="0063273D">
            <w:pPr>
              <w:rPr>
                <w:rFonts w:ascii="Arial Narrow" w:hAnsi="Arial Narrow"/>
                <w:b/>
                <w:bCs/>
                <w:sz w:val="20"/>
                <w:szCs w:val="20"/>
              </w:rPr>
            </w:pPr>
            <w:r w:rsidRPr="008E6588">
              <w:rPr>
                <w:rFonts w:ascii="Arial Narrow" w:hAnsi="Arial Narrow"/>
                <w:b/>
                <w:bCs/>
                <w:sz w:val="20"/>
                <w:szCs w:val="20"/>
              </w:rPr>
              <w:t>AND</w:t>
            </w:r>
          </w:p>
        </w:tc>
      </w:tr>
      <w:tr w:rsidR="0063273D" w:rsidRPr="008E6588" w14:paraId="1C781923" w14:textId="77777777" w:rsidTr="0063273D">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FBE3D" w14:textId="3BC47931" w:rsidR="0063273D" w:rsidRPr="008E6588" w:rsidRDefault="0063273D" w:rsidP="0063273D">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D1ECD8" w14:textId="77777777" w:rsidR="0063273D" w:rsidRPr="008E6588" w:rsidRDefault="0063273D" w:rsidP="0063273D">
            <w:pPr>
              <w:rPr>
                <w:rFonts w:ascii="Arial Narrow" w:hAnsi="Arial Narrow"/>
                <w:b/>
                <w:bCs/>
                <w:sz w:val="20"/>
                <w:szCs w:val="20"/>
              </w:rPr>
            </w:pPr>
            <w:r w:rsidRPr="008E6588">
              <w:rPr>
                <w:rFonts w:ascii="Arial Narrow" w:hAnsi="Arial Narrow"/>
                <w:b/>
                <w:bCs/>
                <w:sz w:val="20"/>
                <w:szCs w:val="20"/>
              </w:rPr>
              <w:t>Clinical criteria:</w:t>
            </w:r>
          </w:p>
        </w:tc>
      </w:tr>
      <w:tr w:rsidR="0063273D" w:rsidRPr="008E6588" w14:paraId="66ED53A3" w14:textId="77777777" w:rsidTr="0063273D">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91CEB" w14:textId="7B6A3207" w:rsidR="0063273D" w:rsidRPr="008E6588" w:rsidRDefault="0063273D" w:rsidP="0063273D">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874EF8" w14:textId="6318A36B" w:rsidR="0063273D" w:rsidRPr="008E6588" w:rsidRDefault="0063273D" w:rsidP="0063273D">
            <w:pPr>
              <w:rPr>
                <w:rFonts w:ascii="Arial Narrow" w:hAnsi="Arial Narrow"/>
                <w:sz w:val="20"/>
                <w:szCs w:val="20"/>
              </w:rPr>
            </w:pPr>
            <w:r w:rsidRPr="008E6588">
              <w:rPr>
                <w:rFonts w:ascii="Arial Narrow" w:hAnsi="Arial Narrow"/>
                <w:sz w:val="20"/>
                <w:szCs w:val="20"/>
              </w:rPr>
              <w:t>Patient must have demonstrated or sustained an adequate response to PBS-subsidised treatment with this drug for this condition</w:t>
            </w:r>
          </w:p>
        </w:tc>
      </w:tr>
      <w:tr w:rsidR="0063273D" w:rsidRPr="008E6588" w14:paraId="0605643D" w14:textId="77777777" w:rsidTr="0063273D">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E825C" w14:textId="77777777" w:rsidR="0063273D" w:rsidRPr="008E6588" w:rsidRDefault="0063273D" w:rsidP="0063273D">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CBDDB5" w14:textId="77777777" w:rsidR="0063273D" w:rsidRPr="008E6588" w:rsidRDefault="0063273D" w:rsidP="0063273D">
            <w:pPr>
              <w:rPr>
                <w:rFonts w:ascii="Arial Narrow" w:hAnsi="Arial Narrow"/>
                <w:b/>
                <w:bCs/>
                <w:sz w:val="20"/>
                <w:szCs w:val="20"/>
              </w:rPr>
            </w:pPr>
            <w:r w:rsidRPr="008E6588">
              <w:rPr>
                <w:rFonts w:ascii="Arial Narrow" w:hAnsi="Arial Narrow"/>
                <w:b/>
                <w:bCs/>
                <w:sz w:val="20"/>
                <w:szCs w:val="20"/>
              </w:rPr>
              <w:t>AND</w:t>
            </w:r>
          </w:p>
        </w:tc>
      </w:tr>
      <w:tr w:rsidR="0063273D" w:rsidRPr="008E6588" w14:paraId="5C6EF39C" w14:textId="77777777" w:rsidTr="0063273D">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338D3" w14:textId="340E1F98" w:rsidR="0063273D" w:rsidRPr="008E6588" w:rsidRDefault="0063273D" w:rsidP="0063273D">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07C721" w14:textId="77777777" w:rsidR="0063273D" w:rsidRPr="008E6588" w:rsidRDefault="0063273D" w:rsidP="0063273D">
            <w:pPr>
              <w:rPr>
                <w:rFonts w:ascii="Arial Narrow" w:hAnsi="Arial Narrow"/>
                <w:b/>
                <w:bCs/>
                <w:sz w:val="20"/>
                <w:szCs w:val="20"/>
              </w:rPr>
            </w:pPr>
            <w:r w:rsidRPr="008E6588">
              <w:rPr>
                <w:rFonts w:ascii="Arial Narrow" w:hAnsi="Arial Narrow"/>
                <w:b/>
                <w:bCs/>
                <w:sz w:val="20"/>
                <w:szCs w:val="20"/>
              </w:rPr>
              <w:t>Clinical criteria:</w:t>
            </w:r>
          </w:p>
        </w:tc>
      </w:tr>
      <w:tr w:rsidR="0063273D" w:rsidRPr="008E6588" w14:paraId="244186BD" w14:textId="77777777" w:rsidTr="0063273D">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4917A" w14:textId="1CDED72C" w:rsidR="0063273D" w:rsidRPr="008E6588" w:rsidRDefault="0063273D" w:rsidP="0063273D">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CDABB8" w14:textId="5473B011" w:rsidR="0063273D" w:rsidRPr="008E6588" w:rsidRDefault="0063273D" w:rsidP="0063273D">
            <w:pPr>
              <w:rPr>
                <w:rFonts w:ascii="Arial Narrow" w:hAnsi="Arial Narrow"/>
                <w:sz w:val="20"/>
                <w:szCs w:val="20"/>
              </w:rPr>
            </w:pPr>
            <w:r w:rsidRPr="008E6588">
              <w:rPr>
                <w:rFonts w:ascii="Arial Narrow" w:hAnsi="Arial Narrow"/>
                <w:sz w:val="20"/>
                <w:szCs w:val="20"/>
              </w:rPr>
              <w:t>The treatment must not be used in combination with and within 4 weeks of another PBS-subsidised biological medicine prescribed for severe asthma</w:t>
            </w:r>
          </w:p>
        </w:tc>
      </w:tr>
      <w:tr w:rsidR="0063273D" w:rsidRPr="008E6588" w14:paraId="3C2600A3" w14:textId="77777777" w:rsidTr="0063273D">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AD2C9" w14:textId="77777777" w:rsidR="0063273D" w:rsidRPr="008E6588" w:rsidRDefault="0063273D" w:rsidP="0063273D">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D51F7E" w14:textId="77777777" w:rsidR="0063273D" w:rsidRPr="008E6588" w:rsidRDefault="0063273D" w:rsidP="0063273D">
            <w:pPr>
              <w:rPr>
                <w:rFonts w:ascii="Arial Narrow" w:hAnsi="Arial Narrow"/>
                <w:b/>
                <w:bCs/>
                <w:sz w:val="20"/>
                <w:szCs w:val="20"/>
              </w:rPr>
            </w:pPr>
            <w:r w:rsidRPr="008E6588">
              <w:rPr>
                <w:rFonts w:ascii="Arial Narrow" w:hAnsi="Arial Narrow"/>
                <w:b/>
                <w:bCs/>
                <w:sz w:val="20"/>
                <w:szCs w:val="20"/>
              </w:rPr>
              <w:t>AND</w:t>
            </w:r>
          </w:p>
        </w:tc>
      </w:tr>
      <w:tr w:rsidR="0063273D" w:rsidRPr="008E6588" w14:paraId="2A5E9B6A" w14:textId="77777777" w:rsidTr="0063273D">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F346AF" w14:textId="2BF17B5E" w:rsidR="0063273D" w:rsidRPr="008E6588" w:rsidRDefault="0063273D" w:rsidP="0063273D">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EB5667" w14:textId="77777777" w:rsidR="0063273D" w:rsidRPr="008E6588" w:rsidRDefault="0063273D" w:rsidP="0063273D">
            <w:pPr>
              <w:rPr>
                <w:rFonts w:ascii="Arial Narrow" w:hAnsi="Arial Narrow"/>
                <w:b/>
                <w:bCs/>
                <w:sz w:val="20"/>
                <w:szCs w:val="20"/>
              </w:rPr>
            </w:pPr>
            <w:r w:rsidRPr="008E6588">
              <w:rPr>
                <w:rFonts w:ascii="Arial Narrow" w:hAnsi="Arial Narrow"/>
                <w:b/>
                <w:bCs/>
                <w:sz w:val="20"/>
                <w:szCs w:val="20"/>
              </w:rPr>
              <w:t>Clinical criteria:</w:t>
            </w:r>
          </w:p>
        </w:tc>
      </w:tr>
      <w:tr w:rsidR="0063273D" w:rsidRPr="008E6588" w14:paraId="0E47B670" w14:textId="77777777" w:rsidTr="0063273D">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CFDDD" w14:textId="6A168A74" w:rsidR="0063273D" w:rsidRPr="008E6588" w:rsidRDefault="0063273D" w:rsidP="0063273D">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23BE48" w14:textId="17754F3E" w:rsidR="0063273D" w:rsidRPr="008E6588" w:rsidRDefault="0063273D" w:rsidP="0063273D">
            <w:pPr>
              <w:rPr>
                <w:rFonts w:ascii="Arial Narrow" w:hAnsi="Arial Narrow"/>
                <w:sz w:val="20"/>
                <w:szCs w:val="20"/>
              </w:rPr>
            </w:pPr>
            <w:r w:rsidRPr="008E6588">
              <w:rPr>
                <w:rFonts w:ascii="Arial Narrow" w:hAnsi="Arial Narrow"/>
                <w:sz w:val="20"/>
                <w:szCs w:val="20"/>
              </w:rPr>
              <w:t>Patient must not receive more than 24 weeks of treatment under this restriction</w:t>
            </w:r>
          </w:p>
        </w:tc>
      </w:tr>
      <w:tr w:rsidR="0063273D" w:rsidRPr="008E6588" w14:paraId="3D523122" w14:textId="77777777" w:rsidTr="0063273D">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E97EA" w14:textId="7DCA8504" w:rsidR="0063273D" w:rsidRPr="008E6588" w:rsidRDefault="0063273D" w:rsidP="0063273D">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86D2CF" w14:textId="77777777" w:rsidR="0063273D" w:rsidRPr="008E6588" w:rsidRDefault="0063273D" w:rsidP="0063273D">
            <w:pPr>
              <w:rPr>
                <w:rFonts w:ascii="Arial Narrow" w:hAnsi="Arial Narrow"/>
                <w:b/>
                <w:bCs/>
                <w:sz w:val="20"/>
                <w:szCs w:val="20"/>
              </w:rPr>
            </w:pPr>
            <w:r w:rsidRPr="008E6588">
              <w:rPr>
                <w:rFonts w:ascii="Arial Narrow" w:hAnsi="Arial Narrow"/>
                <w:b/>
                <w:bCs/>
                <w:sz w:val="20"/>
                <w:szCs w:val="20"/>
              </w:rPr>
              <w:t>Population criteria:</w:t>
            </w:r>
          </w:p>
        </w:tc>
      </w:tr>
      <w:tr w:rsidR="0063273D" w:rsidRPr="008E6588" w14:paraId="6847AEB1" w14:textId="77777777" w:rsidTr="0063273D">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3A857" w14:textId="5D5DD47A" w:rsidR="0063273D" w:rsidRPr="008E6588" w:rsidRDefault="0063273D" w:rsidP="0063273D">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CDD3EA" w14:textId="2C6644EB" w:rsidR="0063273D" w:rsidRPr="008E6588" w:rsidRDefault="0063273D" w:rsidP="0063273D">
            <w:pPr>
              <w:rPr>
                <w:rFonts w:ascii="Arial Narrow" w:hAnsi="Arial Narrow"/>
                <w:sz w:val="20"/>
                <w:szCs w:val="20"/>
              </w:rPr>
            </w:pPr>
            <w:r w:rsidRPr="008E6588">
              <w:rPr>
                <w:rFonts w:ascii="Arial Narrow" w:hAnsi="Arial Narrow"/>
                <w:sz w:val="20"/>
                <w:szCs w:val="20"/>
              </w:rPr>
              <w:t>Patient must be aged 12 years or older</w:t>
            </w:r>
          </w:p>
        </w:tc>
      </w:tr>
      <w:tr w:rsidR="0063273D" w:rsidRPr="008E6588" w14:paraId="11307ACF" w14:textId="77777777" w:rsidTr="0063273D">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5B1B7" w14:textId="73AD270E" w:rsidR="0063273D" w:rsidRPr="008E6588" w:rsidRDefault="0063273D" w:rsidP="0063273D">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7F8528" w14:textId="77777777" w:rsidR="0063273D" w:rsidRPr="008E6588" w:rsidRDefault="0063273D" w:rsidP="0063273D">
            <w:pPr>
              <w:rPr>
                <w:rFonts w:ascii="Arial Narrow" w:hAnsi="Arial Narrow"/>
                <w:b/>
                <w:bCs/>
                <w:sz w:val="20"/>
                <w:szCs w:val="20"/>
              </w:rPr>
            </w:pPr>
            <w:r w:rsidRPr="008E6588">
              <w:rPr>
                <w:rFonts w:ascii="Arial Narrow" w:hAnsi="Arial Narrow"/>
                <w:b/>
                <w:bCs/>
                <w:sz w:val="20"/>
                <w:szCs w:val="20"/>
              </w:rPr>
              <w:t>Prescribing Instructions:</w:t>
            </w:r>
          </w:p>
          <w:p w14:paraId="21243AE8" w14:textId="77777777" w:rsidR="0063273D" w:rsidRPr="008E6588" w:rsidRDefault="0063273D" w:rsidP="0063273D">
            <w:pPr>
              <w:rPr>
                <w:rFonts w:ascii="Arial Narrow" w:hAnsi="Arial Narrow"/>
                <w:sz w:val="20"/>
                <w:szCs w:val="20"/>
              </w:rPr>
            </w:pPr>
            <w:r w:rsidRPr="008E6588">
              <w:rPr>
                <w:rFonts w:ascii="Arial Narrow" w:hAnsi="Arial Narrow"/>
                <w:sz w:val="20"/>
                <w:szCs w:val="20"/>
              </w:rPr>
              <w:t>An adequate response to omalizumab treatment is defined as:</w:t>
            </w:r>
          </w:p>
          <w:p w14:paraId="05F49500" w14:textId="77777777" w:rsidR="0063273D" w:rsidRPr="008E6588" w:rsidRDefault="0063273D" w:rsidP="0063273D">
            <w:pPr>
              <w:rPr>
                <w:rFonts w:ascii="Arial Narrow" w:hAnsi="Arial Narrow"/>
                <w:sz w:val="20"/>
                <w:szCs w:val="20"/>
              </w:rPr>
            </w:pPr>
            <w:r w:rsidRPr="008E6588">
              <w:rPr>
                <w:rFonts w:ascii="Arial Narrow" w:hAnsi="Arial Narrow"/>
                <w:sz w:val="20"/>
                <w:szCs w:val="20"/>
              </w:rPr>
              <w:t>(a) a reduction in the Asthma Control Questionnaire (ACQ-5) score of at least 0.5 from baseline, OR</w:t>
            </w:r>
          </w:p>
          <w:p w14:paraId="1304D5C1" w14:textId="77777777" w:rsidR="0063273D" w:rsidRPr="008E6588" w:rsidRDefault="0063273D" w:rsidP="0063273D">
            <w:pPr>
              <w:rPr>
                <w:rFonts w:ascii="Arial Narrow" w:hAnsi="Arial Narrow"/>
                <w:sz w:val="20"/>
                <w:szCs w:val="20"/>
              </w:rPr>
            </w:pPr>
            <w:r w:rsidRPr="008E6588">
              <w:rPr>
                <w:rFonts w:ascii="Arial Narrow" w:hAnsi="Arial Narrow"/>
                <w:sz w:val="20"/>
                <w:szCs w:val="20"/>
              </w:rPr>
              <w:t>(b) maintenance oral corticosteroid dose reduced by at least 25% from baseline, and no deterioration in ACQ-5 score from baseline or an increase in ACQ-5 score from baseline less than or equal to 0.5, OR</w:t>
            </w:r>
          </w:p>
          <w:p w14:paraId="3B88FBCB" w14:textId="77777777" w:rsidR="0063273D" w:rsidRPr="008E6588" w:rsidRDefault="0063273D" w:rsidP="0063273D">
            <w:pPr>
              <w:rPr>
                <w:rFonts w:ascii="Arial Narrow" w:hAnsi="Arial Narrow"/>
                <w:b/>
                <w:bCs/>
                <w:sz w:val="20"/>
                <w:szCs w:val="20"/>
              </w:rPr>
            </w:pPr>
            <w:r w:rsidRPr="008E6588">
              <w:rPr>
                <w:rFonts w:ascii="Arial Narrow" w:hAnsi="Arial Narrow"/>
                <w:sz w:val="20"/>
                <w:szCs w:val="20"/>
              </w:rPr>
              <w:t>(c) a reduction in the time-adjusted exacerbation rates compared to the 12 months prior to baseline (this criterion is only applicable for patients transitioned from the paediatric to the adolescent/adult restriction).</w:t>
            </w:r>
          </w:p>
        </w:tc>
      </w:tr>
      <w:tr w:rsidR="0063273D" w:rsidRPr="008E6588" w14:paraId="382727FB" w14:textId="77777777" w:rsidTr="0063273D">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4056F" w14:textId="54C04303" w:rsidR="0063273D" w:rsidRPr="008E6588" w:rsidRDefault="0063273D" w:rsidP="0063273D">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B12993" w14:textId="77777777" w:rsidR="0063273D" w:rsidRPr="008E6588" w:rsidRDefault="0063273D" w:rsidP="0063273D">
            <w:pPr>
              <w:rPr>
                <w:rFonts w:ascii="Arial Narrow" w:hAnsi="Arial Narrow"/>
                <w:b/>
                <w:bCs/>
                <w:sz w:val="20"/>
                <w:szCs w:val="20"/>
              </w:rPr>
            </w:pPr>
            <w:r w:rsidRPr="008E6588">
              <w:rPr>
                <w:rFonts w:ascii="Arial Narrow" w:hAnsi="Arial Narrow"/>
                <w:b/>
                <w:bCs/>
                <w:sz w:val="20"/>
                <w:szCs w:val="20"/>
              </w:rPr>
              <w:t>Prescribing Instructions:</w:t>
            </w:r>
          </w:p>
          <w:p w14:paraId="3894B35C" w14:textId="77777777" w:rsidR="0063273D" w:rsidRPr="008E6588" w:rsidRDefault="0063273D" w:rsidP="0063273D">
            <w:pPr>
              <w:rPr>
                <w:rFonts w:ascii="Arial Narrow" w:hAnsi="Arial Narrow"/>
                <w:sz w:val="20"/>
                <w:szCs w:val="20"/>
              </w:rPr>
            </w:pPr>
            <w:r w:rsidRPr="008E6588">
              <w:rPr>
                <w:rFonts w:ascii="Arial Narrow" w:hAnsi="Arial Narrow"/>
                <w:sz w:val="20"/>
                <w:szCs w:val="20"/>
              </w:rPr>
              <w:t>All applications for second and subsequent continuing treatments with this drug must include a measurement of response to the prior course of therapy. The Asthma Control Questionnaire (5 item version) assessment of the patient's response to the prior course of treatment, the assessment of oral corticosteroid dose or the assessment of time adjusted exacerbation rate should be made from 20 weeks after the first PBS-subsidised dose of this drug under this restriction so that there is adequate time for a response to be demonstrated.</w:t>
            </w:r>
          </w:p>
          <w:p w14:paraId="3BB1AAC9" w14:textId="77777777" w:rsidR="0063273D" w:rsidRPr="008E6588" w:rsidRDefault="0063273D" w:rsidP="0063273D">
            <w:pPr>
              <w:rPr>
                <w:rFonts w:ascii="Arial Narrow" w:hAnsi="Arial Narrow"/>
                <w:sz w:val="20"/>
                <w:szCs w:val="20"/>
              </w:rPr>
            </w:pPr>
            <w:r w:rsidRPr="008E6588">
              <w:rPr>
                <w:rFonts w:ascii="Arial Narrow" w:hAnsi="Arial Narrow"/>
                <w:sz w:val="20"/>
                <w:szCs w:val="20"/>
              </w:rPr>
              <w:t>The assessment should, where possible, be completed by the same physician who initiated treatment with this drug. Where a response assessment is not undertaken and provided at the time of application, the patient will be deemed to have failed to respond to treatment with this drug.</w:t>
            </w:r>
          </w:p>
          <w:p w14:paraId="29F1BD1C" w14:textId="77777777" w:rsidR="0063273D" w:rsidRPr="008E6588" w:rsidRDefault="0063273D" w:rsidP="0063273D">
            <w:pPr>
              <w:rPr>
                <w:rFonts w:ascii="Arial Narrow" w:hAnsi="Arial Narrow"/>
                <w:sz w:val="20"/>
                <w:szCs w:val="20"/>
              </w:rPr>
            </w:pPr>
            <w:r w:rsidRPr="008E6588">
              <w:rPr>
                <w:rFonts w:ascii="Arial Narrow" w:hAnsi="Arial Narrow"/>
                <w:sz w:val="20"/>
                <w:szCs w:val="20"/>
              </w:rPr>
              <w:t>Where treatment was ceased for clinical reasons despite the patient experiencing improvement, an assessment of the patient's response to treatment made at the time of treatment cessation or retrospectively will be considered to determine whether the patient demonstrated or sustained an adequate response to treatment.</w:t>
            </w:r>
          </w:p>
          <w:p w14:paraId="39F097B7" w14:textId="77777777" w:rsidR="0063273D" w:rsidRPr="008E6588" w:rsidRDefault="0063273D" w:rsidP="0063273D">
            <w:pPr>
              <w:rPr>
                <w:rFonts w:ascii="Arial Narrow" w:hAnsi="Arial Narrow"/>
                <w:sz w:val="20"/>
                <w:szCs w:val="20"/>
              </w:rPr>
            </w:pPr>
            <w:r w:rsidRPr="008E6588">
              <w:rPr>
                <w:rFonts w:ascii="Arial Narrow" w:hAnsi="Arial Narrow"/>
                <w:sz w:val="20"/>
                <w:szCs w:val="20"/>
              </w:rPr>
              <w:t>A patient who fails to respond to treatment with this biological medicine for uncontrolled severe asthma will not be eligible to receive further PBS-subsidised treatment with this biological medicine for severe asthma within the current treatment cycle.</w:t>
            </w:r>
          </w:p>
          <w:p w14:paraId="5DF91854" w14:textId="77777777" w:rsidR="0063273D" w:rsidRPr="008E6588" w:rsidRDefault="0063273D" w:rsidP="0063273D">
            <w:pPr>
              <w:rPr>
                <w:rFonts w:ascii="Arial Narrow" w:hAnsi="Arial Narrow"/>
                <w:b/>
                <w:bCs/>
                <w:sz w:val="20"/>
                <w:szCs w:val="20"/>
              </w:rPr>
            </w:pPr>
            <w:r w:rsidRPr="008E6588">
              <w:rPr>
                <w:rFonts w:ascii="Arial Narrow" w:hAnsi="Arial Narrow"/>
                <w:sz w:val="20"/>
                <w:szCs w:val="20"/>
              </w:rPr>
              <w:t>At the time of the authority application, medical practitioners should request the appropriate quantity and number of repeats to provide for a continuing course of this biological medicine consisting of the recommended number of doses for the baseline IgE level and body weight of the patient (refer to the TGA-approved Product Information), sufficient for up to 24 weeks of therapy.</w:t>
            </w:r>
          </w:p>
        </w:tc>
      </w:tr>
      <w:tr w:rsidR="0063273D" w:rsidRPr="008E6588" w14:paraId="62231112" w14:textId="77777777" w:rsidTr="0063273D">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59D60" w14:textId="6ED7BEE7" w:rsidR="0063273D" w:rsidRPr="008E6588" w:rsidRDefault="0063273D" w:rsidP="0063273D">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E359DF" w14:textId="77777777" w:rsidR="0063273D" w:rsidRPr="008E6588" w:rsidRDefault="0063273D" w:rsidP="0063273D">
            <w:pPr>
              <w:rPr>
                <w:rFonts w:ascii="Arial Narrow" w:hAnsi="Arial Narrow"/>
                <w:b/>
                <w:bCs/>
                <w:sz w:val="20"/>
                <w:szCs w:val="20"/>
              </w:rPr>
            </w:pPr>
            <w:r w:rsidRPr="008E6588">
              <w:rPr>
                <w:rFonts w:ascii="Arial Narrow" w:hAnsi="Arial Narrow"/>
                <w:b/>
                <w:bCs/>
                <w:sz w:val="20"/>
                <w:szCs w:val="20"/>
              </w:rPr>
              <w:t>Prescribing Instructions:</w:t>
            </w:r>
          </w:p>
          <w:p w14:paraId="7CFB8C5C" w14:textId="77777777" w:rsidR="0063273D" w:rsidRPr="008E6588" w:rsidRDefault="0063273D" w:rsidP="0063273D">
            <w:pPr>
              <w:rPr>
                <w:rFonts w:ascii="Arial Narrow" w:hAnsi="Arial Narrow"/>
                <w:sz w:val="20"/>
                <w:szCs w:val="20"/>
              </w:rPr>
            </w:pPr>
            <w:r w:rsidRPr="008E6588">
              <w:rPr>
                <w:rFonts w:ascii="Arial Narrow" w:hAnsi="Arial Narrow"/>
                <w:sz w:val="20"/>
                <w:szCs w:val="20"/>
              </w:rPr>
              <w:t>The following information must be provided at the time of application and must be documented in the patient's medical records:</w:t>
            </w:r>
          </w:p>
          <w:p w14:paraId="5944A925" w14:textId="77777777" w:rsidR="0063273D" w:rsidRPr="008E6588" w:rsidRDefault="0063273D" w:rsidP="0063273D">
            <w:pPr>
              <w:rPr>
                <w:rFonts w:ascii="Arial Narrow" w:hAnsi="Arial Narrow"/>
                <w:sz w:val="20"/>
                <w:szCs w:val="20"/>
              </w:rPr>
            </w:pPr>
            <w:r w:rsidRPr="008E6588">
              <w:rPr>
                <w:rFonts w:ascii="Arial Narrow" w:hAnsi="Arial Narrow"/>
                <w:sz w:val="20"/>
                <w:szCs w:val="20"/>
              </w:rPr>
              <w:t>(a) Asthma Control Questionnaire (ACQ-5) score; and</w:t>
            </w:r>
          </w:p>
          <w:p w14:paraId="3A19D6DE" w14:textId="77777777" w:rsidR="0063273D" w:rsidRPr="008E6588" w:rsidRDefault="0063273D" w:rsidP="0063273D">
            <w:pPr>
              <w:rPr>
                <w:rFonts w:ascii="Arial Narrow" w:hAnsi="Arial Narrow"/>
                <w:sz w:val="20"/>
                <w:szCs w:val="20"/>
              </w:rPr>
            </w:pPr>
            <w:r w:rsidRPr="008E6588">
              <w:rPr>
                <w:rFonts w:ascii="Arial Narrow" w:hAnsi="Arial Narrow"/>
                <w:sz w:val="20"/>
                <w:szCs w:val="20"/>
              </w:rPr>
              <w:t>(b) If applicable, maintenance oral corticosteroid dose; and</w:t>
            </w:r>
          </w:p>
          <w:p w14:paraId="0C54E81B" w14:textId="77777777" w:rsidR="0063273D" w:rsidRPr="008E6588" w:rsidRDefault="0063273D" w:rsidP="0063273D">
            <w:pPr>
              <w:rPr>
                <w:rFonts w:ascii="Arial Narrow" w:hAnsi="Arial Narrow"/>
                <w:sz w:val="20"/>
                <w:szCs w:val="20"/>
              </w:rPr>
            </w:pPr>
            <w:r w:rsidRPr="008E6588">
              <w:rPr>
                <w:rFonts w:ascii="Arial Narrow" w:hAnsi="Arial Narrow"/>
                <w:sz w:val="20"/>
                <w:szCs w:val="20"/>
              </w:rPr>
              <w:t>(c) For patients transitioned from the paediatric to the adolescent/adult restrictions, confirmation that the time-adjusted exacerbation rate has reduced.</w:t>
            </w:r>
          </w:p>
          <w:p w14:paraId="3059050A" w14:textId="77777777" w:rsidR="0063273D" w:rsidRPr="008E6588" w:rsidRDefault="0063273D" w:rsidP="0063273D">
            <w:pPr>
              <w:rPr>
                <w:rFonts w:ascii="Arial Narrow" w:hAnsi="Arial Narrow"/>
                <w:b/>
                <w:bCs/>
                <w:sz w:val="20"/>
                <w:szCs w:val="20"/>
              </w:rPr>
            </w:pPr>
            <w:r w:rsidRPr="008E6588">
              <w:rPr>
                <w:rFonts w:ascii="Arial Narrow" w:hAnsi="Arial Narrow"/>
                <w:sz w:val="20"/>
                <w:szCs w:val="20"/>
              </w:rPr>
              <w:t>The most recent Asthma Control Questionnaire (ACQ-5) score must be no more than 4 weeks old at the time of application.</w:t>
            </w:r>
          </w:p>
        </w:tc>
      </w:tr>
    </w:tbl>
    <w:p w14:paraId="208CE67F" w14:textId="77777777" w:rsidR="004164CF" w:rsidRPr="008E6588" w:rsidRDefault="004164CF" w:rsidP="004164CF">
      <w:pPr>
        <w:rPr>
          <w:rFonts w:ascii="Arial Narrow" w:hAnsi="Arial Narrow"/>
          <w:sz w:val="20"/>
          <w:szCs w:val="20"/>
        </w:rPr>
      </w:pPr>
    </w:p>
    <w:tbl>
      <w:tblPr>
        <w:tblW w:w="499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commended listing"/>
        <w:tblDescription w:val="Uncontrolled severe asthma - continuing treatment&#10;omalizumab 150 mg/mL injection, 1 mL syringe - item code 11824H/ Public&#10;omalizumab 150 mg/mL injection, 1 mL syringe - item code 11864K/ Private&#10;omalizumab 150 mg/mL injection, 1 mL pen device - NEW item / Public&#10;omalizumab 150 mg/mL injection, 1 mL pen device - NEW item / Private&#10;"/>
      </w:tblPr>
      <w:tblGrid>
        <w:gridCol w:w="563"/>
        <w:gridCol w:w="710"/>
        <w:gridCol w:w="3110"/>
        <w:gridCol w:w="993"/>
        <w:gridCol w:w="993"/>
        <w:gridCol w:w="993"/>
        <w:gridCol w:w="707"/>
        <w:gridCol w:w="945"/>
      </w:tblGrid>
      <w:tr w:rsidR="00FF5FC3" w:rsidRPr="008E6588" w14:paraId="7804D9DE" w14:textId="77777777" w:rsidTr="00836DB5">
        <w:trPr>
          <w:cantSplit/>
          <w:trHeight w:val="20"/>
        </w:trPr>
        <w:tc>
          <w:tcPr>
            <w:tcW w:w="2431" w:type="pct"/>
            <w:gridSpan w:val="3"/>
            <w:vAlign w:val="center"/>
          </w:tcPr>
          <w:p w14:paraId="592023F5" w14:textId="77777777" w:rsidR="00FF5FC3" w:rsidRPr="008E6588" w:rsidRDefault="00FF5FC3" w:rsidP="00836DB5">
            <w:pPr>
              <w:keepLines/>
              <w:jc w:val="left"/>
              <w:rPr>
                <w:rFonts w:ascii="Arial Narrow" w:hAnsi="Arial Narrow" w:cs="Arial"/>
                <w:b/>
                <w:bCs/>
                <w:sz w:val="20"/>
                <w:szCs w:val="20"/>
              </w:rPr>
            </w:pPr>
            <w:r w:rsidRPr="008E6588">
              <w:rPr>
                <w:rFonts w:ascii="Arial Narrow" w:hAnsi="Arial Narrow" w:cs="Arial"/>
                <w:b/>
                <w:bCs/>
                <w:sz w:val="20"/>
                <w:szCs w:val="20"/>
              </w:rPr>
              <w:t>MEDICINAL PRODUCT</w:t>
            </w:r>
          </w:p>
          <w:p w14:paraId="41105388" w14:textId="77777777" w:rsidR="00FF5FC3" w:rsidRPr="008E6588" w:rsidRDefault="00FF5FC3" w:rsidP="00836DB5">
            <w:pPr>
              <w:keepLines/>
              <w:jc w:val="left"/>
              <w:rPr>
                <w:rFonts w:ascii="Arial Narrow" w:hAnsi="Arial Narrow" w:cs="Arial"/>
                <w:b/>
                <w:bCs/>
                <w:sz w:val="20"/>
                <w:szCs w:val="20"/>
              </w:rPr>
            </w:pPr>
            <w:r w:rsidRPr="008E6588">
              <w:rPr>
                <w:rFonts w:ascii="Arial Narrow" w:hAnsi="Arial Narrow" w:cs="Arial"/>
                <w:b/>
                <w:bCs/>
                <w:sz w:val="20"/>
                <w:szCs w:val="20"/>
              </w:rPr>
              <w:t>medicinal product pack</w:t>
            </w:r>
          </w:p>
        </w:tc>
        <w:tc>
          <w:tcPr>
            <w:tcW w:w="551" w:type="pct"/>
            <w:vAlign w:val="center"/>
          </w:tcPr>
          <w:p w14:paraId="2A6166F8" w14:textId="77777777" w:rsidR="00FF5FC3" w:rsidRPr="008E6588" w:rsidRDefault="00FF5FC3" w:rsidP="00836DB5">
            <w:pPr>
              <w:keepLines/>
              <w:jc w:val="left"/>
              <w:rPr>
                <w:rFonts w:ascii="Arial Narrow" w:hAnsi="Arial Narrow" w:cs="Arial"/>
                <w:b/>
                <w:bCs/>
                <w:sz w:val="20"/>
                <w:szCs w:val="20"/>
              </w:rPr>
            </w:pPr>
            <w:r w:rsidRPr="008E6588">
              <w:rPr>
                <w:rFonts w:ascii="Arial Narrow" w:hAnsi="Arial Narrow" w:cs="Arial"/>
                <w:b/>
                <w:bCs/>
                <w:sz w:val="20"/>
                <w:szCs w:val="20"/>
              </w:rPr>
              <w:t>PBS item code</w:t>
            </w:r>
          </w:p>
        </w:tc>
        <w:tc>
          <w:tcPr>
            <w:tcW w:w="551" w:type="pct"/>
            <w:vAlign w:val="center"/>
          </w:tcPr>
          <w:p w14:paraId="75B7F468" w14:textId="77777777" w:rsidR="00FF5FC3" w:rsidRPr="008E6588" w:rsidRDefault="00FF5FC3" w:rsidP="00836DB5">
            <w:pPr>
              <w:keepLines/>
              <w:jc w:val="left"/>
              <w:rPr>
                <w:rFonts w:ascii="Arial Narrow" w:hAnsi="Arial Narrow" w:cs="Arial"/>
                <w:b/>
                <w:bCs/>
                <w:sz w:val="20"/>
                <w:szCs w:val="20"/>
              </w:rPr>
            </w:pPr>
            <w:r w:rsidRPr="008E6588">
              <w:rPr>
                <w:rFonts w:ascii="Arial Narrow" w:hAnsi="Arial Narrow" w:cs="Arial"/>
                <w:b/>
                <w:bCs/>
                <w:sz w:val="20"/>
                <w:szCs w:val="20"/>
              </w:rPr>
              <w:t>Max. qty packs</w:t>
            </w:r>
          </w:p>
        </w:tc>
        <w:tc>
          <w:tcPr>
            <w:tcW w:w="551" w:type="pct"/>
            <w:vAlign w:val="center"/>
          </w:tcPr>
          <w:p w14:paraId="2D284274" w14:textId="77777777" w:rsidR="00FF5FC3" w:rsidRPr="008E6588" w:rsidRDefault="00FF5FC3" w:rsidP="00836DB5">
            <w:pPr>
              <w:keepLines/>
              <w:jc w:val="left"/>
              <w:rPr>
                <w:rFonts w:ascii="Arial Narrow" w:hAnsi="Arial Narrow" w:cs="Arial"/>
                <w:b/>
                <w:bCs/>
                <w:sz w:val="20"/>
                <w:szCs w:val="20"/>
              </w:rPr>
            </w:pPr>
            <w:r w:rsidRPr="008E6588">
              <w:rPr>
                <w:rFonts w:ascii="Arial Narrow" w:hAnsi="Arial Narrow" w:cs="Arial"/>
                <w:b/>
                <w:bCs/>
                <w:sz w:val="20"/>
                <w:szCs w:val="20"/>
              </w:rPr>
              <w:t>Max. qty units</w:t>
            </w:r>
          </w:p>
        </w:tc>
        <w:tc>
          <w:tcPr>
            <w:tcW w:w="392" w:type="pct"/>
            <w:vAlign w:val="center"/>
          </w:tcPr>
          <w:p w14:paraId="7C8A1B9A" w14:textId="77777777" w:rsidR="00FF5FC3" w:rsidRPr="008E6588" w:rsidRDefault="00FF5FC3" w:rsidP="00836DB5">
            <w:pPr>
              <w:keepLines/>
              <w:jc w:val="left"/>
              <w:rPr>
                <w:rFonts w:ascii="Arial Narrow" w:hAnsi="Arial Narrow" w:cs="Arial"/>
                <w:b/>
                <w:bCs/>
                <w:sz w:val="20"/>
                <w:szCs w:val="20"/>
              </w:rPr>
            </w:pPr>
            <w:proofErr w:type="gramStart"/>
            <w:r w:rsidRPr="008E6588">
              <w:rPr>
                <w:rFonts w:ascii="Arial Narrow" w:hAnsi="Arial Narrow" w:cs="Arial"/>
                <w:b/>
                <w:bCs/>
                <w:sz w:val="20"/>
                <w:szCs w:val="20"/>
              </w:rPr>
              <w:t>№.of</w:t>
            </w:r>
            <w:proofErr w:type="gramEnd"/>
          </w:p>
          <w:p w14:paraId="5951DD60" w14:textId="77777777" w:rsidR="00FF5FC3" w:rsidRPr="008E6588" w:rsidRDefault="00FF5FC3" w:rsidP="00836DB5">
            <w:pPr>
              <w:keepLines/>
              <w:jc w:val="left"/>
              <w:rPr>
                <w:rFonts w:ascii="Arial Narrow" w:hAnsi="Arial Narrow" w:cs="Arial"/>
                <w:b/>
                <w:bCs/>
                <w:sz w:val="20"/>
                <w:szCs w:val="20"/>
              </w:rPr>
            </w:pPr>
            <w:r w:rsidRPr="008E6588">
              <w:rPr>
                <w:rFonts w:ascii="Arial Narrow" w:hAnsi="Arial Narrow" w:cs="Arial"/>
                <w:b/>
                <w:bCs/>
                <w:sz w:val="20"/>
                <w:szCs w:val="20"/>
              </w:rPr>
              <w:t>Rpts</w:t>
            </w:r>
          </w:p>
        </w:tc>
        <w:tc>
          <w:tcPr>
            <w:tcW w:w="524" w:type="pct"/>
            <w:vAlign w:val="center"/>
          </w:tcPr>
          <w:p w14:paraId="34A6A496" w14:textId="77777777" w:rsidR="00FF5FC3" w:rsidRPr="008E6588" w:rsidRDefault="00FF5FC3" w:rsidP="00836DB5">
            <w:pPr>
              <w:keepLines/>
              <w:jc w:val="left"/>
              <w:rPr>
                <w:rFonts w:ascii="Arial Narrow" w:hAnsi="Arial Narrow" w:cs="Arial"/>
                <w:b/>
                <w:bCs/>
                <w:sz w:val="20"/>
                <w:szCs w:val="20"/>
              </w:rPr>
            </w:pPr>
            <w:r w:rsidRPr="008E6588">
              <w:rPr>
                <w:rFonts w:ascii="Arial Narrow" w:hAnsi="Arial Narrow" w:cs="Arial"/>
                <w:b/>
                <w:bCs/>
                <w:sz w:val="20"/>
                <w:szCs w:val="20"/>
              </w:rPr>
              <w:t>Available brands</w:t>
            </w:r>
          </w:p>
        </w:tc>
      </w:tr>
      <w:tr w:rsidR="00FF5FC3" w:rsidRPr="008E6588" w14:paraId="0E8AE3CB" w14:textId="77777777" w:rsidTr="00836DB5">
        <w:trPr>
          <w:cantSplit/>
          <w:trHeight w:val="20"/>
        </w:trPr>
        <w:tc>
          <w:tcPr>
            <w:tcW w:w="5000" w:type="pct"/>
            <w:gridSpan w:val="8"/>
            <w:vAlign w:val="center"/>
          </w:tcPr>
          <w:p w14:paraId="6D270F82" w14:textId="77777777" w:rsidR="00FF5FC3" w:rsidRPr="008E6588" w:rsidRDefault="00FF5FC3" w:rsidP="00836DB5">
            <w:pPr>
              <w:keepLines/>
              <w:jc w:val="left"/>
              <w:rPr>
                <w:rFonts w:ascii="Arial Narrow" w:hAnsi="Arial Narrow" w:cs="Arial"/>
                <w:sz w:val="20"/>
                <w:szCs w:val="20"/>
              </w:rPr>
            </w:pPr>
            <w:r w:rsidRPr="008E6588">
              <w:rPr>
                <w:rFonts w:ascii="Arial Narrow" w:hAnsi="Arial Narrow" w:cs="Arial"/>
                <w:sz w:val="20"/>
                <w:szCs w:val="20"/>
              </w:rPr>
              <w:t>OMALIZUMAB</w:t>
            </w:r>
          </w:p>
        </w:tc>
      </w:tr>
      <w:tr w:rsidR="00EB1567" w:rsidRPr="008E6588" w14:paraId="4DEC1F24" w14:textId="77777777" w:rsidTr="00045102">
        <w:trPr>
          <w:cantSplit/>
          <w:trHeight w:val="20"/>
        </w:trPr>
        <w:tc>
          <w:tcPr>
            <w:tcW w:w="2431" w:type="pct"/>
            <w:gridSpan w:val="3"/>
            <w:vAlign w:val="center"/>
          </w:tcPr>
          <w:p w14:paraId="1206E1FD" w14:textId="6A6DF84D" w:rsidR="00EB1567" w:rsidRPr="008E6588" w:rsidRDefault="00EB1567" w:rsidP="00EB1567">
            <w:pPr>
              <w:keepLines/>
              <w:jc w:val="left"/>
              <w:rPr>
                <w:rFonts w:ascii="Arial Narrow" w:hAnsi="Arial Narrow" w:cs="Arial"/>
                <w:sz w:val="20"/>
                <w:szCs w:val="20"/>
              </w:rPr>
            </w:pPr>
            <w:r w:rsidRPr="008E6588">
              <w:rPr>
                <w:rFonts w:ascii="Arial Narrow" w:hAnsi="Arial Narrow" w:cs="Arial"/>
                <w:sz w:val="20"/>
                <w:szCs w:val="20"/>
              </w:rPr>
              <w:t>omalizumab 150 mg/mL injection, 1 mL syringe</w:t>
            </w:r>
          </w:p>
        </w:tc>
        <w:tc>
          <w:tcPr>
            <w:tcW w:w="551" w:type="pct"/>
            <w:vAlign w:val="center"/>
          </w:tcPr>
          <w:p w14:paraId="2D186135" w14:textId="5E5CBBDD" w:rsidR="00EB1567" w:rsidRPr="008E6588" w:rsidRDefault="00EB1567" w:rsidP="00EB1567">
            <w:pPr>
              <w:keepLines/>
              <w:jc w:val="left"/>
              <w:rPr>
                <w:rFonts w:ascii="Arial Narrow" w:hAnsi="Arial Narrow" w:cs="Arial"/>
                <w:sz w:val="20"/>
                <w:szCs w:val="20"/>
              </w:rPr>
            </w:pPr>
            <w:r w:rsidRPr="008E6588">
              <w:rPr>
                <w:rFonts w:ascii="Arial Narrow" w:hAnsi="Arial Narrow" w:cs="Arial"/>
                <w:sz w:val="20"/>
                <w:szCs w:val="20"/>
              </w:rPr>
              <w:t>11824H/ Public</w:t>
            </w:r>
          </w:p>
        </w:tc>
        <w:tc>
          <w:tcPr>
            <w:tcW w:w="551" w:type="pct"/>
          </w:tcPr>
          <w:p w14:paraId="1B55EDDF" w14:textId="77777777" w:rsidR="00EB1567" w:rsidRPr="008E6588" w:rsidRDefault="00EB1567" w:rsidP="00EB1567">
            <w:pPr>
              <w:keepLines/>
              <w:jc w:val="left"/>
              <w:rPr>
                <w:rFonts w:ascii="Arial Narrow" w:hAnsi="Arial Narrow" w:cs="Arial"/>
                <w:sz w:val="20"/>
                <w:szCs w:val="20"/>
              </w:rPr>
            </w:pPr>
            <w:r w:rsidRPr="008E6588">
              <w:rPr>
                <w:rFonts w:ascii="Arial Narrow" w:hAnsi="Arial Narrow" w:cs="Arial"/>
                <w:sz w:val="20"/>
                <w:szCs w:val="20"/>
              </w:rPr>
              <w:t>1</w:t>
            </w:r>
          </w:p>
        </w:tc>
        <w:tc>
          <w:tcPr>
            <w:tcW w:w="551" w:type="pct"/>
          </w:tcPr>
          <w:p w14:paraId="4A933FA8" w14:textId="77777777" w:rsidR="00EB1567" w:rsidRPr="008E6588" w:rsidRDefault="00EB1567" w:rsidP="00EB1567">
            <w:pPr>
              <w:keepLines/>
              <w:jc w:val="left"/>
              <w:rPr>
                <w:rFonts w:ascii="Arial Narrow" w:hAnsi="Arial Narrow" w:cs="Arial"/>
                <w:sz w:val="20"/>
                <w:szCs w:val="20"/>
              </w:rPr>
            </w:pPr>
            <w:r w:rsidRPr="008E6588">
              <w:rPr>
                <w:rFonts w:ascii="Arial Narrow" w:hAnsi="Arial Narrow" w:cs="Arial"/>
                <w:sz w:val="20"/>
                <w:szCs w:val="20"/>
              </w:rPr>
              <w:t>1</w:t>
            </w:r>
          </w:p>
        </w:tc>
        <w:tc>
          <w:tcPr>
            <w:tcW w:w="392" w:type="pct"/>
          </w:tcPr>
          <w:p w14:paraId="0DFDD9FD" w14:textId="77777777" w:rsidR="00EB1567" w:rsidRPr="008E6588" w:rsidRDefault="00EB1567" w:rsidP="00EB1567">
            <w:pPr>
              <w:keepLines/>
              <w:jc w:val="left"/>
              <w:rPr>
                <w:rFonts w:ascii="Arial Narrow" w:hAnsi="Arial Narrow" w:cs="Arial"/>
                <w:sz w:val="20"/>
                <w:szCs w:val="20"/>
              </w:rPr>
            </w:pPr>
            <w:r w:rsidRPr="008E6588">
              <w:rPr>
                <w:rFonts w:ascii="Arial Narrow" w:hAnsi="Arial Narrow" w:cs="Arial"/>
                <w:sz w:val="20"/>
                <w:szCs w:val="20"/>
              </w:rPr>
              <w:t>5</w:t>
            </w:r>
          </w:p>
        </w:tc>
        <w:tc>
          <w:tcPr>
            <w:tcW w:w="524" w:type="pct"/>
            <w:vMerge w:val="restart"/>
          </w:tcPr>
          <w:p w14:paraId="5EA07D19" w14:textId="75599738" w:rsidR="00EB1567" w:rsidRPr="008E6588" w:rsidRDefault="00EB1567" w:rsidP="00EB1567">
            <w:pPr>
              <w:keepLines/>
              <w:jc w:val="center"/>
              <w:rPr>
                <w:rFonts w:ascii="Arial Narrow" w:hAnsi="Arial Narrow" w:cs="Arial"/>
                <w:sz w:val="20"/>
                <w:szCs w:val="20"/>
              </w:rPr>
            </w:pPr>
            <w:proofErr w:type="spellStart"/>
            <w:r w:rsidRPr="008E6588">
              <w:rPr>
                <w:rFonts w:ascii="Arial Narrow" w:hAnsi="Arial Narrow"/>
                <w:sz w:val="20"/>
                <w:szCs w:val="20"/>
                <w:vertAlign w:val="superscript"/>
              </w:rPr>
              <w:t>a</w:t>
            </w:r>
            <w:r w:rsidRPr="008E6588">
              <w:rPr>
                <w:rFonts w:ascii="Arial Narrow" w:hAnsi="Arial Narrow" w:cs="Arial"/>
                <w:sz w:val="20"/>
                <w:szCs w:val="20"/>
              </w:rPr>
              <w:t>Xolair</w:t>
            </w:r>
            <w:proofErr w:type="spellEnd"/>
          </w:p>
        </w:tc>
      </w:tr>
      <w:tr w:rsidR="00EB1567" w:rsidRPr="008E6588" w14:paraId="35667125" w14:textId="77777777" w:rsidTr="00836DB5">
        <w:trPr>
          <w:cantSplit/>
          <w:trHeight w:val="20"/>
        </w:trPr>
        <w:tc>
          <w:tcPr>
            <w:tcW w:w="2431" w:type="pct"/>
            <w:gridSpan w:val="3"/>
            <w:vAlign w:val="center"/>
          </w:tcPr>
          <w:p w14:paraId="767399F7" w14:textId="641E527F" w:rsidR="00EB1567" w:rsidRPr="008E6588" w:rsidRDefault="00EB1567" w:rsidP="00EB1567">
            <w:pPr>
              <w:keepLines/>
              <w:jc w:val="left"/>
              <w:rPr>
                <w:rFonts w:ascii="Arial Narrow" w:hAnsi="Arial Narrow" w:cs="Arial"/>
                <w:sz w:val="20"/>
                <w:szCs w:val="20"/>
              </w:rPr>
            </w:pPr>
            <w:r w:rsidRPr="008E6588">
              <w:rPr>
                <w:rFonts w:ascii="Arial Narrow" w:hAnsi="Arial Narrow" w:cs="Arial"/>
                <w:sz w:val="20"/>
                <w:szCs w:val="20"/>
              </w:rPr>
              <w:t>omalizumab 150 mg/mL injection, 1 mL syringe</w:t>
            </w:r>
          </w:p>
        </w:tc>
        <w:tc>
          <w:tcPr>
            <w:tcW w:w="551" w:type="pct"/>
            <w:vAlign w:val="center"/>
          </w:tcPr>
          <w:p w14:paraId="4BE69C87" w14:textId="5F401393" w:rsidR="00EB1567" w:rsidRPr="008E6588" w:rsidRDefault="00EB1567" w:rsidP="00EB1567">
            <w:pPr>
              <w:keepLines/>
              <w:jc w:val="left"/>
              <w:rPr>
                <w:rFonts w:ascii="Arial Narrow" w:hAnsi="Arial Narrow" w:cs="Arial"/>
                <w:sz w:val="20"/>
                <w:szCs w:val="20"/>
              </w:rPr>
            </w:pPr>
            <w:r w:rsidRPr="008E6588">
              <w:rPr>
                <w:rFonts w:ascii="Arial Narrow" w:hAnsi="Arial Narrow" w:cs="Arial"/>
                <w:sz w:val="20"/>
                <w:szCs w:val="20"/>
              </w:rPr>
              <w:t>11864K/ Private</w:t>
            </w:r>
          </w:p>
        </w:tc>
        <w:tc>
          <w:tcPr>
            <w:tcW w:w="551" w:type="pct"/>
          </w:tcPr>
          <w:p w14:paraId="690FD45C" w14:textId="77777777" w:rsidR="00EB1567" w:rsidRPr="008E6588" w:rsidRDefault="00EB1567" w:rsidP="00EB1567">
            <w:pPr>
              <w:keepLines/>
              <w:jc w:val="left"/>
              <w:rPr>
                <w:rFonts w:ascii="Arial Narrow" w:hAnsi="Arial Narrow" w:cs="Arial"/>
                <w:sz w:val="20"/>
                <w:szCs w:val="20"/>
              </w:rPr>
            </w:pPr>
            <w:r w:rsidRPr="008E6588">
              <w:rPr>
                <w:rFonts w:ascii="Arial Narrow" w:hAnsi="Arial Narrow" w:cs="Arial"/>
                <w:sz w:val="20"/>
                <w:szCs w:val="20"/>
              </w:rPr>
              <w:t>1</w:t>
            </w:r>
          </w:p>
        </w:tc>
        <w:tc>
          <w:tcPr>
            <w:tcW w:w="551" w:type="pct"/>
          </w:tcPr>
          <w:p w14:paraId="1F52CE27" w14:textId="77777777" w:rsidR="00EB1567" w:rsidRPr="008E6588" w:rsidRDefault="00EB1567" w:rsidP="00EB1567">
            <w:pPr>
              <w:keepLines/>
              <w:jc w:val="left"/>
              <w:rPr>
                <w:rFonts w:ascii="Arial Narrow" w:hAnsi="Arial Narrow" w:cs="Arial"/>
                <w:sz w:val="20"/>
                <w:szCs w:val="20"/>
              </w:rPr>
            </w:pPr>
            <w:r w:rsidRPr="008E6588">
              <w:rPr>
                <w:rFonts w:ascii="Arial Narrow" w:hAnsi="Arial Narrow" w:cs="Arial"/>
                <w:sz w:val="20"/>
                <w:szCs w:val="20"/>
              </w:rPr>
              <w:t>1</w:t>
            </w:r>
          </w:p>
        </w:tc>
        <w:tc>
          <w:tcPr>
            <w:tcW w:w="392" w:type="pct"/>
          </w:tcPr>
          <w:p w14:paraId="46BB63E4" w14:textId="77777777" w:rsidR="00EB1567" w:rsidRPr="008E6588" w:rsidRDefault="00EB1567" w:rsidP="00EB1567">
            <w:pPr>
              <w:keepLines/>
              <w:jc w:val="left"/>
              <w:rPr>
                <w:rFonts w:ascii="Arial Narrow" w:hAnsi="Arial Narrow" w:cs="Arial"/>
                <w:sz w:val="20"/>
                <w:szCs w:val="20"/>
              </w:rPr>
            </w:pPr>
            <w:r w:rsidRPr="008E6588">
              <w:rPr>
                <w:rFonts w:ascii="Arial Narrow" w:hAnsi="Arial Narrow" w:cs="Arial"/>
                <w:sz w:val="20"/>
                <w:szCs w:val="20"/>
              </w:rPr>
              <w:t>5</w:t>
            </w:r>
          </w:p>
        </w:tc>
        <w:tc>
          <w:tcPr>
            <w:tcW w:w="524" w:type="pct"/>
            <w:vMerge/>
            <w:vAlign w:val="center"/>
          </w:tcPr>
          <w:p w14:paraId="1DF404BC" w14:textId="77777777" w:rsidR="00EB1567" w:rsidRPr="008E6588" w:rsidRDefault="00EB1567" w:rsidP="00EB1567">
            <w:pPr>
              <w:keepLines/>
              <w:jc w:val="left"/>
              <w:rPr>
                <w:rFonts w:ascii="Arial Narrow" w:hAnsi="Arial Narrow" w:cs="Arial"/>
                <w:sz w:val="20"/>
                <w:szCs w:val="20"/>
              </w:rPr>
            </w:pPr>
          </w:p>
        </w:tc>
      </w:tr>
      <w:tr w:rsidR="00EB1567" w:rsidRPr="008E6588" w14:paraId="5835B03F" w14:textId="77777777" w:rsidTr="00836DB5">
        <w:trPr>
          <w:cantSplit/>
          <w:trHeight w:val="20"/>
        </w:trPr>
        <w:tc>
          <w:tcPr>
            <w:tcW w:w="2431" w:type="pct"/>
            <w:gridSpan w:val="3"/>
            <w:vAlign w:val="center"/>
          </w:tcPr>
          <w:p w14:paraId="360F71E8" w14:textId="6B0D26B5" w:rsidR="00EB1567" w:rsidRPr="008E6588" w:rsidRDefault="00EB1567" w:rsidP="00EB1567">
            <w:pPr>
              <w:keepLines/>
              <w:jc w:val="left"/>
              <w:rPr>
                <w:rFonts w:ascii="Arial Narrow" w:hAnsi="Arial Narrow" w:cs="Arial"/>
                <w:sz w:val="20"/>
                <w:szCs w:val="20"/>
              </w:rPr>
            </w:pPr>
            <w:r w:rsidRPr="008E6588">
              <w:rPr>
                <w:rFonts w:ascii="Arial Narrow" w:hAnsi="Arial Narrow" w:cs="Arial"/>
                <w:sz w:val="20"/>
                <w:szCs w:val="20"/>
              </w:rPr>
              <w:t>omalizumab 150 mg/mL injection, 1 mL pen device</w:t>
            </w:r>
          </w:p>
        </w:tc>
        <w:tc>
          <w:tcPr>
            <w:tcW w:w="551" w:type="pct"/>
            <w:vAlign w:val="center"/>
          </w:tcPr>
          <w:p w14:paraId="0991A67A" w14:textId="06DA031F" w:rsidR="00EB1567" w:rsidRPr="008E6588" w:rsidRDefault="00EB1567" w:rsidP="00EB1567">
            <w:pPr>
              <w:keepLines/>
              <w:jc w:val="left"/>
              <w:rPr>
                <w:rFonts w:ascii="Arial Narrow" w:hAnsi="Arial Narrow" w:cs="Arial"/>
                <w:sz w:val="20"/>
                <w:szCs w:val="20"/>
              </w:rPr>
            </w:pPr>
            <w:r w:rsidRPr="008E6588">
              <w:rPr>
                <w:rFonts w:ascii="Arial Narrow" w:hAnsi="Arial Narrow" w:cs="Arial"/>
                <w:sz w:val="20"/>
                <w:szCs w:val="20"/>
              </w:rPr>
              <w:t>NEW/ Public</w:t>
            </w:r>
          </w:p>
        </w:tc>
        <w:tc>
          <w:tcPr>
            <w:tcW w:w="551" w:type="pct"/>
          </w:tcPr>
          <w:p w14:paraId="33AC5DF4" w14:textId="77777777" w:rsidR="00EB1567" w:rsidRPr="008E6588" w:rsidRDefault="00EB1567" w:rsidP="00EB1567">
            <w:pPr>
              <w:keepLines/>
              <w:jc w:val="left"/>
              <w:rPr>
                <w:rFonts w:ascii="Arial Narrow" w:hAnsi="Arial Narrow" w:cs="Arial"/>
                <w:sz w:val="20"/>
                <w:szCs w:val="20"/>
              </w:rPr>
            </w:pPr>
            <w:r w:rsidRPr="008E6588">
              <w:rPr>
                <w:rFonts w:ascii="Arial Narrow" w:hAnsi="Arial Narrow" w:cs="Arial"/>
                <w:sz w:val="20"/>
                <w:szCs w:val="20"/>
              </w:rPr>
              <w:t>1</w:t>
            </w:r>
          </w:p>
        </w:tc>
        <w:tc>
          <w:tcPr>
            <w:tcW w:w="551" w:type="pct"/>
          </w:tcPr>
          <w:p w14:paraId="769D25FD" w14:textId="77777777" w:rsidR="00EB1567" w:rsidRPr="008E6588" w:rsidRDefault="00EB1567" w:rsidP="00EB1567">
            <w:pPr>
              <w:keepLines/>
              <w:jc w:val="left"/>
              <w:rPr>
                <w:rFonts w:ascii="Arial Narrow" w:hAnsi="Arial Narrow" w:cs="Arial"/>
                <w:sz w:val="20"/>
                <w:szCs w:val="20"/>
              </w:rPr>
            </w:pPr>
            <w:r w:rsidRPr="008E6588">
              <w:rPr>
                <w:rFonts w:ascii="Arial Narrow" w:hAnsi="Arial Narrow" w:cs="Arial"/>
                <w:sz w:val="20"/>
                <w:szCs w:val="20"/>
              </w:rPr>
              <w:t>1</w:t>
            </w:r>
          </w:p>
        </w:tc>
        <w:tc>
          <w:tcPr>
            <w:tcW w:w="392" w:type="pct"/>
          </w:tcPr>
          <w:p w14:paraId="05C75EA3" w14:textId="77777777" w:rsidR="00EB1567" w:rsidRPr="008E6588" w:rsidRDefault="00EB1567" w:rsidP="00EB1567">
            <w:pPr>
              <w:keepLines/>
              <w:jc w:val="left"/>
              <w:rPr>
                <w:rFonts w:ascii="Arial Narrow" w:hAnsi="Arial Narrow" w:cs="Arial"/>
                <w:sz w:val="20"/>
                <w:szCs w:val="20"/>
              </w:rPr>
            </w:pPr>
            <w:r w:rsidRPr="008E6588">
              <w:rPr>
                <w:rFonts w:ascii="Arial Narrow" w:hAnsi="Arial Narrow" w:cs="Arial"/>
                <w:sz w:val="20"/>
                <w:szCs w:val="20"/>
              </w:rPr>
              <w:t>5</w:t>
            </w:r>
          </w:p>
        </w:tc>
        <w:tc>
          <w:tcPr>
            <w:tcW w:w="524" w:type="pct"/>
            <w:vMerge/>
            <w:vAlign w:val="center"/>
          </w:tcPr>
          <w:p w14:paraId="4C865347" w14:textId="77777777" w:rsidR="00EB1567" w:rsidRPr="008E6588" w:rsidRDefault="00EB1567" w:rsidP="00EB1567">
            <w:pPr>
              <w:keepLines/>
              <w:jc w:val="left"/>
              <w:rPr>
                <w:rFonts w:ascii="Arial Narrow" w:hAnsi="Arial Narrow" w:cs="Arial"/>
                <w:sz w:val="20"/>
                <w:szCs w:val="20"/>
              </w:rPr>
            </w:pPr>
          </w:p>
        </w:tc>
      </w:tr>
      <w:tr w:rsidR="00EB1567" w:rsidRPr="008E6588" w14:paraId="5CEEAFFA" w14:textId="77777777" w:rsidTr="00836DB5">
        <w:trPr>
          <w:cantSplit/>
          <w:trHeight w:val="20"/>
        </w:trPr>
        <w:tc>
          <w:tcPr>
            <w:tcW w:w="2431" w:type="pct"/>
            <w:gridSpan w:val="3"/>
            <w:vAlign w:val="center"/>
          </w:tcPr>
          <w:p w14:paraId="1EB7387B" w14:textId="1542BED6" w:rsidR="00EB1567" w:rsidRPr="008E6588" w:rsidRDefault="00EB1567" w:rsidP="00EB1567">
            <w:pPr>
              <w:keepLines/>
              <w:jc w:val="left"/>
              <w:rPr>
                <w:rFonts w:ascii="Arial Narrow" w:hAnsi="Arial Narrow" w:cs="Arial"/>
                <w:sz w:val="20"/>
                <w:szCs w:val="20"/>
              </w:rPr>
            </w:pPr>
            <w:r w:rsidRPr="008E6588">
              <w:rPr>
                <w:rFonts w:ascii="Arial Narrow" w:hAnsi="Arial Narrow" w:cs="Arial"/>
                <w:sz w:val="20"/>
                <w:szCs w:val="20"/>
              </w:rPr>
              <w:t>omalizumab 150 mg/mL injection, 1 mL pen device</w:t>
            </w:r>
          </w:p>
        </w:tc>
        <w:tc>
          <w:tcPr>
            <w:tcW w:w="551" w:type="pct"/>
            <w:vAlign w:val="center"/>
          </w:tcPr>
          <w:p w14:paraId="75FE871E" w14:textId="5A85E688" w:rsidR="00EB1567" w:rsidRPr="008E6588" w:rsidRDefault="00EB1567" w:rsidP="00EB1567">
            <w:pPr>
              <w:keepLines/>
              <w:jc w:val="left"/>
              <w:rPr>
                <w:rFonts w:ascii="Arial Narrow" w:hAnsi="Arial Narrow" w:cs="Arial"/>
                <w:sz w:val="20"/>
                <w:szCs w:val="20"/>
              </w:rPr>
            </w:pPr>
            <w:r w:rsidRPr="008E6588">
              <w:rPr>
                <w:rFonts w:ascii="Arial Narrow" w:hAnsi="Arial Narrow" w:cs="Arial"/>
                <w:sz w:val="20"/>
                <w:szCs w:val="20"/>
              </w:rPr>
              <w:t>NEW/ Private</w:t>
            </w:r>
          </w:p>
        </w:tc>
        <w:tc>
          <w:tcPr>
            <w:tcW w:w="551" w:type="pct"/>
          </w:tcPr>
          <w:p w14:paraId="40929231" w14:textId="77777777" w:rsidR="00EB1567" w:rsidRPr="008E6588" w:rsidRDefault="00EB1567" w:rsidP="00EB1567">
            <w:pPr>
              <w:keepLines/>
              <w:jc w:val="left"/>
              <w:rPr>
                <w:rFonts w:ascii="Arial Narrow" w:hAnsi="Arial Narrow" w:cs="Arial"/>
                <w:sz w:val="20"/>
                <w:szCs w:val="20"/>
              </w:rPr>
            </w:pPr>
            <w:r w:rsidRPr="008E6588">
              <w:rPr>
                <w:rFonts w:ascii="Arial Narrow" w:hAnsi="Arial Narrow" w:cs="Arial"/>
                <w:sz w:val="20"/>
                <w:szCs w:val="20"/>
              </w:rPr>
              <w:t>1</w:t>
            </w:r>
          </w:p>
        </w:tc>
        <w:tc>
          <w:tcPr>
            <w:tcW w:w="551" w:type="pct"/>
          </w:tcPr>
          <w:p w14:paraId="51FF4B39" w14:textId="77777777" w:rsidR="00EB1567" w:rsidRPr="008E6588" w:rsidRDefault="00EB1567" w:rsidP="00EB1567">
            <w:pPr>
              <w:keepLines/>
              <w:jc w:val="left"/>
              <w:rPr>
                <w:rFonts w:ascii="Arial Narrow" w:hAnsi="Arial Narrow" w:cs="Arial"/>
                <w:sz w:val="20"/>
                <w:szCs w:val="20"/>
              </w:rPr>
            </w:pPr>
            <w:r w:rsidRPr="008E6588">
              <w:rPr>
                <w:rFonts w:ascii="Arial Narrow" w:hAnsi="Arial Narrow" w:cs="Arial"/>
                <w:sz w:val="20"/>
                <w:szCs w:val="20"/>
              </w:rPr>
              <w:t>1</w:t>
            </w:r>
          </w:p>
        </w:tc>
        <w:tc>
          <w:tcPr>
            <w:tcW w:w="392" w:type="pct"/>
          </w:tcPr>
          <w:p w14:paraId="49F5B95A" w14:textId="77777777" w:rsidR="00EB1567" w:rsidRPr="008E6588" w:rsidRDefault="00EB1567" w:rsidP="00EB1567">
            <w:pPr>
              <w:keepLines/>
              <w:jc w:val="left"/>
              <w:rPr>
                <w:rFonts w:ascii="Arial Narrow" w:hAnsi="Arial Narrow" w:cs="Arial"/>
                <w:sz w:val="20"/>
                <w:szCs w:val="20"/>
              </w:rPr>
            </w:pPr>
            <w:r w:rsidRPr="008E6588">
              <w:rPr>
                <w:rFonts w:ascii="Arial Narrow" w:hAnsi="Arial Narrow" w:cs="Arial"/>
                <w:sz w:val="20"/>
                <w:szCs w:val="20"/>
              </w:rPr>
              <w:t>5</w:t>
            </w:r>
          </w:p>
        </w:tc>
        <w:tc>
          <w:tcPr>
            <w:tcW w:w="524" w:type="pct"/>
            <w:vMerge/>
            <w:vAlign w:val="center"/>
          </w:tcPr>
          <w:p w14:paraId="72D47DE5" w14:textId="77777777" w:rsidR="00EB1567" w:rsidRPr="008E6588" w:rsidRDefault="00EB1567" w:rsidP="00EB1567">
            <w:pPr>
              <w:keepLines/>
              <w:jc w:val="left"/>
              <w:rPr>
                <w:rFonts w:ascii="Arial Narrow" w:hAnsi="Arial Narrow" w:cs="Arial"/>
                <w:sz w:val="20"/>
                <w:szCs w:val="20"/>
              </w:rPr>
            </w:pPr>
          </w:p>
        </w:tc>
      </w:tr>
      <w:tr w:rsidR="00045102" w:rsidRPr="008E6588" w14:paraId="69F29090" w14:textId="77777777" w:rsidTr="00836DB5">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1658DBBD" w14:textId="77777777" w:rsidR="00045102" w:rsidRPr="008E6588" w:rsidRDefault="00045102" w:rsidP="00045102">
            <w:pPr>
              <w:keepLines/>
              <w:jc w:val="left"/>
              <w:rPr>
                <w:rFonts w:ascii="Arial Narrow" w:hAnsi="Arial Narrow" w:cs="Arial"/>
                <w:sz w:val="20"/>
                <w:szCs w:val="20"/>
              </w:rPr>
            </w:pPr>
          </w:p>
        </w:tc>
      </w:tr>
      <w:tr w:rsidR="00045102" w:rsidRPr="008E6588" w14:paraId="4ABC4106" w14:textId="77777777" w:rsidTr="00836DB5">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19A0D947" w14:textId="77777777" w:rsidR="00045102" w:rsidRPr="008E6588" w:rsidRDefault="00045102" w:rsidP="00045102">
            <w:pPr>
              <w:keepLines/>
              <w:rPr>
                <w:rFonts w:ascii="Arial Narrow" w:hAnsi="Arial Narrow" w:cs="Arial"/>
                <w:b/>
                <w:sz w:val="20"/>
                <w:szCs w:val="20"/>
              </w:rPr>
            </w:pPr>
            <w:r w:rsidRPr="008E6588">
              <w:rPr>
                <w:rFonts w:ascii="Arial Narrow" w:hAnsi="Arial Narrow"/>
                <w:b/>
                <w:sz w:val="20"/>
                <w:szCs w:val="20"/>
              </w:rPr>
              <w:t>Restriction Summary 15379/ Treatment of Concept: 15347</w:t>
            </w:r>
          </w:p>
        </w:tc>
      </w:tr>
      <w:tr w:rsidR="00045102" w:rsidRPr="008E6588" w14:paraId="18E1C91E" w14:textId="77777777" w:rsidTr="00836DB5">
        <w:tblPrEx>
          <w:tblCellMar>
            <w:top w:w="15" w:type="dxa"/>
            <w:bottom w:w="15" w:type="dxa"/>
          </w:tblCellMar>
          <w:tblLook w:val="04A0" w:firstRow="1" w:lastRow="0" w:firstColumn="1" w:lastColumn="0" w:noHBand="0" w:noVBand="1"/>
        </w:tblPrEx>
        <w:trPr>
          <w:trHeight w:val="20"/>
        </w:trPr>
        <w:tc>
          <w:tcPr>
            <w:tcW w:w="706" w:type="pct"/>
            <w:gridSpan w:val="2"/>
            <w:vMerge w:val="restart"/>
            <w:tcBorders>
              <w:top w:val="single" w:sz="4" w:space="0" w:color="auto"/>
              <w:left w:val="single" w:sz="4" w:space="0" w:color="auto"/>
              <w:right w:val="single" w:sz="4" w:space="0" w:color="auto"/>
            </w:tcBorders>
          </w:tcPr>
          <w:p w14:paraId="331760EB" w14:textId="77777777" w:rsidR="00045102" w:rsidRPr="008E6588" w:rsidRDefault="00045102" w:rsidP="00045102">
            <w:pPr>
              <w:jc w:val="center"/>
              <w:rPr>
                <w:rFonts w:ascii="Arial Narrow" w:hAnsi="Arial Narrow" w:cs="Arial"/>
                <w:b/>
                <w:sz w:val="20"/>
                <w:szCs w:val="20"/>
              </w:rPr>
            </w:pPr>
            <w:r w:rsidRPr="008E6588">
              <w:rPr>
                <w:rFonts w:ascii="Arial Narrow" w:hAnsi="Arial Narrow" w:cs="Arial"/>
                <w:b/>
                <w:sz w:val="20"/>
                <w:szCs w:val="20"/>
              </w:rPr>
              <w:t xml:space="preserve">Concept ID </w:t>
            </w:r>
            <w:r w:rsidRPr="008E6588">
              <w:rPr>
                <w:rFonts w:ascii="Arial Narrow" w:hAnsi="Arial Narrow" w:cs="Arial"/>
                <w:sz w:val="20"/>
                <w:szCs w:val="20"/>
              </w:rPr>
              <w:t>(for internal Dept. use)</w:t>
            </w:r>
          </w:p>
        </w:tc>
        <w:tc>
          <w:tcPr>
            <w:tcW w:w="4294" w:type="pct"/>
            <w:gridSpan w:val="6"/>
            <w:tcBorders>
              <w:top w:val="single" w:sz="4" w:space="0" w:color="auto"/>
              <w:left w:val="single" w:sz="4" w:space="0" w:color="auto"/>
              <w:bottom w:val="single" w:sz="4" w:space="0" w:color="auto"/>
              <w:right w:val="single" w:sz="4" w:space="0" w:color="auto"/>
            </w:tcBorders>
            <w:vAlign w:val="center"/>
          </w:tcPr>
          <w:p w14:paraId="22EDD3C4" w14:textId="77777777" w:rsidR="00045102" w:rsidRPr="008E6588" w:rsidRDefault="00045102" w:rsidP="00045102">
            <w:pPr>
              <w:keepLines/>
              <w:rPr>
                <w:rFonts w:ascii="Arial Narrow" w:hAnsi="Arial Narrow" w:cs="Arial"/>
                <w:sz w:val="20"/>
                <w:szCs w:val="20"/>
              </w:rPr>
            </w:pPr>
            <w:r w:rsidRPr="008E6588">
              <w:rPr>
                <w:rFonts w:ascii="Arial Narrow" w:hAnsi="Arial Narrow" w:cs="Arial"/>
                <w:b/>
                <w:sz w:val="20"/>
                <w:szCs w:val="20"/>
              </w:rPr>
              <w:t>Category / Program:</w:t>
            </w:r>
            <w:r w:rsidRPr="008E6588">
              <w:rPr>
                <w:rFonts w:ascii="Arial Narrow" w:hAnsi="Arial Narrow" w:cs="Arial"/>
                <w:sz w:val="20"/>
                <w:szCs w:val="20"/>
              </w:rPr>
              <w:t xml:space="preserve"> </w:t>
            </w:r>
            <w:r w:rsidRPr="008E6588">
              <w:rPr>
                <w:rFonts w:ascii="Arial Narrow" w:eastAsia="Calibri" w:hAnsi="Arial Narrow" w:cs="Arial"/>
                <w:sz w:val="20"/>
                <w:szCs w:val="20"/>
              </w:rPr>
              <w:t>Section 100 – Highly Specialised Drugs Program – Public (Code HB)</w:t>
            </w:r>
            <w:r w:rsidRPr="008E6588">
              <w:rPr>
                <w:rFonts w:ascii="Arial Narrow" w:eastAsia="Calibri" w:hAnsi="Arial Narrow" w:cs="Arial"/>
                <w:color w:val="FF0000"/>
                <w:sz w:val="20"/>
                <w:szCs w:val="20"/>
              </w:rPr>
              <w:t xml:space="preserve"> </w:t>
            </w:r>
            <w:r w:rsidRPr="008E6588">
              <w:rPr>
                <w:rFonts w:ascii="Arial Narrow" w:eastAsia="Calibri" w:hAnsi="Arial Narrow" w:cs="Arial"/>
                <w:sz w:val="20"/>
                <w:szCs w:val="20"/>
              </w:rPr>
              <w:t>/ Private (Code HS)</w:t>
            </w:r>
          </w:p>
        </w:tc>
      </w:tr>
      <w:tr w:rsidR="00045102" w:rsidRPr="008E6588" w14:paraId="057855C6" w14:textId="77777777">
        <w:tblPrEx>
          <w:tblCellMar>
            <w:top w:w="15" w:type="dxa"/>
            <w:bottom w:w="15" w:type="dxa"/>
          </w:tblCellMar>
          <w:tblLook w:val="04A0" w:firstRow="1" w:lastRow="0" w:firstColumn="1" w:lastColumn="0" w:noHBand="0" w:noVBand="1"/>
        </w:tblPrEx>
        <w:trPr>
          <w:trHeight w:val="20"/>
        </w:trPr>
        <w:tc>
          <w:tcPr>
            <w:tcW w:w="706" w:type="pct"/>
            <w:gridSpan w:val="2"/>
            <w:vMerge/>
            <w:tcBorders>
              <w:left w:val="single" w:sz="4" w:space="0" w:color="auto"/>
              <w:right w:val="single" w:sz="4" w:space="0" w:color="auto"/>
            </w:tcBorders>
          </w:tcPr>
          <w:p w14:paraId="28ED3F3E" w14:textId="77777777" w:rsidR="00045102" w:rsidRPr="008E6588" w:rsidRDefault="00045102" w:rsidP="00045102">
            <w:pPr>
              <w:rPr>
                <w:rFonts w:ascii="Arial Narrow" w:hAnsi="Arial Narrow" w:cs="Arial"/>
                <w:sz w:val="20"/>
                <w:szCs w:val="20"/>
              </w:rPr>
            </w:pPr>
          </w:p>
        </w:tc>
        <w:tc>
          <w:tcPr>
            <w:tcW w:w="4294" w:type="pct"/>
            <w:gridSpan w:val="6"/>
            <w:tcBorders>
              <w:top w:val="single" w:sz="4" w:space="0" w:color="auto"/>
              <w:left w:val="single" w:sz="4" w:space="0" w:color="auto"/>
              <w:bottom w:val="single" w:sz="4" w:space="0" w:color="auto"/>
              <w:right w:val="single" w:sz="4" w:space="0" w:color="auto"/>
            </w:tcBorders>
            <w:vAlign w:val="center"/>
          </w:tcPr>
          <w:p w14:paraId="30A001F8" w14:textId="77777777" w:rsidR="00045102" w:rsidRPr="008E6588" w:rsidRDefault="00045102" w:rsidP="00045102">
            <w:pPr>
              <w:keepLines/>
              <w:rPr>
                <w:rFonts w:ascii="Arial Narrow" w:hAnsi="Arial Narrow" w:cs="Arial"/>
                <w:b/>
                <w:sz w:val="20"/>
                <w:szCs w:val="20"/>
              </w:rPr>
            </w:pPr>
            <w:r w:rsidRPr="008E6588">
              <w:rPr>
                <w:rFonts w:ascii="Arial Narrow" w:hAnsi="Arial Narrow" w:cs="Arial"/>
                <w:b/>
                <w:sz w:val="20"/>
                <w:szCs w:val="20"/>
              </w:rPr>
              <w:t xml:space="preserve">Prescriber type: </w:t>
            </w:r>
            <w:r w:rsidRPr="008E6588">
              <w:rPr>
                <w:rFonts w:ascii="Arial Narrow" w:hAnsi="Arial Narrow" w:cs="Arial"/>
                <w:sz w:val="20"/>
                <w:szCs w:val="20"/>
              </w:rPr>
              <w:fldChar w:fldCharType="begin" w:fldLock="1">
                <w:ffData>
                  <w:name w:val=""/>
                  <w:enabled/>
                  <w:calcOnExit w:val="0"/>
                  <w:checkBox>
                    <w:sizeAuto/>
                    <w:default w:val="1"/>
                  </w:checkBox>
                </w:ffData>
              </w:fldChar>
            </w:r>
            <w:r w:rsidRPr="008E6588">
              <w:rPr>
                <w:rFonts w:ascii="Arial Narrow" w:hAnsi="Arial Narrow" w:cs="Arial"/>
                <w:sz w:val="20"/>
                <w:szCs w:val="20"/>
              </w:rPr>
              <w:instrText xml:space="preserve"> FORMCHECKBOX </w:instrText>
            </w:r>
            <w:r w:rsidRPr="008E6588">
              <w:rPr>
                <w:rFonts w:ascii="Arial Narrow" w:hAnsi="Arial Narrow" w:cs="Arial"/>
                <w:sz w:val="20"/>
                <w:szCs w:val="20"/>
              </w:rPr>
            </w:r>
            <w:r w:rsidRPr="008E6588">
              <w:rPr>
                <w:rFonts w:ascii="Arial Narrow" w:hAnsi="Arial Narrow" w:cs="Arial"/>
                <w:sz w:val="20"/>
                <w:szCs w:val="20"/>
              </w:rPr>
              <w:fldChar w:fldCharType="separate"/>
            </w:r>
            <w:r w:rsidRPr="008E6588">
              <w:rPr>
                <w:rFonts w:ascii="Arial Narrow" w:hAnsi="Arial Narrow" w:cs="Arial"/>
                <w:sz w:val="20"/>
                <w:szCs w:val="20"/>
              </w:rPr>
              <w:fldChar w:fldCharType="end"/>
            </w:r>
            <w:r w:rsidRPr="008E6588">
              <w:rPr>
                <w:rFonts w:ascii="Arial Narrow" w:hAnsi="Arial Narrow" w:cs="Arial"/>
                <w:sz w:val="20"/>
                <w:szCs w:val="20"/>
              </w:rPr>
              <w:t xml:space="preserve">Medical Practitioners </w:t>
            </w:r>
          </w:p>
        </w:tc>
      </w:tr>
      <w:tr w:rsidR="00045102" w:rsidRPr="008E6588" w14:paraId="2AD42A0F" w14:textId="77777777">
        <w:tblPrEx>
          <w:tblCellMar>
            <w:top w:w="15" w:type="dxa"/>
            <w:bottom w:w="15" w:type="dxa"/>
          </w:tblCellMar>
          <w:tblLook w:val="04A0" w:firstRow="1" w:lastRow="0" w:firstColumn="1" w:lastColumn="0" w:noHBand="0" w:noVBand="1"/>
        </w:tblPrEx>
        <w:trPr>
          <w:trHeight w:val="20"/>
        </w:trPr>
        <w:tc>
          <w:tcPr>
            <w:tcW w:w="706" w:type="pct"/>
            <w:gridSpan w:val="2"/>
            <w:vMerge/>
            <w:tcBorders>
              <w:left w:val="single" w:sz="4" w:space="0" w:color="auto"/>
              <w:right w:val="single" w:sz="4" w:space="0" w:color="auto"/>
            </w:tcBorders>
          </w:tcPr>
          <w:p w14:paraId="747F35C3" w14:textId="77777777" w:rsidR="00045102" w:rsidRPr="008E6588" w:rsidRDefault="00045102" w:rsidP="00045102">
            <w:pPr>
              <w:rPr>
                <w:rFonts w:ascii="Arial Narrow" w:hAnsi="Arial Narrow" w:cs="Arial"/>
                <w:sz w:val="20"/>
                <w:szCs w:val="20"/>
              </w:rPr>
            </w:pPr>
          </w:p>
        </w:tc>
        <w:tc>
          <w:tcPr>
            <w:tcW w:w="4294" w:type="pct"/>
            <w:gridSpan w:val="6"/>
            <w:tcBorders>
              <w:top w:val="single" w:sz="4" w:space="0" w:color="auto"/>
              <w:left w:val="single" w:sz="4" w:space="0" w:color="auto"/>
              <w:bottom w:val="single" w:sz="4" w:space="0" w:color="auto"/>
              <w:right w:val="single" w:sz="4" w:space="0" w:color="auto"/>
            </w:tcBorders>
            <w:vAlign w:val="center"/>
          </w:tcPr>
          <w:p w14:paraId="4F3E79D1" w14:textId="77777777" w:rsidR="00045102" w:rsidRPr="008E6588" w:rsidRDefault="00045102" w:rsidP="00045102">
            <w:pPr>
              <w:keepLines/>
              <w:rPr>
                <w:rFonts w:ascii="Arial Narrow" w:eastAsia="Calibri" w:hAnsi="Arial Narrow" w:cs="Arial"/>
                <w:color w:val="FF0000"/>
                <w:sz w:val="20"/>
                <w:szCs w:val="20"/>
              </w:rPr>
            </w:pPr>
            <w:r w:rsidRPr="008E6588">
              <w:rPr>
                <w:rFonts w:ascii="Arial Narrow" w:hAnsi="Arial Narrow" w:cs="Arial"/>
                <w:b/>
                <w:sz w:val="20"/>
                <w:szCs w:val="20"/>
              </w:rPr>
              <w:t xml:space="preserve">Restriction type: </w:t>
            </w:r>
            <w:r w:rsidRPr="008E6588">
              <w:rPr>
                <w:rFonts w:ascii="Arial Narrow" w:eastAsia="Calibri" w:hAnsi="Arial Narrow" w:cs="Arial"/>
                <w:sz w:val="20"/>
                <w:szCs w:val="20"/>
              </w:rPr>
              <w:fldChar w:fldCharType="begin" w:fldLock="1">
                <w:ffData>
                  <w:name w:val=""/>
                  <w:enabled/>
                  <w:calcOnExit w:val="0"/>
                  <w:checkBox>
                    <w:sizeAuto/>
                    <w:default w:val="1"/>
                  </w:checkBox>
                </w:ffData>
              </w:fldChar>
            </w:r>
            <w:r w:rsidRPr="008E6588">
              <w:rPr>
                <w:rFonts w:ascii="Arial Narrow" w:eastAsia="Calibri" w:hAnsi="Arial Narrow" w:cs="Arial"/>
                <w:sz w:val="20"/>
                <w:szCs w:val="20"/>
              </w:rPr>
              <w:instrText xml:space="preserve"> FORMCHECKBOX </w:instrText>
            </w:r>
            <w:r w:rsidRPr="008E6588">
              <w:rPr>
                <w:rFonts w:ascii="Arial Narrow" w:eastAsia="Calibri" w:hAnsi="Arial Narrow" w:cs="Arial"/>
                <w:sz w:val="20"/>
                <w:szCs w:val="20"/>
              </w:rPr>
            </w:r>
            <w:r w:rsidRPr="008E6588">
              <w:rPr>
                <w:rFonts w:ascii="Arial Narrow" w:eastAsia="Calibri" w:hAnsi="Arial Narrow" w:cs="Arial"/>
                <w:sz w:val="20"/>
                <w:szCs w:val="20"/>
              </w:rPr>
              <w:fldChar w:fldCharType="separate"/>
            </w:r>
            <w:r w:rsidRPr="008E6588">
              <w:rPr>
                <w:rFonts w:ascii="Arial Narrow" w:eastAsia="Calibri" w:hAnsi="Arial Narrow" w:cs="Arial"/>
                <w:sz w:val="20"/>
                <w:szCs w:val="20"/>
              </w:rPr>
              <w:fldChar w:fldCharType="end"/>
            </w:r>
            <w:r w:rsidRPr="008E6588">
              <w:rPr>
                <w:rFonts w:ascii="Arial Narrow" w:eastAsia="Calibri" w:hAnsi="Arial Narrow" w:cs="Arial"/>
                <w:sz w:val="20"/>
                <w:szCs w:val="20"/>
              </w:rPr>
              <w:t>Authority Required (telephone/online PBS Authorities system)</w:t>
            </w:r>
          </w:p>
        </w:tc>
      </w:tr>
      <w:tr w:rsidR="0020460A" w:rsidRPr="008E6588" w14:paraId="6D4D533F" w14:textId="77777777">
        <w:tblPrEx>
          <w:tblCellMar>
            <w:top w:w="15" w:type="dxa"/>
            <w:bottom w:w="15" w:type="dxa"/>
          </w:tblCellMar>
          <w:tblLook w:val="04A0" w:firstRow="1" w:lastRow="0" w:firstColumn="1" w:lastColumn="0" w:noHBand="0" w:noVBand="1"/>
        </w:tblPrEx>
        <w:trPr>
          <w:trHeight w:val="20"/>
        </w:trPr>
        <w:tc>
          <w:tcPr>
            <w:tcW w:w="706" w:type="pct"/>
            <w:gridSpan w:val="2"/>
            <w:vMerge/>
            <w:tcBorders>
              <w:left w:val="single" w:sz="4" w:space="0" w:color="auto"/>
              <w:right w:val="single" w:sz="4" w:space="0" w:color="auto"/>
            </w:tcBorders>
          </w:tcPr>
          <w:p w14:paraId="51A89D3C" w14:textId="77777777" w:rsidR="0020460A" w:rsidRPr="008E6588" w:rsidRDefault="0020460A" w:rsidP="00045102">
            <w:pPr>
              <w:rPr>
                <w:rFonts w:ascii="Arial Narrow" w:hAnsi="Arial Narrow" w:cs="Arial"/>
                <w:sz w:val="20"/>
                <w:szCs w:val="20"/>
              </w:rPr>
            </w:pPr>
          </w:p>
        </w:tc>
        <w:tc>
          <w:tcPr>
            <w:tcW w:w="4294" w:type="pct"/>
            <w:gridSpan w:val="6"/>
            <w:tcBorders>
              <w:top w:val="single" w:sz="4" w:space="0" w:color="auto"/>
              <w:left w:val="single" w:sz="4" w:space="0" w:color="auto"/>
              <w:bottom w:val="single" w:sz="4" w:space="0" w:color="auto"/>
              <w:right w:val="single" w:sz="4" w:space="0" w:color="auto"/>
            </w:tcBorders>
            <w:vAlign w:val="center"/>
          </w:tcPr>
          <w:p w14:paraId="4CA4E761" w14:textId="25915789" w:rsidR="0020460A" w:rsidRPr="008E6588" w:rsidRDefault="0020460A" w:rsidP="00045102">
            <w:pPr>
              <w:keepLines/>
              <w:rPr>
                <w:rFonts w:ascii="Arial Narrow" w:hAnsi="Arial Narrow" w:cs="Arial"/>
                <w:b/>
                <w:sz w:val="20"/>
                <w:szCs w:val="20"/>
              </w:rPr>
            </w:pPr>
            <w:r w:rsidRPr="008E6588">
              <w:rPr>
                <w:rFonts w:ascii="Arial Narrow" w:hAnsi="Arial Narrow"/>
                <w:b/>
                <w:sz w:val="20"/>
                <w:szCs w:val="20"/>
              </w:rPr>
              <w:t xml:space="preserve">Authority type: </w:t>
            </w:r>
            <w:r w:rsidRPr="008E6588">
              <w:rPr>
                <w:rFonts w:ascii="Arial Narrow" w:eastAsia="Calibri" w:hAnsi="Arial Narrow"/>
                <w:sz w:val="20"/>
                <w:szCs w:val="20"/>
              </w:rPr>
              <w:fldChar w:fldCharType="begin" w:fldLock="1">
                <w:ffData>
                  <w:name w:val=""/>
                  <w:enabled/>
                  <w:calcOnExit w:val="0"/>
                  <w:checkBox>
                    <w:sizeAuto/>
                    <w:default w:val="1"/>
                  </w:checkBox>
                </w:ffData>
              </w:fldChar>
            </w:r>
            <w:r w:rsidRPr="008E6588">
              <w:rPr>
                <w:rFonts w:ascii="Arial Narrow" w:eastAsia="Calibri" w:hAnsi="Arial Narrow"/>
                <w:sz w:val="20"/>
                <w:szCs w:val="20"/>
              </w:rPr>
              <w:instrText xml:space="preserve"> FORMCHECKBOX </w:instrText>
            </w:r>
            <w:r w:rsidRPr="008E6588">
              <w:rPr>
                <w:rFonts w:ascii="Arial Narrow" w:eastAsia="Calibri" w:hAnsi="Arial Narrow"/>
                <w:sz w:val="20"/>
                <w:szCs w:val="20"/>
              </w:rPr>
            </w:r>
            <w:r w:rsidRPr="008E6588">
              <w:rPr>
                <w:rFonts w:ascii="Arial Narrow" w:eastAsia="Calibri" w:hAnsi="Arial Narrow"/>
                <w:sz w:val="20"/>
                <w:szCs w:val="20"/>
              </w:rPr>
              <w:fldChar w:fldCharType="separate"/>
            </w:r>
            <w:r w:rsidRPr="008E6588">
              <w:rPr>
                <w:rFonts w:ascii="Arial Narrow" w:eastAsia="Calibri" w:hAnsi="Arial Narrow"/>
                <w:sz w:val="20"/>
                <w:szCs w:val="20"/>
              </w:rPr>
              <w:fldChar w:fldCharType="end"/>
            </w:r>
            <w:r w:rsidRPr="008E6588">
              <w:rPr>
                <w:rFonts w:ascii="Arial Narrow" w:eastAsia="Calibri" w:hAnsi="Arial Narrow"/>
                <w:sz w:val="20"/>
                <w:szCs w:val="20"/>
              </w:rPr>
              <w:t xml:space="preserve"> Complex Authority Required (CAR)</w:t>
            </w:r>
          </w:p>
        </w:tc>
      </w:tr>
      <w:tr w:rsidR="00045102" w:rsidRPr="008E6588" w14:paraId="238C259F" w14:textId="77777777" w:rsidTr="00836DB5">
        <w:tblPrEx>
          <w:tblCellMar>
            <w:top w:w="15" w:type="dxa"/>
            <w:bottom w:w="15" w:type="dxa"/>
          </w:tblCellMar>
        </w:tblPrEx>
        <w:trPr>
          <w:trHeight w:val="20"/>
        </w:trPr>
        <w:tc>
          <w:tcPr>
            <w:tcW w:w="312" w:type="pct"/>
            <w:vMerge w:val="restart"/>
            <w:tcBorders>
              <w:left w:val="single" w:sz="4" w:space="0" w:color="auto"/>
              <w:right w:val="single" w:sz="4" w:space="0" w:color="auto"/>
            </w:tcBorders>
            <w:textDirection w:val="btLr"/>
          </w:tcPr>
          <w:p w14:paraId="285E40D7" w14:textId="77777777" w:rsidR="00045102" w:rsidRPr="008E6588" w:rsidRDefault="00045102" w:rsidP="00045102">
            <w:pPr>
              <w:ind w:left="113" w:right="113"/>
              <w:jc w:val="center"/>
              <w:rPr>
                <w:rFonts w:ascii="Arial Narrow" w:hAnsi="Arial Narrow" w:cs="Arial"/>
                <w:sz w:val="20"/>
                <w:szCs w:val="20"/>
              </w:rPr>
            </w:pPr>
            <w:r w:rsidRPr="008E6588">
              <w:rPr>
                <w:rFonts w:ascii="Arial Narrow" w:hAnsi="Arial Narrow" w:cs="Arial"/>
                <w:sz w:val="20"/>
                <w:szCs w:val="20"/>
              </w:rPr>
              <w:t>Prescribing rule level</w:t>
            </w:r>
          </w:p>
        </w:tc>
        <w:tc>
          <w:tcPr>
            <w:tcW w:w="394" w:type="pct"/>
            <w:tcBorders>
              <w:left w:val="single" w:sz="4" w:space="0" w:color="auto"/>
              <w:right w:val="single" w:sz="4" w:space="0" w:color="auto"/>
            </w:tcBorders>
          </w:tcPr>
          <w:p w14:paraId="42EA4535" w14:textId="65C38493" w:rsidR="00045102" w:rsidRPr="008E6588" w:rsidRDefault="00045102" w:rsidP="00045102">
            <w:pPr>
              <w:jc w:val="left"/>
              <w:rPr>
                <w:rFonts w:ascii="Arial Narrow" w:hAnsi="Arial Narrow" w:cs="Arial"/>
                <w:sz w:val="20"/>
                <w:szCs w:val="20"/>
              </w:rPr>
            </w:pPr>
          </w:p>
        </w:tc>
        <w:tc>
          <w:tcPr>
            <w:tcW w:w="4294" w:type="pct"/>
            <w:gridSpan w:val="6"/>
            <w:tcBorders>
              <w:top w:val="single" w:sz="4" w:space="0" w:color="auto"/>
              <w:left w:val="single" w:sz="4" w:space="0" w:color="auto"/>
              <w:bottom w:val="single" w:sz="4" w:space="0" w:color="auto"/>
              <w:right w:val="single" w:sz="4" w:space="0" w:color="auto"/>
            </w:tcBorders>
          </w:tcPr>
          <w:p w14:paraId="306DD893"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
                <w:sz w:val="20"/>
                <w:szCs w:val="20"/>
              </w:rPr>
              <w:t xml:space="preserve">Administrative Advice: </w:t>
            </w:r>
          </w:p>
          <w:p w14:paraId="011A3C79" w14:textId="77777777" w:rsidR="00045102" w:rsidRPr="008E6588" w:rsidRDefault="00045102" w:rsidP="00045102">
            <w:pPr>
              <w:keepLines/>
              <w:jc w:val="left"/>
              <w:rPr>
                <w:rFonts w:ascii="Arial Narrow" w:hAnsi="Arial Narrow" w:cs="Arial"/>
                <w:b/>
                <w:sz w:val="20"/>
                <w:szCs w:val="20"/>
              </w:rPr>
            </w:pPr>
            <w:r w:rsidRPr="008E6588">
              <w:rPr>
                <w:rFonts w:ascii="Arial Narrow" w:hAnsi="Arial Narrow" w:cs="Arial"/>
                <w:b/>
                <w:bCs/>
                <w:sz w:val="20"/>
                <w:szCs w:val="20"/>
              </w:rPr>
              <w:t>TREATMENT OF ADULT AND ADOLESCENT PATIENTS WITH UNCONTROLLED SEVERE ASTHMA</w:t>
            </w:r>
          </w:p>
          <w:p w14:paraId="668EA2DB"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lastRenderedPageBreak/>
              <w:t>The following information applies to the prescribing under the Pharmaceutical Benefits Scheme (PBS) of the biological medicines for uncontrolled severe asthma. Where the term biological medicine appears in the following notes and restrictions it refers to all PBS benefits with the specific PBS indication of 'uncontrolled severe asthma'.</w:t>
            </w:r>
          </w:p>
          <w:p w14:paraId="090A8E8B"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A patient is eligible for PBS-subsidised treatment with only 1 biological medicine for uncontrolled severe asthma at any one time.</w:t>
            </w:r>
          </w:p>
          <w:p w14:paraId="750B2769"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 xml:space="preserve">A patient receiving PBS-subsidised treatment for uncontrolled severe asthma </w:t>
            </w:r>
            <w:proofErr w:type="gramStart"/>
            <w:r w:rsidRPr="008E6588">
              <w:rPr>
                <w:rFonts w:ascii="Arial Narrow" w:hAnsi="Arial Narrow" w:cs="Arial"/>
                <w:bCs/>
                <w:sz w:val="20"/>
                <w:szCs w:val="20"/>
              </w:rPr>
              <w:t>is able to</w:t>
            </w:r>
            <w:proofErr w:type="gramEnd"/>
            <w:r w:rsidRPr="008E6588">
              <w:rPr>
                <w:rFonts w:ascii="Arial Narrow" w:hAnsi="Arial Narrow" w:cs="Arial"/>
                <w:bCs/>
                <w:sz w:val="20"/>
                <w:szCs w:val="20"/>
              </w:rPr>
              <w:t xml:space="preserve"> commence a treatment cycle where they may trial a biological medicine without having to experience a disease flare when swapping to an alternate biological medicine within the same treatment cycle.</w:t>
            </w:r>
          </w:p>
          <w:p w14:paraId="47F3DAD5"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 xml:space="preserve">Under these arrangements, within a treatment cycle, a patient may receive long-term treatment with a biological medicine </w:t>
            </w:r>
            <w:proofErr w:type="gramStart"/>
            <w:r w:rsidRPr="008E6588">
              <w:rPr>
                <w:rFonts w:ascii="Arial Narrow" w:hAnsi="Arial Narrow" w:cs="Arial"/>
                <w:bCs/>
                <w:sz w:val="20"/>
                <w:szCs w:val="20"/>
              </w:rPr>
              <w:t>as long as</w:t>
            </w:r>
            <w:proofErr w:type="gramEnd"/>
            <w:r w:rsidRPr="008E6588">
              <w:rPr>
                <w:rFonts w:ascii="Arial Narrow" w:hAnsi="Arial Narrow" w:cs="Arial"/>
                <w:bCs/>
                <w:sz w:val="20"/>
                <w:szCs w:val="20"/>
              </w:rPr>
              <w:t xml:space="preserve"> they sustain a response to therapy.</w:t>
            </w:r>
          </w:p>
          <w:p w14:paraId="711F0899"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A patient currently receiving PBS-subsidised treatment as of 1 April 2021 is considered to have started a cycle of treatment.</w:t>
            </w:r>
          </w:p>
          <w:p w14:paraId="4E99D303"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Within the same treatment cycle, a patient cannot trial and fail, or cease to respond to, the same PBS-subsidised biological medicine more than once.</w:t>
            </w:r>
          </w:p>
          <w:p w14:paraId="7E40F69F"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Therefore, once a patient fails to meet the response criteria for a PBS-subsidised biological medicine, they must change to an alternate biological medicine if they wish to continue PBS-subsidised biological treatment.</w:t>
            </w:r>
          </w:p>
          <w:p w14:paraId="1D423E7B"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Once a patient has either failed to achieve or sustain a response to treatment 4 times, they are deemed to have completed a single treatment cycle. They must have at least a 12-month break in PBS-subsidised biological medicine therapy before they are eligible to recommence another new treatment cycle [further details are under 'Recommencement of treatment after a treatment break in PBS-subsidised therapy' below].</w:t>
            </w:r>
          </w:p>
          <w:p w14:paraId="1163ACF5"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The length of the break in therapy is measured from the date the most recent treatment with a PBS-subsidised biological medicine is ceased until the date of the first application for recommencement of treatment with a biological medicine under the new treatment cycle.</w:t>
            </w:r>
          </w:p>
          <w:p w14:paraId="37EEF64A"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There is no limit to the number of treatment cycles that a patient may undertake in their lifetime.</w:t>
            </w:r>
          </w:p>
          <w:p w14:paraId="656B5311"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How to prescribe PBS-subsidised biological medicine treatment for uncontrolled severe asthma.</w:t>
            </w:r>
          </w:p>
          <w:p w14:paraId="615E9960"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(1) Initial treatment:</w:t>
            </w:r>
          </w:p>
          <w:p w14:paraId="052EEECA"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Applications for initial treatment should be made where:</w:t>
            </w:r>
          </w:p>
          <w:p w14:paraId="748B78F9"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w:t>
            </w:r>
            <w:proofErr w:type="spellStart"/>
            <w:r w:rsidRPr="008E6588">
              <w:rPr>
                <w:rFonts w:ascii="Arial Narrow" w:hAnsi="Arial Narrow" w:cs="Arial"/>
                <w:bCs/>
                <w:sz w:val="20"/>
                <w:szCs w:val="20"/>
              </w:rPr>
              <w:t>i</w:t>
            </w:r>
            <w:proofErr w:type="spellEnd"/>
            <w:r w:rsidRPr="008E6588">
              <w:rPr>
                <w:rFonts w:ascii="Arial Narrow" w:hAnsi="Arial Narrow" w:cs="Arial"/>
                <w:bCs/>
                <w:sz w:val="20"/>
                <w:szCs w:val="20"/>
              </w:rPr>
              <w:t>) a patient has not received prior PBS-subsidised biological medicine treatment and wishes to commence such therapy (Initial 1 restriction); or</w:t>
            </w:r>
          </w:p>
          <w:p w14:paraId="25ACCE23"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(ii) a patient has received prior PBS-subsidised treatment with a biological medicine and wishes to recommence a new treatment cycle with this biological medicine following a treatment break in PBS-subsidised therapy (Initial 1 restriction); or</w:t>
            </w:r>
          </w:p>
          <w:p w14:paraId="716CDAEC"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(iii) a patient has received prior PBS-subsidised biological medicine therapy and wishes to trial an alternate biological medicine within the same treatment cycle (Initial 2 restriction) - [further details are under 'Swapping therapy' below].</w:t>
            </w:r>
          </w:p>
          <w:p w14:paraId="78177123"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All applications for initial treatment will be limited to provide for a maximum of up to 32 weeks of therapy of a biological medicine. It is recommended that a patient be reviewed in the month prior to completing their course of initial treatment to ensure uninterrupted biological medicine supply.</w:t>
            </w:r>
          </w:p>
          <w:p w14:paraId="365C5103"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(2) Continuing treatment:</w:t>
            </w:r>
          </w:p>
          <w:p w14:paraId="0E9CBF54"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Following the completion of an initial treatment course with a specific biological medicine, a patient may qualify to receive up to 24 weeks of continuing treatment with that biological medicine providing they have demonstrated an adequate response to treatment. The patient remains eligible to receive continuing biological medicine treatment with the same drug in courses of up to 24 weeks providing they continue to sustain the response. It is recommended that a patient be reviewed the month prior to completing their current course of treatment to ensure uninterrupted biological medicine supply.</w:t>
            </w:r>
          </w:p>
          <w:p w14:paraId="2E64A7D3"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(3) Baseline measurements to determine response:</w:t>
            </w:r>
          </w:p>
          <w:p w14:paraId="668706DE"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Baseline measurements of the Asthma Control Questionnaire (ACQ; 5 item version) or oral corticosteroid dose submitted with the Initial authority application for a biological medicine must be used to determine whether an adequate response to treatment has been achieved or sustained.</w:t>
            </w:r>
          </w:p>
          <w:p w14:paraId="651F5BD9"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For patients transitioned from the paediatric to the adolescent/adult restriction, the exacerbation history may also be used to determine response.</w:t>
            </w:r>
          </w:p>
          <w:p w14:paraId="7F136E91"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lastRenderedPageBreak/>
              <w:t xml:space="preserve">However, prescribers may provide new baseline measurements when a new Initial treatment authority application is </w:t>
            </w:r>
            <w:proofErr w:type="gramStart"/>
            <w:r w:rsidRPr="008E6588">
              <w:rPr>
                <w:rFonts w:ascii="Arial Narrow" w:hAnsi="Arial Narrow" w:cs="Arial"/>
                <w:bCs/>
                <w:sz w:val="20"/>
                <w:szCs w:val="20"/>
              </w:rPr>
              <w:t>submitted</w:t>
            </w:r>
            <w:proofErr w:type="gramEnd"/>
            <w:r w:rsidRPr="008E6588">
              <w:rPr>
                <w:rFonts w:ascii="Arial Narrow" w:hAnsi="Arial Narrow" w:cs="Arial"/>
                <w:bCs/>
                <w:sz w:val="20"/>
                <w:szCs w:val="20"/>
              </w:rPr>
              <w:t xml:space="preserve"> and these new baseline measurements may be used to assess response.</w:t>
            </w:r>
          </w:p>
          <w:p w14:paraId="2785AF9B"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(4) Swapping therapy within the same treatment cycle.</w:t>
            </w:r>
          </w:p>
          <w:p w14:paraId="4EAE9BC2"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Once initial treatment with the first PBS-subsidised biological medicine is approved, a patient may swap to an alternate biological medicine at any time by qualifying under an Initial 2 restriction.</w:t>
            </w:r>
          </w:p>
          <w:p w14:paraId="1B9A4223"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However, they cannot swap to a particular biological medicine if they have failed to respond to prior treatment with that drug within the same treatment cycle.</w:t>
            </w:r>
          </w:p>
          <w:p w14:paraId="07E7F855"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Within the same treatment cycle a patient may alternate between therapy with any biological medicine of their choice (1 at a time) providing:</w:t>
            </w:r>
          </w:p>
          <w:p w14:paraId="692E9085"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w:t>
            </w:r>
            <w:proofErr w:type="spellStart"/>
            <w:r w:rsidRPr="008E6588">
              <w:rPr>
                <w:rFonts w:ascii="Arial Narrow" w:hAnsi="Arial Narrow" w:cs="Arial"/>
                <w:bCs/>
                <w:sz w:val="20"/>
                <w:szCs w:val="20"/>
              </w:rPr>
              <w:t>i</w:t>
            </w:r>
            <w:proofErr w:type="spellEnd"/>
            <w:r w:rsidRPr="008E6588">
              <w:rPr>
                <w:rFonts w:ascii="Arial Narrow" w:hAnsi="Arial Narrow" w:cs="Arial"/>
                <w:bCs/>
                <w:sz w:val="20"/>
                <w:szCs w:val="20"/>
              </w:rPr>
              <w:t xml:space="preserve">) they have not received PBS-subsidised treatment with that </w:t>
            </w:r>
            <w:proofErr w:type="gramStart"/>
            <w:r w:rsidRPr="008E6588">
              <w:rPr>
                <w:rFonts w:ascii="Arial Narrow" w:hAnsi="Arial Narrow" w:cs="Arial"/>
                <w:bCs/>
                <w:sz w:val="20"/>
                <w:szCs w:val="20"/>
              </w:rPr>
              <w:t>particular biological</w:t>
            </w:r>
            <w:proofErr w:type="gramEnd"/>
            <w:r w:rsidRPr="008E6588">
              <w:rPr>
                <w:rFonts w:ascii="Arial Narrow" w:hAnsi="Arial Narrow" w:cs="Arial"/>
                <w:bCs/>
                <w:sz w:val="20"/>
                <w:szCs w:val="20"/>
              </w:rPr>
              <w:t xml:space="preserve"> medicine previously; or</w:t>
            </w:r>
          </w:p>
          <w:p w14:paraId="3A6B2EA2"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 xml:space="preserve">(ii) they have demonstrated an adequate response to that </w:t>
            </w:r>
            <w:proofErr w:type="gramStart"/>
            <w:r w:rsidRPr="008E6588">
              <w:rPr>
                <w:rFonts w:ascii="Arial Narrow" w:hAnsi="Arial Narrow" w:cs="Arial"/>
                <w:bCs/>
                <w:sz w:val="20"/>
                <w:szCs w:val="20"/>
              </w:rPr>
              <w:t>particular biological</w:t>
            </w:r>
            <w:proofErr w:type="gramEnd"/>
            <w:r w:rsidRPr="008E6588">
              <w:rPr>
                <w:rFonts w:ascii="Arial Narrow" w:hAnsi="Arial Narrow" w:cs="Arial"/>
                <w:bCs/>
                <w:sz w:val="20"/>
                <w:szCs w:val="20"/>
              </w:rPr>
              <w:t xml:space="preserve"> medicine if they have previously trialled it on the PBS; and</w:t>
            </w:r>
          </w:p>
          <w:p w14:paraId="3CE8E168"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(iii) they have not previously failed to respond to treatment with all 4 biological medicines in this treatment cycle.</w:t>
            </w:r>
          </w:p>
          <w:p w14:paraId="4D1C237B"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(5) Re-commencement of a new treatment cycle after a treatment break in PBS-subsidised therapy:</w:t>
            </w:r>
          </w:p>
          <w:p w14:paraId="4B89F136"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A patient who wishes to trial a second or subsequent new treatment cycle, following a break in PBS-subsidised therapy of at least 12 months (in patients who have failed to achieve or ceased to sustain a response to treatment 4 times within a treatment cycle), must re-qualify through an Initial 1 restriction.</w:t>
            </w:r>
          </w:p>
          <w:p w14:paraId="05F7820E"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(6) Monitoring of patients:</w:t>
            </w:r>
          </w:p>
          <w:p w14:paraId="034519F9"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Omalizumab only:</w:t>
            </w:r>
          </w:p>
          <w:p w14:paraId="0D02127E" w14:textId="77777777" w:rsidR="00045102" w:rsidRPr="008E6588" w:rsidRDefault="00045102" w:rsidP="00045102">
            <w:pPr>
              <w:keepLines/>
              <w:jc w:val="left"/>
              <w:rPr>
                <w:rFonts w:ascii="Arial Narrow" w:hAnsi="Arial Narrow" w:cs="Arial"/>
                <w:bCs/>
                <w:sz w:val="20"/>
                <w:szCs w:val="20"/>
              </w:rPr>
            </w:pPr>
            <w:r w:rsidRPr="008E6588">
              <w:rPr>
                <w:rFonts w:ascii="Arial Narrow" w:hAnsi="Arial Narrow" w:cs="Arial"/>
                <w:bCs/>
                <w:sz w:val="20"/>
                <w:szCs w:val="20"/>
              </w:rPr>
              <w:t xml:space="preserve">Anaphylaxis and anaphylactoid reactions have been reported following first or subsequent administration of omalizumab (see Product Information). Patients should be monitored post-injection, and medications for the treatment of anaphylactic reactions should be available for immediate use following administration of omalizumab. Patients should be informed that such reactions are </w:t>
            </w:r>
            <w:proofErr w:type="gramStart"/>
            <w:r w:rsidRPr="008E6588">
              <w:rPr>
                <w:rFonts w:ascii="Arial Narrow" w:hAnsi="Arial Narrow" w:cs="Arial"/>
                <w:bCs/>
                <w:sz w:val="20"/>
                <w:szCs w:val="20"/>
              </w:rPr>
              <w:t>possible</w:t>
            </w:r>
            <w:proofErr w:type="gramEnd"/>
            <w:r w:rsidRPr="008E6588">
              <w:rPr>
                <w:rFonts w:ascii="Arial Narrow" w:hAnsi="Arial Narrow" w:cs="Arial"/>
                <w:bCs/>
                <w:sz w:val="20"/>
                <w:szCs w:val="20"/>
              </w:rPr>
              <w:t xml:space="preserve"> and prompt medical attention should be sought if allergic reactions occur.</w:t>
            </w:r>
          </w:p>
        </w:tc>
      </w:tr>
      <w:tr w:rsidR="00045102" w:rsidRPr="008E6588" w14:paraId="739615D6" w14:textId="77777777" w:rsidTr="00836DB5">
        <w:tblPrEx>
          <w:tblCellMar>
            <w:top w:w="15" w:type="dxa"/>
            <w:bottom w:w="15" w:type="dxa"/>
          </w:tblCellMar>
        </w:tblPrEx>
        <w:trPr>
          <w:trHeight w:val="20"/>
        </w:trPr>
        <w:tc>
          <w:tcPr>
            <w:tcW w:w="312" w:type="pct"/>
            <w:vMerge/>
            <w:tcBorders>
              <w:left w:val="single" w:sz="4" w:space="0" w:color="auto"/>
              <w:right w:val="single" w:sz="4" w:space="0" w:color="auto"/>
            </w:tcBorders>
            <w:textDirection w:val="btLr"/>
          </w:tcPr>
          <w:p w14:paraId="528C17EC" w14:textId="77777777" w:rsidR="00045102" w:rsidRPr="008E6588" w:rsidRDefault="00045102" w:rsidP="00045102">
            <w:pPr>
              <w:ind w:left="113" w:right="113"/>
              <w:jc w:val="center"/>
              <w:rPr>
                <w:rFonts w:ascii="Arial Narrow" w:hAnsi="Arial Narrow" w:cs="Arial"/>
                <w:sz w:val="20"/>
                <w:szCs w:val="20"/>
              </w:rPr>
            </w:pPr>
          </w:p>
        </w:tc>
        <w:tc>
          <w:tcPr>
            <w:tcW w:w="394" w:type="pct"/>
            <w:tcBorders>
              <w:left w:val="single" w:sz="4" w:space="0" w:color="auto"/>
              <w:right w:val="single" w:sz="4" w:space="0" w:color="auto"/>
            </w:tcBorders>
          </w:tcPr>
          <w:p w14:paraId="637E9B27" w14:textId="18C1E188" w:rsidR="00045102" w:rsidRPr="008E6588" w:rsidRDefault="00045102" w:rsidP="00045102">
            <w:pPr>
              <w:jc w:val="left"/>
              <w:rPr>
                <w:rFonts w:ascii="Arial Narrow" w:hAnsi="Arial Narrow" w:cs="Arial"/>
                <w:sz w:val="20"/>
                <w:szCs w:val="20"/>
              </w:rPr>
            </w:pPr>
          </w:p>
        </w:tc>
        <w:tc>
          <w:tcPr>
            <w:tcW w:w="4294" w:type="pct"/>
            <w:gridSpan w:val="6"/>
            <w:tcBorders>
              <w:top w:val="single" w:sz="4" w:space="0" w:color="auto"/>
              <w:left w:val="single" w:sz="4" w:space="0" w:color="auto"/>
              <w:bottom w:val="single" w:sz="4" w:space="0" w:color="auto"/>
              <w:right w:val="single" w:sz="4" w:space="0" w:color="auto"/>
            </w:tcBorders>
          </w:tcPr>
          <w:p w14:paraId="0B13043C" w14:textId="77777777" w:rsidR="00045102" w:rsidRPr="008E6588" w:rsidRDefault="00045102" w:rsidP="00045102">
            <w:pPr>
              <w:keepLines/>
              <w:jc w:val="left"/>
              <w:rPr>
                <w:rFonts w:ascii="Arial Narrow" w:hAnsi="Arial Narrow" w:cs="Arial"/>
                <w:b/>
                <w:sz w:val="20"/>
                <w:szCs w:val="20"/>
              </w:rPr>
            </w:pPr>
            <w:r w:rsidRPr="008E6588">
              <w:rPr>
                <w:rFonts w:ascii="Arial Narrow" w:hAnsi="Arial Narrow" w:cs="Arial"/>
                <w:b/>
                <w:sz w:val="20"/>
                <w:szCs w:val="20"/>
              </w:rPr>
              <w:t xml:space="preserve">Administrative Advice: </w:t>
            </w:r>
            <w:r w:rsidRPr="008E6588">
              <w:rPr>
                <w:rFonts w:ascii="Arial Narrow" w:hAnsi="Arial Narrow" w:cs="Arial"/>
                <w:bCs/>
                <w:sz w:val="20"/>
                <w:szCs w:val="20"/>
              </w:rPr>
              <w:t>For copies of the ACQ and the calculation sheets please contact Novartis Medical Information on 1800 671 203 or medinfo.phauno@novartis.com</w:t>
            </w:r>
          </w:p>
        </w:tc>
      </w:tr>
      <w:tr w:rsidR="00045102" w:rsidRPr="008E6588" w14:paraId="6D3A98D5" w14:textId="77777777" w:rsidTr="00836DB5">
        <w:tblPrEx>
          <w:tblCellMar>
            <w:top w:w="15" w:type="dxa"/>
            <w:bottom w:w="15" w:type="dxa"/>
          </w:tblCellMar>
        </w:tblPrEx>
        <w:trPr>
          <w:trHeight w:val="20"/>
        </w:trPr>
        <w:tc>
          <w:tcPr>
            <w:tcW w:w="312" w:type="pct"/>
            <w:vMerge/>
            <w:tcBorders>
              <w:left w:val="single" w:sz="4" w:space="0" w:color="auto"/>
              <w:right w:val="single" w:sz="4" w:space="0" w:color="auto"/>
            </w:tcBorders>
            <w:textDirection w:val="btLr"/>
          </w:tcPr>
          <w:p w14:paraId="5FD09ABE" w14:textId="77777777" w:rsidR="00045102" w:rsidRPr="008E6588" w:rsidRDefault="00045102" w:rsidP="00045102">
            <w:pPr>
              <w:ind w:left="113" w:right="113"/>
              <w:jc w:val="center"/>
              <w:rPr>
                <w:rFonts w:ascii="Arial Narrow" w:hAnsi="Arial Narrow" w:cs="Arial"/>
                <w:sz w:val="20"/>
                <w:szCs w:val="20"/>
              </w:rPr>
            </w:pPr>
          </w:p>
        </w:tc>
        <w:tc>
          <w:tcPr>
            <w:tcW w:w="394" w:type="pct"/>
            <w:tcBorders>
              <w:left w:val="single" w:sz="4" w:space="0" w:color="auto"/>
              <w:right w:val="single" w:sz="4" w:space="0" w:color="auto"/>
            </w:tcBorders>
          </w:tcPr>
          <w:p w14:paraId="60CD495B" w14:textId="60F5E7FC" w:rsidR="00045102" w:rsidRPr="008E6588" w:rsidRDefault="00045102" w:rsidP="00045102">
            <w:pPr>
              <w:jc w:val="left"/>
              <w:rPr>
                <w:rFonts w:ascii="Arial Narrow" w:hAnsi="Arial Narrow" w:cs="Arial"/>
                <w:sz w:val="20"/>
                <w:szCs w:val="20"/>
              </w:rPr>
            </w:pPr>
          </w:p>
        </w:tc>
        <w:tc>
          <w:tcPr>
            <w:tcW w:w="4294" w:type="pct"/>
            <w:gridSpan w:val="6"/>
            <w:tcBorders>
              <w:top w:val="single" w:sz="4" w:space="0" w:color="auto"/>
              <w:left w:val="single" w:sz="4" w:space="0" w:color="auto"/>
              <w:bottom w:val="single" w:sz="4" w:space="0" w:color="auto"/>
              <w:right w:val="single" w:sz="4" w:space="0" w:color="auto"/>
            </w:tcBorders>
          </w:tcPr>
          <w:p w14:paraId="3E841C33" w14:textId="77777777" w:rsidR="00045102" w:rsidRPr="008E6588" w:rsidRDefault="00045102" w:rsidP="00045102">
            <w:pPr>
              <w:keepLines/>
              <w:jc w:val="left"/>
              <w:rPr>
                <w:rFonts w:ascii="Arial Narrow" w:hAnsi="Arial Narrow" w:cs="Arial"/>
                <w:b/>
                <w:sz w:val="20"/>
                <w:szCs w:val="20"/>
              </w:rPr>
            </w:pPr>
            <w:r w:rsidRPr="008E6588">
              <w:rPr>
                <w:rFonts w:ascii="Arial Narrow" w:hAnsi="Arial Narrow" w:cs="Arial"/>
                <w:b/>
                <w:sz w:val="20"/>
                <w:szCs w:val="20"/>
              </w:rPr>
              <w:t xml:space="preserve">Administrative Advice: </w:t>
            </w:r>
            <w:r w:rsidRPr="008E6588">
              <w:rPr>
                <w:rFonts w:ascii="Arial Narrow" w:hAnsi="Arial Narrow" w:cs="Arial"/>
                <w:bCs/>
                <w:sz w:val="20"/>
                <w:szCs w:val="20"/>
              </w:rPr>
              <w:t>Formal assessment and correction of inhaler technique should be performed in accordance with the National Asthma Council (NAC) Information Paper for Health Professionals on Inhaler Technique (available at www.nationalasthma.org.au); the assessment and adherence to correct technique should be documented in the patient's medical records. Patients can obtain support with inhaler technique through their local Asthma Foundation (1800 645 130).</w:t>
            </w:r>
          </w:p>
        </w:tc>
      </w:tr>
      <w:tr w:rsidR="00045102" w:rsidRPr="008E6588" w14:paraId="7C79F7CF" w14:textId="77777777" w:rsidTr="00836DB5">
        <w:tblPrEx>
          <w:tblCellMar>
            <w:top w:w="15" w:type="dxa"/>
            <w:bottom w:w="15" w:type="dxa"/>
          </w:tblCellMar>
        </w:tblPrEx>
        <w:trPr>
          <w:trHeight w:val="20"/>
        </w:trPr>
        <w:tc>
          <w:tcPr>
            <w:tcW w:w="312" w:type="pct"/>
            <w:vMerge/>
            <w:tcBorders>
              <w:left w:val="single" w:sz="4" w:space="0" w:color="auto"/>
              <w:right w:val="single" w:sz="4" w:space="0" w:color="auto"/>
            </w:tcBorders>
          </w:tcPr>
          <w:p w14:paraId="7C060814" w14:textId="77777777" w:rsidR="00045102" w:rsidRPr="008E6588" w:rsidRDefault="00045102" w:rsidP="00045102">
            <w:pPr>
              <w:jc w:val="left"/>
              <w:rPr>
                <w:rFonts w:ascii="Arial Narrow" w:hAnsi="Arial Narrow" w:cs="Arial"/>
                <w:sz w:val="20"/>
                <w:szCs w:val="20"/>
              </w:rPr>
            </w:pPr>
          </w:p>
        </w:tc>
        <w:tc>
          <w:tcPr>
            <w:tcW w:w="394" w:type="pct"/>
            <w:tcBorders>
              <w:left w:val="single" w:sz="4" w:space="0" w:color="auto"/>
              <w:right w:val="single" w:sz="4" w:space="0" w:color="auto"/>
            </w:tcBorders>
          </w:tcPr>
          <w:p w14:paraId="1D24B011" w14:textId="310EC410" w:rsidR="00045102" w:rsidRPr="008E6588" w:rsidRDefault="00045102" w:rsidP="00045102">
            <w:pPr>
              <w:jc w:val="left"/>
              <w:textAlignment w:val="baseline"/>
              <w:rPr>
                <w:rFonts w:ascii="Arial Narrow" w:hAnsi="Arial Narrow" w:cs="Open Sans"/>
                <w:color w:val="333333"/>
                <w:sz w:val="20"/>
                <w:szCs w:val="20"/>
              </w:rPr>
            </w:pPr>
          </w:p>
        </w:tc>
        <w:tc>
          <w:tcPr>
            <w:tcW w:w="4294" w:type="pct"/>
            <w:gridSpan w:val="6"/>
            <w:tcBorders>
              <w:top w:val="single" w:sz="4" w:space="0" w:color="auto"/>
              <w:left w:val="single" w:sz="4" w:space="0" w:color="auto"/>
              <w:bottom w:val="single" w:sz="4" w:space="0" w:color="auto"/>
              <w:right w:val="single" w:sz="4" w:space="0" w:color="auto"/>
            </w:tcBorders>
          </w:tcPr>
          <w:p w14:paraId="23833AF8" w14:textId="77777777" w:rsidR="00045102" w:rsidRPr="008E6588" w:rsidRDefault="00045102" w:rsidP="00045102">
            <w:pPr>
              <w:keepLines/>
              <w:jc w:val="left"/>
              <w:rPr>
                <w:rFonts w:ascii="Arial Narrow" w:hAnsi="Arial Narrow" w:cs="Arial"/>
                <w:sz w:val="20"/>
                <w:szCs w:val="20"/>
              </w:rPr>
            </w:pPr>
            <w:r w:rsidRPr="008E6588">
              <w:rPr>
                <w:rFonts w:ascii="Arial Narrow" w:hAnsi="Arial Narrow" w:cs="Arial"/>
                <w:b/>
                <w:sz w:val="20"/>
                <w:szCs w:val="20"/>
              </w:rPr>
              <w:t>Administrative Advice</w:t>
            </w:r>
            <w:r w:rsidRPr="008E6588">
              <w:rPr>
                <w:rFonts w:ascii="Arial Narrow" w:hAnsi="Arial Narrow" w:cs="Arial"/>
                <w:sz w:val="20"/>
                <w:szCs w:val="20"/>
              </w:rPr>
              <w:t>: 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045102" w:rsidRPr="008E6588" w14:paraId="13A40D5B" w14:textId="77777777" w:rsidTr="00836DB5">
        <w:tblPrEx>
          <w:tblCellMar>
            <w:top w:w="15" w:type="dxa"/>
            <w:bottom w:w="15" w:type="dxa"/>
          </w:tblCellMar>
        </w:tblPrEx>
        <w:trPr>
          <w:trHeight w:val="20"/>
        </w:trPr>
        <w:tc>
          <w:tcPr>
            <w:tcW w:w="312" w:type="pct"/>
            <w:vMerge/>
            <w:tcBorders>
              <w:left w:val="single" w:sz="4" w:space="0" w:color="auto"/>
              <w:right w:val="single" w:sz="4" w:space="0" w:color="auto"/>
            </w:tcBorders>
          </w:tcPr>
          <w:p w14:paraId="6E24B77C" w14:textId="77777777" w:rsidR="00045102" w:rsidRPr="008E6588" w:rsidRDefault="00045102" w:rsidP="00045102">
            <w:pPr>
              <w:jc w:val="left"/>
              <w:rPr>
                <w:rFonts w:ascii="Arial Narrow" w:hAnsi="Arial Narrow" w:cs="Arial"/>
                <w:sz w:val="20"/>
                <w:szCs w:val="20"/>
              </w:rPr>
            </w:pPr>
          </w:p>
        </w:tc>
        <w:tc>
          <w:tcPr>
            <w:tcW w:w="394" w:type="pct"/>
            <w:tcBorders>
              <w:left w:val="single" w:sz="4" w:space="0" w:color="auto"/>
              <w:right w:val="single" w:sz="4" w:space="0" w:color="auto"/>
            </w:tcBorders>
          </w:tcPr>
          <w:p w14:paraId="119FF07C" w14:textId="63CC37A3" w:rsidR="00045102" w:rsidRPr="008E6588" w:rsidRDefault="00045102" w:rsidP="00045102">
            <w:pPr>
              <w:jc w:val="left"/>
              <w:rPr>
                <w:rFonts w:ascii="Arial Narrow" w:hAnsi="Arial Narrow" w:cs="Arial"/>
                <w:sz w:val="20"/>
                <w:szCs w:val="20"/>
              </w:rPr>
            </w:pPr>
          </w:p>
        </w:tc>
        <w:tc>
          <w:tcPr>
            <w:tcW w:w="4294" w:type="pct"/>
            <w:gridSpan w:val="6"/>
            <w:tcBorders>
              <w:top w:val="single" w:sz="4" w:space="0" w:color="auto"/>
              <w:left w:val="single" w:sz="4" w:space="0" w:color="auto"/>
              <w:bottom w:val="single" w:sz="4" w:space="0" w:color="auto"/>
              <w:right w:val="single" w:sz="4" w:space="0" w:color="auto"/>
            </w:tcBorders>
          </w:tcPr>
          <w:p w14:paraId="3FD96FD5" w14:textId="3C76719E" w:rsidR="00045102" w:rsidRPr="008E6588" w:rsidRDefault="00045102" w:rsidP="00045102">
            <w:pPr>
              <w:jc w:val="left"/>
              <w:rPr>
                <w:rFonts w:ascii="Arial Narrow" w:hAnsi="Arial Narrow"/>
                <w:sz w:val="20"/>
                <w:szCs w:val="20"/>
              </w:rPr>
            </w:pPr>
            <w:r w:rsidRPr="008E6588">
              <w:rPr>
                <w:rFonts w:ascii="Arial Narrow" w:hAnsi="Arial Narrow"/>
                <w:b/>
                <w:bCs/>
                <w:sz w:val="20"/>
                <w:szCs w:val="20"/>
              </w:rPr>
              <w:t>Administrative Advice:</w:t>
            </w:r>
            <w:r w:rsidRPr="008E6588">
              <w:rPr>
                <w:rFonts w:ascii="Arial Narrow" w:hAnsi="Arial Narrow"/>
                <w:sz w:val="20"/>
                <w:szCs w:val="20"/>
              </w:rPr>
              <w:t xml:space="preserve"> </w:t>
            </w:r>
            <w:r w:rsidRPr="008E6588">
              <w:rPr>
                <w:rFonts w:ascii="Arial Narrow" w:hAnsi="Arial Narrow"/>
                <w:iCs/>
                <w:sz w:val="20"/>
                <w:szCs w:val="20"/>
              </w:rPr>
              <w:t xml:space="preserve">Pharmaceutical benefits that have the form omalizumab </w:t>
            </w:r>
            <w:r w:rsidRPr="008E6588">
              <w:rPr>
                <w:rFonts w:ascii="Arial Narrow" w:hAnsi="Arial Narrow" w:cs="Arial"/>
                <w:iCs/>
                <w:sz w:val="20"/>
                <w:szCs w:val="20"/>
              </w:rPr>
              <w:t xml:space="preserve">150 mg/mL </w:t>
            </w:r>
            <w:r w:rsidRPr="008E6588">
              <w:rPr>
                <w:rFonts w:ascii="Arial Narrow" w:hAnsi="Arial Narrow"/>
                <w:iCs/>
                <w:sz w:val="20"/>
                <w:szCs w:val="20"/>
              </w:rPr>
              <w:t xml:space="preserve">syringes and pharmaceutical benefits that have the form omalizumab </w:t>
            </w:r>
            <w:r w:rsidRPr="008E6588">
              <w:rPr>
                <w:rFonts w:ascii="Arial Narrow" w:hAnsi="Arial Narrow" w:cs="Arial"/>
                <w:iCs/>
                <w:sz w:val="20"/>
                <w:szCs w:val="20"/>
              </w:rPr>
              <w:t xml:space="preserve">150 mg/mL </w:t>
            </w:r>
            <w:r w:rsidRPr="008E6588">
              <w:rPr>
                <w:rFonts w:ascii="Arial Narrow" w:hAnsi="Arial Narrow"/>
                <w:iCs/>
                <w:sz w:val="20"/>
                <w:szCs w:val="20"/>
              </w:rPr>
              <w:t>pen devices are equivalent for the purposes of substitution.</w:t>
            </w:r>
          </w:p>
        </w:tc>
      </w:tr>
      <w:tr w:rsidR="00045102" w:rsidRPr="008E6588" w14:paraId="1B72EEB3" w14:textId="77777777" w:rsidTr="00836DB5">
        <w:tblPrEx>
          <w:tblCellMar>
            <w:top w:w="15" w:type="dxa"/>
            <w:bottom w:w="15" w:type="dxa"/>
          </w:tblCellMar>
          <w:tblLook w:val="04A0" w:firstRow="1" w:lastRow="0" w:firstColumn="1" w:lastColumn="0" w:noHBand="0" w:noVBand="1"/>
        </w:tblPrEx>
        <w:trPr>
          <w:trHeight w:val="20"/>
        </w:trPr>
        <w:tc>
          <w:tcPr>
            <w:tcW w:w="5000" w:type="pct"/>
            <w:gridSpan w:val="8"/>
            <w:vAlign w:val="center"/>
          </w:tcPr>
          <w:p w14:paraId="17A120C5" w14:textId="77777777" w:rsidR="00045102" w:rsidRPr="008E6588" w:rsidRDefault="00045102" w:rsidP="00045102">
            <w:pPr>
              <w:rPr>
                <w:rFonts w:ascii="Arial Narrow" w:hAnsi="Arial Narrow"/>
                <w:sz w:val="20"/>
                <w:szCs w:val="20"/>
              </w:rPr>
            </w:pPr>
          </w:p>
        </w:tc>
      </w:tr>
      <w:tr w:rsidR="00045102" w:rsidRPr="008E6588" w14:paraId="50F09FE9" w14:textId="77777777" w:rsidTr="00836DB5">
        <w:tblPrEx>
          <w:tblCellMar>
            <w:top w:w="15" w:type="dxa"/>
            <w:bottom w:w="15" w:type="dxa"/>
          </w:tblCellMar>
          <w:tblLook w:val="04A0" w:firstRow="1" w:lastRow="0" w:firstColumn="1" w:lastColumn="0" w:noHBand="0" w:noVBand="1"/>
        </w:tblPrEx>
        <w:trPr>
          <w:trHeight w:val="20"/>
        </w:trPr>
        <w:tc>
          <w:tcPr>
            <w:tcW w:w="5000" w:type="pct"/>
            <w:gridSpan w:val="8"/>
            <w:vAlign w:val="center"/>
          </w:tcPr>
          <w:p w14:paraId="233C074B" w14:textId="77777777" w:rsidR="00045102" w:rsidRPr="008E6588" w:rsidRDefault="00045102" w:rsidP="00045102">
            <w:pPr>
              <w:rPr>
                <w:rFonts w:ascii="Arial Narrow" w:hAnsi="Arial Narrow"/>
                <w:b/>
                <w:bCs/>
                <w:sz w:val="20"/>
                <w:szCs w:val="20"/>
              </w:rPr>
            </w:pPr>
            <w:r w:rsidRPr="008E6588">
              <w:rPr>
                <w:rFonts w:ascii="Arial Narrow" w:hAnsi="Arial Narrow"/>
                <w:b/>
                <w:bCs/>
                <w:sz w:val="20"/>
                <w:szCs w:val="20"/>
              </w:rPr>
              <w:t>Restriction Summary 15379 / Treatment of Concept: 15347: Authority Required</w:t>
            </w:r>
          </w:p>
        </w:tc>
      </w:tr>
      <w:tr w:rsidR="00045102" w:rsidRPr="008E6588" w14:paraId="29FE8027" w14:textId="77777777" w:rsidTr="00B923E6">
        <w:tblPrEx>
          <w:tblCellMar>
            <w:top w:w="15" w:type="dxa"/>
            <w:bottom w:w="15" w:type="dxa"/>
          </w:tblCellMar>
        </w:tblPrEx>
        <w:trPr>
          <w:cantSplit/>
          <w:trHeight w:val="20"/>
        </w:trPr>
        <w:tc>
          <w:tcPr>
            <w:tcW w:w="706" w:type="pct"/>
            <w:gridSpan w:val="2"/>
            <w:vAlign w:val="center"/>
          </w:tcPr>
          <w:p w14:paraId="3A339B6A" w14:textId="2C7F4427" w:rsidR="00045102" w:rsidRPr="008E6588" w:rsidRDefault="00045102" w:rsidP="00045102">
            <w:pPr>
              <w:keepLines/>
              <w:jc w:val="center"/>
              <w:rPr>
                <w:rFonts w:ascii="Arial Narrow" w:hAnsi="Arial Narrow"/>
                <w:sz w:val="20"/>
                <w:szCs w:val="20"/>
              </w:rPr>
            </w:pPr>
          </w:p>
        </w:tc>
        <w:tc>
          <w:tcPr>
            <w:tcW w:w="4294" w:type="pct"/>
            <w:gridSpan w:val="6"/>
            <w:vAlign w:val="center"/>
            <w:hideMark/>
          </w:tcPr>
          <w:p w14:paraId="68DE0F51" w14:textId="77777777" w:rsidR="00045102" w:rsidRPr="008E6588" w:rsidRDefault="00045102" w:rsidP="00045102">
            <w:pPr>
              <w:keepLines/>
              <w:rPr>
                <w:rFonts w:ascii="Arial Narrow" w:hAnsi="Arial Narrow"/>
                <w:color w:val="333333"/>
                <w:sz w:val="20"/>
                <w:szCs w:val="20"/>
              </w:rPr>
            </w:pPr>
            <w:r w:rsidRPr="008E6588">
              <w:rPr>
                <w:rFonts w:ascii="Arial Narrow" w:hAnsi="Arial Narrow"/>
                <w:b/>
                <w:bCs/>
                <w:sz w:val="20"/>
                <w:szCs w:val="20"/>
              </w:rPr>
              <w:t>Indication:</w:t>
            </w:r>
            <w:r w:rsidRPr="008E6588">
              <w:rPr>
                <w:rFonts w:ascii="Arial Narrow" w:hAnsi="Arial Narrow"/>
                <w:sz w:val="20"/>
                <w:szCs w:val="20"/>
              </w:rPr>
              <w:t xml:space="preserve"> Uncontrolled severe asthma</w:t>
            </w:r>
          </w:p>
        </w:tc>
      </w:tr>
      <w:tr w:rsidR="00045102" w:rsidRPr="008E6588" w14:paraId="6318F7EA" w14:textId="77777777" w:rsidTr="00B923E6">
        <w:tblPrEx>
          <w:tblCellMar>
            <w:top w:w="15" w:type="dxa"/>
            <w:bottom w:w="15" w:type="dxa"/>
          </w:tblCellMar>
        </w:tblPrEx>
        <w:trPr>
          <w:cantSplit/>
          <w:trHeight w:val="20"/>
        </w:trPr>
        <w:tc>
          <w:tcPr>
            <w:tcW w:w="706" w:type="pct"/>
            <w:gridSpan w:val="2"/>
            <w:vAlign w:val="center"/>
          </w:tcPr>
          <w:p w14:paraId="238716F6" w14:textId="77777777" w:rsidR="00045102" w:rsidRPr="008E6588" w:rsidRDefault="00045102" w:rsidP="00045102">
            <w:pPr>
              <w:jc w:val="center"/>
              <w:rPr>
                <w:rFonts w:ascii="Arial Narrow" w:hAnsi="Arial Narrow"/>
                <w:sz w:val="20"/>
                <w:szCs w:val="20"/>
              </w:rPr>
            </w:pPr>
          </w:p>
        </w:tc>
        <w:tc>
          <w:tcPr>
            <w:tcW w:w="4294" w:type="pct"/>
            <w:gridSpan w:val="6"/>
            <w:vAlign w:val="center"/>
            <w:hideMark/>
          </w:tcPr>
          <w:p w14:paraId="10889717" w14:textId="77777777" w:rsidR="00045102" w:rsidRPr="008E6588" w:rsidRDefault="00045102" w:rsidP="00045102">
            <w:pPr>
              <w:rPr>
                <w:rFonts w:ascii="Arial Narrow" w:hAnsi="Arial Narrow"/>
                <w:sz w:val="20"/>
                <w:szCs w:val="20"/>
              </w:rPr>
            </w:pPr>
            <w:r w:rsidRPr="008E6588">
              <w:rPr>
                <w:rFonts w:ascii="Arial Narrow" w:hAnsi="Arial Narrow"/>
                <w:b/>
                <w:bCs/>
                <w:sz w:val="20"/>
                <w:szCs w:val="20"/>
              </w:rPr>
              <w:t>Treatment Phase:</w:t>
            </w:r>
            <w:r w:rsidRPr="008E6588">
              <w:rPr>
                <w:rFonts w:ascii="Arial Narrow" w:hAnsi="Arial Narrow"/>
                <w:sz w:val="20"/>
                <w:szCs w:val="20"/>
              </w:rPr>
              <w:t xml:space="preserve"> Continuing treatment</w:t>
            </w:r>
            <w:r w:rsidRPr="008E6588">
              <w:rPr>
                <w:rFonts w:ascii="Arial Narrow" w:hAnsi="Arial Narrow" w:cs="Open Sans"/>
                <w:color w:val="333333"/>
                <w:sz w:val="20"/>
                <w:szCs w:val="20"/>
                <w:shd w:val="clear" w:color="auto" w:fill="FFFFFF"/>
              </w:rPr>
              <w:t xml:space="preserve"> </w:t>
            </w:r>
          </w:p>
        </w:tc>
      </w:tr>
      <w:tr w:rsidR="00045102" w:rsidRPr="008E6588" w14:paraId="71665FA1" w14:textId="77777777" w:rsidTr="00836DB5">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BAC71" w14:textId="29666123" w:rsidR="00045102" w:rsidRPr="008E6588" w:rsidRDefault="00045102" w:rsidP="00045102">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433C20" w14:textId="77777777" w:rsidR="00045102" w:rsidRPr="008E6588" w:rsidRDefault="00045102" w:rsidP="00045102">
            <w:pPr>
              <w:rPr>
                <w:rFonts w:ascii="Arial Narrow" w:hAnsi="Arial Narrow"/>
                <w:b/>
                <w:bCs/>
                <w:sz w:val="20"/>
                <w:szCs w:val="20"/>
              </w:rPr>
            </w:pPr>
            <w:r w:rsidRPr="008E6588">
              <w:rPr>
                <w:rFonts w:ascii="Arial Narrow" w:hAnsi="Arial Narrow"/>
                <w:b/>
                <w:bCs/>
                <w:sz w:val="20"/>
                <w:szCs w:val="20"/>
              </w:rPr>
              <w:t>Treatment criteria:</w:t>
            </w:r>
          </w:p>
        </w:tc>
      </w:tr>
      <w:tr w:rsidR="00045102" w:rsidRPr="008E6588" w14:paraId="1DF4DABE" w14:textId="77777777" w:rsidTr="00836DB5">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F92AE" w14:textId="57A954CE" w:rsidR="00045102" w:rsidRPr="008E6588" w:rsidRDefault="00045102" w:rsidP="00045102">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5B0C54" w14:textId="77777777" w:rsidR="00045102" w:rsidRPr="008E6588" w:rsidRDefault="00045102" w:rsidP="00045102">
            <w:pPr>
              <w:rPr>
                <w:rFonts w:ascii="Arial Narrow" w:hAnsi="Arial Narrow"/>
                <w:sz w:val="20"/>
                <w:szCs w:val="20"/>
              </w:rPr>
            </w:pPr>
            <w:r w:rsidRPr="008E6588">
              <w:rPr>
                <w:rFonts w:ascii="Arial Narrow" w:hAnsi="Arial Narrow"/>
                <w:sz w:val="20"/>
                <w:szCs w:val="20"/>
              </w:rPr>
              <w:t>Must be treated by a medical practitioner who is either a: (</w:t>
            </w:r>
            <w:proofErr w:type="spellStart"/>
            <w:r w:rsidRPr="008E6588">
              <w:rPr>
                <w:rFonts w:ascii="Arial Narrow" w:hAnsi="Arial Narrow"/>
                <w:sz w:val="20"/>
                <w:szCs w:val="20"/>
              </w:rPr>
              <w:t>i</w:t>
            </w:r>
            <w:proofErr w:type="spellEnd"/>
            <w:r w:rsidRPr="008E6588">
              <w:rPr>
                <w:rFonts w:ascii="Arial Narrow" w:hAnsi="Arial Narrow"/>
                <w:sz w:val="20"/>
                <w:szCs w:val="20"/>
              </w:rPr>
              <w:t>) respiratory physician, (ii) clinical immunologist, (iii) allergist, (iv) general physician experienced in the management of patients with severe asthma</w:t>
            </w:r>
          </w:p>
        </w:tc>
      </w:tr>
      <w:tr w:rsidR="00045102" w:rsidRPr="008E6588" w14:paraId="461FE233" w14:textId="77777777" w:rsidTr="00836DB5">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877F9" w14:textId="16273B8E" w:rsidR="00045102" w:rsidRPr="008E6588" w:rsidRDefault="00045102" w:rsidP="00045102">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9F7A34" w14:textId="77777777" w:rsidR="00045102" w:rsidRPr="008E6588" w:rsidRDefault="00045102" w:rsidP="00045102">
            <w:pPr>
              <w:rPr>
                <w:rFonts w:ascii="Arial Narrow" w:hAnsi="Arial Narrow"/>
                <w:b/>
                <w:bCs/>
                <w:sz w:val="20"/>
                <w:szCs w:val="20"/>
              </w:rPr>
            </w:pPr>
            <w:r w:rsidRPr="008E6588">
              <w:rPr>
                <w:rFonts w:ascii="Arial Narrow" w:hAnsi="Arial Narrow"/>
                <w:b/>
                <w:bCs/>
                <w:sz w:val="20"/>
                <w:szCs w:val="20"/>
              </w:rPr>
              <w:t>Clinical criteria:</w:t>
            </w:r>
          </w:p>
        </w:tc>
      </w:tr>
      <w:tr w:rsidR="00045102" w:rsidRPr="008E6588" w14:paraId="46024DB2" w14:textId="77777777" w:rsidTr="00836DB5">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5990A" w14:textId="7A246C75" w:rsidR="00045102" w:rsidRPr="008E6588" w:rsidRDefault="00045102" w:rsidP="00045102">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3CFEA8" w14:textId="77777777" w:rsidR="00045102" w:rsidRPr="008E6588" w:rsidRDefault="00045102" w:rsidP="00045102">
            <w:pPr>
              <w:rPr>
                <w:rFonts w:ascii="Arial Narrow" w:hAnsi="Arial Narrow"/>
                <w:sz w:val="20"/>
                <w:szCs w:val="20"/>
              </w:rPr>
            </w:pPr>
            <w:r w:rsidRPr="008E6588">
              <w:rPr>
                <w:rFonts w:ascii="Arial Narrow" w:hAnsi="Arial Narrow"/>
                <w:sz w:val="20"/>
                <w:szCs w:val="20"/>
              </w:rPr>
              <w:t>Patient must have received this drug as their most recent course of PBS-subsidised biological agent treatment for this condition in this treatment cycle</w:t>
            </w:r>
          </w:p>
        </w:tc>
      </w:tr>
      <w:tr w:rsidR="00045102" w:rsidRPr="008E6588" w14:paraId="745B662F" w14:textId="77777777" w:rsidTr="00836DB5">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B7742" w14:textId="77777777" w:rsidR="00045102" w:rsidRPr="008E6588" w:rsidRDefault="00045102" w:rsidP="00045102">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CB17C2" w14:textId="77777777" w:rsidR="00045102" w:rsidRPr="008E6588" w:rsidRDefault="00045102" w:rsidP="00045102">
            <w:pPr>
              <w:rPr>
                <w:rFonts w:ascii="Arial Narrow" w:hAnsi="Arial Narrow"/>
                <w:b/>
                <w:bCs/>
                <w:sz w:val="20"/>
                <w:szCs w:val="20"/>
              </w:rPr>
            </w:pPr>
            <w:r w:rsidRPr="008E6588">
              <w:rPr>
                <w:rFonts w:ascii="Arial Narrow" w:hAnsi="Arial Narrow"/>
                <w:b/>
                <w:bCs/>
                <w:sz w:val="20"/>
                <w:szCs w:val="20"/>
              </w:rPr>
              <w:t>AND</w:t>
            </w:r>
          </w:p>
        </w:tc>
      </w:tr>
      <w:tr w:rsidR="00045102" w:rsidRPr="008E6588" w14:paraId="3C8A458F" w14:textId="77777777" w:rsidTr="00836DB5">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C0AE3" w14:textId="6261B558" w:rsidR="00045102" w:rsidRPr="008E6588" w:rsidRDefault="00045102" w:rsidP="00045102">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EAA35E" w14:textId="77777777" w:rsidR="00045102" w:rsidRPr="008E6588" w:rsidRDefault="00045102" w:rsidP="00045102">
            <w:pPr>
              <w:rPr>
                <w:rFonts w:ascii="Arial Narrow" w:hAnsi="Arial Narrow"/>
                <w:b/>
                <w:bCs/>
                <w:sz w:val="20"/>
                <w:szCs w:val="20"/>
              </w:rPr>
            </w:pPr>
            <w:r w:rsidRPr="008E6588">
              <w:rPr>
                <w:rFonts w:ascii="Arial Narrow" w:hAnsi="Arial Narrow"/>
                <w:b/>
                <w:bCs/>
                <w:sz w:val="20"/>
                <w:szCs w:val="20"/>
              </w:rPr>
              <w:t>Clinical criteria:</w:t>
            </w:r>
          </w:p>
        </w:tc>
      </w:tr>
      <w:tr w:rsidR="00045102" w:rsidRPr="008E6588" w14:paraId="337C7945" w14:textId="77777777" w:rsidTr="00836DB5">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B54D2" w14:textId="5976E016" w:rsidR="00045102" w:rsidRPr="008E6588" w:rsidRDefault="00045102" w:rsidP="00045102">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11B5E9" w14:textId="77777777" w:rsidR="00045102" w:rsidRPr="008E6588" w:rsidRDefault="00045102" w:rsidP="00045102">
            <w:pPr>
              <w:rPr>
                <w:rFonts w:ascii="Arial Narrow" w:hAnsi="Arial Narrow"/>
                <w:sz w:val="20"/>
                <w:szCs w:val="20"/>
              </w:rPr>
            </w:pPr>
            <w:r w:rsidRPr="008E6588">
              <w:rPr>
                <w:rFonts w:ascii="Arial Narrow" w:hAnsi="Arial Narrow"/>
                <w:sz w:val="20"/>
                <w:szCs w:val="20"/>
              </w:rPr>
              <w:t>Patient must have demonstrated or sustained an adequate response to PBS-subsidised treatment with this drug for this condition</w:t>
            </w:r>
          </w:p>
        </w:tc>
      </w:tr>
      <w:tr w:rsidR="00045102" w:rsidRPr="008E6588" w14:paraId="5B81A5F8" w14:textId="77777777" w:rsidTr="00836DB5">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52CCC" w14:textId="77777777" w:rsidR="00045102" w:rsidRPr="008E6588" w:rsidRDefault="00045102" w:rsidP="00045102">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D47B0D" w14:textId="77777777" w:rsidR="00045102" w:rsidRPr="008E6588" w:rsidRDefault="00045102" w:rsidP="00045102">
            <w:pPr>
              <w:rPr>
                <w:rFonts w:ascii="Arial Narrow" w:hAnsi="Arial Narrow"/>
                <w:b/>
                <w:bCs/>
                <w:sz w:val="20"/>
                <w:szCs w:val="20"/>
              </w:rPr>
            </w:pPr>
            <w:r w:rsidRPr="008E6588">
              <w:rPr>
                <w:rFonts w:ascii="Arial Narrow" w:hAnsi="Arial Narrow"/>
                <w:b/>
                <w:bCs/>
                <w:sz w:val="20"/>
                <w:szCs w:val="20"/>
              </w:rPr>
              <w:t>AND</w:t>
            </w:r>
          </w:p>
        </w:tc>
      </w:tr>
      <w:tr w:rsidR="00045102" w:rsidRPr="008E6588" w14:paraId="18ECE212" w14:textId="77777777" w:rsidTr="00836DB5">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90BDD" w14:textId="407F9425" w:rsidR="00045102" w:rsidRPr="008E6588" w:rsidRDefault="00045102" w:rsidP="00045102">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D8DEED" w14:textId="77777777" w:rsidR="00045102" w:rsidRPr="008E6588" w:rsidRDefault="00045102" w:rsidP="00045102">
            <w:pPr>
              <w:rPr>
                <w:rFonts w:ascii="Arial Narrow" w:hAnsi="Arial Narrow"/>
                <w:b/>
                <w:bCs/>
                <w:sz w:val="20"/>
                <w:szCs w:val="20"/>
              </w:rPr>
            </w:pPr>
            <w:r w:rsidRPr="008E6588">
              <w:rPr>
                <w:rFonts w:ascii="Arial Narrow" w:hAnsi="Arial Narrow"/>
                <w:b/>
                <w:bCs/>
                <w:sz w:val="20"/>
                <w:szCs w:val="20"/>
              </w:rPr>
              <w:t>Clinical criteria:</w:t>
            </w:r>
          </w:p>
        </w:tc>
      </w:tr>
      <w:tr w:rsidR="00045102" w:rsidRPr="008E6588" w14:paraId="29F433A4" w14:textId="77777777" w:rsidTr="00836DB5">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99A50" w14:textId="79631559" w:rsidR="00045102" w:rsidRPr="008E6588" w:rsidRDefault="00045102" w:rsidP="00045102">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91DDBB" w14:textId="77777777" w:rsidR="00045102" w:rsidRPr="008E6588" w:rsidRDefault="00045102" w:rsidP="00045102">
            <w:pPr>
              <w:rPr>
                <w:rFonts w:ascii="Arial Narrow" w:hAnsi="Arial Narrow"/>
                <w:sz w:val="20"/>
                <w:szCs w:val="20"/>
              </w:rPr>
            </w:pPr>
            <w:r w:rsidRPr="008E6588">
              <w:rPr>
                <w:rFonts w:ascii="Arial Narrow" w:hAnsi="Arial Narrow"/>
                <w:sz w:val="20"/>
                <w:szCs w:val="20"/>
              </w:rPr>
              <w:t>The treatment must not be used in combination with and within 4 weeks of another PBS-subsidised biological medicine prescribed for severe asthma</w:t>
            </w:r>
          </w:p>
        </w:tc>
      </w:tr>
      <w:tr w:rsidR="00045102" w:rsidRPr="008E6588" w14:paraId="293824DF" w14:textId="77777777" w:rsidTr="00836DB5">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DD2DA" w14:textId="77777777" w:rsidR="00045102" w:rsidRPr="008E6588" w:rsidRDefault="00045102" w:rsidP="00045102">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3EB87B" w14:textId="77777777" w:rsidR="00045102" w:rsidRPr="008E6588" w:rsidRDefault="00045102" w:rsidP="00045102">
            <w:pPr>
              <w:rPr>
                <w:rFonts w:ascii="Arial Narrow" w:hAnsi="Arial Narrow"/>
                <w:b/>
                <w:bCs/>
                <w:sz w:val="20"/>
                <w:szCs w:val="20"/>
              </w:rPr>
            </w:pPr>
            <w:r w:rsidRPr="008E6588">
              <w:rPr>
                <w:rFonts w:ascii="Arial Narrow" w:hAnsi="Arial Narrow"/>
                <w:b/>
                <w:bCs/>
                <w:sz w:val="20"/>
                <w:szCs w:val="20"/>
              </w:rPr>
              <w:t>AND</w:t>
            </w:r>
          </w:p>
        </w:tc>
      </w:tr>
      <w:tr w:rsidR="00045102" w:rsidRPr="008E6588" w14:paraId="536AB9FA" w14:textId="77777777" w:rsidTr="00836DB5">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B3ED9" w14:textId="6936E33A" w:rsidR="00045102" w:rsidRPr="008E6588" w:rsidRDefault="00045102" w:rsidP="00045102">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D701BF" w14:textId="77777777" w:rsidR="00045102" w:rsidRPr="008E6588" w:rsidRDefault="00045102" w:rsidP="00045102">
            <w:pPr>
              <w:rPr>
                <w:rFonts w:ascii="Arial Narrow" w:hAnsi="Arial Narrow"/>
                <w:b/>
                <w:bCs/>
                <w:sz w:val="20"/>
                <w:szCs w:val="20"/>
              </w:rPr>
            </w:pPr>
            <w:r w:rsidRPr="008E6588">
              <w:rPr>
                <w:rFonts w:ascii="Arial Narrow" w:hAnsi="Arial Narrow"/>
                <w:b/>
                <w:bCs/>
                <w:sz w:val="20"/>
                <w:szCs w:val="20"/>
              </w:rPr>
              <w:t>Clinical criteria:</w:t>
            </w:r>
          </w:p>
        </w:tc>
      </w:tr>
      <w:tr w:rsidR="00045102" w:rsidRPr="008E6588" w14:paraId="5EC46A80" w14:textId="77777777" w:rsidTr="00836DB5">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D9180" w14:textId="79B8177C" w:rsidR="00045102" w:rsidRPr="008E6588" w:rsidRDefault="00045102" w:rsidP="00045102">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73AD19" w14:textId="77777777" w:rsidR="00045102" w:rsidRPr="008E6588" w:rsidRDefault="00045102" w:rsidP="00045102">
            <w:pPr>
              <w:rPr>
                <w:rFonts w:ascii="Arial Narrow" w:hAnsi="Arial Narrow"/>
                <w:sz w:val="20"/>
                <w:szCs w:val="20"/>
              </w:rPr>
            </w:pPr>
            <w:r w:rsidRPr="008E6588">
              <w:rPr>
                <w:rFonts w:ascii="Arial Narrow" w:hAnsi="Arial Narrow"/>
                <w:sz w:val="20"/>
                <w:szCs w:val="20"/>
              </w:rPr>
              <w:t>Patient must not receive more than 24 weeks of treatment under this restriction</w:t>
            </w:r>
          </w:p>
        </w:tc>
      </w:tr>
      <w:tr w:rsidR="00045102" w:rsidRPr="008E6588" w14:paraId="5804D122" w14:textId="77777777" w:rsidTr="00836DB5">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6A936" w14:textId="2669F413" w:rsidR="00045102" w:rsidRPr="008E6588" w:rsidRDefault="00045102" w:rsidP="00045102">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0647FF" w14:textId="77777777" w:rsidR="00045102" w:rsidRPr="008E6588" w:rsidRDefault="00045102" w:rsidP="00045102">
            <w:pPr>
              <w:rPr>
                <w:rFonts w:ascii="Arial Narrow" w:hAnsi="Arial Narrow"/>
                <w:b/>
                <w:bCs/>
                <w:sz w:val="20"/>
                <w:szCs w:val="20"/>
              </w:rPr>
            </w:pPr>
            <w:r w:rsidRPr="008E6588">
              <w:rPr>
                <w:rFonts w:ascii="Arial Narrow" w:hAnsi="Arial Narrow"/>
                <w:b/>
                <w:bCs/>
                <w:sz w:val="20"/>
                <w:szCs w:val="20"/>
              </w:rPr>
              <w:t>Population criteria:</w:t>
            </w:r>
          </w:p>
        </w:tc>
      </w:tr>
      <w:tr w:rsidR="00045102" w:rsidRPr="008E6588" w14:paraId="30279901" w14:textId="77777777" w:rsidTr="00836DB5">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7FAD7" w14:textId="49C5327A" w:rsidR="00045102" w:rsidRPr="008E6588" w:rsidRDefault="00045102" w:rsidP="00045102">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BEDCC1" w14:textId="77777777" w:rsidR="00045102" w:rsidRPr="008E6588" w:rsidRDefault="00045102" w:rsidP="00045102">
            <w:pPr>
              <w:rPr>
                <w:rFonts w:ascii="Arial Narrow" w:hAnsi="Arial Narrow"/>
                <w:sz w:val="20"/>
                <w:szCs w:val="20"/>
              </w:rPr>
            </w:pPr>
            <w:r w:rsidRPr="008E6588">
              <w:rPr>
                <w:rFonts w:ascii="Arial Narrow" w:hAnsi="Arial Narrow"/>
                <w:sz w:val="20"/>
                <w:szCs w:val="20"/>
              </w:rPr>
              <w:t>Patient must be aged 12 years or older</w:t>
            </w:r>
          </w:p>
        </w:tc>
      </w:tr>
      <w:tr w:rsidR="00045102" w:rsidRPr="008E6588" w14:paraId="77B82306" w14:textId="77777777" w:rsidTr="00836DB5">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257A60" w14:textId="2D2E474A" w:rsidR="00045102" w:rsidRPr="008E6588" w:rsidRDefault="00045102" w:rsidP="00045102">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D4ABDD" w14:textId="77777777" w:rsidR="00045102" w:rsidRPr="008E6588" w:rsidRDefault="00045102" w:rsidP="00045102">
            <w:pPr>
              <w:rPr>
                <w:rFonts w:ascii="Arial Narrow" w:hAnsi="Arial Narrow"/>
                <w:b/>
                <w:bCs/>
                <w:sz w:val="20"/>
                <w:szCs w:val="20"/>
              </w:rPr>
            </w:pPr>
            <w:r w:rsidRPr="008E6588">
              <w:rPr>
                <w:rFonts w:ascii="Arial Narrow" w:hAnsi="Arial Narrow"/>
                <w:b/>
                <w:bCs/>
                <w:sz w:val="20"/>
                <w:szCs w:val="20"/>
              </w:rPr>
              <w:t>Prescribing Instructions:</w:t>
            </w:r>
          </w:p>
          <w:p w14:paraId="1BD201D9" w14:textId="77777777" w:rsidR="00045102" w:rsidRPr="008E6588" w:rsidRDefault="00045102" w:rsidP="00045102">
            <w:pPr>
              <w:rPr>
                <w:rFonts w:ascii="Arial Narrow" w:hAnsi="Arial Narrow"/>
                <w:sz w:val="20"/>
                <w:szCs w:val="20"/>
              </w:rPr>
            </w:pPr>
            <w:r w:rsidRPr="008E6588">
              <w:rPr>
                <w:rFonts w:ascii="Arial Narrow" w:hAnsi="Arial Narrow"/>
                <w:sz w:val="20"/>
                <w:szCs w:val="20"/>
              </w:rPr>
              <w:t>An adequate response to omalizumab treatment is defined as:</w:t>
            </w:r>
          </w:p>
          <w:p w14:paraId="629D9D06" w14:textId="77777777" w:rsidR="00045102" w:rsidRPr="008E6588" w:rsidRDefault="00045102" w:rsidP="00045102">
            <w:pPr>
              <w:rPr>
                <w:rFonts w:ascii="Arial Narrow" w:hAnsi="Arial Narrow"/>
                <w:sz w:val="20"/>
                <w:szCs w:val="20"/>
              </w:rPr>
            </w:pPr>
            <w:r w:rsidRPr="008E6588">
              <w:rPr>
                <w:rFonts w:ascii="Arial Narrow" w:hAnsi="Arial Narrow"/>
                <w:sz w:val="20"/>
                <w:szCs w:val="20"/>
              </w:rPr>
              <w:t>(a) a reduction in the Asthma Control Questionnaire (ACQ-5) score of at least 0.5 from baseline, OR</w:t>
            </w:r>
          </w:p>
          <w:p w14:paraId="539DDC0D" w14:textId="77777777" w:rsidR="00045102" w:rsidRPr="008E6588" w:rsidRDefault="00045102" w:rsidP="00045102">
            <w:pPr>
              <w:rPr>
                <w:rFonts w:ascii="Arial Narrow" w:hAnsi="Arial Narrow"/>
                <w:sz w:val="20"/>
                <w:szCs w:val="20"/>
              </w:rPr>
            </w:pPr>
            <w:r w:rsidRPr="008E6588">
              <w:rPr>
                <w:rFonts w:ascii="Arial Narrow" w:hAnsi="Arial Narrow"/>
                <w:sz w:val="20"/>
                <w:szCs w:val="20"/>
              </w:rPr>
              <w:t>(b) maintenance oral corticosteroid dose reduced by at least 25% from baseline, and no deterioration in ACQ-5 score from baseline or an increase in ACQ-5 score from baseline less than or equal to 0.5, OR</w:t>
            </w:r>
          </w:p>
          <w:p w14:paraId="6A0FB5A3" w14:textId="77777777" w:rsidR="00045102" w:rsidRPr="008E6588" w:rsidRDefault="00045102" w:rsidP="00045102">
            <w:pPr>
              <w:rPr>
                <w:rFonts w:ascii="Arial Narrow" w:hAnsi="Arial Narrow"/>
                <w:b/>
                <w:bCs/>
                <w:sz w:val="20"/>
                <w:szCs w:val="20"/>
              </w:rPr>
            </w:pPr>
            <w:r w:rsidRPr="008E6588">
              <w:rPr>
                <w:rFonts w:ascii="Arial Narrow" w:hAnsi="Arial Narrow"/>
                <w:sz w:val="20"/>
                <w:szCs w:val="20"/>
              </w:rPr>
              <w:t>(c) a reduction in the time-adjusted exacerbation rates compared to the 12 months prior to baseline (this criterion is only applicable for patients transitioned from the paediatric to the adolescent/adult restriction).</w:t>
            </w:r>
          </w:p>
        </w:tc>
      </w:tr>
      <w:tr w:rsidR="00045102" w:rsidRPr="008E6588" w14:paraId="6DEAF98D" w14:textId="77777777" w:rsidTr="00836DB5">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4A433" w14:textId="6371BAF9" w:rsidR="00045102" w:rsidRPr="008E6588" w:rsidRDefault="00045102" w:rsidP="00045102">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BC1EA8" w14:textId="77777777" w:rsidR="00045102" w:rsidRPr="008E6588" w:rsidRDefault="00045102" w:rsidP="00045102">
            <w:pPr>
              <w:rPr>
                <w:rFonts w:ascii="Arial Narrow" w:hAnsi="Arial Narrow"/>
                <w:b/>
                <w:bCs/>
                <w:sz w:val="20"/>
                <w:szCs w:val="20"/>
              </w:rPr>
            </w:pPr>
            <w:r w:rsidRPr="008E6588">
              <w:rPr>
                <w:rFonts w:ascii="Arial Narrow" w:hAnsi="Arial Narrow"/>
                <w:b/>
                <w:bCs/>
                <w:sz w:val="20"/>
                <w:szCs w:val="20"/>
              </w:rPr>
              <w:t>Prescribing Instructions:</w:t>
            </w:r>
          </w:p>
          <w:p w14:paraId="61F0DCAF" w14:textId="77777777" w:rsidR="00045102" w:rsidRPr="008E6588" w:rsidRDefault="00045102" w:rsidP="00045102">
            <w:pPr>
              <w:rPr>
                <w:rFonts w:ascii="Arial Narrow" w:hAnsi="Arial Narrow"/>
                <w:sz w:val="20"/>
                <w:szCs w:val="20"/>
              </w:rPr>
            </w:pPr>
            <w:r w:rsidRPr="008E6588">
              <w:rPr>
                <w:rFonts w:ascii="Arial Narrow" w:hAnsi="Arial Narrow"/>
                <w:sz w:val="20"/>
                <w:szCs w:val="20"/>
              </w:rPr>
              <w:t>All applications for second and subsequent continuing treatments with this drug must include a measurement of response to the prior course of therapy. The Asthma Control Questionnaire (5 item version) assessment of the patient's response to the prior course of treatment, the assessment of oral corticosteroid dose or the assessment of time adjusted exacerbation rate should be made from 20 weeks after the first PBS-subsidised dose of this drug under this restriction so that there is adequate time for a response to be demonstrated.</w:t>
            </w:r>
          </w:p>
          <w:p w14:paraId="704F149E" w14:textId="77777777" w:rsidR="00045102" w:rsidRPr="008E6588" w:rsidRDefault="00045102" w:rsidP="00045102">
            <w:pPr>
              <w:rPr>
                <w:rFonts w:ascii="Arial Narrow" w:hAnsi="Arial Narrow"/>
                <w:sz w:val="20"/>
                <w:szCs w:val="20"/>
              </w:rPr>
            </w:pPr>
            <w:r w:rsidRPr="008E6588">
              <w:rPr>
                <w:rFonts w:ascii="Arial Narrow" w:hAnsi="Arial Narrow"/>
                <w:sz w:val="20"/>
                <w:szCs w:val="20"/>
              </w:rPr>
              <w:t>The assessment should, where possible, be completed by the same physician who initiated treatment with this drug. Where a response assessment is not undertaken and provided at the time of application, the patient will be deemed to have failed to respond to treatment with this drug.</w:t>
            </w:r>
          </w:p>
          <w:p w14:paraId="24D6D295" w14:textId="77777777" w:rsidR="00045102" w:rsidRPr="008E6588" w:rsidRDefault="00045102" w:rsidP="00045102">
            <w:pPr>
              <w:rPr>
                <w:rFonts w:ascii="Arial Narrow" w:hAnsi="Arial Narrow"/>
                <w:sz w:val="20"/>
                <w:szCs w:val="20"/>
              </w:rPr>
            </w:pPr>
            <w:r w:rsidRPr="008E6588">
              <w:rPr>
                <w:rFonts w:ascii="Arial Narrow" w:hAnsi="Arial Narrow"/>
                <w:sz w:val="20"/>
                <w:szCs w:val="20"/>
              </w:rPr>
              <w:t>Where treatment was ceased for clinical reasons despite the patient experiencing improvement, an assessment of the patient's response to treatment made at the time of treatment cessation or retrospectively will be considered to determine whether the patient demonstrated or sustained an adequate response to treatment.</w:t>
            </w:r>
          </w:p>
          <w:p w14:paraId="6059683B" w14:textId="77777777" w:rsidR="00045102" w:rsidRPr="008E6588" w:rsidRDefault="00045102" w:rsidP="00045102">
            <w:pPr>
              <w:rPr>
                <w:rFonts w:ascii="Arial Narrow" w:hAnsi="Arial Narrow"/>
                <w:sz w:val="20"/>
                <w:szCs w:val="20"/>
              </w:rPr>
            </w:pPr>
            <w:r w:rsidRPr="008E6588">
              <w:rPr>
                <w:rFonts w:ascii="Arial Narrow" w:hAnsi="Arial Narrow"/>
                <w:sz w:val="20"/>
                <w:szCs w:val="20"/>
              </w:rPr>
              <w:t>A patient who fails to respond to treatment with this biological medicine for uncontrolled severe asthma will not be eligible to receive further PBS-subsidised treatment with this biological medicine for severe asthma within the current treatment cycle.</w:t>
            </w:r>
          </w:p>
          <w:p w14:paraId="610091EC" w14:textId="77777777" w:rsidR="00045102" w:rsidRPr="008E6588" w:rsidRDefault="00045102" w:rsidP="00045102">
            <w:pPr>
              <w:rPr>
                <w:rFonts w:ascii="Arial Narrow" w:hAnsi="Arial Narrow"/>
                <w:b/>
                <w:bCs/>
                <w:sz w:val="20"/>
                <w:szCs w:val="20"/>
              </w:rPr>
            </w:pPr>
            <w:r w:rsidRPr="008E6588">
              <w:rPr>
                <w:rFonts w:ascii="Arial Narrow" w:hAnsi="Arial Narrow"/>
                <w:sz w:val="20"/>
                <w:szCs w:val="20"/>
              </w:rPr>
              <w:t>At the time of the authority application, medical practitioners should request the appropriate quantity and number of repeats to provide for a continuing course of this biological medicine consisting of the recommended number of doses for the baseline IgE level and body weight of the patient (refer to the TGA-approved Product Information), sufficient for up to 24 weeks of therapy.</w:t>
            </w:r>
          </w:p>
        </w:tc>
      </w:tr>
      <w:tr w:rsidR="00045102" w:rsidRPr="008E6588" w14:paraId="1F806494" w14:textId="77777777" w:rsidTr="00836DB5">
        <w:tblPrEx>
          <w:tblCellMar>
            <w:top w:w="15" w:type="dxa"/>
            <w:bottom w:w="15" w:type="dxa"/>
          </w:tblCellMar>
          <w:tblLook w:val="04A0" w:firstRow="1" w:lastRow="0" w:firstColumn="1" w:lastColumn="0" w:noHBand="0" w:noVBand="1"/>
        </w:tblPrEx>
        <w:trPr>
          <w:cantSplit/>
          <w:trHeight w:val="20"/>
        </w:trPr>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488DC" w14:textId="1D1EBB2D" w:rsidR="00045102" w:rsidRPr="008E6588" w:rsidRDefault="00045102" w:rsidP="00045102">
            <w:pPr>
              <w:jc w:val="center"/>
              <w:rPr>
                <w:rFonts w:ascii="Arial Narrow" w:hAnsi="Arial Narrow"/>
                <w:sz w:val="20"/>
                <w:szCs w:val="20"/>
              </w:rPr>
            </w:pPr>
          </w:p>
        </w:tc>
        <w:tc>
          <w:tcPr>
            <w:tcW w:w="42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B35CD5" w14:textId="77777777" w:rsidR="00045102" w:rsidRPr="008E6588" w:rsidRDefault="00045102" w:rsidP="00045102">
            <w:pPr>
              <w:rPr>
                <w:rFonts w:ascii="Arial Narrow" w:hAnsi="Arial Narrow"/>
                <w:b/>
                <w:bCs/>
                <w:sz w:val="20"/>
                <w:szCs w:val="20"/>
              </w:rPr>
            </w:pPr>
            <w:r w:rsidRPr="008E6588">
              <w:rPr>
                <w:rFonts w:ascii="Arial Narrow" w:hAnsi="Arial Narrow"/>
                <w:b/>
                <w:bCs/>
                <w:sz w:val="20"/>
                <w:szCs w:val="20"/>
              </w:rPr>
              <w:t>Prescribing Instructions:</w:t>
            </w:r>
          </w:p>
          <w:p w14:paraId="62FD02FC" w14:textId="77777777" w:rsidR="00045102" w:rsidRPr="008E6588" w:rsidRDefault="00045102" w:rsidP="00045102">
            <w:pPr>
              <w:rPr>
                <w:rFonts w:ascii="Arial Narrow" w:hAnsi="Arial Narrow"/>
                <w:sz w:val="20"/>
                <w:szCs w:val="20"/>
              </w:rPr>
            </w:pPr>
            <w:r w:rsidRPr="008E6588">
              <w:rPr>
                <w:rFonts w:ascii="Arial Narrow" w:hAnsi="Arial Narrow"/>
                <w:sz w:val="20"/>
                <w:szCs w:val="20"/>
              </w:rPr>
              <w:t>The following information must be provided at the time of application and must be documented in the patient's medical records:</w:t>
            </w:r>
          </w:p>
          <w:p w14:paraId="1F6872D0" w14:textId="77777777" w:rsidR="00045102" w:rsidRPr="008E6588" w:rsidRDefault="00045102" w:rsidP="00045102">
            <w:pPr>
              <w:rPr>
                <w:rFonts w:ascii="Arial Narrow" w:hAnsi="Arial Narrow"/>
                <w:sz w:val="20"/>
                <w:szCs w:val="20"/>
              </w:rPr>
            </w:pPr>
            <w:r w:rsidRPr="008E6588">
              <w:rPr>
                <w:rFonts w:ascii="Arial Narrow" w:hAnsi="Arial Narrow"/>
                <w:sz w:val="20"/>
                <w:szCs w:val="20"/>
              </w:rPr>
              <w:t>(a) Asthma Control Questionnaire (ACQ-5) score; and</w:t>
            </w:r>
          </w:p>
          <w:p w14:paraId="0509534F" w14:textId="77777777" w:rsidR="00045102" w:rsidRPr="008E6588" w:rsidRDefault="00045102" w:rsidP="00045102">
            <w:pPr>
              <w:rPr>
                <w:rFonts w:ascii="Arial Narrow" w:hAnsi="Arial Narrow"/>
                <w:sz w:val="20"/>
                <w:szCs w:val="20"/>
              </w:rPr>
            </w:pPr>
            <w:r w:rsidRPr="008E6588">
              <w:rPr>
                <w:rFonts w:ascii="Arial Narrow" w:hAnsi="Arial Narrow"/>
                <w:sz w:val="20"/>
                <w:szCs w:val="20"/>
              </w:rPr>
              <w:t>(b) If applicable, maintenance oral corticosteroid dose; and</w:t>
            </w:r>
          </w:p>
          <w:p w14:paraId="51CDA496" w14:textId="77777777" w:rsidR="00045102" w:rsidRPr="008E6588" w:rsidRDefault="00045102" w:rsidP="00045102">
            <w:pPr>
              <w:rPr>
                <w:rFonts w:ascii="Arial Narrow" w:hAnsi="Arial Narrow"/>
                <w:sz w:val="20"/>
                <w:szCs w:val="20"/>
              </w:rPr>
            </w:pPr>
            <w:r w:rsidRPr="008E6588">
              <w:rPr>
                <w:rFonts w:ascii="Arial Narrow" w:hAnsi="Arial Narrow"/>
                <w:sz w:val="20"/>
                <w:szCs w:val="20"/>
              </w:rPr>
              <w:t>(c) For patients transitioned from the paediatric to the adolescent/adult restrictions, confirmation that the time-adjusted exacerbation rate has reduced.</w:t>
            </w:r>
          </w:p>
          <w:p w14:paraId="592FF2BF" w14:textId="77777777" w:rsidR="00045102" w:rsidRPr="008E6588" w:rsidRDefault="00045102" w:rsidP="00045102">
            <w:pPr>
              <w:rPr>
                <w:rFonts w:ascii="Arial Narrow" w:hAnsi="Arial Narrow"/>
                <w:b/>
                <w:bCs/>
                <w:sz w:val="20"/>
                <w:szCs w:val="20"/>
              </w:rPr>
            </w:pPr>
            <w:r w:rsidRPr="008E6588">
              <w:rPr>
                <w:rFonts w:ascii="Arial Narrow" w:hAnsi="Arial Narrow"/>
                <w:sz w:val="20"/>
                <w:szCs w:val="20"/>
              </w:rPr>
              <w:t>The most recent Asthma Control Questionnaire (ACQ-5) score must be no more than 4 weeks old at the time of application.</w:t>
            </w:r>
          </w:p>
        </w:tc>
      </w:tr>
    </w:tbl>
    <w:p w14:paraId="1B68EF6B" w14:textId="20D137F0" w:rsidR="00EB1567" w:rsidRDefault="00EB1567" w:rsidP="004164CF">
      <w:pPr>
        <w:rPr>
          <w:rFonts w:ascii="Arial Narrow" w:hAnsi="Arial Narrow"/>
          <w:sz w:val="20"/>
          <w:szCs w:val="20"/>
        </w:rPr>
      </w:pPr>
    </w:p>
    <w:p w14:paraId="155BB4BA" w14:textId="77777777" w:rsidR="00EB1567" w:rsidRDefault="00EB1567">
      <w:pPr>
        <w:jc w:val="left"/>
        <w:rPr>
          <w:rFonts w:ascii="Arial Narrow" w:hAnsi="Arial Narrow"/>
          <w:sz w:val="20"/>
          <w:szCs w:val="20"/>
        </w:rPr>
      </w:pPr>
      <w:r>
        <w:rPr>
          <w:rFonts w:ascii="Arial Narrow" w:hAnsi="Arial Narrow"/>
          <w:sz w:val="20"/>
          <w:szCs w:val="20"/>
        </w:rPr>
        <w:br w:type="page"/>
      </w:r>
    </w:p>
    <w:tbl>
      <w:tblPr>
        <w:tblW w:w="499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commended listing"/>
        <w:tblDescription w:val="Uncontrolled severe asthma - continuing treatment&#10;omalizumab 300 mg/2 mL injection, 2 mL syringe - NEW item/ Public&#10;omalizumab 300 mg/2 mL injection, 2 mL syringe - NEW item/ Private&#10;omalizumab 300 mg/2 mL injection, 2 mL pen device - NEW item/ Public&#10;omalizumab 300 mg/2 mL injection, 2 mL pen device - NEW item/ Private&#10;"/>
      </w:tblPr>
      <w:tblGrid>
        <w:gridCol w:w="547"/>
        <w:gridCol w:w="696"/>
        <w:gridCol w:w="3095"/>
        <w:gridCol w:w="1091"/>
        <w:gridCol w:w="977"/>
        <w:gridCol w:w="977"/>
        <w:gridCol w:w="692"/>
        <w:gridCol w:w="939"/>
      </w:tblGrid>
      <w:tr w:rsidR="00B5146E" w:rsidRPr="008E6588" w14:paraId="5E32CCC0" w14:textId="77777777" w:rsidTr="00EB1567">
        <w:trPr>
          <w:cantSplit/>
          <w:trHeight w:val="20"/>
        </w:trPr>
        <w:tc>
          <w:tcPr>
            <w:tcW w:w="2406" w:type="pct"/>
            <w:gridSpan w:val="3"/>
            <w:vAlign w:val="center"/>
          </w:tcPr>
          <w:p w14:paraId="7640C0EC" w14:textId="77777777" w:rsidR="00B5146E" w:rsidRPr="008E6588" w:rsidRDefault="00B5146E" w:rsidP="00836DB5">
            <w:pPr>
              <w:keepLines/>
              <w:jc w:val="left"/>
              <w:rPr>
                <w:rFonts w:ascii="Arial Narrow" w:hAnsi="Arial Narrow" w:cs="Arial"/>
                <w:b/>
                <w:bCs/>
                <w:sz w:val="20"/>
                <w:szCs w:val="20"/>
              </w:rPr>
            </w:pPr>
            <w:r w:rsidRPr="008E6588">
              <w:rPr>
                <w:rFonts w:ascii="Arial Narrow" w:hAnsi="Arial Narrow" w:cs="Arial"/>
                <w:b/>
                <w:bCs/>
                <w:sz w:val="20"/>
                <w:szCs w:val="20"/>
              </w:rPr>
              <w:lastRenderedPageBreak/>
              <w:t>MEDICINAL PRODUCT</w:t>
            </w:r>
          </w:p>
          <w:p w14:paraId="2D3610D3" w14:textId="77777777" w:rsidR="00B5146E" w:rsidRPr="008E6588" w:rsidRDefault="00B5146E" w:rsidP="00836DB5">
            <w:pPr>
              <w:keepLines/>
              <w:jc w:val="left"/>
              <w:rPr>
                <w:rFonts w:ascii="Arial Narrow" w:hAnsi="Arial Narrow" w:cs="Arial"/>
                <w:b/>
                <w:bCs/>
                <w:sz w:val="20"/>
                <w:szCs w:val="20"/>
              </w:rPr>
            </w:pPr>
            <w:r w:rsidRPr="008E6588">
              <w:rPr>
                <w:rFonts w:ascii="Arial Narrow" w:hAnsi="Arial Narrow" w:cs="Arial"/>
                <w:b/>
                <w:bCs/>
                <w:sz w:val="20"/>
                <w:szCs w:val="20"/>
              </w:rPr>
              <w:t>medicinal product pack</w:t>
            </w:r>
          </w:p>
        </w:tc>
        <w:tc>
          <w:tcPr>
            <w:tcW w:w="605" w:type="pct"/>
            <w:vAlign w:val="center"/>
          </w:tcPr>
          <w:p w14:paraId="0E30487F" w14:textId="77777777" w:rsidR="00B5146E" w:rsidRPr="008E6588" w:rsidRDefault="00B5146E" w:rsidP="00836DB5">
            <w:pPr>
              <w:keepLines/>
              <w:jc w:val="left"/>
              <w:rPr>
                <w:rFonts w:ascii="Arial Narrow" w:hAnsi="Arial Narrow" w:cs="Arial"/>
                <w:b/>
                <w:bCs/>
                <w:sz w:val="20"/>
                <w:szCs w:val="20"/>
              </w:rPr>
            </w:pPr>
            <w:r w:rsidRPr="008E6588">
              <w:rPr>
                <w:rFonts w:ascii="Arial Narrow" w:hAnsi="Arial Narrow" w:cs="Arial"/>
                <w:b/>
                <w:bCs/>
                <w:sz w:val="20"/>
                <w:szCs w:val="20"/>
              </w:rPr>
              <w:t>PBS item code</w:t>
            </w:r>
          </w:p>
        </w:tc>
        <w:tc>
          <w:tcPr>
            <w:tcW w:w="542" w:type="pct"/>
            <w:vAlign w:val="center"/>
          </w:tcPr>
          <w:p w14:paraId="6D59DB71" w14:textId="77777777" w:rsidR="00B5146E" w:rsidRPr="008E6588" w:rsidRDefault="00B5146E" w:rsidP="00836DB5">
            <w:pPr>
              <w:keepLines/>
              <w:jc w:val="left"/>
              <w:rPr>
                <w:rFonts w:ascii="Arial Narrow" w:hAnsi="Arial Narrow" w:cs="Arial"/>
                <w:b/>
                <w:bCs/>
                <w:sz w:val="20"/>
                <w:szCs w:val="20"/>
              </w:rPr>
            </w:pPr>
            <w:r w:rsidRPr="008E6588">
              <w:rPr>
                <w:rFonts w:ascii="Arial Narrow" w:hAnsi="Arial Narrow" w:cs="Arial"/>
                <w:b/>
                <w:bCs/>
                <w:sz w:val="20"/>
                <w:szCs w:val="20"/>
              </w:rPr>
              <w:t>Max. qty packs</w:t>
            </w:r>
          </w:p>
        </w:tc>
        <w:tc>
          <w:tcPr>
            <w:tcW w:w="542" w:type="pct"/>
            <w:vAlign w:val="center"/>
          </w:tcPr>
          <w:p w14:paraId="2B447DCE" w14:textId="77777777" w:rsidR="00B5146E" w:rsidRPr="008E6588" w:rsidRDefault="00B5146E" w:rsidP="00836DB5">
            <w:pPr>
              <w:keepLines/>
              <w:jc w:val="left"/>
              <w:rPr>
                <w:rFonts w:ascii="Arial Narrow" w:hAnsi="Arial Narrow" w:cs="Arial"/>
                <w:b/>
                <w:bCs/>
                <w:sz w:val="20"/>
                <w:szCs w:val="20"/>
              </w:rPr>
            </w:pPr>
            <w:r w:rsidRPr="008E6588">
              <w:rPr>
                <w:rFonts w:ascii="Arial Narrow" w:hAnsi="Arial Narrow" w:cs="Arial"/>
                <w:b/>
                <w:bCs/>
                <w:sz w:val="20"/>
                <w:szCs w:val="20"/>
              </w:rPr>
              <w:t>Max. qty units</w:t>
            </w:r>
          </w:p>
        </w:tc>
        <w:tc>
          <w:tcPr>
            <w:tcW w:w="384" w:type="pct"/>
            <w:vAlign w:val="center"/>
          </w:tcPr>
          <w:p w14:paraId="7D9B1622" w14:textId="77777777" w:rsidR="00B5146E" w:rsidRPr="008E6588" w:rsidRDefault="00B5146E" w:rsidP="00836DB5">
            <w:pPr>
              <w:keepLines/>
              <w:jc w:val="left"/>
              <w:rPr>
                <w:rFonts w:ascii="Arial Narrow" w:hAnsi="Arial Narrow" w:cs="Arial"/>
                <w:b/>
                <w:bCs/>
                <w:sz w:val="20"/>
                <w:szCs w:val="20"/>
              </w:rPr>
            </w:pPr>
            <w:proofErr w:type="gramStart"/>
            <w:r w:rsidRPr="008E6588">
              <w:rPr>
                <w:rFonts w:ascii="Arial Narrow" w:hAnsi="Arial Narrow" w:cs="Arial"/>
                <w:b/>
                <w:bCs/>
                <w:sz w:val="20"/>
                <w:szCs w:val="20"/>
              </w:rPr>
              <w:t>№.of</w:t>
            </w:r>
            <w:proofErr w:type="gramEnd"/>
          </w:p>
          <w:p w14:paraId="41AD0F70" w14:textId="77777777" w:rsidR="00B5146E" w:rsidRPr="008E6588" w:rsidRDefault="00B5146E" w:rsidP="00836DB5">
            <w:pPr>
              <w:keepLines/>
              <w:jc w:val="left"/>
              <w:rPr>
                <w:rFonts w:ascii="Arial Narrow" w:hAnsi="Arial Narrow" w:cs="Arial"/>
                <w:b/>
                <w:bCs/>
                <w:sz w:val="20"/>
                <w:szCs w:val="20"/>
              </w:rPr>
            </w:pPr>
            <w:r w:rsidRPr="008E6588">
              <w:rPr>
                <w:rFonts w:ascii="Arial Narrow" w:hAnsi="Arial Narrow" w:cs="Arial"/>
                <w:b/>
                <w:bCs/>
                <w:sz w:val="20"/>
                <w:szCs w:val="20"/>
              </w:rPr>
              <w:t>Rpts</w:t>
            </w:r>
          </w:p>
        </w:tc>
        <w:tc>
          <w:tcPr>
            <w:tcW w:w="521" w:type="pct"/>
            <w:vAlign w:val="center"/>
          </w:tcPr>
          <w:p w14:paraId="2736038C" w14:textId="77777777" w:rsidR="00B5146E" w:rsidRPr="008E6588" w:rsidRDefault="00B5146E" w:rsidP="00836DB5">
            <w:pPr>
              <w:keepLines/>
              <w:jc w:val="left"/>
              <w:rPr>
                <w:rFonts w:ascii="Arial Narrow" w:hAnsi="Arial Narrow" w:cs="Arial"/>
                <w:b/>
                <w:bCs/>
                <w:sz w:val="20"/>
                <w:szCs w:val="20"/>
              </w:rPr>
            </w:pPr>
            <w:r w:rsidRPr="008E6588">
              <w:rPr>
                <w:rFonts w:ascii="Arial Narrow" w:hAnsi="Arial Narrow" w:cs="Arial"/>
                <w:b/>
                <w:bCs/>
                <w:sz w:val="20"/>
                <w:szCs w:val="20"/>
              </w:rPr>
              <w:t>Available brands</w:t>
            </w:r>
          </w:p>
        </w:tc>
      </w:tr>
      <w:tr w:rsidR="00B5146E" w:rsidRPr="008E6588" w14:paraId="55C6EE92" w14:textId="77777777" w:rsidTr="00836DB5">
        <w:trPr>
          <w:cantSplit/>
          <w:trHeight w:val="20"/>
        </w:trPr>
        <w:tc>
          <w:tcPr>
            <w:tcW w:w="5000" w:type="pct"/>
            <w:gridSpan w:val="8"/>
            <w:vAlign w:val="center"/>
          </w:tcPr>
          <w:p w14:paraId="5DE5D91C" w14:textId="77777777" w:rsidR="00B5146E" w:rsidRPr="008E6588" w:rsidRDefault="00B5146E" w:rsidP="00836DB5">
            <w:pPr>
              <w:keepLines/>
              <w:jc w:val="left"/>
              <w:rPr>
                <w:rFonts w:ascii="Arial Narrow" w:hAnsi="Arial Narrow" w:cs="Arial"/>
                <w:sz w:val="20"/>
                <w:szCs w:val="20"/>
              </w:rPr>
            </w:pPr>
            <w:r w:rsidRPr="008E6588">
              <w:rPr>
                <w:rFonts w:ascii="Arial Narrow" w:hAnsi="Arial Narrow" w:cs="Arial"/>
                <w:sz w:val="20"/>
                <w:szCs w:val="20"/>
              </w:rPr>
              <w:t>OMALIZUMAB</w:t>
            </w:r>
          </w:p>
        </w:tc>
      </w:tr>
      <w:tr w:rsidR="00491A2F" w:rsidRPr="008E6588" w14:paraId="549222EF" w14:textId="77777777" w:rsidTr="00EB1567">
        <w:trPr>
          <w:cantSplit/>
          <w:trHeight w:val="20"/>
        </w:trPr>
        <w:tc>
          <w:tcPr>
            <w:tcW w:w="2406" w:type="pct"/>
            <w:gridSpan w:val="3"/>
            <w:vAlign w:val="center"/>
          </w:tcPr>
          <w:p w14:paraId="4BBB4A5A" w14:textId="39CF6904" w:rsidR="00491A2F" w:rsidRPr="008E6588" w:rsidRDefault="00491A2F" w:rsidP="00491A2F">
            <w:pPr>
              <w:keepLines/>
              <w:jc w:val="left"/>
              <w:rPr>
                <w:rFonts w:ascii="Arial Narrow" w:hAnsi="Arial Narrow" w:cs="Arial"/>
                <w:sz w:val="20"/>
                <w:szCs w:val="20"/>
              </w:rPr>
            </w:pPr>
            <w:r w:rsidRPr="008E6588">
              <w:rPr>
                <w:rFonts w:ascii="Arial Narrow" w:hAnsi="Arial Narrow" w:cs="Arial"/>
                <w:sz w:val="20"/>
                <w:szCs w:val="20"/>
              </w:rPr>
              <w:t>omalizumab 300 mg/2 mL injection, 2 mL syringe</w:t>
            </w:r>
          </w:p>
        </w:tc>
        <w:tc>
          <w:tcPr>
            <w:tcW w:w="605" w:type="pct"/>
            <w:vAlign w:val="center"/>
          </w:tcPr>
          <w:p w14:paraId="6B204D70" w14:textId="4DEFD8C3" w:rsidR="00491A2F" w:rsidRPr="008E6588" w:rsidRDefault="00491A2F" w:rsidP="00491A2F">
            <w:pPr>
              <w:keepLines/>
              <w:jc w:val="left"/>
              <w:rPr>
                <w:rFonts w:ascii="Arial Narrow" w:hAnsi="Arial Narrow" w:cs="Arial"/>
                <w:sz w:val="20"/>
                <w:szCs w:val="20"/>
              </w:rPr>
            </w:pPr>
            <w:r w:rsidRPr="008E6588">
              <w:rPr>
                <w:rFonts w:ascii="Arial Narrow" w:hAnsi="Arial Narrow" w:cs="Arial"/>
                <w:iCs/>
                <w:sz w:val="20"/>
                <w:szCs w:val="20"/>
              </w:rPr>
              <w:t>NEW</w:t>
            </w:r>
            <w:r w:rsidR="001954ED" w:rsidRPr="008E6588">
              <w:rPr>
                <w:rFonts w:ascii="Arial Narrow" w:hAnsi="Arial Narrow" w:cs="Arial"/>
                <w:iCs/>
                <w:sz w:val="20"/>
                <w:szCs w:val="20"/>
              </w:rPr>
              <w:t>/ Public</w:t>
            </w:r>
          </w:p>
        </w:tc>
        <w:tc>
          <w:tcPr>
            <w:tcW w:w="542" w:type="pct"/>
          </w:tcPr>
          <w:p w14:paraId="5147AD5C" w14:textId="77777777" w:rsidR="00491A2F" w:rsidRPr="008E6588" w:rsidRDefault="00491A2F" w:rsidP="00491A2F">
            <w:pPr>
              <w:keepLines/>
              <w:jc w:val="left"/>
              <w:rPr>
                <w:rFonts w:ascii="Arial Narrow" w:hAnsi="Arial Narrow" w:cs="Arial"/>
                <w:sz w:val="20"/>
                <w:szCs w:val="20"/>
              </w:rPr>
            </w:pPr>
            <w:r w:rsidRPr="008E6588">
              <w:rPr>
                <w:rFonts w:ascii="Arial Narrow" w:hAnsi="Arial Narrow" w:cs="Arial"/>
                <w:sz w:val="20"/>
                <w:szCs w:val="20"/>
              </w:rPr>
              <w:t>1</w:t>
            </w:r>
          </w:p>
        </w:tc>
        <w:tc>
          <w:tcPr>
            <w:tcW w:w="542" w:type="pct"/>
          </w:tcPr>
          <w:p w14:paraId="45D27D03" w14:textId="77777777" w:rsidR="00491A2F" w:rsidRPr="008E6588" w:rsidRDefault="00491A2F" w:rsidP="00491A2F">
            <w:pPr>
              <w:keepLines/>
              <w:jc w:val="left"/>
              <w:rPr>
                <w:rFonts w:ascii="Arial Narrow" w:hAnsi="Arial Narrow" w:cs="Arial"/>
                <w:sz w:val="20"/>
                <w:szCs w:val="20"/>
              </w:rPr>
            </w:pPr>
            <w:r w:rsidRPr="008E6588">
              <w:rPr>
                <w:rFonts w:ascii="Arial Narrow" w:hAnsi="Arial Narrow" w:cs="Arial"/>
                <w:sz w:val="20"/>
                <w:szCs w:val="20"/>
              </w:rPr>
              <w:t>1</w:t>
            </w:r>
          </w:p>
        </w:tc>
        <w:tc>
          <w:tcPr>
            <w:tcW w:w="384" w:type="pct"/>
          </w:tcPr>
          <w:p w14:paraId="3712A6B8" w14:textId="77777777" w:rsidR="00491A2F" w:rsidRPr="008E6588" w:rsidRDefault="00491A2F" w:rsidP="00491A2F">
            <w:pPr>
              <w:keepLines/>
              <w:jc w:val="left"/>
              <w:rPr>
                <w:rFonts w:ascii="Arial Narrow" w:hAnsi="Arial Narrow" w:cs="Arial"/>
                <w:sz w:val="20"/>
                <w:szCs w:val="20"/>
              </w:rPr>
            </w:pPr>
            <w:r w:rsidRPr="008E6588">
              <w:rPr>
                <w:rFonts w:ascii="Arial Narrow" w:hAnsi="Arial Narrow" w:cs="Arial"/>
                <w:sz w:val="20"/>
                <w:szCs w:val="20"/>
              </w:rPr>
              <w:t>5</w:t>
            </w:r>
          </w:p>
        </w:tc>
        <w:tc>
          <w:tcPr>
            <w:tcW w:w="521" w:type="pct"/>
            <w:vMerge w:val="restart"/>
          </w:tcPr>
          <w:p w14:paraId="6192B762" w14:textId="77777777" w:rsidR="00491A2F" w:rsidRPr="008E6588" w:rsidRDefault="00491A2F" w:rsidP="00491A2F">
            <w:pPr>
              <w:keepLines/>
              <w:jc w:val="center"/>
              <w:rPr>
                <w:rFonts w:ascii="Arial Narrow" w:hAnsi="Arial Narrow" w:cs="Arial"/>
                <w:sz w:val="20"/>
                <w:szCs w:val="20"/>
              </w:rPr>
            </w:pPr>
            <w:proofErr w:type="spellStart"/>
            <w:r w:rsidRPr="008E6588">
              <w:rPr>
                <w:rFonts w:ascii="Arial Narrow" w:hAnsi="Arial Narrow"/>
                <w:sz w:val="20"/>
                <w:szCs w:val="20"/>
                <w:vertAlign w:val="superscript"/>
              </w:rPr>
              <w:t>a</w:t>
            </w:r>
            <w:r w:rsidRPr="008E6588">
              <w:rPr>
                <w:rFonts w:ascii="Arial Narrow" w:hAnsi="Arial Narrow" w:cs="Arial"/>
                <w:sz w:val="20"/>
                <w:szCs w:val="20"/>
              </w:rPr>
              <w:t>Xolair</w:t>
            </w:r>
            <w:proofErr w:type="spellEnd"/>
          </w:p>
        </w:tc>
      </w:tr>
      <w:tr w:rsidR="00491A2F" w:rsidRPr="008E6588" w14:paraId="00B55562" w14:textId="77777777" w:rsidTr="00EB1567">
        <w:trPr>
          <w:cantSplit/>
          <w:trHeight w:val="20"/>
        </w:trPr>
        <w:tc>
          <w:tcPr>
            <w:tcW w:w="2406" w:type="pct"/>
            <w:gridSpan w:val="3"/>
            <w:vAlign w:val="center"/>
          </w:tcPr>
          <w:p w14:paraId="05532017" w14:textId="3E597DB1" w:rsidR="00491A2F" w:rsidRPr="008E6588" w:rsidRDefault="00491A2F" w:rsidP="00491A2F">
            <w:pPr>
              <w:keepLines/>
              <w:jc w:val="left"/>
              <w:rPr>
                <w:rFonts w:ascii="Arial Narrow" w:hAnsi="Arial Narrow" w:cs="Arial"/>
                <w:sz w:val="20"/>
                <w:szCs w:val="20"/>
              </w:rPr>
            </w:pPr>
            <w:r w:rsidRPr="008E6588">
              <w:rPr>
                <w:rFonts w:ascii="Arial Narrow" w:hAnsi="Arial Narrow" w:cs="Arial"/>
                <w:sz w:val="20"/>
                <w:szCs w:val="20"/>
              </w:rPr>
              <w:t>omalizumab 300 mg/2 mL injection, 2 mL syringe</w:t>
            </w:r>
          </w:p>
        </w:tc>
        <w:tc>
          <w:tcPr>
            <w:tcW w:w="605" w:type="pct"/>
            <w:vAlign w:val="center"/>
          </w:tcPr>
          <w:p w14:paraId="6102D018" w14:textId="2427F1E3" w:rsidR="00491A2F" w:rsidRPr="008E6588" w:rsidRDefault="00491A2F" w:rsidP="00491A2F">
            <w:pPr>
              <w:keepLines/>
              <w:jc w:val="left"/>
              <w:rPr>
                <w:rFonts w:ascii="Arial Narrow" w:hAnsi="Arial Narrow" w:cs="Arial"/>
                <w:sz w:val="20"/>
                <w:szCs w:val="20"/>
              </w:rPr>
            </w:pPr>
            <w:r w:rsidRPr="008E6588">
              <w:rPr>
                <w:rFonts w:ascii="Arial Narrow" w:hAnsi="Arial Narrow" w:cs="Arial"/>
                <w:iCs/>
                <w:sz w:val="20"/>
                <w:szCs w:val="20"/>
              </w:rPr>
              <w:t>NEW</w:t>
            </w:r>
            <w:r w:rsidR="001954ED" w:rsidRPr="008E6588">
              <w:rPr>
                <w:rFonts w:ascii="Arial Narrow" w:hAnsi="Arial Narrow" w:cs="Arial"/>
                <w:iCs/>
                <w:sz w:val="20"/>
                <w:szCs w:val="20"/>
              </w:rPr>
              <w:t>/ Private</w:t>
            </w:r>
          </w:p>
        </w:tc>
        <w:tc>
          <w:tcPr>
            <w:tcW w:w="542" w:type="pct"/>
          </w:tcPr>
          <w:p w14:paraId="43F61C55" w14:textId="77777777" w:rsidR="00491A2F" w:rsidRPr="008E6588" w:rsidRDefault="00491A2F" w:rsidP="00491A2F">
            <w:pPr>
              <w:keepLines/>
              <w:jc w:val="left"/>
              <w:rPr>
                <w:rFonts w:ascii="Arial Narrow" w:hAnsi="Arial Narrow" w:cs="Arial"/>
                <w:sz w:val="20"/>
                <w:szCs w:val="20"/>
              </w:rPr>
            </w:pPr>
            <w:r w:rsidRPr="008E6588">
              <w:rPr>
                <w:rFonts w:ascii="Arial Narrow" w:hAnsi="Arial Narrow" w:cs="Arial"/>
                <w:sz w:val="20"/>
                <w:szCs w:val="20"/>
              </w:rPr>
              <w:t>1</w:t>
            </w:r>
          </w:p>
        </w:tc>
        <w:tc>
          <w:tcPr>
            <w:tcW w:w="542" w:type="pct"/>
          </w:tcPr>
          <w:p w14:paraId="53A9CD22" w14:textId="77777777" w:rsidR="00491A2F" w:rsidRPr="008E6588" w:rsidRDefault="00491A2F" w:rsidP="00491A2F">
            <w:pPr>
              <w:keepLines/>
              <w:jc w:val="left"/>
              <w:rPr>
                <w:rFonts w:ascii="Arial Narrow" w:hAnsi="Arial Narrow" w:cs="Arial"/>
                <w:sz w:val="20"/>
                <w:szCs w:val="20"/>
              </w:rPr>
            </w:pPr>
            <w:r w:rsidRPr="008E6588">
              <w:rPr>
                <w:rFonts w:ascii="Arial Narrow" w:hAnsi="Arial Narrow" w:cs="Arial"/>
                <w:sz w:val="20"/>
                <w:szCs w:val="20"/>
              </w:rPr>
              <w:t>1</w:t>
            </w:r>
          </w:p>
        </w:tc>
        <w:tc>
          <w:tcPr>
            <w:tcW w:w="384" w:type="pct"/>
          </w:tcPr>
          <w:p w14:paraId="342F6C8A" w14:textId="77777777" w:rsidR="00491A2F" w:rsidRPr="008E6588" w:rsidRDefault="00491A2F" w:rsidP="00491A2F">
            <w:pPr>
              <w:keepLines/>
              <w:jc w:val="left"/>
              <w:rPr>
                <w:rFonts w:ascii="Arial Narrow" w:hAnsi="Arial Narrow" w:cs="Arial"/>
                <w:sz w:val="20"/>
                <w:szCs w:val="20"/>
              </w:rPr>
            </w:pPr>
            <w:r w:rsidRPr="008E6588">
              <w:rPr>
                <w:rFonts w:ascii="Arial Narrow" w:hAnsi="Arial Narrow" w:cs="Arial"/>
                <w:sz w:val="20"/>
                <w:szCs w:val="20"/>
              </w:rPr>
              <w:t>5</w:t>
            </w:r>
          </w:p>
        </w:tc>
        <w:tc>
          <w:tcPr>
            <w:tcW w:w="521" w:type="pct"/>
            <w:vMerge/>
            <w:vAlign w:val="center"/>
          </w:tcPr>
          <w:p w14:paraId="1A63C626" w14:textId="77777777" w:rsidR="00491A2F" w:rsidRPr="008E6588" w:rsidRDefault="00491A2F" w:rsidP="00491A2F">
            <w:pPr>
              <w:keepLines/>
              <w:jc w:val="left"/>
              <w:rPr>
                <w:rFonts w:ascii="Arial Narrow" w:hAnsi="Arial Narrow" w:cs="Arial"/>
                <w:sz w:val="20"/>
                <w:szCs w:val="20"/>
              </w:rPr>
            </w:pPr>
          </w:p>
        </w:tc>
      </w:tr>
      <w:tr w:rsidR="00491A2F" w:rsidRPr="008E6588" w14:paraId="355ADB9E" w14:textId="77777777" w:rsidTr="00EB1567">
        <w:trPr>
          <w:cantSplit/>
          <w:trHeight w:val="20"/>
        </w:trPr>
        <w:tc>
          <w:tcPr>
            <w:tcW w:w="2406" w:type="pct"/>
            <w:gridSpan w:val="3"/>
            <w:vAlign w:val="center"/>
          </w:tcPr>
          <w:p w14:paraId="47993F35" w14:textId="492D3441" w:rsidR="00491A2F" w:rsidRPr="008E6588" w:rsidRDefault="00491A2F" w:rsidP="00491A2F">
            <w:pPr>
              <w:keepLines/>
              <w:jc w:val="left"/>
              <w:rPr>
                <w:rFonts w:ascii="Arial Narrow" w:hAnsi="Arial Narrow" w:cs="Arial"/>
                <w:sz w:val="20"/>
                <w:szCs w:val="20"/>
              </w:rPr>
            </w:pPr>
            <w:r w:rsidRPr="008E6588">
              <w:rPr>
                <w:rFonts w:ascii="Arial Narrow" w:hAnsi="Arial Narrow" w:cs="Arial"/>
                <w:sz w:val="20"/>
                <w:szCs w:val="20"/>
              </w:rPr>
              <w:t>omalizumab 300 mg/2 mL injection, 2 mL pen device</w:t>
            </w:r>
          </w:p>
        </w:tc>
        <w:tc>
          <w:tcPr>
            <w:tcW w:w="605" w:type="pct"/>
            <w:vAlign w:val="center"/>
          </w:tcPr>
          <w:p w14:paraId="5D1AAD58" w14:textId="48AC33B8" w:rsidR="00491A2F" w:rsidRPr="008E6588" w:rsidRDefault="00491A2F" w:rsidP="00491A2F">
            <w:pPr>
              <w:keepLines/>
              <w:jc w:val="left"/>
              <w:rPr>
                <w:rFonts w:ascii="Arial Narrow" w:hAnsi="Arial Narrow" w:cs="Arial"/>
                <w:sz w:val="20"/>
                <w:szCs w:val="20"/>
              </w:rPr>
            </w:pPr>
            <w:r w:rsidRPr="008E6588">
              <w:rPr>
                <w:rFonts w:ascii="Arial Narrow" w:hAnsi="Arial Narrow" w:cs="Arial"/>
                <w:iCs/>
                <w:sz w:val="20"/>
                <w:szCs w:val="20"/>
              </w:rPr>
              <w:t>NEW</w:t>
            </w:r>
            <w:r w:rsidR="001954ED" w:rsidRPr="008E6588">
              <w:rPr>
                <w:rFonts w:ascii="Arial Narrow" w:hAnsi="Arial Narrow" w:cs="Arial"/>
                <w:iCs/>
                <w:sz w:val="20"/>
                <w:szCs w:val="20"/>
              </w:rPr>
              <w:t>/</w:t>
            </w:r>
            <w:r w:rsidR="00D658AE">
              <w:rPr>
                <w:rFonts w:ascii="Arial Narrow" w:hAnsi="Arial Narrow" w:cs="Arial"/>
                <w:iCs/>
                <w:sz w:val="20"/>
                <w:szCs w:val="20"/>
              </w:rPr>
              <w:t xml:space="preserve"> </w:t>
            </w:r>
            <w:r w:rsidR="001954ED" w:rsidRPr="008E6588">
              <w:rPr>
                <w:rFonts w:ascii="Arial Narrow" w:hAnsi="Arial Narrow" w:cs="Arial"/>
                <w:iCs/>
                <w:sz w:val="20"/>
                <w:szCs w:val="20"/>
              </w:rPr>
              <w:t>Public</w:t>
            </w:r>
          </w:p>
        </w:tc>
        <w:tc>
          <w:tcPr>
            <w:tcW w:w="542" w:type="pct"/>
          </w:tcPr>
          <w:p w14:paraId="6378ED25" w14:textId="77777777" w:rsidR="00491A2F" w:rsidRPr="008E6588" w:rsidRDefault="00491A2F" w:rsidP="00491A2F">
            <w:pPr>
              <w:keepLines/>
              <w:jc w:val="left"/>
              <w:rPr>
                <w:rFonts w:ascii="Arial Narrow" w:hAnsi="Arial Narrow" w:cs="Arial"/>
                <w:sz w:val="20"/>
                <w:szCs w:val="20"/>
              </w:rPr>
            </w:pPr>
            <w:r w:rsidRPr="008E6588">
              <w:rPr>
                <w:rFonts w:ascii="Arial Narrow" w:hAnsi="Arial Narrow" w:cs="Arial"/>
                <w:sz w:val="20"/>
                <w:szCs w:val="20"/>
              </w:rPr>
              <w:t>1</w:t>
            </w:r>
          </w:p>
        </w:tc>
        <w:tc>
          <w:tcPr>
            <w:tcW w:w="542" w:type="pct"/>
          </w:tcPr>
          <w:p w14:paraId="312E9F06" w14:textId="77777777" w:rsidR="00491A2F" w:rsidRPr="008E6588" w:rsidRDefault="00491A2F" w:rsidP="00491A2F">
            <w:pPr>
              <w:keepLines/>
              <w:jc w:val="left"/>
              <w:rPr>
                <w:rFonts w:ascii="Arial Narrow" w:hAnsi="Arial Narrow" w:cs="Arial"/>
                <w:sz w:val="20"/>
                <w:szCs w:val="20"/>
              </w:rPr>
            </w:pPr>
            <w:r w:rsidRPr="008E6588">
              <w:rPr>
                <w:rFonts w:ascii="Arial Narrow" w:hAnsi="Arial Narrow" w:cs="Arial"/>
                <w:sz w:val="20"/>
                <w:szCs w:val="20"/>
              </w:rPr>
              <w:t>1</w:t>
            </w:r>
          </w:p>
        </w:tc>
        <w:tc>
          <w:tcPr>
            <w:tcW w:w="384" w:type="pct"/>
          </w:tcPr>
          <w:p w14:paraId="64978950" w14:textId="77777777" w:rsidR="00491A2F" w:rsidRPr="008E6588" w:rsidRDefault="00491A2F" w:rsidP="00491A2F">
            <w:pPr>
              <w:keepLines/>
              <w:jc w:val="left"/>
              <w:rPr>
                <w:rFonts w:ascii="Arial Narrow" w:hAnsi="Arial Narrow" w:cs="Arial"/>
                <w:sz w:val="20"/>
                <w:szCs w:val="20"/>
              </w:rPr>
            </w:pPr>
            <w:r w:rsidRPr="008E6588">
              <w:rPr>
                <w:rFonts w:ascii="Arial Narrow" w:hAnsi="Arial Narrow" w:cs="Arial"/>
                <w:sz w:val="20"/>
                <w:szCs w:val="20"/>
              </w:rPr>
              <w:t>5</w:t>
            </w:r>
          </w:p>
        </w:tc>
        <w:tc>
          <w:tcPr>
            <w:tcW w:w="521" w:type="pct"/>
            <w:vMerge/>
            <w:vAlign w:val="center"/>
          </w:tcPr>
          <w:p w14:paraId="247B9DA0" w14:textId="77777777" w:rsidR="00491A2F" w:rsidRPr="008E6588" w:rsidRDefault="00491A2F" w:rsidP="00491A2F">
            <w:pPr>
              <w:keepLines/>
              <w:jc w:val="left"/>
              <w:rPr>
                <w:rFonts w:ascii="Arial Narrow" w:hAnsi="Arial Narrow" w:cs="Arial"/>
                <w:sz w:val="20"/>
                <w:szCs w:val="20"/>
              </w:rPr>
            </w:pPr>
          </w:p>
        </w:tc>
      </w:tr>
      <w:tr w:rsidR="00491A2F" w:rsidRPr="008E6588" w14:paraId="0E9B356D" w14:textId="77777777" w:rsidTr="00EB1567">
        <w:trPr>
          <w:cantSplit/>
          <w:trHeight w:val="20"/>
        </w:trPr>
        <w:tc>
          <w:tcPr>
            <w:tcW w:w="2406" w:type="pct"/>
            <w:gridSpan w:val="3"/>
            <w:vAlign w:val="center"/>
          </w:tcPr>
          <w:p w14:paraId="79A803BA" w14:textId="12E44336" w:rsidR="00491A2F" w:rsidRPr="008E6588" w:rsidRDefault="00491A2F" w:rsidP="00491A2F">
            <w:pPr>
              <w:keepLines/>
              <w:jc w:val="left"/>
              <w:rPr>
                <w:rFonts w:ascii="Arial Narrow" w:hAnsi="Arial Narrow" w:cs="Arial"/>
                <w:sz w:val="20"/>
                <w:szCs w:val="20"/>
              </w:rPr>
            </w:pPr>
            <w:r w:rsidRPr="008E6588">
              <w:rPr>
                <w:rFonts w:ascii="Arial Narrow" w:hAnsi="Arial Narrow" w:cs="Arial"/>
                <w:sz w:val="20"/>
                <w:szCs w:val="20"/>
              </w:rPr>
              <w:t>omalizumab 300 mg/2 mL injection, 2 mL pen device</w:t>
            </w:r>
          </w:p>
        </w:tc>
        <w:tc>
          <w:tcPr>
            <w:tcW w:w="605" w:type="pct"/>
            <w:vAlign w:val="center"/>
          </w:tcPr>
          <w:p w14:paraId="3DA3F3C7" w14:textId="66550768" w:rsidR="00491A2F" w:rsidRPr="008E6588" w:rsidRDefault="00491A2F" w:rsidP="00491A2F">
            <w:pPr>
              <w:keepLines/>
              <w:jc w:val="left"/>
              <w:rPr>
                <w:rFonts w:ascii="Arial Narrow" w:hAnsi="Arial Narrow" w:cs="Arial"/>
                <w:sz w:val="20"/>
                <w:szCs w:val="20"/>
              </w:rPr>
            </w:pPr>
            <w:r w:rsidRPr="008E6588">
              <w:rPr>
                <w:rFonts w:ascii="Arial Narrow" w:hAnsi="Arial Narrow" w:cs="Arial"/>
                <w:iCs/>
                <w:sz w:val="20"/>
                <w:szCs w:val="20"/>
              </w:rPr>
              <w:t>NEW</w:t>
            </w:r>
            <w:r w:rsidR="001954ED" w:rsidRPr="008E6588">
              <w:rPr>
                <w:rFonts w:ascii="Arial Narrow" w:hAnsi="Arial Narrow" w:cs="Arial"/>
                <w:iCs/>
                <w:sz w:val="20"/>
                <w:szCs w:val="20"/>
              </w:rPr>
              <w:t>/ Private</w:t>
            </w:r>
          </w:p>
        </w:tc>
        <w:tc>
          <w:tcPr>
            <w:tcW w:w="542" w:type="pct"/>
          </w:tcPr>
          <w:p w14:paraId="55CBE0D9" w14:textId="77777777" w:rsidR="00491A2F" w:rsidRPr="008E6588" w:rsidRDefault="00491A2F" w:rsidP="00491A2F">
            <w:pPr>
              <w:keepLines/>
              <w:jc w:val="left"/>
              <w:rPr>
                <w:rFonts w:ascii="Arial Narrow" w:hAnsi="Arial Narrow" w:cs="Arial"/>
                <w:sz w:val="20"/>
                <w:szCs w:val="20"/>
              </w:rPr>
            </w:pPr>
            <w:r w:rsidRPr="008E6588">
              <w:rPr>
                <w:rFonts w:ascii="Arial Narrow" w:hAnsi="Arial Narrow" w:cs="Arial"/>
                <w:sz w:val="20"/>
                <w:szCs w:val="20"/>
              </w:rPr>
              <w:t>1</w:t>
            </w:r>
          </w:p>
        </w:tc>
        <w:tc>
          <w:tcPr>
            <w:tcW w:w="542" w:type="pct"/>
          </w:tcPr>
          <w:p w14:paraId="097DD095" w14:textId="77777777" w:rsidR="00491A2F" w:rsidRPr="008E6588" w:rsidRDefault="00491A2F" w:rsidP="00491A2F">
            <w:pPr>
              <w:keepLines/>
              <w:jc w:val="left"/>
              <w:rPr>
                <w:rFonts w:ascii="Arial Narrow" w:hAnsi="Arial Narrow" w:cs="Arial"/>
                <w:sz w:val="20"/>
                <w:szCs w:val="20"/>
              </w:rPr>
            </w:pPr>
            <w:r w:rsidRPr="008E6588">
              <w:rPr>
                <w:rFonts w:ascii="Arial Narrow" w:hAnsi="Arial Narrow" w:cs="Arial"/>
                <w:sz w:val="20"/>
                <w:szCs w:val="20"/>
              </w:rPr>
              <w:t>1</w:t>
            </w:r>
          </w:p>
        </w:tc>
        <w:tc>
          <w:tcPr>
            <w:tcW w:w="384" w:type="pct"/>
          </w:tcPr>
          <w:p w14:paraId="3AB79F3F" w14:textId="77777777" w:rsidR="00491A2F" w:rsidRPr="008E6588" w:rsidRDefault="00491A2F" w:rsidP="00491A2F">
            <w:pPr>
              <w:keepLines/>
              <w:jc w:val="left"/>
              <w:rPr>
                <w:rFonts w:ascii="Arial Narrow" w:hAnsi="Arial Narrow" w:cs="Arial"/>
                <w:sz w:val="20"/>
                <w:szCs w:val="20"/>
              </w:rPr>
            </w:pPr>
            <w:r w:rsidRPr="008E6588">
              <w:rPr>
                <w:rFonts w:ascii="Arial Narrow" w:hAnsi="Arial Narrow" w:cs="Arial"/>
                <w:sz w:val="20"/>
                <w:szCs w:val="20"/>
              </w:rPr>
              <w:t>5</w:t>
            </w:r>
          </w:p>
        </w:tc>
        <w:tc>
          <w:tcPr>
            <w:tcW w:w="521" w:type="pct"/>
            <w:vMerge/>
            <w:vAlign w:val="center"/>
          </w:tcPr>
          <w:p w14:paraId="316519CA" w14:textId="77777777" w:rsidR="00491A2F" w:rsidRPr="008E6588" w:rsidRDefault="00491A2F" w:rsidP="00491A2F">
            <w:pPr>
              <w:keepLines/>
              <w:jc w:val="left"/>
              <w:rPr>
                <w:rFonts w:ascii="Arial Narrow" w:hAnsi="Arial Narrow" w:cs="Arial"/>
                <w:sz w:val="20"/>
                <w:szCs w:val="20"/>
              </w:rPr>
            </w:pPr>
          </w:p>
        </w:tc>
      </w:tr>
      <w:tr w:rsidR="00B5146E" w:rsidRPr="008E6588" w14:paraId="5B2C40E1" w14:textId="77777777" w:rsidTr="00836DB5">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735D3E4F" w14:textId="77777777" w:rsidR="00B5146E" w:rsidRPr="008E6588" w:rsidRDefault="00B5146E" w:rsidP="00836DB5">
            <w:pPr>
              <w:keepLines/>
              <w:jc w:val="left"/>
              <w:rPr>
                <w:rFonts w:ascii="Arial Narrow" w:hAnsi="Arial Narrow" w:cs="Arial"/>
                <w:sz w:val="20"/>
                <w:szCs w:val="20"/>
              </w:rPr>
            </w:pPr>
          </w:p>
        </w:tc>
      </w:tr>
      <w:tr w:rsidR="00B5146E" w:rsidRPr="008E6588" w14:paraId="64BD3601" w14:textId="77777777" w:rsidTr="00836DB5">
        <w:tblPrEx>
          <w:tblCellMar>
            <w:top w:w="15" w:type="dxa"/>
            <w:bottom w:w="15" w:type="dxa"/>
          </w:tblCellMar>
          <w:tblLook w:val="04A0" w:firstRow="1" w:lastRow="0" w:firstColumn="1" w:lastColumn="0" w:noHBand="0" w:noVBand="1"/>
        </w:tblPrEx>
        <w:trPr>
          <w:trHeight w:val="20"/>
        </w:trPr>
        <w:tc>
          <w:tcPr>
            <w:tcW w:w="5000" w:type="pct"/>
            <w:gridSpan w:val="8"/>
            <w:tcBorders>
              <w:top w:val="single" w:sz="4" w:space="0" w:color="auto"/>
              <w:left w:val="single" w:sz="4" w:space="0" w:color="auto"/>
              <w:right w:val="single" w:sz="4" w:space="0" w:color="auto"/>
            </w:tcBorders>
            <w:vAlign w:val="center"/>
          </w:tcPr>
          <w:p w14:paraId="4BC1CC08" w14:textId="77777777" w:rsidR="00B5146E" w:rsidRPr="008E6588" w:rsidRDefault="00B5146E" w:rsidP="00836DB5">
            <w:pPr>
              <w:keepLines/>
              <w:rPr>
                <w:rFonts w:ascii="Arial Narrow" w:hAnsi="Arial Narrow" w:cs="Arial"/>
                <w:b/>
                <w:sz w:val="20"/>
                <w:szCs w:val="20"/>
              </w:rPr>
            </w:pPr>
            <w:r w:rsidRPr="008E6588">
              <w:rPr>
                <w:rFonts w:ascii="Arial Narrow" w:hAnsi="Arial Narrow"/>
                <w:b/>
                <w:sz w:val="20"/>
                <w:szCs w:val="20"/>
              </w:rPr>
              <w:t>Restriction Summary 15379/ Treatment of Concept: 15347</w:t>
            </w:r>
          </w:p>
        </w:tc>
      </w:tr>
      <w:tr w:rsidR="00B5146E" w:rsidRPr="008E6588" w14:paraId="66E4B338" w14:textId="77777777" w:rsidTr="00B174FD">
        <w:tblPrEx>
          <w:tblCellMar>
            <w:top w:w="15" w:type="dxa"/>
            <w:bottom w:w="15" w:type="dxa"/>
          </w:tblCellMar>
          <w:tblLook w:val="04A0" w:firstRow="1" w:lastRow="0" w:firstColumn="1" w:lastColumn="0" w:noHBand="0" w:noVBand="1"/>
        </w:tblPrEx>
        <w:trPr>
          <w:trHeight w:val="20"/>
        </w:trPr>
        <w:tc>
          <w:tcPr>
            <w:tcW w:w="689" w:type="pct"/>
            <w:gridSpan w:val="2"/>
            <w:vMerge w:val="restart"/>
            <w:tcBorders>
              <w:top w:val="single" w:sz="4" w:space="0" w:color="auto"/>
              <w:left w:val="single" w:sz="4" w:space="0" w:color="auto"/>
              <w:right w:val="single" w:sz="4" w:space="0" w:color="auto"/>
            </w:tcBorders>
          </w:tcPr>
          <w:p w14:paraId="49CDC22B" w14:textId="77777777" w:rsidR="00B5146E" w:rsidRPr="008E6588" w:rsidRDefault="00B5146E" w:rsidP="00836DB5">
            <w:pPr>
              <w:jc w:val="center"/>
              <w:rPr>
                <w:rFonts w:ascii="Arial Narrow" w:hAnsi="Arial Narrow" w:cs="Arial"/>
                <w:b/>
                <w:sz w:val="20"/>
                <w:szCs w:val="20"/>
              </w:rPr>
            </w:pPr>
            <w:r w:rsidRPr="008E6588">
              <w:rPr>
                <w:rFonts w:ascii="Arial Narrow" w:hAnsi="Arial Narrow" w:cs="Arial"/>
                <w:b/>
                <w:sz w:val="20"/>
                <w:szCs w:val="20"/>
              </w:rPr>
              <w:t xml:space="preserve">Concept ID </w:t>
            </w:r>
            <w:r w:rsidRPr="008E6588">
              <w:rPr>
                <w:rFonts w:ascii="Arial Narrow" w:hAnsi="Arial Narrow" w:cs="Arial"/>
                <w:sz w:val="20"/>
                <w:szCs w:val="20"/>
              </w:rPr>
              <w:t>(for internal Dept. use)</w:t>
            </w:r>
          </w:p>
        </w:tc>
        <w:tc>
          <w:tcPr>
            <w:tcW w:w="4311" w:type="pct"/>
            <w:gridSpan w:val="6"/>
            <w:tcBorders>
              <w:top w:val="single" w:sz="4" w:space="0" w:color="auto"/>
              <w:left w:val="single" w:sz="4" w:space="0" w:color="auto"/>
              <w:bottom w:val="single" w:sz="4" w:space="0" w:color="auto"/>
              <w:right w:val="single" w:sz="4" w:space="0" w:color="auto"/>
            </w:tcBorders>
            <w:vAlign w:val="center"/>
          </w:tcPr>
          <w:p w14:paraId="759EC47C" w14:textId="77777777" w:rsidR="00B5146E" w:rsidRPr="008E6588" w:rsidRDefault="00B5146E" w:rsidP="00836DB5">
            <w:pPr>
              <w:keepLines/>
              <w:rPr>
                <w:rFonts w:ascii="Arial Narrow" w:hAnsi="Arial Narrow" w:cs="Arial"/>
                <w:sz w:val="20"/>
                <w:szCs w:val="20"/>
              </w:rPr>
            </w:pPr>
            <w:r w:rsidRPr="008E6588">
              <w:rPr>
                <w:rFonts w:ascii="Arial Narrow" w:hAnsi="Arial Narrow" w:cs="Arial"/>
                <w:b/>
                <w:sz w:val="20"/>
                <w:szCs w:val="20"/>
              </w:rPr>
              <w:t>Category / Program:</w:t>
            </w:r>
            <w:r w:rsidRPr="008E6588">
              <w:rPr>
                <w:rFonts w:ascii="Arial Narrow" w:hAnsi="Arial Narrow" w:cs="Arial"/>
                <w:sz w:val="20"/>
                <w:szCs w:val="20"/>
              </w:rPr>
              <w:t xml:space="preserve"> </w:t>
            </w:r>
            <w:r w:rsidRPr="008E6588">
              <w:rPr>
                <w:rFonts w:ascii="Arial Narrow" w:eastAsia="Calibri" w:hAnsi="Arial Narrow" w:cs="Arial"/>
                <w:sz w:val="20"/>
                <w:szCs w:val="20"/>
              </w:rPr>
              <w:t>Section 100 – Highly Specialised Drugs Program – Public (Code HB)</w:t>
            </w:r>
            <w:r w:rsidRPr="008E6588">
              <w:rPr>
                <w:rFonts w:ascii="Arial Narrow" w:eastAsia="Calibri" w:hAnsi="Arial Narrow" w:cs="Arial"/>
                <w:color w:val="FF0000"/>
                <w:sz w:val="20"/>
                <w:szCs w:val="20"/>
              </w:rPr>
              <w:t xml:space="preserve"> </w:t>
            </w:r>
            <w:r w:rsidRPr="008E6588">
              <w:rPr>
                <w:rFonts w:ascii="Arial Narrow" w:eastAsia="Calibri" w:hAnsi="Arial Narrow" w:cs="Arial"/>
                <w:sz w:val="20"/>
                <w:szCs w:val="20"/>
              </w:rPr>
              <w:t>/ Private (Code HS)</w:t>
            </w:r>
          </w:p>
        </w:tc>
      </w:tr>
      <w:tr w:rsidR="00B5146E" w:rsidRPr="008E6588" w14:paraId="1A417821" w14:textId="77777777" w:rsidTr="00B174FD">
        <w:tblPrEx>
          <w:tblCellMar>
            <w:top w:w="15" w:type="dxa"/>
            <w:bottom w:w="15" w:type="dxa"/>
          </w:tblCellMar>
          <w:tblLook w:val="04A0" w:firstRow="1" w:lastRow="0" w:firstColumn="1" w:lastColumn="0" w:noHBand="0" w:noVBand="1"/>
        </w:tblPrEx>
        <w:trPr>
          <w:trHeight w:val="20"/>
        </w:trPr>
        <w:tc>
          <w:tcPr>
            <w:tcW w:w="689" w:type="pct"/>
            <w:gridSpan w:val="2"/>
            <w:vMerge/>
            <w:tcBorders>
              <w:left w:val="single" w:sz="4" w:space="0" w:color="auto"/>
              <w:right w:val="single" w:sz="4" w:space="0" w:color="auto"/>
            </w:tcBorders>
          </w:tcPr>
          <w:p w14:paraId="6EBC5404" w14:textId="77777777" w:rsidR="00B5146E" w:rsidRPr="008E6588" w:rsidRDefault="00B5146E" w:rsidP="00836DB5">
            <w:pPr>
              <w:rPr>
                <w:rFonts w:ascii="Arial Narrow" w:hAnsi="Arial Narrow" w:cs="Arial"/>
                <w:sz w:val="20"/>
                <w:szCs w:val="20"/>
              </w:rPr>
            </w:pPr>
          </w:p>
        </w:tc>
        <w:tc>
          <w:tcPr>
            <w:tcW w:w="4311" w:type="pct"/>
            <w:gridSpan w:val="6"/>
            <w:tcBorders>
              <w:top w:val="single" w:sz="4" w:space="0" w:color="auto"/>
              <w:left w:val="single" w:sz="4" w:space="0" w:color="auto"/>
              <w:bottom w:val="single" w:sz="4" w:space="0" w:color="auto"/>
              <w:right w:val="single" w:sz="4" w:space="0" w:color="auto"/>
            </w:tcBorders>
            <w:vAlign w:val="center"/>
          </w:tcPr>
          <w:p w14:paraId="49F01424" w14:textId="77777777" w:rsidR="00B5146E" w:rsidRPr="008E6588" w:rsidRDefault="00B5146E" w:rsidP="00836DB5">
            <w:pPr>
              <w:keepLines/>
              <w:rPr>
                <w:rFonts w:ascii="Arial Narrow" w:hAnsi="Arial Narrow" w:cs="Arial"/>
                <w:b/>
                <w:sz w:val="20"/>
                <w:szCs w:val="20"/>
              </w:rPr>
            </w:pPr>
            <w:r w:rsidRPr="008E6588">
              <w:rPr>
                <w:rFonts w:ascii="Arial Narrow" w:hAnsi="Arial Narrow" w:cs="Arial"/>
                <w:b/>
                <w:sz w:val="20"/>
                <w:szCs w:val="20"/>
              </w:rPr>
              <w:t xml:space="preserve">Prescriber type: </w:t>
            </w:r>
            <w:r w:rsidRPr="008E6588">
              <w:rPr>
                <w:rFonts w:ascii="Arial Narrow" w:hAnsi="Arial Narrow" w:cs="Arial"/>
                <w:sz w:val="20"/>
                <w:szCs w:val="20"/>
              </w:rPr>
              <w:fldChar w:fldCharType="begin" w:fldLock="1">
                <w:ffData>
                  <w:name w:val=""/>
                  <w:enabled/>
                  <w:calcOnExit w:val="0"/>
                  <w:checkBox>
                    <w:sizeAuto/>
                    <w:default w:val="1"/>
                  </w:checkBox>
                </w:ffData>
              </w:fldChar>
            </w:r>
            <w:r w:rsidRPr="008E6588">
              <w:rPr>
                <w:rFonts w:ascii="Arial Narrow" w:hAnsi="Arial Narrow" w:cs="Arial"/>
                <w:sz w:val="20"/>
                <w:szCs w:val="20"/>
              </w:rPr>
              <w:instrText xml:space="preserve"> FORMCHECKBOX </w:instrText>
            </w:r>
            <w:r w:rsidRPr="008E6588">
              <w:rPr>
                <w:rFonts w:ascii="Arial Narrow" w:hAnsi="Arial Narrow" w:cs="Arial"/>
                <w:sz w:val="20"/>
                <w:szCs w:val="20"/>
              </w:rPr>
            </w:r>
            <w:r w:rsidRPr="008E6588">
              <w:rPr>
                <w:rFonts w:ascii="Arial Narrow" w:hAnsi="Arial Narrow" w:cs="Arial"/>
                <w:sz w:val="20"/>
                <w:szCs w:val="20"/>
              </w:rPr>
              <w:fldChar w:fldCharType="separate"/>
            </w:r>
            <w:r w:rsidRPr="008E6588">
              <w:rPr>
                <w:rFonts w:ascii="Arial Narrow" w:hAnsi="Arial Narrow" w:cs="Arial"/>
                <w:sz w:val="20"/>
                <w:szCs w:val="20"/>
              </w:rPr>
              <w:fldChar w:fldCharType="end"/>
            </w:r>
            <w:r w:rsidRPr="008E6588">
              <w:rPr>
                <w:rFonts w:ascii="Arial Narrow" w:hAnsi="Arial Narrow" w:cs="Arial"/>
                <w:sz w:val="20"/>
                <w:szCs w:val="20"/>
              </w:rPr>
              <w:t xml:space="preserve">Medical Practitioners </w:t>
            </w:r>
          </w:p>
        </w:tc>
      </w:tr>
      <w:tr w:rsidR="00B5146E" w:rsidRPr="008E6588" w14:paraId="188044FF" w14:textId="77777777" w:rsidTr="00B174FD">
        <w:tblPrEx>
          <w:tblCellMar>
            <w:top w:w="15" w:type="dxa"/>
            <w:bottom w:w="15" w:type="dxa"/>
          </w:tblCellMar>
          <w:tblLook w:val="04A0" w:firstRow="1" w:lastRow="0" w:firstColumn="1" w:lastColumn="0" w:noHBand="0" w:noVBand="1"/>
        </w:tblPrEx>
        <w:trPr>
          <w:trHeight w:val="20"/>
        </w:trPr>
        <w:tc>
          <w:tcPr>
            <w:tcW w:w="689" w:type="pct"/>
            <w:gridSpan w:val="2"/>
            <w:vMerge/>
            <w:tcBorders>
              <w:left w:val="single" w:sz="4" w:space="0" w:color="auto"/>
              <w:right w:val="single" w:sz="4" w:space="0" w:color="auto"/>
            </w:tcBorders>
          </w:tcPr>
          <w:p w14:paraId="5CAA55AA" w14:textId="77777777" w:rsidR="00B5146E" w:rsidRPr="008E6588" w:rsidRDefault="00B5146E" w:rsidP="00836DB5">
            <w:pPr>
              <w:rPr>
                <w:rFonts w:ascii="Arial Narrow" w:hAnsi="Arial Narrow" w:cs="Arial"/>
                <w:sz w:val="20"/>
                <w:szCs w:val="20"/>
              </w:rPr>
            </w:pPr>
          </w:p>
        </w:tc>
        <w:tc>
          <w:tcPr>
            <w:tcW w:w="4311" w:type="pct"/>
            <w:gridSpan w:val="6"/>
            <w:tcBorders>
              <w:top w:val="single" w:sz="4" w:space="0" w:color="auto"/>
              <w:left w:val="single" w:sz="4" w:space="0" w:color="auto"/>
              <w:bottom w:val="single" w:sz="4" w:space="0" w:color="auto"/>
              <w:right w:val="single" w:sz="4" w:space="0" w:color="auto"/>
            </w:tcBorders>
            <w:vAlign w:val="center"/>
          </w:tcPr>
          <w:p w14:paraId="0DA54622" w14:textId="77777777" w:rsidR="00B5146E" w:rsidRPr="008E6588" w:rsidRDefault="00B5146E" w:rsidP="00836DB5">
            <w:pPr>
              <w:keepLines/>
              <w:rPr>
                <w:rFonts w:ascii="Arial Narrow" w:eastAsia="Calibri" w:hAnsi="Arial Narrow" w:cs="Arial"/>
                <w:color w:val="FF0000"/>
                <w:sz w:val="20"/>
                <w:szCs w:val="20"/>
              </w:rPr>
            </w:pPr>
            <w:r w:rsidRPr="008E6588">
              <w:rPr>
                <w:rFonts w:ascii="Arial Narrow" w:hAnsi="Arial Narrow" w:cs="Arial"/>
                <w:b/>
                <w:sz w:val="20"/>
                <w:szCs w:val="20"/>
              </w:rPr>
              <w:t xml:space="preserve">Restriction type: </w:t>
            </w:r>
            <w:r w:rsidRPr="008E6588">
              <w:rPr>
                <w:rFonts w:ascii="Arial Narrow" w:eastAsia="Calibri" w:hAnsi="Arial Narrow" w:cs="Arial"/>
                <w:sz w:val="20"/>
                <w:szCs w:val="20"/>
              </w:rPr>
              <w:fldChar w:fldCharType="begin" w:fldLock="1">
                <w:ffData>
                  <w:name w:val=""/>
                  <w:enabled/>
                  <w:calcOnExit w:val="0"/>
                  <w:checkBox>
                    <w:sizeAuto/>
                    <w:default w:val="1"/>
                  </w:checkBox>
                </w:ffData>
              </w:fldChar>
            </w:r>
            <w:r w:rsidRPr="008E6588">
              <w:rPr>
                <w:rFonts w:ascii="Arial Narrow" w:eastAsia="Calibri" w:hAnsi="Arial Narrow" w:cs="Arial"/>
                <w:sz w:val="20"/>
                <w:szCs w:val="20"/>
              </w:rPr>
              <w:instrText xml:space="preserve"> FORMCHECKBOX </w:instrText>
            </w:r>
            <w:r w:rsidRPr="008E6588">
              <w:rPr>
                <w:rFonts w:ascii="Arial Narrow" w:eastAsia="Calibri" w:hAnsi="Arial Narrow" w:cs="Arial"/>
                <w:sz w:val="20"/>
                <w:szCs w:val="20"/>
              </w:rPr>
            </w:r>
            <w:r w:rsidRPr="008E6588">
              <w:rPr>
                <w:rFonts w:ascii="Arial Narrow" w:eastAsia="Calibri" w:hAnsi="Arial Narrow" w:cs="Arial"/>
                <w:sz w:val="20"/>
                <w:szCs w:val="20"/>
              </w:rPr>
              <w:fldChar w:fldCharType="separate"/>
            </w:r>
            <w:r w:rsidRPr="008E6588">
              <w:rPr>
                <w:rFonts w:ascii="Arial Narrow" w:eastAsia="Calibri" w:hAnsi="Arial Narrow" w:cs="Arial"/>
                <w:sz w:val="20"/>
                <w:szCs w:val="20"/>
              </w:rPr>
              <w:fldChar w:fldCharType="end"/>
            </w:r>
            <w:r w:rsidRPr="008E6588">
              <w:rPr>
                <w:rFonts w:ascii="Arial Narrow" w:eastAsia="Calibri" w:hAnsi="Arial Narrow" w:cs="Arial"/>
                <w:sz w:val="20"/>
                <w:szCs w:val="20"/>
              </w:rPr>
              <w:t>Authority Required (telephone/online PBS Authorities system)</w:t>
            </w:r>
          </w:p>
        </w:tc>
      </w:tr>
      <w:tr w:rsidR="00B174FD" w:rsidRPr="008E6588" w14:paraId="73DC52E0" w14:textId="77777777" w:rsidTr="00B174FD">
        <w:tblPrEx>
          <w:tblCellMar>
            <w:top w:w="15" w:type="dxa"/>
            <w:bottom w:w="15" w:type="dxa"/>
          </w:tblCellMar>
          <w:tblLook w:val="04A0" w:firstRow="1" w:lastRow="0" w:firstColumn="1" w:lastColumn="0" w:noHBand="0" w:noVBand="1"/>
        </w:tblPrEx>
        <w:trPr>
          <w:trHeight w:val="20"/>
        </w:trPr>
        <w:tc>
          <w:tcPr>
            <w:tcW w:w="689" w:type="pct"/>
            <w:gridSpan w:val="2"/>
            <w:vMerge/>
            <w:tcBorders>
              <w:left w:val="single" w:sz="4" w:space="0" w:color="auto"/>
              <w:right w:val="single" w:sz="4" w:space="0" w:color="auto"/>
            </w:tcBorders>
          </w:tcPr>
          <w:p w14:paraId="1C4EEBEC" w14:textId="77777777" w:rsidR="00B174FD" w:rsidRPr="008E6588" w:rsidRDefault="00B174FD">
            <w:pPr>
              <w:rPr>
                <w:rFonts w:ascii="Arial Narrow" w:hAnsi="Arial Narrow" w:cs="Arial"/>
                <w:sz w:val="20"/>
                <w:szCs w:val="20"/>
              </w:rPr>
            </w:pPr>
          </w:p>
        </w:tc>
        <w:tc>
          <w:tcPr>
            <w:tcW w:w="4311" w:type="pct"/>
            <w:gridSpan w:val="6"/>
            <w:tcBorders>
              <w:top w:val="single" w:sz="4" w:space="0" w:color="auto"/>
              <w:left w:val="single" w:sz="4" w:space="0" w:color="auto"/>
              <w:bottom w:val="single" w:sz="4" w:space="0" w:color="auto"/>
              <w:right w:val="single" w:sz="4" w:space="0" w:color="auto"/>
            </w:tcBorders>
            <w:vAlign w:val="center"/>
          </w:tcPr>
          <w:p w14:paraId="1ABD8677" w14:textId="0C82EFDB" w:rsidR="00B174FD" w:rsidRPr="008E6588" w:rsidRDefault="00B174FD">
            <w:pPr>
              <w:keepLines/>
              <w:rPr>
                <w:rFonts w:ascii="Arial Narrow" w:hAnsi="Arial Narrow" w:cs="Arial"/>
                <w:b/>
                <w:sz w:val="20"/>
                <w:szCs w:val="20"/>
              </w:rPr>
            </w:pPr>
            <w:r w:rsidRPr="008E6588">
              <w:rPr>
                <w:rFonts w:ascii="Arial Narrow" w:hAnsi="Arial Narrow"/>
                <w:b/>
                <w:sz w:val="20"/>
                <w:szCs w:val="20"/>
              </w:rPr>
              <w:t xml:space="preserve">Authority type: </w:t>
            </w:r>
            <w:r w:rsidRPr="008E6588">
              <w:rPr>
                <w:rFonts w:ascii="Arial Narrow" w:eastAsia="Calibri" w:hAnsi="Arial Narrow"/>
                <w:sz w:val="20"/>
                <w:szCs w:val="20"/>
              </w:rPr>
              <w:fldChar w:fldCharType="begin" w:fldLock="1">
                <w:ffData>
                  <w:name w:val=""/>
                  <w:enabled/>
                  <w:calcOnExit w:val="0"/>
                  <w:checkBox>
                    <w:sizeAuto/>
                    <w:default w:val="1"/>
                  </w:checkBox>
                </w:ffData>
              </w:fldChar>
            </w:r>
            <w:r w:rsidRPr="008E6588">
              <w:rPr>
                <w:rFonts w:ascii="Arial Narrow" w:eastAsia="Calibri" w:hAnsi="Arial Narrow"/>
                <w:sz w:val="20"/>
                <w:szCs w:val="20"/>
              </w:rPr>
              <w:instrText xml:space="preserve"> FORMCHECKBOX </w:instrText>
            </w:r>
            <w:r w:rsidRPr="008E6588">
              <w:rPr>
                <w:rFonts w:ascii="Arial Narrow" w:eastAsia="Calibri" w:hAnsi="Arial Narrow"/>
                <w:sz w:val="20"/>
                <w:szCs w:val="20"/>
              </w:rPr>
            </w:r>
            <w:r w:rsidRPr="008E6588">
              <w:rPr>
                <w:rFonts w:ascii="Arial Narrow" w:eastAsia="Calibri" w:hAnsi="Arial Narrow"/>
                <w:sz w:val="20"/>
                <w:szCs w:val="20"/>
              </w:rPr>
              <w:fldChar w:fldCharType="separate"/>
            </w:r>
            <w:r w:rsidRPr="008E6588">
              <w:rPr>
                <w:rFonts w:ascii="Arial Narrow" w:eastAsia="Calibri" w:hAnsi="Arial Narrow"/>
                <w:sz w:val="20"/>
                <w:szCs w:val="20"/>
              </w:rPr>
              <w:fldChar w:fldCharType="end"/>
            </w:r>
            <w:r w:rsidRPr="008E6588">
              <w:rPr>
                <w:rFonts w:ascii="Arial Narrow" w:eastAsia="Calibri" w:hAnsi="Arial Narrow"/>
                <w:sz w:val="20"/>
                <w:szCs w:val="20"/>
              </w:rPr>
              <w:t xml:space="preserve"> Complex Authority Required (CAR)</w:t>
            </w:r>
          </w:p>
        </w:tc>
      </w:tr>
      <w:tr w:rsidR="00B5146E" w:rsidRPr="008E6588" w14:paraId="3AC5F6D7" w14:textId="77777777" w:rsidTr="00B174FD">
        <w:tblPrEx>
          <w:tblCellMar>
            <w:top w:w="15" w:type="dxa"/>
            <w:bottom w:w="15" w:type="dxa"/>
          </w:tblCellMar>
        </w:tblPrEx>
        <w:trPr>
          <w:trHeight w:val="20"/>
        </w:trPr>
        <w:tc>
          <w:tcPr>
            <w:tcW w:w="303" w:type="pct"/>
            <w:vMerge w:val="restart"/>
            <w:tcBorders>
              <w:left w:val="single" w:sz="4" w:space="0" w:color="auto"/>
              <w:right w:val="single" w:sz="4" w:space="0" w:color="auto"/>
            </w:tcBorders>
            <w:textDirection w:val="btLr"/>
          </w:tcPr>
          <w:p w14:paraId="0BE3986C" w14:textId="77777777" w:rsidR="00B5146E" w:rsidRPr="008E6588" w:rsidRDefault="00B5146E" w:rsidP="00836DB5">
            <w:pPr>
              <w:ind w:left="113" w:right="113"/>
              <w:jc w:val="center"/>
              <w:rPr>
                <w:rFonts w:ascii="Arial Narrow" w:hAnsi="Arial Narrow" w:cs="Arial"/>
                <w:sz w:val="20"/>
                <w:szCs w:val="20"/>
              </w:rPr>
            </w:pPr>
            <w:r w:rsidRPr="008E6588">
              <w:rPr>
                <w:rFonts w:ascii="Arial Narrow" w:hAnsi="Arial Narrow" w:cs="Arial"/>
                <w:sz w:val="20"/>
                <w:szCs w:val="20"/>
              </w:rPr>
              <w:t>Prescribing rule level</w:t>
            </w:r>
          </w:p>
        </w:tc>
        <w:tc>
          <w:tcPr>
            <w:tcW w:w="386" w:type="pct"/>
            <w:tcBorders>
              <w:left w:val="single" w:sz="4" w:space="0" w:color="auto"/>
              <w:right w:val="single" w:sz="4" w:space="0" w:color="auto"/>
            </w:tcBorders>
          </w:tcPr>
          <w:p w14:paraId="355B1A09" w14:textId="3EFF6339" w:rsidR="00B5146E" w:rsidRPr="008E6588" w:rsidRDefault="00B5146E" w:rsidP="00836DB5">
            <w:pPr>
              <w:jc w:val="left"/>
              <w:rPr>
                <w:rFonts w:ascii="Arial Narrow" w:hAnsi="Arial Narrow" w:cs="Arial"/>
                <w:sz w:val="20"/>
                <w:szCs w:val="20"/>
              </w:rPr>
            </w:pPr>
          </w:p>
        </w:tc>
        <w:tc>
          <w:tcPr>
            <w:tcW w:w="4311" w:type="pct"/>
            <w:gridSpan w:val="6"/>
            <w:tcBorders>
              <w:top w:val="single" w:sz="4" w:space="0" w:color="auto"/>
              <w:left w:val="single" w:sz="4" w:space="0" w:color="auto"/>
              <w:bottom w:val="single" w:sz="4" w:space="0" w:color="auto"/>
              <w:right w:val="single" w:sz="4" w:space="0" w:color="auto"/>
            </w:tcBorders>
          </w:tcPr>
          <w:p w14:paraId="0302AAF5"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
                <w:sz w:val="20"/>
                <w:szCs w:val="20"/>
              </w:rPr>
              <w:t xml:space="preserve">Administrative Advice: </w:t>
            </w:r>
          </w:p>
          <w:p w14:paraId="18652AC2" w14:textId="77777777" w:rsidR="00B5146E" w:rsidRPr="008E6588" w:rsidRDefault="00B5146E" w:rsidP="00836DB5">
            <w:pPr>
              <w:keepLines/>
              <w:jc w:val="left"/>
              <w:rPr>
                <w:rFonts w:ascii="Arial Narrow" w:hAnsi="Arial Narrow" w:cs="Arial"/>
                <w:b/>
                <w:sz w:val="20"/>
                <w:szCs w:val="20"/>
              </w:rPr>
            </w:pPr>
            <w:r w:rsidRPr="008E6588">
              <w:rPr>
                <w:rFonts w:ascii="Arial Narrow" w:hAnsi="Arial Narrow" w:cs="Arial"/>
                <w:b/>
                <w:bCs/>
                <w:sz w:val="20"/>
                <w:szCs w:val="20"/>
              </w:rPr>
              <w:t>TREATMENT OF ADULT AND ADOLESCENT PATIENTS WITH UNCONTROLLED SEVERE ASTHMA</w:t>
            </w:r>
          </w:p>
          <w:p w14:paraId="7C261F54"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The following information applies to the prescribing under the Pharmaceutical Benefits Scheme (PBS) of the biological medicines for uncontrolled severe asthma. Where the term biological medicine appears in the following notes and restrictions it refers to all PBS benefits with the specific PBS indication of 'uncontrolled severe asthma'.</w:t>
            </w:r>
          </w:p>
          <w:p w14:paraId="5D8CDBF7"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A patient is eligible for PBS-subsidised treatment with only 1 biological medicine for uncontrolled severe asthma at any one time.</w:t>
            </w:r>
          </w:p>
          <w:p w14:paraId="7FDF75B5"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 xml:space="preserve">A patient receiving PBS-subsidised treatment for uncontrolled severe asthma </w:t>
            </w:r>
            <w:proofErr w:type="gramStart"/>
            <w:r w:rsidRPr="008E6588">
              <w:rPr>
                <w:rFonts w:ascii="Arial Narrow" w:hAnsi="Arial Narrow" w:cs="Arial"/>
                <w:bCs/>
                <w:sz w:val="20"/>
                <w:szCs w:val="20"/>
              </w:rPr>
              <w:t>is able to</w:t>
            </w:r>
            <w:proofErr w:type="gramEnd"/>
            <w:r w:rsidRPr="008E6588">
              <w:rPr>
                <w:rFonts w:ascii="Arial Narrow" w:hAnsi="Arial Narrow" w:cs="Arial"/>
                <w:bCs/>
                <w:sz w:val="20"/>
                <w:szCs w:val="20"/>
              </w:rPr>
              <w:t xml:space="preserve"> commence a treatment cycle where they may trial a biological medicine without having to experience a disease flare when swapping to an alternate biological medicine within the same treatment cycle.</w:t>
            </w:r>
          </w:p>
          <w:p w14:paraId="3AB39EEF"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 xml:space="preserve">Under these arrangements, within a treatment cycle, a patient may receive long-term treatment with a biological medicine </w:t>
            </w:r>
            <w:proofErr w:type="gramStart"/>
            <w:r w:rsidRPr="008E6588">
              <w:rPr>
                <w:rFonts w:ascii="Arial Narrow" w:hAnsi="Arial Narrow" w:cs="Arial"/>
                <w:bCs/>
                <w:sz w:val="20"/>
                <w:szCs w:val="20"/>
              </w:rPr>
              <w:t>as long as</w:t>
            </w:r>
            <w:proofErr w:type="gramEnd"/>
            <w:r w:rsidRPr="008E6588">
              <w:rPr>
                <w:rFonts w:ascii="Arial Narrow" w:hAnsi="Arial Narrow" w:cs="Arial"/>
                <w:bCs/>
                <w:sz w:val="20"/>
                <w:szCs w:val="20"/>
              </w:rPr>
              <w:t xml:space="preserve"> they sustain a response to therapy.</w:t>
            </w:r>
          </w:p>
          <w:p w14:paraId="17E50C2C"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A patient currently receiving PBS-subsidised treatment as of 1 April 2021 is considered to have started a cycle of treatment.</w:t>
            </w:r>
          </w:p>
          <w:p w14:paraId="4910A330"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Within the same treatment cycle, a patient cannot trial and fail, or cease to respond to, the same PBS-subsidised biological medicine more than once.</w:t>
            </w:r>
          </w:p>
          <w:p w14:paraId="1E5152EA"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Therefore, once a patient fails to meet the response criteria for a PBS-subsidised biological medicine, they must change to an alternate biological medicine if they wish to continue PBS-subsidised biological treatment.</w:t>
            </w:r>
          </w:p>
          <w:p w14:paraId="30E692C1"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Once a patient has either failed to achieve or sustain a response to treatment 4 times, they are deemed to have completed a single treatment cycle. They must have at least a 12-month break in PBS-subsidised biological medicine therapy before they are eligible to recommence another new treatment cycle [further details are under 'Recommencement of treatment after a treatment break in PBS-subsidised therapy' below].</w:t>
            </w:r>
          </w:p>
          <w:p w14:paraId="1898D55A"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The length of the break in therapy is measured from the date the most recent treatment with a PBS-subsidised biological medicine is ceased until the date of the first application for recommencement of treatment with a biological medicine under the new treatment cycle.</w:t>
            </w:r>
          </w:p>
          <w:p w14:paraId="3A3D8C00"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There is no limit to the number of treatment cycles that a patient may undertake in their lifetime.</w:t>
            </w:r>
          </w:p>
          <w:p w14:paraId="6630BF94"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How to prescribe PBS-subsidised biological medicine treatment for uncontrolled severe asthma.</w:t>
            </w:r>
          </w:p>
          <w:p w14:paraId="773279F6"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(1) Initial treatment:</w:t>
            </w:r>
          </w:p>
          <w:p w14:paraId="667DD377"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Applications for initial treatment should be made where:</w:t>
            </w:r>
          </w:p>
          <w:p w14:paraId="04267B3D"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w:t>
            </w:r>
            <w:proofErr w:type="spellStart"/>
            <w:r w:rsidRPr="008E6588">
              <w:rPr>
                <w:rFonts w:ascii="Arial Narrow" w:hAnsi="Arial Narrow" w:cs="Arial"/>
                <w:bCs/>
                <w:sz w:val="20"/>
                <w:szCs w:val="20"/>
              </w:rPr>
              <w:t>i</w:t>
            </w:r>
            <w:proofErr w:type="spellEnd"/>
            <w:r w:rsidRPr="008E6588">
              <w:rPr>
                <w:rFonts w:ascii="Arial Narrow" w:hAnsi="Arial Narrow" w:cs="Arial"/>
                <w:bCs/>
                <w:sz w:val="20"/>
                <w:szCs w:val="20"/>
              </w:rPr>
              <w:t>) a patient has not received prior PBS-subsidised biological medicine treatment and wishes to commence such therapy (Initial 1 restriction); or</w:t>
            </w:r>
          </w:p>
          <w:p w14:paraId="53528210"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lastRenderedPageBreak/>
              <w:t>(ii) a patient has received prior PBS-subsidised treatment with a biological medicine and wishes to recommence a new treatment cycle with this biological medicine following a treatment break in PBS-subsidised therapy (Initial 1 restriction); or</w:t>
            </w:r>
          </w:p>
          <w:p w14:paraId="1F5494C7"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(iii) a patient has received prior PBS-subsidised biological medicine therapy and wishes to trial an alternate biological medicine within the same treatment cycle (Initial 2 restriction) - [further details are under 'Swapping therapy' below].</w:t>
            </w:r>
          </w:p>
          <w:p w14:paraId="0ADC5E87"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All applications for initial treatment will be limited to provide for a maximum of up to 32 weeks of therapy of a biological medicine. It is recommended that a patient be reviewed in the month prior to completing their course of initial treatment to ensure uninterrupted biological medicine supply.</w:t>
            </w:r>
          </w:p>
          <w:p w14:paraId="4323186A"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(2) Continuing treatment:</w:t>
            </w:r>
          </w:p>
          <w:p w14:paraId="346C7D44"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Following the completion of an initial treatment course with a specific biological medicine, a patient may qualify to receive up to 24 weeks of continuing treatment with that biological medicine providing they have demonstrated an adequate response to treatment. The patient remains eligible to receive continuing biological medicine treatment with the same drug in courses of up to 24 weeks providing they continue to sustain the response. It is recommended that a patient be reviewed the month prior to completing their current course of treatment to ensure uninterrupted biological medicine supply.</w:t>
            </w:r>
          </w:p>
          <w:p w14:paraId="410E5C9D"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(3) Baseline measurements to determine response:</w:t>
            </w:r>
          </w:p>
          <w:p w14:paraId="5F03D4BD"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Baseline measurements of the Asthma Control Questionnaire (ACQ; 5 item version) or oral corticosteroid dose submitted with the Initial authority application for a biological medicine must be used to determine whether an adequate response to treatment has been achieved or sustained.</w:t>
            </w:r>
          </w:p>
          <w:p w14:paraId="31055178"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For patients transitioned from the paediatric to the adolescent/adult restriction, the exacerbation history may also be used to determine response.</w:t>
            </w:r>
          </w:p>
          <w:p w14:paraId="34133745"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 xml:space="preserve">However, prescribers may provide new baseline measurements when a new Initial treatment authority application is </w:t>
            </w:r>
            <w:proofErr w:type="gramStart"/>
            <w:r w:rsidRPr="008E6588">
              <w:rPr>
                <w:rFonts w:ascii="Arial Narrow" w:hAnsi="Arial Narrow" w:cs="Arial"/>
                <w:bCs/>
                <w:sz w:val="20"/>
                <w:szCs w:val="20"/>
              </w:rPr>
              <w:t>submitted</w:t>
            </w:r>
            <w:proofErr w:type="gramEnd"/>
            <w:r w:rsidRPr="008E6588">
              <w:rPr>
                <w:rFonts w:ascii="Arial Narrow" w:hAnsi="Arial Narrow" w:cs="Arial"/>
                <w:bCs/>
                <w:sz w:val="20"/>
                <w:szCs w:val="20"/>
              </w:rPr>
              <w:t xml:space="preserve"> and these new baseline measurements may be used to assess response.</w:t>
            </w:r>
          </w:p>
          <w:p w14:paraId="603C2144"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(4) Swapping therapy within the same treatment cycle.</w:t>
            </w:r>
          </w:p>
          <w:p w14:paraId="7DD50750"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Once initial treatment with the first PBS-subsidised biological medicine is approved, a patient may swap to an alternate biological medicine at any time by qualifying under an Initial 2 restriction.</w:t>
            </w:r>
          </w:p>
          <w:p w14:paraId="7086918E"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However, they cannot swap to a particular biological medicine if they have failed to respond to prior treatment with that drug within the same treatment cycle.</w:t>
            </w:r>
          </w:p>
          <w:p w14:paraId="758ADA69"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Within the same treatment cycle a patient may alternate between therapy with any biological medicine of their choice (1 at a time) providing:</w:t>
            </w:r>
          </w:p>
          <w:p w14:paraId="6AE9E8A6"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w:t>
            </w:r>
            <w:proofErr w:type="spellStart"/>
            <w:r w:rsidRPr="008E6588">
              <w:rPr>
                <w:rFonts w:ascii="Arial Narrow" w:hAnsi="Arial Narrow" w:cs="Arial"/>
                <w:bCs/>
                <w:sz w:val="20"/>
                <w:szCs w:val="20"/>
              </w:rPr>
              <w:t>i</w:t>
            </w:r>
            <w:proofErr w:type="spellEnd"/>
            <w:r w:rsidRPr="008E6588">
              <w:rPr>
                <w:rFonts w:ascii="Arial Narrow" w:hAnsi="Arial Narrow" w:cs="Arial"/>
                <w:bCs/>
                <w:sz w:val="20"/>
                <w:szCs w:val="20"/>
              </w:rPr>
              <w:t xml:space="preserve">) they have not received PBS-subsidised treatment with that </w:t>
            </w:r>
            <w:proofErr w:type="gramStart"/>
            <w:r w:rsidRPr="008E6588">
              <w:rPr>
                <w:rFonts w:ascii="Arial Narrow" w:hAnsi="Arial Narrow" w:cs="Arial"/>
                <w:bCs/>
                <w:sz w:val="20"/>
                <w:szCs w:val="20"/>
              </w:rPr>
              <w:t>particular biological</w:t>
            </w:r>
            <w:proofErr w:type="gramEnd"/>
            <w:r w:rsidRPr="008E6588">
              <w:rPr>
                <w:rFonts w:ascii="Arial Narrow" w:hAnsi="Arial Narrow" w:cs="Arial"/>
                <w:bCs/>
                <w:sz w:val="20"/>
                <w:szCs w:val="20"/>
              </w:rPr>
              <w:t xml:space="preserve"> medicine previously; or</w:t>
            </w:r>
          </w:p>
          <w:p w14:paraId="2A8F27E9"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 xml:space="preserve">(ii) they have demonstrated an adequate response to that </w:t>
            </w:r>
            <w:proofErr w:type="gramStart"/>
            <w:r w:rsidRPr="008E6588">
              <w:rPr>
                <w:rFonts w:ascii="Arial Narrow" w:hAnsi="Arial Narrow" w:cs="Arial"/>
                <w:bCs/>
                <w:sz w:val="20"/>
                <w:szCs w:val="20"/>
              </w:rPr>
              <w:t>particular biological</w:t>
            </w:r>
            <w:proofErr w:type="gramEnd"/>
            <w:r w:rsidRPr="008E6588">
              <w:rPr>
                <w:rFonts w:ascii="Arial Narrow" w:hAnsi="Arial Narrow" w:cs="Arial"/>
                <w:bCs/>
                <w:sz w:val="20"/>
                <w:szCs w:val="20"/>
              </w:rPr>
              <w:t xml:space="preserve"> medicine if they have previously trialled it on the PBS; and</w:t>
            </w:r>
          </w:p>
          <w:p w14:paraId="50FAD602"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(iii) they have not previously failed to respond to treatment with all 4 biological medicines in this treatment cycle.</w:t>
            </w:r>
          </w:p>
          <w:p w14:paraId="41F0E5B1"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(5) Re-commencement of a new treatment cycle after a treatment break in PBS-subsidised therapy:</w:t>
            </w:r>
          </w:p>
          <w:p w14:paraId="51A87E68"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A patient who wishes to trial a second or subsequent new treatment cycle, following a break in PBS-subsidised therapy of at least 12 months (in patients who have failed to achieve or ceased to sustain a response to treatment 4 times within a treatment cycle), must re-qualify through an Initial 1 restriction.</w:t>
            </w:r>
          </w:p>
          <w:p w14:paraId="48064415"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(6) Monitoring of patients:</w:t>
            </w:r>
          </w:p>
          <w:p w14:paraId="336EAD7A"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Omalizumab only:</w:t>
            </w:r>
          </w:p>
          <w:p w14:paraId="3801DE9D" w14:textId="77777777" w:rsidR="00B5146E" w:rsidRPr="008E6588" w:rsidRDefault="00B5146E" w:rsidP="00836DB5">
            <w:pPr>
              <w:keepLines/>
              <w:jc w:val="left"/>
              <w:rPr>
                <w:rFonts w:ascii="Arial Narrow" w:hAnsi="Arial Narrow" w:cs="Arial"/>
                <w:bCs/>
                <w:sz w:val="20"/>
                <w:szCs w:val="20"/>
              </w:rPr>
            </w:pPr>
            <w:r w:rsidRPr="008E6588">
              <w:rPr>
                <w:rFonts w:ascii="Arial Narrow" w:hAnsi="Arial Narrow" w:cs="Arial"/>
                <w:bCs/>
                <w:sz w:val="20"/>
                <w:szCs w:val="20"/>
              </w:rPr>
              <w:t xml:space="preserve">Anaphylaxis and anaphylactoid reactions have been reported following first or subsequent administration of omalizumab (see Product Information). Patients should be monitored post-injection, and medications for the treatment of anaphylactic reactions should be available for immediate use following administration of omalizumab. Patients should be informed that such reactions are </w:t>
            </w:r>
            <w:proofErr w:type="gramStart"/>
            <w:r w:rsidRPr="008E6588">
              <w:rPr>
                <w:rFonts w:ascii="Arial Narrow" w:hAnsi="Arial Narrow" w:cs="Arial"/>
                <w:bCs/>
                <w:sz w:val="20"/>
                <w:szCs w:val="20"/>
              </w:rPr>
              <w:t>possible</w:t>
            </w:r>
            <w:proofErr w:type="gramEnd"/>
            <w:r w:rsidRPr="008E6588">
              <w:rPr>
                <w:rFonts w:ascii="Arial Narrow" w:hAnsi="Arial Narrow" w:cs="Arial"/>
                <w:bCs/>
                <w:sz w:val="20"/>
                <w:szCs w:val="20"/>
              </w:rPr>
              <w:t xml:space="preserve"> and prompt medical attention should be sought if allergic reactions occur.</w:t>
            </w:r>
          </w:p>
        </w:tc>
      </w:tr>
      <w:tr w:rsidR="00B5146E" w:rsidRPr="008E6588" w14:paraId="0A50029D" w14:textId="77777777" w:rsidTr="00B174FD">
        <w:tblPrEx>
          <w:tblCellMar>
            <w:top w:w="15" w:type="dxa"/>
            <w:bottom w:w="15" w:type="dxa"/>
          </w:tblCellMar>
        </w:tblPrEx>
        <w:trPr>
          <w:trHeight w:val="20"/>
        </w:trPr>
        <w:tc>
          <w:tcPr>
            <w:tcW w:w="303" w:type="pct"/>
            <w:vMerge/>
            <w:tcBorders>
              <w:left w:val="single" w:sz="4" w:space="0" w:color="auto"/>
              <w:right w:val="single" w:sz="4" w:space="0" w:color="auto"/>
            </w:tcBorders>
            <w:textDirection w:val="btLr"/>
          </w:tcPr>
          <w:p w14:paraId="579B6CB9" w14:textId="77777777" w:rsidR="00B5146E" w:rsidRPr="008E6588" w:rsidRDefault="00B5146E" w:rsidP="00836DB5">
            <w:pPr>
              <w:ind w:left="113" w:right="113"/>
              <w:jc w:val="center"/>
              <w:rPr>
                <w:rFonts w:ascii="Arial Narrow" w:hAnsi="Arial Narrow" w:cs="Arial"/>
                <w:sz w:val="20"/>
                <w:szCs w:val="20"/>
              </w:rPr>
            </w:pPr>
          </w:p>
        </w:tc>
        <w:tc>
          <w:tcPr>
            <w:tcW w:w="386" w:type="pct"/>
            <w:tcBorders>
              <w:left w:val="single" w:sz="4" w:space="0" w:color="auto"/>
              <w:right w:val="single" w:sz="4" w:space="0" w:color="auto"/>
            </w:tcBorders>
          </w:tcPr>
          <w:p w14:paraId="00A6CE27" w14:textId="668E4C2F" w:rsidR="00B5146E" w:rsidRPr="008E6588" w:rsidRDefault="00B5146E" w:rsidP="00836DB5">
            <w:pPr>
              <w:jc w:val="left"/>
              <w:rPr>
                <w:rFonts w:ascii="Arial Narrow" w:hAnsi="Arial Narrow" w:cs="Arial"/>
                <w:sz w:val="20"/>
                <w:szCs w:val="20"/>
              </w:rPr>
            </w:pPr>
          </w:p>
        </w:tc>
        <w:tc>
          <w:tcPr>
            <w:tcW w:w="4311" w:type="pct"/>
            <w:gridSpan w:val="6"/>
            <w:tcBorders>
              <w:top w:val="single" w:sz="4" w:space="0" w:color="auto"/>
              <w:left w:val="single" w:sz="4" w:space="0" w:color="auto"/>
              <w:bottom w:val="single" w:sz="4" w:space="0" w:color="auto"/>
              <w:right w:val="single" w:sz="4" w:space="0" w:color="auto"/>
            </w:tcBorders>
          </w:tcPr>
          <w:p w14:paraId="1A3F5296" w14:textId="77777777" w:rsidR="00B5146E" w:rsidRPr="008E6588" w:rsidRDefault="00B5146E" w:rsidP="00836DB5">
            <w:pPr>
              <w:keepLines/>
              <w:jc w:val="left"/>
              <w:rPr>
                <w:rFonts w:ascii="Arial Narrow" w:hAnsi="Arial Narrow" w:cs="Arial"/>
                <w:b/>
                <w:sz w:val="20"/>
                <w:szCs w:val="20"/>
              </w:rPr>
            </w:pPr>
            <w:r w:rsidRPr="008E6588">
              <w:rPr>
                <w:rFonts w:ascii="Arial Narrow" w:hAnsi="Arial Narrow" w:cs="Arial"/>
                <w:b/>
                <w:sz w:val="20"/>
                <w:szCs w:val="20"/>
              </w:rPr>
              <w:t xml:space="preserve">Administrative Advice: </w:t>
            </w:r>
            <w:r w:rsidRPr="008E6588">
              <w:rPr>
                <w:rFonts w:ascii="Arial Narrow" w:hAnsi="Arial Narrow" w:cs="Arial"/>
                <w:bCs/>
                <w:sz w:val="20"/>
                <w:szCs w:val="20"/>
              </w:rPr>
              <w:t>For copies of the ACQ and the calculation sheets please contact Novartis Medical Information on 1800 671 203 or medinfo.phauno@novartis.com</w:t>
            </w:r>
          </w:p>
        </w:tc>
      </w:tr>
      <w:tr w:rsidR="00B5146E" w:rsidRPr="008E6588" w14:paraId="5ADD859F" w14:textId="77777777" w:rsidTr="00B174FD">
        <w:tblPrEx>
          <w:tblCellMar>
            <w:top w:w="15" w:type="dxa"/>
            <w:bottom w:w="15" w:type="dxa"/>
          </w:tblCellMar>
        </w:tblPrEx>
        <w:trPr>
          <w:trHeight w:val="20"/>
        </w:trPr>
        <w:tc>
          <w:tcPr>
            <w:tcW w:w="303" w:type="pct"/>
            <w:vMerge/>
            <w:tcBorders>
              <w:left w:val="single" w:sz="4" w:space="0" w:color="auto"/>
              <w:right w:val="single" w:sz="4" w:space="0" w:color="auto"/>
            </w:tcBorders>
            <w:textDirection w:val="btLr"/>
          </w:tcPr>
          <w:p w14:paraId="3A80EFE7" w14:textId="77777777" w:rsidR="00B5146E" w:rsidRPr="008E6588" w:rsidRDefault="00B5146E" w:rsidP="00836DB5">
            <w:pPr>
              <w:ind w:left="113" w:right="113"/>
              <w:jc w:val="center"/>
              <w:rPr>
                <w:rFonts w:ascii="Arial Narrow" w:hAnsi="Arial Narrow" w:cs="Arial"/>
                <w:sz w:val="20"/>
                <w:szCs w:val="20"/>
              </w:rPr>
            </w:pPr>
          </w:p>
        </w:tc>
        <w:tc>
          <w:tcPr>
            <w:tcW w:w="386" w:type="pct"/>
            <w:tcBorders>
              <w:left w:val="single" w:sz="4" w:space="0" w:color="auto"/>
              <w:right w:val="single" w:sz="4" w:space="0" w:color="auto"/>
            </w:tcBorders>
          </w:tcPr>
          <w:p w14:paraId="7F804F36" w14:textId="7C0D960A" w:rsidR="00B5146E" w:rsidRPr="008E6588" w:rsidRDefault="00B5146E" w:rsidP="00836DB5">
            <w:pPr>
              <w:jc w:val="left"/>
              <w:rPr>
                <w:rFonts w:ascii="Arial Narrow" w:hAnsi="Arial Narrow" w:cs="Arial"/>
                <w:sz w:val="20"/>
                <w:szCs w:val="20"/>
              </w:rPr>
            </w:pPr>
          </w:p>
        </w:tc>
        <w:tc>
          <w:tcPr>
            <w:tcW w:w="4311" w:type="pct"/>
            <w:gridSpan w:val="6"/>
            <w:tcBorders>
              <w:top w:val="single" w:sz="4" w:space="0" w:color="auto"/>
              <w:left w:val="single" w:sz="4" w:space="0" w:color="auto"/>
              <w:bottom w:val="single" w:sz="4" w:space="0" w:color="auto"/>
              <w:right w:val="single" w:sz="4" w:space="0" w:color="auto"/>
            </w:tcBorders>
          </w:tcPr>
          <w:p w14:paraId="786BCE7D" w14:textId="77777777" w:rsidR="00B5146E" w:rsidRPr="008E6588" w:rsidRDefault="00B5146E" w:rsidP="00836DB5">
            <w:pPr>
              <w:keepLines/>
              <w:jc w:val="left"/>
              <w:rPr>
                <w:rFonts w:ascii="Arial Narrow" w:hAnsi="Arial Narrow" w:cs="Arial"/>
                <w:b/>
                <w:sz w:val="20"/>
                <w:szCs w:val="20"/>
              </w:rPr>
            </w:pPr>
            <w:r w:rsidRPr="008E6588">
              <w:rPr>
                <w:rFonts w:ascii="Arial Narrow" w:hAnsi="Arial Narrow" w:cs="Arial"/>
                <w:b/>
                <w:sz w:val="20"/>
                <w:szCs w:val="20"/>
              </w:rPr>
              <w:t xml:space="preserve">Administrative Advice: </w:t>
            </w:r>
            <w:r w:rsidRPr="008E6588">
              <w:rPr>
                <w:rFonts w:ascii="Arial Narrow" w:hAnsi="Arial Narrow" w:cs="Arial"/>
                <w:bCs/>
                <w:sz w:val="20"/>
                <w:szCs w:val="20"/>
              </w:rPr>
              <w:t>Formal assessment and correction of inhaler technique should be performed in accordance with the National Asthma Council (NAC) Information Paper for Health Professionals on Inhaler Technique (available at www.nationalasthma.org.au); the assessment and adherence to correct technique should be documented in the patient's medical records. Patients can obtain support with inhaler technique through their local Asthma Foundation (1800 645 130).</w:t>
            </w:r>
          </w:p>
        </w:tc>
      </w:tr>
      <w:tr w:rsidR="00B5146E" w:rsidRPr="008E6588" w14:paraId="2C64E9A0" w14:textId="77777777" w:rsidTr="00B174FD">
        <w:tblPrEx>
          <w:tblCellMar>
            <w:top w:w="15" w:type="dxa"/>
            <w:bottom w:w="15" w:type="dxa"/>
          </w:tblCellMar>
        </w:tblPrEx>
        <w:trPr>
          <w:trHeight w:val="20"/>
        </w:trPr>
        <w:tc>
          <w:tcPr>
            <w:tcW w:w="303" w:type="pct"/>
            <w:vMerge/>
            <w:tcBorders>
              <w:left w:val="single" w:sz="4" w:space="0" w:color="auto"/>
              <w:right w:val="single" w:sz="4" w:space="0" w:color="auto"/>
            </w:tcBorders>
          </w:tcPr>
          <w:p w14:paraId="7F5C1A78" w14:textId="77777777" w:rsidR="00B5146E" w:rsidRPr="008E6588" w:rsidRDefault="00B5146E" w:rsidP="00836DB5">
            <w:pPr>
              <w:jc w:val="left"/>
              <w:rPr>
                <w:rFonts w:ascii="Arial Narrow" w:hAnsi="Arial Narrow" w:cs="Arial"/>
                <w:sz w:val="20"/>
                <w:szCs w:val="20"/>
              </w:rPr>
            </w:pPr>
          </w:p>
        </w:tc>
        <w:tc>
          <w:tcPr>
            <w:tcW w:w="386" w:type="pct"/>
            <w:tcBorders>
              <w:left w:val="single" w:sz="4" w:space="0" w:color="auto"/>
              <w:right w:val="single" w:sz="4" w:space="0" w:color="auto"/>
            </w:tcBorders>
          </w:tcPr>
          <w:p w14:paraId="753F0543" w14:textId="25A5F1F2" w:rsidR="00B5146E" w:rsidRPr="008E6588" w:rsidRDefault="00B5146E" w:rsidP="00836DB5">
            <w:pPr>
              <w:jc w:val="left"/>
              <w:textAlignment w:val="baseline"/>
              <w:rPr>
                <w:rFonts w:ascii="Arial Narrow" w:hAnsi="Arial Narrow" w:cs="Open Sans"/>
                <w:color w:val="333333"/>
                <w:sz w:val="20"/>
                <w:szCs w:val="20"/>
              </w:rPr>
            </w:pPr>
          </w:p>
        </w:tc>
        <w:tc>
          <w:tcPr>
            <w:tcW w:w="4311" w:type="pct"/>
            <w:gridSpan w:val="6"/>
            <w:tcBorders>
              <w:top w:val="single" w:sz="4" w:space="0" w:color="auto"/>
              <w:left w:val="single" w:sz="4" w:space="0" w:color="auto"/>
              <w:bottom w:val="single" w:sz="4" w:space="0" w:color="auto"/>
              <w:right w:val="single" w:sz="4" w:space="0" w:color="auto"/>
            </w:tcBorders>
          </w:tcPr>
          <w:p w14:paraId="0DB9CFC8" w14:textId="77777777" w:rsidR="00B5146E" w:rsidRPr="008E6588" w:rsidRDefault="00B5146E" w:rsidP="00836DB5">
            <w:pPr>
              <w:keepLines/>
              <w:jc w:val="left"/>
              <w:rPr>
                <w:rFonts w:ascii="Arial Narrow" w:hAnsi="Arial Narrow" w:cs="Arial"/>
                <w:sz w:val="20"/>
                <w:szCs w:val="20"/>
              </w:rPr>
            </w:pPr>
            <w:r w:rsidRPr="008E6588">
              <w:rPr>
                <w:rFonts w:ascii="Arial Narrow" w:hAnsi="Arial Narrow" w:cs="Arial"/>
                <w:b/>
                <w:sz w:val="20"/>
                <w:szCs w:val="20"/>
              </w:rPr>
              <w:t>Administrative Advice</w:t>
            </w:r>
            <w:r w:rsidRPr="008E6588">
              <w:rPr>
                <w:rFonts w:ascii="Arial Narrow" w:hAnsi="Arial Narrow" w:cs="Arial"/>
                <w:sz w:val="20"/>
                <w:szCs w:val="20"/>
              </w:rPr>
              <w:t>: 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B5146E" w:rsidRPr="008E6588" w14:paraId="39AAEF1E" w14:textId="77777777" w:rsidTr="00B174FD">
        <w:tblPrEx>
          <w:tblCellMar>
            <w:top w:w="15" w:type="dxa"/>
            <w:bottom w:w="15" w:type="dxa"/>
          </w:tblCellMar>
        </w:tblPrEx>
        <w:trPr>
          <w:trHeight w:val="20"/>
        </w:trPr>
        <w:tc>
          <w:tcPr>
            <w:tcW w:w="303" w:type="pct"/>
            <w:vMerge/>
            <w:tcBorders>
              <w:left w:val="single" w:sz="4" w:space="0" w:color="auto"/>
              <w:right w:val="single" w:sz="4" w:space="0" w:color="auto"/>
            </w:tcBorders>
          </w:tcPr>
          <w:p w14:paraId="36635AEB" w14:textId="77777777" w:rsidR="00B5146E" w:rsidRPr="008E6588" w:rsidRDefault="00B5146E" w:rsidP="00836DB5">
            <w:pPr>
              <w:jc w:val="left"/>
              <w:rPr>
                <w:rFonts w:ascii="Arial Narrow" w:hAnsi="Arial Narrow" w:cs="Arial"/>
                <w:sz w:val="20"/>
                <w:szCs w:val="20"/>
              </w:rPr>
            </w:pPr>
          </w:p>
        </w:tc>
        <w:tc>
          <w:tcPr>
            <w:tcW w:w="386" w:type="pct"/>
            <w:tcBorders>
              <w:left w:val="single" w:sz="4" w:space="0" w:color="auto"/>
              <w:right w:val="single" w:sz="4" w:space="0" w:color="auto"/>
            </w:tcBorders>
          </w:tcPr>
          <w:p w14:paraId="1CA3C144" w14:textId="750E5379" w:rsidR="00B5146E" w:rsidRPr="008E6588" w:rsidRDefault="00B5146E" w:rsidP="00836DB5">
            <w:pPr>
              <w:jc w:val="left"/>
              <w:rPr>
                <w:rFonts w:ascii="Arial Narrow" w:hAnsi="Arial Narrow" w:cs="Arial"/>
                <w:sz w:val="20"/>
                <w:szCs w:val="20"/>
              </w:rPr>
            </w:pPr>
          </w:p>
        </w:tc>
        <w:tc>
          <w:tcPr>
            <w:tcW w:w="4311" w:type="pct"/>
            <w:gridSpan w:val="6"/>
            <w:tcBorders>
              <w:top w:val="single" w:sz="4" w:space="0" w:color="auto"/>
              <w:left w:val="single" w:sz="4" w:space="0" w:color="auto"/>
              <w:bottom w:val="single" w:sz="4" w:space="0" w:color="auto"/>
              <w:right w:val="single" w:sz="4" w:space="0" w:color="auto"/>
            </w:tcBorders>
          </w:tcPr>
          <w:p w14:paraId="513A03A7" w14:textId="071A4702" w:rsidR="00B5146E" w:rsidRPr="008E6588" w:rsidRDefault="00B5146E" w:rsidP="00836DB5">
            <w:pPr>
              <w:jc w:val="left"/>
              <w:rPr>
                <w:rFonts w:ascii="Arial Narrow" w:hAnsi="Arial Narrow"/>
                <w:sz w:val="20"/>
                <w:szCs w:val="20"/>
              </w:rPr>
            </w:pPr>
            <w:r w:rsidRPr="008E6588">
              <w:rPr>
                <w:rFonts w:ascii="Arial Narrow" w:hAnsi="Arial Narrow"/>
                <w:b/>
                <w:bCs/>
                <w:sz w:val="20"/>
                <w:szCs w:val="20"/>
              </w:rPr>
              <w:t>Administrative Advice</w:t>
            </w:r>
            <w:r w:rsidR="00491A2F" w:rsidRPr="008E6588">
              <w:rPr>
                <w:rFonts w:ascii="Arial Narrow" w:hAnsi="Arial Narrow"/>
                <w:b/>
                <w:bCs/>
                <w:sz w:val="20"/>
                <w:szCs w:val="20"/>
              </w:rPr>
              <w:t xml:space="preserve">: </w:t>
            </w:r>
            <w:r w:rsidR="00491A2F" w:rsidRPr="008E6588">
              <w:rPr>
                <w:rFonts w:ascii="Arial Narrow" w:hAnsi="Arial Narrow"/>
                <w:iCs/>
                <w:sz w:val="20"/>
                <w:szCs w:val="20"/>
              </w:rPr>
              <w:t xml:space="preserve">Pharmaceutical benefits that have the form omalizumab </w:t>
            </w:r>
            <w:r w:rsidR="00491A2F" w:rsidRPr="008E6588">
              <w:rPr>
                <w:rFonts w:ascii="Arial Narrow" w:hAnsi="Arial Narrow" w:cs="Arial"/>
                <w:iCs/>
                <w:sz w:val="20"/>
                <w:szCs w:val="20"/>
              </w:rPr>
              <w:t xml:space="preserve">300 mg/2 mL </w:t>
            </w:r>
            <w:r w:rsidR="00491A2F" w:rsidRPr="008E6588">
              <w:rPr>
                <w:rFonts w:ascii="Arial Narrow" w:hAnsi="Arial Narrow"/>
                <w:iCs/>
                <w:sz w:val="20"/>
                <w:szCs w:val="20"/>
              </w:rPr>
              <w:t xml:space="preserve">syringes and pharmaceutical benefits that have the form omalizumab </w:t>
            </w:r>
            <w:r w:rsidR="00491A2F" w:rsidRPr="008E6588">
              <w:rPr>
                <w:rFonts w:ascii="Arial Narrow" w:hAnsi="Arial Narrow" w:cs="Arial"/>
                <w:iCs/>
                <w:sz w:val="20"/>
                <w:szCs w:val="20"/>
              </w:rPr>
              <w:t xml:space="preserve">300 mg/2 mL </w:t>
            </w:r>
            <w:r w:rsidR="00491A2F" w:rsidRPr="008E6588">
              <w:rPr>
                <w:rFonts w:ascii="Arial Narrow" w:hAnsi="Arial Narrow"/>
                <w:iCs/>
                <w:sz w:val="20"/>
                <w:szCs w:val="20"/>
              </w:rPr>
              <w:t>pen devices are equivalent for the purposes of substitution.</w:t>
            </w:r>
          </w:p>
        </w:tc>
      </w:tr>
      <w:tr w:rsidR="00B5146E" w:rsidRPr="008E6588" w14:paraId="4AFB8831" w14:textId="77777777" w:rsidTr="00836DB5">
        <w:tblPrEx>
          <w:tblCellMar>
            <w:top w:w="15" w:type="dxa"/>
            <w:bottom w:w="15" w:type="dxa"/>
          </w:tblCellMar>
          <w:tblLook w:val="04A0" w:firstRow="1" w:lastRow="0" w:firstColumn="1" w:lastColumn="0" w:noHBand="0" w:noVBand="1"/>
        </w:tblPrEx>
        <w:trPr>
          <w:trHeight w:val="20"/>
        </w:trPr>
        <w:tc>
          <w:tcPr>
            <w:tcW w:w="5000" w:type="pct"/>
            <w:gridSpan w:val="8"/>
            <w:vAlign w:val="center"/>
          </w:tcPr>
          <w:p w14:paraId="6DA41661" w14:textId="77777777" w:rsidR="00B5146E" w:rsidRPr="008E6588" w:rsidRDefault="00B5146E" w:rsidP="00836DB5">
            <w:pPr>
              <w:rPr>
                <w:rFonts w:ascii="Arial Narrow" w:hAnsi="Arial Narrow"/>
                <w:sz w:val="20"/>
                <w:szCs w:val="20"/>
              </w:rPr>
            </w:pPr>
          </w:p>
        </w:tc>
      </w:tr>
      <w:tr w:rsidR="00B5146E" w:rsidRPr="008E6588" w14:paraId="7962545F" w14:textId="77777777" w:rsidTr="00836DB5">
        <w:tblPrEx>
          <w:tblCellMar>
            <w:top w:w="15" w:type="dxa"/>
            <w:bottom w:w="15" w:type="dxa"/>
          </w:tblCellMar>
          <w:tblLook w:val="04A0" w:firstRow="1" w:lastRow="0" w:firstColumn="1" w:lastColumn="0" w:noHBand="0" w:noVBand="1"/>
        </w:tblPrEx>
        <w:trPr>
          <w:trHeight w:val="20"/>
        </w:trPr>
        <w:tc>
          <w:tcPr>
            <w:tcW w:w="5000" w:type="pct"/>
            <w:gridSpan w:val="8"/>
            <w:vAlign w:val="center"/>
          </w:tcPr>
          <w:p w14:paraId="2EA48A81" w14:textId="77777777" w:rsidR="00B5146E" w:rsidRPr="008E6588" w:rsidRDefault="00B5146E" w:rsidP="00836DB5">
            <w:pPr>
              <w:rPr>
                <w:rFonts w:ascii="Arial Narrow" w:hAnsi="Arial Narrow"/>
                <w:b/>
                <w:bCs/>
                <w:sz w:val="20"/>
                <w:szCs w:val="20"/>
              </w:rPr>
            </w:pPr>
            <w:r w:rsidRPr="008E6588">
              <w:rPr>
                <w:rFonts w:ascii="Arial Narrow" w:hAnsi="Arial Narrow"/>
                <w:b/>
                <w:bCs/>
                <w:sz w:val="20"/>
                <w:szCs w:val="20"/>
              </w:rPr>
              <w:t>Restriction Summary 15379 / Treatment of Concept: 15347: Authority Required</w:t>
            </w:r>
          </w:p>
        </w:tc>
      </w:tr>
      <w:tr w:rsidR="00B5146E" w:rsidRPr="008E6588" w14:paraId="1A1FA8ED" w14:textId="77777777" w:rsidTr="00B923E6">
        <w:tblPrEx>
          <w:tblCellMar>
            <w:top w:w="15" w:type="dxa"/>
            <w:bottom w:w="15" w:type="dxa"/>
          </w:tblCellMar>
        </w:tblPrEx>
        <w:trPr>
          <w:cantSplit/>
          <w:trHeight w:val="20"/>
        </w:trPr>
        <w:tc>
          <w:tcPr>
            <w:tcW w:w="689" w:type="pct"/>
            <w:gridSpan w:val="2"/>
            <w:vAlign w:val="center"/>
          </w:tcPr>
          <w:p w14:paraId="4C4BB4BA" w14:textId="41A53587" w:rsidR="00B5146E" w:rsidRPr="008E6588" w:rsidRDefault="00B5146E" w:rsidP="00836DB5">
            <w:pPr>
              <w:keepLines/>
              <w:jc w:val="center"/>
              <w:rPr>
                <w:rFonts w:ascii="Arial Narrow" w:hAnsi="Arial Narrow"/>
                <w:sz w:val="20"/>
                <w:szCs w:val="20"/>
              </w:rPr>
            </w:pPr>
          </w:p>
        </w:tc>
        <w:tc>
          <w:tcPr>
            <w:tcW w:w="4311" w:type="pct"/>
            <w:gridSpan w:val="6"/>
            <w:vAlign w:val="center"/>
            <w:hideMark/>
          </w:tcPr>
          <w:p w14:paraId="0F6112EC" w14:textId="77777777" w:rsidR="00B5146E" w:rsidRPr="008E6588" w:rsidRDefault="00B5146E" w:rsidP="00836DB5">
            <w:pPr>
              <w:keepLines/>
              <w:rPr>
                <w:rFonts w:ascii="Arial Narrow" w:hAnsi="Arial Narrow"/>
                <w:color w:val="333333"/>
                <w:sz w:val="20"/>
                <w:szCs w:val="20"/>
              </w:rPr>
            </w:pPr>
            <w:r w:rsidRPr="008E6588">
              <w:rPr>
                <w:rFonts w:ascii="Arial Narrow" w:hAnsi="Arial Narrow"/>
                <w:b/>
                <w:bCs/>
                <w:sz w:val="20"/>
                <w:szCs w:val="20"/>
              </w:rPr>
              <w:t>Indication:</w:t>
            </w:r>
            <w:r w:rsidRPr="008E6588">
              <w:rPr>
                <w:rFonts w:ascii="Arial Narrow" w:hAnsi="Arial Narrow"/>
                <w:sz w:val="20"/>
                <w:szCs w:val="20"/>
              </w:rPr>
              <w:t xml:space="preserve"> Uncontrolled severe asthma</w:t>
            </w:r>
          </w:p>
        </w:tc>
      </w:tr>
      <w:tr w:rsidR="00B5146E" w:rsidRPr="008E6588" w14:paraId="5B1CC8C2" w14:textId="77777777" w:rsidTr="00B923E6">
        <w:tblPrEx>
          <w:tblCellMar>
            <w:top w:w="15" w:type="dxa"/>
            <w:bottom w:w="15" w:type="dxa"/>
          </w:tblCellMar>
        </w:tblPrEx>
        <w:trPr>
          <w:cantSplit/>
          <w:trHeight w:val="20"/>
        </w:trPr>
        <w:tc>
          <w:tcPr>
            <w:tcW w:w="689" w:type="pct"/>
            <w:gridSpan w:val="2"/>
            <w:vAlign w:val="center"/>
          </w:tcPr>
          <w:p w14:paraId="4BA0409F" w14:textId="77777777" w:rsidR="00B5146E" w:rsidRPr="008E6588" w:rsidRDefault="00B5146E" w:rsidP="00836DB5">
            <w:pPr>
              <w:jc w:val="center"/>
              <w:rPr>
                <w:rFonts w:ascii="Arial Narrow" w:hAnsi="Arial Narrow"/>
                <w:sz w:val="20"/>
                <w:szCs w:val="20"/>
              </w:rPr>
            </w:pPr>
          </w:p>
        </w:tc>
        <w:tc>
          <w:tcPr>
            <w:tcW w:w="4311" w:type="pct"/>
            <w:gridSpan w:val="6"/>
            <w:vAlign w:val="center"/>
            <w:hideMark/>
          </w:tcPr>
          <w:p w14:paraId="5DDBFA43" w14:textId="77777777" w:rsidR="00B5146E" w:rsidRPr="008E6588" w:rsidRDefault="00B5146E" w:rsidP="00836DB5">
            <w:pPr>
              <w:rPr>
                <w:rFonts w:ascii="Arial Narrow" w:hAnsi="Arial Narrow"/>
                <w:sz w:val="20"/>
                <w:szCs w:val="20"/>
              </w:rPr>
            </w:pPr>
            <w:r w:rsidRPr="008E6588">
              <w:rPr>
                <w:rFonts w:ascii="Arial Narrow" w:hAnsi="Arial Narrow"/>
                <w:b/>
                <w:bCs/>
                <w:sz w:val="20"/>
                <w:szCs w:val="20"/>
              </w:rPr>
              <w:t>Treatment Phase:</w:t>
            </w:r>
            <w:r w:rsidRPr="008E6588">
              <w:rPr>
                <w:rFonts w:ascii="Arial Narrow" w:hAnsi="Arial Narrow"/>
                <w:sz w:val="20"/>
                <w:szCs w:val="20"/>
              </w:rPr>
              <w:t xml:space="preserve"> Continuing treatment</w:t>
            </w:r>
            <w:r w:rsidRPr="008E6588">
              <w:rPr>
                <w:rFonts w:ascii="Arial Narrow" w:hAnsi="Arial Narrow" w:cs="Open Sans"/>
                <w:color w:val="333333"/>
                <w:sz w:val="20"/>
                <w:szCs w:val="20"/>
                <w:shd w:val="clear" w:color="auto" w:fill="FFFFFF"/>
              </w:rPr>
              <w:t xml:space="preserve"> </w:t>
            </w:r>
          </w:p>
        </w:tc>
      </w:tr>
      <w:tr w:rsidR="00B5146E" w:rsidRPr="008E6588" w14:paraId="0DE86CDD" w14:textId="77777777" w:rsidTr="00B174FD">
        <w:tblPrEx>
          <w:tblCellMar>
            <w:top w:w="15" w:type="dxa"/>
            <w:bottom w:w="15" w:type="dxa"/>
          </w:tblCellMar>
          <w:tblLook w:val="04A0" w:firstRow="1" w:lastRow="0" w:firstColumn="1" w:lastColumn="0" w:noHBand="0" w:noVBand="1"/>
        </w:tblPrEx>
        <w:trPr>
          <w:cantSplit/>
          <w:trHeight w:val="20"/>
        </w:trPr>
        <w:tc>
          <w:tcPr>
            <w:tcW w:w="6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EB44F" w14:textId="7A035D85" w:rsidR="00B5146E" w:rsidRPr="008E6588" w:rsidRDefault="00B5146E" w:rsidP="00836DB5">
            <w:pPr>
              <w:jc w:val="center"/>
              <w:rPr>
                <w:rFonts w:ascii="Arial Narrow" w:hAnsi="Arial Narrow"/>
                <w:sz w:val="20"/>
                <w:szCs w:val="20"/>
              </w:rPr>
            </w:pPr>
          </w:p>
        </w:tc>
        <w:tc>
          <w:tcPr>
            <w:tcW w:w="43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6821E0" w14:textId="77777777" w:rsidR="00B5146E" w:rsidRPr="008E6588" w:rsidRDefault="00B5146E" w:rsidP="00836DB5">
            <w:pPr>
              <w:rPr>
                <w:rFonts w:ascii="Arial Narrow" w:hAnsi="Arial Narrow"/>
                <w:b/>
                <w:bCs/>
                <w:sz w:val="20"/>
                <w:szCs w:val="20"/>
              </w:rPr>
            </w:pPr>
            <w:r w:rsidRPr="008E6588">
              <w:rPr>
                <w:rFonts w:ascii="Arial Narrow" w:hAnsi="Arial Narrow"/>
                <w:b/>
                <w:bCs/>
                <w:sz w:val="20"/>
                <w:szCs w:val="20"/>
              </w:rPr>
              <w:t>Treatment criteria:</w:t>
            </w:r>
          </w:p>
        </w:tc>
      </w:tr>
      <w:tr w:rsidR="00B5146E" w:rsidRPr="008E6588" w14:paraId="72F2A93E" w14:textId="77777777" w:rsidTr="00B174FD">
        <w:tblPrEx>
          <w:tblCellMar>
            <w:top w:w="15" w:type="dxa"/>
            <w:bottom w:w="15" w:type="dxa"/>
          </w:tblCellMar>
          <w:tblLook w:val="04A0" w:firstRow="1" w:lastRow="0" w:firstColumn="1" w:lastColumn="0" w:noHBand="0" w:noVBand="1"/>
        </w:tblPrEx>
        <w:trPr>
          <w:cantSplit/>
          <w:trHeight w:val="20"/>
        </w:trPr>
        <w:tc>
          <w:tcPr>
            <w:tcW w:w="6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50FA3" w14:textId="6E27C394" w:rsidR="00B5146E" w:rsidRPr="008E6588" w:rsidRDefault="00B5146E" w:rsidP="00836DB5">
            <w:pPr>
              <w:jc w:val="center"/>
              <w:rPr>
                <w:rFonts w:ascii="Arial Narrow" w:hAnsi="Arial Narrow"/>
                <w:sz w:val="20"/>
                <w:szCs w:val="20"/>
              </w:rPr>
            </w:pPr>
          </w:p>
        </w:tc>
        <w:tc>
          <w:tcPr>
            <w:tcW w:w="43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55A047" w14:textId="77777777" w:rsidR="00B5146E" w:rsidRPr="008E6588" w:rsidRDefault="00B5146E" w:rsidP="00836DB5">
            <w:pPr>
              <w:rPr>
                <w:rFonts w:ascii="Arial Narrow" w:hAnsi="Arial Narrow"/>
                <w:sz w:val="20"/>
                <w:szCs w:val="20"/>
              </w:rPr>
            </w:pPr>
            <w:r w:rsidRPr="008E6588">
              <w:rPr>
                <w:rFonts w:ascii="Arial Narrow" w:hAnsi="Arial Narrow"/>
                <w:sz w:val="20"/>
                <w:szCs w:val="20"/>
              </w:rPr>
              <w:t>Must be treated by a medical practitioner who is either a: (</w:t>
            </w:r>
            <w:proofErr w:type="spellStart"/>
            <w:r w:rsidRPr="008E6588">
              <w:rPr>
                <w:rFonts w:ascii="Arial Narrow" w:hAnsi="Arial Narrow"/>
                <w:sz w:val="20"/>
                <w:szCs w:val="20"/>
              </w:rPr>
              <w:t>i</w:t>
            </w:r>
            <w:proofErr w:type="spellEnd"/>
            <w:r w:rsidRPr="008E6588">
              <w:rPr>
                <w:rFonts w:ascii="Arial Narrow" w:hAnsi="Arial Narrow"/>
                <w:sz w:val="20"/>
                <w:szCs w:val="20"/>
              </w:rPr>
              <w:t>) respiratory physician, (ii) clinical immunologist, (iii) allergist, (iv) general physician experienced in the management of patients with severe asthma</w:t>
            </w:r>
          </w:p>
        </w:tc>
      </w:tr>
      <w:tr w:rsidR="00B5146E" w:rsidRPr="008E6588" w14:paraId="23CE4F11" w14:textId="77777777" w:rsidTr="00B174FD">
        <w:tblPrEx>
          <w:tblCellMar>
            <w:top w:w="15" w:type="dxa"/>
            <w:bottom w:w="15" w:type="dxa"/>
          </w:tblCellMar>
          <w:tblLook w:val="04A0" w:firstRow="1" w:lastRow="0" w:firstColumn="1" w:lastColumn="0" w:noHBand="0" w:noVBand="1"/>
        </w:tblPrEx>
        <w:trPr>
          <w:cantSplit/>
          <w:trHeight w:val="20"/>
        </w:trPr>
        <w:tc>
          <w:tcPr>
            <w:tcW w:w="6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3AD7A" w14:textId="0687062C" w:rsidR="00B5146E" w:rsidRPr="008E6588" w:rsidRDefault="00B5146E" w:rsidP="00836DB5">
            <w:pPr>
              <w:jc w:val="center"/>
              <w:rPr>
                <w:rFonts w:ascii="Arial Narrow" w:hAnsi="Arial Narrow"/>
                <w:sz w:val="20"/>
                <w:szCs w:val="20"/>
              </w:rPr>
            </w:pPr>
          </w:p>
        </w:tc>
        <w:tc>
          <w:tcPr>
            <w:tcW w:w="43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330832" w14:textId="77777777" w:rsidR="00B5146E" w:rsidRPr="008E6588" w:rsidRDefault="00B5146E" w:rsidP="00836DB5">
            <w:pPr>
              <w:rPr>
                <w:rFonts w:ascii="Arial Narrow" w:hAnsi="Arial Narrow"/>
                <w:b/>
                <w:bCs/>
                <w:sz w:val="20"/>
                <w:szCs w:val="20"/>
              </w:rPr>
            </w:pPr>
            <w:r w:rsidRPr="008E6588">
              <w:rPr>
                <w:rFonts w:ascii="Arial Narrow" w:hAnsi="Arial Narrow"/>
                <w:b/>
                <w:bCs/>
                <w:sz w:val="20"/>
                <w:szCs w:val="20"/>
              </w:rPr>
              <w:t>Clinical criteria:</w:t>
            </w:r>
          </w:p>
        </w:tc>
      </w:tr>
      <w:tr w:rsidR="00B5146E" w:rsidRPr="008E6588" w14:paraId="0EF33C61" w14:textId="77777777" w:rsidTr="00B174FD">
        <w:tblPrEx>
          <w:tblCellMar>
            <w:top w:w="15" w:type="dxa"/>
            <w:bottom w:w="15" w:type="dxa"/>
          </w:tblCellMar>
          <w:tblLook w:val="04A0" w:firstRow="1" w:lastRow="0" w:firstColumn="1" w:lastColumn="0" w:noHBand="0" w:noVBand="1"/>
        </w:tblPrEx>
        <w:trPr>
          <w:cantSplit/>
          <w:trHeight w:val="20"/>
        </w:trPr>
        <w:tc>
          <w:tcPr>
            <w:tcW w:w="6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BFE0B" w14:textId="05046DC6" w:rsidR="00B5146E" w:rsidRPr="008E6588" w:rsidRDefault="00B5146E" w:rsidP="00836DB5">
            <w:pPr>
              <w:jc w:val="center"/>
              <w:rPr>
                <w:rFonts w:ascii="Arial Narrow" w:hAnsi="Arial Narrow"/>
                <w:sz w:val="20"/>
                <w:szCs w:val="20"/>
              </w:rPr>
            </w:pPr>
          </w:p>
        </w:tc>
        <w:tc>
          <w:tcPr>
            <w:tcW w:w="43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0DAEAF" w14:textId="77777777" w:rsidR="00B5146E" w:rsidRPr="008E6588" w:rsidRDefault="00B5146E" w:rsidP="00836DB5">
            <w:pPr>
              <w:rPr>
                <w:rFonts w:ascii="Arial Narrow" w:hAnsi="Arial Narrow"/>
                <w:sz w:val="20"/>
                <w:szCs w:val="20"/>
              </w:rPr>
            </w:pPr>
            <w:r w:rsidRPr="008E6588">
              <w:rPr>
                <w:rFonts w:ascii="Arial Narrow" w:hAnsi="Arial Narrow"/>
                <w:sz w:val="20"/>
                <w:szCs w:val="20"/>
              </w:rPr>
              <w:t>Patient must have received this drug as their most recent course of PBS-subsidised biological agent treatment for this condition in this treatment cycle</w:t>
            </w:r>
          </w:p>
        </w:tc>
      </w:tr>
      <w:tr w:rsidR="00B5146E" w:rsidRPr="008E6588" w14:paraId="6EC7F763" w14:textId="77777777" w:rsidTr="00B174FD">
        <w:tblPrEx>
          <w:tblCellMar>
            <w:top w:w="15" w:type="dxa"/>
            <w:bottom w:w="15" w:type="dxa"/>
          </w:tblCellMar>
          <w:tblLook w:val="04A0" w:firstRow="1" w:lastRow="0" w:firstColumn="1" w:lastColumn="0" w:noHBand="0" w:noVBand="1"/>
        </w:tblPrEx>
        <w:trPr>
          <w:cantSplit/>
          <w:trHeight w:val="20"/>
        </w:trPr>
        <w:tc>
          <w:tcPr>
            <w:tcW w:w="6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00FAF" w14:textId="77777777" w:rsidR="00B5146E" w:rsidRPr="008E6588" w:rsidRDefault="00B5146E" w:rsidP="00836DB5">
            <w:pPr>
              <w:jc w:val="center"/>
              <w:rPr>
                <w:rFonts w:ascii="Arial Narrow" w:hAnsi="Arial Narrow"/>
                <w:sz w:val="20"/>
                <w:szCs w:val="20"/>
              </w:rPr>
            </w:pPr>
          </w:p>
        </w:tc>
        <w:tc>
          <w:tcPr>
            <w:tcW w:w="43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467A21" w14:textId="77777777" w:rsidR="00B5146E" w:rsidRPr="008E6588" w:rsidRDefault="00B5146E" w:rsidP="00836DB5">
            <w:pPr>
              <w:rPr>
                <w:rFonts w:ascii="Arial Narrow" w:hAnsi="Arial Narrow"/>
                <w:b/>
                <w:bCs/>
                <w:sz w:val="20"/>
                <w:szCs w:val="20"/>
              </w:rPr>
            </w:pPr>
            <w:r w:rsidRPr="008E6588">
              <w:rPr>
                <w:rFonts w:ascii="Arial Narrow" w:hAnsi="Arial Narrow"/>
                <w:b/>
                <w:bCs/>
                <w:sz w:val="20"/>
                <w:szCs w:val="20"/>
              </w:rPr>
              <w:t>AND</w:t>
            </w:r>
          </w:p>
        </w:tc>
      </w:tr>
      <w:tr w:rsidR="00B5146E" w:rsidRPr="008E6588" w14:paraId="41359898" w14:textId="77777777" w:rsidTr="00B174FD">
        <w:tblPrEx>
          <w:tblCellMar>
            <w:top w:w="15" w:type="dxa"/>
            <w:bottom w:w="15" w:type="dxa"/>
          </w:tblCellMar>
          <w:tblLook w:val="04A0" w:firstRow="1" w:lastRow="0" w:firstColumn="1" w:lastColumn="0" w:noHBand="0" w:noVBand="1"/>
        </w:tblPrEx>
        <w:trPr>
          <w:cantSplit/>
          <w:trHeight w:val="20"/>
        </w:trPr>
        <w:tc>
          <w:tcPr>
            <w:tcW w:w="6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A8209" w14:textId="15F409B7" w:rsidR="00B5146E" w:rsidRPr="008E6588" w:rsidRDefault="00B5146E" w:rsidP="00836DB5">
            <w:pPr>
              <w:jc w:val="center"/>
              <w:rPr>
                <w:rFonts w:ascii="Arial Narrow" w:hAnsi="Arial Narrow"/>
                <w:sz w:val="20"/>
                <w:szCs w:val="20"/>
              </w:rPr>
            </w:pPr>
          </w:p>
        </w:tc>
        <w:tc>
          <w:tcPr>
            <w:tcW w:w="43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0B4A7D" w14:textId="77777777" w:rsidR="00B5146E" w:rsidRPr="008E6588" w:rsidRDefault="00B5146E" w:rsidP="00836DB5">
            <w:pPr>
              <w:rPr>
                <w:rFonts w:ascii="Arial Narrow" w:hAnsi="Arial Narrow"/>
                <w:b/>
                <w:bCs/>
                <w:sz w:val="20"/>
                <w:szCs w:val="20"/>
              </w:rPr>
            </w:pPr>
            <w:r w:rsidRPr="008E6588">
              <w:rPr>
                <w:rFonts w:ascii="Arial Narrow" w:hAnsi="Arial Narrow"/>
                <w:b/>
                <w:bCs/>
                <w:sz w:val="20"/>
                <w:szCs w:val="20"/>
              </w:rPr>
              <w:t>Clinical criteria:</w:t>
            </w:r>
          </w:p>
        </w:tc>
      </w:tr>
      <w:tr w:rsidR="00B5146E" w:rsidRPr="008E6588" w14:paraId="66C9FA14" w14:textId="77777777" w:rsidTr="00B174FD">
        <w:tblPrEx>
          <w:tblCellMar>
            <w:top w:w="15" w:type="dxa"/>
            <w:bottom w:w="15" w:type="dxa"/>
          </w:tblCellMar>
          <w:tblLook w:val="04A0" w:firstRow="1" w:lastRow="0" w:firstColumn="1" w:lastColumn="0" w:noHBand="0" w:noVBand="1"/>
        </w:tblPrEx>
        <w:trPr>
          <w:cantSplit/>
          <w:trHeight w:val="20"/>
        </w:trPr>
        <w:tc>
          <w:tcPr>
            <w:tcW w:w="6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BCA5F" w14:textId="4E258194" w:rsidR="00B5146E" w:rsidRPr="008E6588" w:rsidRDefault="00B5146E" w:rsidP="00836DB5">
            <w:pPr>
              <w:jc w:val="center"/>
              <w:rPr>
                <w:rFonts w:ascii="Arial Narrow" w:hAnsi="Arial Narrow"/>
                <w:sz w:val="20"/>
                <w:szCs w:val="20"/>
              </w:rPr>
            </w:pPr>
          </w:p>
        </w:tc>
        <w:tc>
          <w:tcPr>
            <w:tcW w:w="43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FF7F77" w14:textId="77777777" w:rsidR="00B5146E" w:rsidRPr="008E6588" w:rsidRDefault="00B5146E" w:rsidP="00836DB5">
            <w:pPr>
              <w:rPr>
                <w:rFonts w:ascii="Arial Narrow" w:hAnsi="Arial Narrow"/>
                <w:sz w:val="20"/>
                <w:szCs w:val="20"/>
              </w:rPr>
            </w:pPr>
            <w:r w:rsidRPr="008E6588">
              <w:rPr>
                <w:rFonts w:ascii="Arial Narrow" w:hAnsi="Arial Narrow"/>
                <w:sz w:val="20"/>
                <w:szCs w:val="20"/>
              </w:rPr>
              <w:t>Patient must have demonstrated or sustained an adequate response to PBS-subsidised treatment with this drug for this condition</w:t>
            </w:r>
          </w:p>
        </w:tc>
      </w:tr>
      <w:tr w:rsidR="00B5146E" w:rsidRPr="008E6588" w14:paraId="50881C1E" w14:textId="77777777" w:rsidTr="00B174FD">
        <w:tblPrEx>
          <w:tblCellMar>
            <w:top w:w="15" w:type="dxa"/>
            <w:bottom w:w="15" w:type="dxa"/>
          </w:tblCellMar>
          <w:tblLook w:val="04A0" w:firstRow="1" w:lastRow="0" w:firstColumn="1" w:lastColumn="0" w:noHBand="0" w:noVBand="1"/>
        </w:tblPrEx>
        <w:trPr>
          <w:cantSplit/>
          <w:trHeight w:val="20"/>
        </w:trPr>
        <w:tc>
          <w:tcPr>
            <w:tcW w:w="6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BC939" w14:textId="77777777" w:rsidR="00B5146E" w:rsidRPr="008E6588" w:rsidRDefault="00B5146E" w:rsidP="00836DB5">
            <w:pPr>
              <w:jc w:val="center"/>
              <w:rPr>
                <w:rFonts w:ascii="Arial Narrow" w:hAnsi="Arial Narrow"/>
                <w:sz w:val="20"/>
                <w:szCs w:val="20"/>
              </w:rPr>
            </w:pPr>
          </w:p>
        </w:tc>
        <w:tc>
          <w:tcPr>
            <w:tcW w:w="43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B3887E" w14:textId="77777777" w:rsidR="00B5146E" w:rsidRPr="008E6588" w:rsidRDefault="00B5146E" w:rsidP="00836DB5">
            <w:pPr>
              <w:rPr>
                <w:rFonts w:ascii="Arial Narrow" w:hAnsi="Arial Narrow"/>
                <w:b/>
                <w:bCs/>
                <w:sz w:val="20"/>
                <w:szCs w:val="20"/>
              </w:rPr>
            </w:pPr>
            <w:r w:rsidRPr="008E6588">
              <w:rPr>
                <w:rFonts w:ascii="Arial Narrow" w:hAnsi="Arial Narrow"/>
                <w:b/>
                <w:bCs/>
                <w:sz w:val="20"/>
                <w:szCs w:val="20"/>
              </w:rPr>
              <w:t>AND</w:t>
            </w:r>
          </w:p>
        </w:tc>
      </w:tr>
      <w:tr w:rsidR="00B5146E" w:rsidRPr="008E6588" w14:paraId="31404164" w14:textId="77777777" w:rsidTr="00B174FD">
        <w:tblPrEx>
          <w:tblCellMar>
            <w:top w:w="15" w:type="dxa"/>
            <w:bottom w:w="15" w:type="dxa"/>
          </w:tblCellMar>
          <w:tblLook w:val="04A0" w:firstRow="1" w:lastRow="0" w:firstColumn="1" w:lastColumn="0" w:noHBand="0" w:noVBand="1"/>
        </w:tblPrEx>
        <w:trPr>
          <w:cantSplit/>
          <w:trHeight w:val="20"/>
        </w:trPr>
        <w:tc>
          <w:tcPr>
            <w:tcW w:w="6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B9CA5" w14:textId="0FE8EB47" w:rsidR="00B5146E" w:rsidRPr="008E6588" w:rsidRDefault="00B5146E" w:rsidP="00836DB5">
            <w:pPr>
              <w:jc w:val="center"/>
              <w:rPr>
                <w:rFonts w:ascii="Arial Narrow" w:hAnsi="Arial Narrow"/>
                <w:sz w:val="20"/>
                <w:szCs w:val="20"/>
              </w:rPr>
            </w:pPr>
          </w:p>
        </w:tc>
        <w:tc>
          <w:tcPr>
            <w:tcW w:w="43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A50F14" w14:textId="77777777" w:rsidR="00B5146E" w:rsidRPr="008E6588" w:rsidRDefault="00B5146E" w:rsidP="00836DB5">
            <w:pPr>
              <w:rPr>
                <w:rFonts w:ascii="Arial Narrow" w:hAnsi="Arial Narrow"/>
                <w:b/>
                <w:bCs/>
                <w:sz w:val="20"/>
                <w:szCs w:val="20"/>
              </w:rPr>
            </w:pPr>
            <w:r w:rsidRPr="008E6588">
              <w:rPr>
                <w:rFonts w:ascii="Arial Narrow" w:hAnsi="Arial Narrow"/>
                <w:b/>
                <w:bCs/>
                <w:sz w:val="20"/>
                <w:szCs w:val="20"/>
              </w:rPr>
              <w:t>Clinical criteria:</w:t>
            </w:r>
          </w:p>
        </w:tc>
      </w:tr>
      <w:tr w:rsidR="00B5146E" w:rsidRPr="008E6588" w14:paraId="2E840322" w14:textId="77777777" w:rsidTr="00B174FD">
        <w:tblPrEx>
          <w:tblCellMar>
            <w:top w:w="15" w:type="dxa"/>
            <w:bottom w:w="15" w:type="dxa"/>
          </w:tblCellMar>
          <w:tblLook w:val="04A0" w:firstRow="1" w:lastRow="0" w:firstColumn="1" w:lastColumn="0" w:noHBand="0" w:noVBand="1"/>
        </w:tblPrEx>
        <w:trPr>
          <w:cantSplit/>
          <w:trHeight w:val="20"/>
        </w:trPr>
        <w:tc>
          <w:tcPr>
            <w:tcW w:w="6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96BFA" w14:textId="7596B478" w:rsidR="00B5146E" w:rsidRPr="008E6588" w:rsidRDefault="00B5146E" w:rsidP="00836DB5">
            <w:pPr>
              <w:jc w:val="center"/>
              <w:rPr>
                <w:rFonts w:ascii="Arial Narrow" w:hAnsi="Arial Narrow"/>
                <w:sz w:val="20"/>
                <w:szCs w:val="20"/>
              </w:rPr>
            </w:pPr>
          </w:p>
        </w:tc>
        <w:tc>
          <w:tcPr>
            <w:tcW w:w="43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5016B6" w14:textId="77777777" w:rsidR="00B5146E" w:rsidRPr="008E6588" w:rsidRDefault="00B5146E" w:rsidP="00836DB5">
            <w:pPr>
              <w:rPr>
                <w:rFonts w:ascii="Arial Narrow" w:hAnsi="Arial Narrow"/>
                <w:sz w:val="20"/>
                <w:szCs w:val="20"/>
              </w:rPr>
            </w:pPr>
            <w:r w:rsidRPr="008E6588">
              <w:rPr>
                <w:rFonts w:ascii="Arial Narrow" w:hAnsi="Arial Narrow"/>
                <w:sz w:val="20"/>
                <w:szCs w:val="20"/>
              </w:rPr>
              <w:t>The treatment must not be used in combination with and within 4 weeks of another PBS-subsidised biological medicine prescribed for severe asthma</w:t>
            </w:r>
          </w:p>
        </w:tc>
      </w:tr>
      <w:tr w:rsidR="00B5146E" w:rsidRPr="008E6588" w14:paraId="066010CC" w14:textId="77777777" w:rsidTr="00B174FD">
        <w:tblPrEx>
          <w:tblCellMar>
            <w:top w:w="15" w:type="dxa"/>
            <w:bottom w:w="15" w:type="dxa"/>
          </w:tblCellMar>
          <w:tblLook w:val="04A0" w:firstRow="1" w:lastRow="0" w:firstColumn="1" w:lastColumn="0" w:noHBand="0" w:noVBand="1"/>
        </w:tblPrEx>
        <w:trPr>
          <w:cantSplit/>
          <w:trHeight w:val="20"/>
        </w:trPr>
        <w:tc>
          <w:tcPr>
            <w:tcW w:w="6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78FFFA" w14:textId="77777777" w:rsidR="00B5146E" w:rsidRPr="008E6588" w:rsidRDefault="00B5146E" w:rsidP="00836DB5">
            <w:pPr>
              <w:jc w:val="center"/>
              <w:rPr>
                <w:rFonts w:ascii="Arial Narrow" w:hAnsi="Arial Narrow"/>
                <w:sz w:val="20"/>
                <w:szCs w:val="20"/>
              </w:rPr>
            </w:pPr>
          </w:p>
        </w:tc>
        <w:tc>
          <w:tcPr>
            <w:tcW w:w="43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00DE61" w14:textId="77777777" w:rsidR="00B5146E" w:rsidRPr="008E6588" w:rsidRDefault="00B5146E" w:rsidP="00836DB5">
            <w:pPr>
              <w:rPr>
                <w:rFonts w:ascii="Arial Narrow" w:hAnsi="Arial Narrow"/>
                <w:b/>
                <w:bCs/>
                <w:sz w:val="20"/>
                <w:szCs w:val="20"/>
              </w:rPr>
            </w:pPr>
            <w:r w:rsidRPr="008E6588">
              <w:rPr>
                <w:rFonts w:ascii="Arial Narrow" w:hAnsi="Arial Narrow"/>
                <w:b/>
                <w:bCs/>
                <w:sz w:val="20"/>
                <w:szCs w:val="20"/>
              </w:rPr>
              <w:t>AND</w:t>
            </w:r>
          </w:p>
        </w:tc>
      </w:tr>
      <w:tr w:rsidR="00B5146E" w:rsidRPr="008E6588" w14:paraId="3C554DE0" w14:textId="77777777" w:rsidTr="00B174FD">
        <w:tblPrEx>
          <w:tblCellMar>
            <w:top w:w="15" w:type="dxa"/>
            <w:bottom w:w="15" w:type="dxa"/>
          </w:tblCellMar>
          <w:tblLook w:val="04A0" w:firstRow="1" w:lastRow="0" w:firstColumn="1" w:lastColumn="0" w:noHBand="0" w:noVBand="1"/>
        </w:tblPrEx>
        <w:trPr>
          <w:cantSplit/>
          <w:trHeight w:val="20"/>
        </w:trPr>
        <w:tc>
          <w:tcPr>
            <w:tcW w:w="6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1289E" w14:textId="319649D8" w:rsidR="00B5146E" w:rsidRPr="008E6588" w:rsidRDefault="00B5146E" w:rsidP="00836DB5">
            <w:pPr>
              <w:jc w:val="center"/>
              <w:rPr>
                <w:rFonts w:ascii="Arial Narrow" w:hAnsi="Arial Narrow"/>
                <w:sz w:val="20"/>
                <w:szCs w:val="20"/>
              </w:rPr>
            </w:pPr>
          </w:p>
        </w:tc>
        <w:tc>
          <w:tcPr>
            <w:tcW w:w="43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300C51" w14:textId="77777777" w:rsidR="00B5146E" w:rsidRPr="008E6588" w:rsidRDefault="00B5146E" w:rsidP="00836DB5">
            <w:pPr>
              <w:rPr>
                <w:rFonts w:ascii="Arial Narrow" w:hAnsi="Arial Narrow"/>
                <w:b/>
                <w:bCs/>
                <w:sz w:val="20"/>
                <w:szCs w:val="20"/>
              </w:rPr>
            </w:pPr>
            <w:r w:rsidRPr="008E6588">
              <w:rPr>
                <w:rFonts w:ascii="Arial Narrow" w:hAnsi="Arial Narrow"/>
                <w:b/>
                <w:bCs/>
                <w:sz w:val="20"/>
                <w:szCs w:val="20"/>
              </w:rPr>
              <w:t>Clinical criteria:</w:t>
            </w:r>
          </w:p>
        </w:tc>
      </w:tr>
      <w:tr w:rsidR="00B5146E" w:rsidRPr="008E6588" w14:paraId="7F517B1B" w14:textId="77777777" w:rsidTr="00B174FD">
        <w:tblPrEx>
          <w:tblCellMar>
            <w:top w:w="15" w:type="dxa"/>
            <w:bottom w:w="15" w:type="dxa"/>
          </w:tblCellMar>
          <w:tblLook w:val="04A0" w:firstRow="1" w:lastRow="0" w:firstColumn="1" w:lastColumn="0" w:noHBand="0" w:noVBand="1"/>
        </w:tblPrEx>
        <w:trPr>
          <w:cantSplit/>
          <w:trHeight w:val="20"/>
        </w:trPr>
        <w:tc>
          <w:tcPr>
            <w:tcW w:w="6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96B09" w14:textId="6D9BACD2" w:rsidR="00B5146E" w:rsidRPr="008E6588" w:rsidRDefault="00B5146E" w:rsidP="00836DB5">
            <w:pPr>
              <w:jc w:val="center"/>
              <w:rPr>
                <w:rFonts w:ascii="Arial Narrow" w:hAnsi="Arial Narrow"/>
                <w:sz w:val="20"/>
                <w:szCs w:val="20"/>
              </w:rPr>
            </w:pPr>
          </w:p>
        </w:tc>
        <w:tc>
          <w:tcPr>
            <w:tcW w:w="43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ABF7E3" w14:textId="77777777" w:rsidR="00B5146E" w:rsidRPr="008E6588" w:rsidRDefault="00B5146E" w:rsidP="00836DB5">
            <w:pPr>
              <w:rPr>
                <w:rFonts w:ascii="Arial Narrow" w:hAnsi="Arial Narrow"/>
                <w:sz w:val="20"/>
                <w:szCs w:val="20"/>
              </w:rPr>
            </w:pPr>
            <w:r w:rsidRPr="008E6588">
              <w:rPr>
                <w:rFonts w:ascii="Arial Narrow" w:hAnsi="Arial Narrow"/>
                <w:sz w:val="20"/>
                <w:szCs w:val="20"/>
              </w:rPr>
              <w:t>Patient must not receive more than 24 weeks of treatment under this restriction</w:t>
            </w:r>
          </w:p>
        </w:tc>
      </w:tr>
      <w:tr w:rsidR="00B5146E" w:rsidRPr="008E6588" w14:paraId="64B4C85A" w14:textId="77777777" w:rsidTr="00B174FD">
        <w:tblPrEx>
          <w:tblCellMar>
            <w:top w:w="15" w:type="dxa"/>
            <w:bottom w:w="15" w:type="dxa"/>
          </w:tblCellMar>
          <w:tblLook w:val="04A0" w:firstRow="1" w:lastRow="0" w:firstColumn="1" w:lastColumn="0" w:noHBand="0" w:noVBand="1"/>
        </w:tblPrEx>
        <w:trPr>
          <w:cantSplit/>
          <w:trHeight w:val="20"/>
        </w:trPr>
        <w:tc>
          <w:tcPr>
            <w:tcW w:w="6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CAB20" w14:textId="0841EDD4" w:rsidR="00B5146E" w:rsidRPr="008E6588" w:rsidRDefault="00B5146E" w:rsidP="00836DB5">
            <w:pPr>
              <w:jc w:val="center"/>
              <w:rPr>
                <w:rFonts w:ascii="Arial Narrow" w:hAnsi="Arial Narrow"/>
                <w:sz w:val="20"/>
                <w:szCs w:val="20"/>
              </w:rPr>
            </w:pPr>
          </w:p>
        </w:tc>
        <w:tc>
          <w:tcPr>
            <w:tcW w:w="43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6DCF41" w14:textId="77777777" w:rsidR="00B5146E" w:rsidRPr="008E6588" w:rsidRDefault="00B5146E" w:rsidP="00836DB5">
            <w:pPr>
              <w:rPr>
                <w:rFonts w:ascii="Arial Narrow" w:hAnsi="Arial Narrow"/>
                <w:b/>
                <w:bCs/>
                <w:sz w:val="20"/>
                <w:szCs w:val="20"/>
              </w:rPr>
            </w:pPr>
            <w:r w:rsidRPr="008E6588">
              <w:rPr>
                <w:rFonts w:ascii="Arial Narrow" w:hAnsi="Arial Narrow"/>
                <w:b/>
                <w:bCs/>
                <w:sz w:val="20"/>
                <w:szCs w:val="20"/>
              </w:rPr>
              <w:t>Population criteria:</w:t>
            </w:r>
          </w:p>
        </w:tc>
      </w:tr>
      <w:tr w:rsidR="00B5146E" w:rsidRPr="008E6588" w14:paraId="7D230A2F" w14:textId="77777777" w:rsidTr="00B174FD">
        <w:tblPrEx>
          <w:tblCellMar>
            <w:top w:w="15" w:type="dxa"/>
            <w:bottom w:w="15" w:type="dxa"/>
          </w:tblCellMar>
          <w:tblLook w:val="04A0" w:firstRow="1" w:lastRow="0" w:firstColumn="1" w:lastColumn="0" w:noHBand="0" w:noVBand="1"/>
        </w:tblPrEx>
        <w:trPr>
          <w:cantSplit/>
          <w:trHeight w:val="20"/>
        </w:trPr>
        <w:tc>
          <w:tcPr>
            <w:tcW w:w="6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71970" w14:textId="644D831A" w:rsidR="00B5146E" w:rsidRPr="008E6588" w:rsidRDefault="00B5146E" w:rsidP="00836DB5">
            <w:pPr>
              <w:jc w:val="center"/>
              <w:rPr>
                <w:rFonts w:ascii="Arial Narrow" w:hAnsi="Arial Narrow"/>
                <w:sz w:val="20"/>
                <w:szCs w:val="20"/>
              </w:rPr>
            </w:pPr>
          </w:p>
        </w:tc>
        <w:tc>
          <w:tcPr>
            <w:tcW w:w="43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179104" w14:textId="77777777" w:rsidR="00B5146E" w:rsidRPr="008E6588" w:rsidRDefault="00B5146E" w:rsidP="00836DB5">
            <w:pPr>
              <w:rPr>
                <w:rFonts w:ascii="Arial Narrow" w:hAnsi="Arial Narrow"/>
                <w:sz w:val="20"/>
                <w:szCs w:val="20"/>
              </w:rPr>
            </w:pPr>
            <w:r w:rsidRPr="008E6588">
              <w:rPr>
                <w:rFonts w:ascii="Arial Narrow" w:hAnsi="Arial Narrow"/>
                <w:sz w:val="20"/>
                <w:szCs w:val="20"/>
              </w:rPr>
              <w:t>Patient must be aged 12 years or older</w:t>
            </w:r>
          </w:p>
        </w:tc>
      </w:tr>
      <w:tr w:rsidR="00B5146E" w:rsidRPr="008E6588" w14:paraId="05D8E54E" w14:textId="77777777" w:rsidTr="00B174FD">
        <w:tblPrEx>
          <w:tblCellMar>
            <w:top w:w="15" w:type="dxa"/>
            <w:bottom w:w="15" w:type="dxa"/>
          </w:tblCellMar>
          <w:tblLook w:val="04A0" w:firstRow="1" w:lastRow="0" w:firstColumn="1" w:lastColumn="0" w:noHBand="0" w:noVBand="1"/>
        </w:tblPrEx>
        <w:trPr>
          <w:cantSplit/>
          <w:trHeight w:val="20"/>
        </w:trPr>
        <w:tc>
          <w:tcPr>
            <w:tcW w:w="6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AB512" w14:textId="0CAB7948" w:rsidR="00B5146E" w:rsidRPr="008E6588" w:rsidRDefault="00B5146E" w:rsidP="00836DB5">
            <w:pPr>
              <w:jc w:val="center"/>
              <w:rPr>
                <w:rFonts w:ascii="Arial Narrow" w:hAnsi="Arial Narrow"/>
                <w:sz w:val="20"/>
                <w:szCs w:val="20"/>
              </w:rPr>
            </w:pPr>
          </w:p>
        </w:tc>
        <w:tc>
          <w:tcPr>
            <w:tcW w:w="43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114118" w14:textId="77777777" w:rsidR="00B5146E" w:rsidRPr="008E6588" w:rsidRDefault="00B5146E" w:rsidP="00836DB5">
            <w:pPr>
              <w:rPr>
                <w:rFonts w:ascii="Arial Narrow" w:hAnsi="Arial Narrow"/>
                <w:b/>
                <w:bCs/>
                <w:sz w:val="20"/>
                <w:szCs w:val="20"/>
              </w:rPr>
            </w:pPr>
            <w:r w:rsidRPr="008E6588">
              <w:rPr>
                <w:rFonts w:ascii="Arial Narrow" w:hAnsi="Arial Narrow"/>
                <w:b/>
                <w:bCs/>
                <w:sz w:val="20"/>
                <w:szCs w:val="20"/>
              </w:rPr>
              <w:t>Prescribing Instructions:</w:t>
            </w:r>
          </w:p>
          <w:p w14:paraId="0DFAE91F" w14:textId="77777777" w:rsidR="00B5146E" w:rsidRPr="008E6588" w:rsidRDefault="00B5146E" w:rsidP="00836DB5">
            <w:pPr>
              <w:rPr>
                <w:rFonts w:ascii="Arial Narrow" w:hAnsi="Arial Narrow"/>
                <w:sz w:val="20"/>
                <w:szCs w:val="20"/>
              </w:rPr>
            </w:pPr>
            <w:r w:rsidRPr="008E6588">
              <w:rPr>
                <w:rFonts w:ascii="Arial Narrow" w:hAnsi="Arial Narrow"/>
                <w:sz w:val="20"/>
                <w:szCs w:val="20"/>
              </w:rPr>
              <w:t>An adequate response to omalizumab treatment is defined as:</w:t>
            </w:r>
          </w:p>
          <w:p w14:paraId="6DCE14F7" w14:textId="77777777" w:rsidR="00B5146E" w:rsidRPr="008E6588" w:rsidRDefault="00B5146E" w:rsidP="00836DB5">
            <w:pPr>
              <w:rPr>
                <w:rFonts w:ascii="Arial Narrow" w:hAnsi="Arial Narrow"/>
                <w:sz w:val="20"/>
                <w:szCs w:val="20"/>
              </w:rPr>
            </w:pPr>
            <w:r w:rsidRPr="008E6588">
              <w:rPr>
                <w:rFonts w:ascii="Arial Narrow" w:hAnsi="Arial Narrow"/>
                <w:sz w:val="20"/>
                <w:szCs w:val="20"/>
              </w:rPr>
              <w:t>(a) a reduction in the Asthma Control Questionnaire (ACQ-5) score of at least 0.5 from baseline, OR</w:t>
            </w:r>
          </w:p>
          <w:p w14:paraId="160730BF" w14:textId="77777777" w:rsidR="00B5146E" w:rsidRPr="008E6588" w:rsidRDefault="00B5146E" w:rsidP="00836DB5">
            <w:pPr>
              <w:rPr>
                <w:rFonts w:ascii="Arial Narrow" w:hAnsi="Arial Narrow"/>
                <w:sz w:val="20"/>
                <w:szCs w:val="20"/>
              </w:rPr>
            </w:pPr>
            <w:r w:rsidRPr="008E6588">
              <w:rPr>
                <w:rFonts w:ascii="Arial Narrow" w:hAnsi="Arial Narrow"/>
                <w:sz w:val="20"/>
                <w:szCs w:val="20"/>
              </w:rPr>
              <w:t>(b) maintenance oral corticosteroid dose reduced by at least 25% from baseline, and no deterioration in ACQ-5 score from baseline or an increase in ACQ-5 score from baseline less than or equal to 0.5, OR</w:t>
            </w:r>
          </w:p>
          <w:p w14:paraId="2CE5C590" w14:textId="77777777" w:rsidR="00B5146E" w:rsidRPr="008E6588" w:rsidRDefault="00B5146E" w:rsidP="00836DB5">
            <w:pPr>
              <w:rPr>
                <w:rFonts w:ascii="Arial Narrow" w:hAnsi="Arial Narrow"/>
                <w:b/>
                <w:bCs/>
                <w:sz w:val="20"/>
                <w:szCs w:val="20"/>
              </w:rPr>
            </w:pPr>
            <w:r w:rsidRPr="008E6588">
              <w:rPr>
                <w:rFonts w:ascii="Arial Narrow" w:hAnsi="Arial Narrow"/>
                <w:sz w:val="20"/>
                <w:szCs w:val="20"/>
              </w:rPr>
              <w:t>(c) a reduction in the time-adjusted exacerbation rates compared to the 12 months prior to baseline (this criterion is only applicable for patients transitioned from the paediatric to the adolescent/adult restriction).</w:t>
            </w:r>
          </w:p>
        </w:tc>
      </w:tr>
      <w:tr w:rsidR="00B5146E" w:rsidRPr="008E6588" w14:paraId="4B2973B3" w14:textId="77777777" w:rsidTr="00B174FD">
        <w:tblPrEx>
          <w:tblCellMar>
            <w:top w:w="15" w:type="dxa"/>
            <w:bottom w:w="15" w:type="dxa"/>
          </w:tblCellMar>
          <w:tblLook w:val="04A0" w:firstRow="1" w:lastRow="0" w:firstColumn="1" w:lastColumn="0" w:noHBand="0" w:noVBand="1"/>
        </w:tblPrEx>
        <w:trPr>
          <w:cantSplit/>
          <w:trHeight w:val="20"/>
        </w:trPr>
        <w:tc>
          <w:tcPr>
            <w:tcW w:w="6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19974" w14:textId="295863CC" w:rsidR="00B5146E" w:rsidRPr="008E6588" w:rsidRDefault="00B5146E" w:rsidP="00836DB5">
            <w:pPr>
              <w:jc w:val="center"/>
              <w:rPr>
                <w:rFonts w:ascii="Arial Narrow" w:hAnsi="Arial Narrow"/>
                <w:sz w:val="20"/>
                <w:szCs w:val="20"/>
              </w:rPr>
            </w:pPr>
          </w:p>
        </w:tc>
        <w:tc>
          <w:tcPr>
            <w:tcW w:w="43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C8F938" w14:textId="77777777" w:rsidR="00B5146E" w:rsidRPr="008E6588" w:rsidRDefault="00B5146E" w:rsidP="00836DB5">
            <w:pPr>
              <w:rPr>
                <w:rFonts w:ascii="Arial Narrow" w:hAnsi="Arial Narrow"/>
                <w:b/>
                <w:bCs/>
                <w:sz w:val="20"/>
                <w:szCs w:val="20"/>
              </w:rPr>
            </w:pPr>
            <w:r w:rsidRPr="008E6588">
              <w:rPr>
                <w:rFonts w:ascii="Arial Narrow" w:hAnsi="Arial Narrow"/>
                <w:b/>
                <w:bCs/>
                <w:sz w:val="20"/>
                <w:szCs w:val="20"/>
              </w:rPr>
              <w:t>Prescribing Instructions:</w:t>
            </w:r>
          </w:p>
          <w:p w14:paraId="2A0D9969" w14:textId="77777777" w:rsidR="00B5146E" w:rsidRPr="008E6588" w:rsidRDefault="00B5146E" w:rsidP="00836DB5">
            <w:pPr>
              <w:rPr>
                <w:rFonts w:ascii="Arial Narrow" w:hAnsi="Arial Narrow"/>
                <w:sz w:val="20"/>
                <w:szCs w:val="20"/>
              </w:rPr>
            </w:pPr>
            <w:r w:rsidRPr="008E6588">
              <w:rPr>
                <w:rFonts w:ascii="Arial Narrow" w:hAnsi="Arial Narrow"/>
                <w:sz w:val="20"/>
                <w:szCs w:val="20"/>
              </w:rPr>
              <w:t>All applications for second and subsequent continuing treatments with this drug must include a measurement of response to the prior course of therapy. The Asthma Control Questionnaire (5 item version) assessment of the patient's response to the prior course of treatment, the assessment of oral corticosteroid dose or the assessment of time adjusted exacerbation rate should be made from 20 weeks after the first PBS-subsidised dose of this drug under this restriction so that there is adequate time for a response to be demonstrated.</w:t>
            </w:r>
          </w:p>
          <w:p w14:paraId="66C3103B" w14:textId="77777777" w:rsidR="00B5146E" w:rsidRPr="008E6588" w:rsidRDefault="00B5146E" w:rsidP="00836DB5">
            <w:pPr>
              <w:rPr>
                <w:rFonts w:ascii="Arial Narrow" w:hAnsi="Arial Narrow"/>
                <w:sz w:val="20"/>
                <w:szCs w:val="20"/>
              </w:rPr>
            </w:pPr>
            <w:r w:rsidRPr="008E6588">
              <w:rPr>
                <w:rFonts w:ascii="Arial Narrow" w:hAnsi="Arial Narrow"/>
                <w:sz w:val="20"/>
                <w:szCs w:val="20"/>
              </w:rPr>
              <w:t>The assessment should, where possible, be completed by the same physician who initiated treatment with this drug. Where a response assessment is not undertaken and provided at the time of application, the patient will be deemed to have failed to respond to treatment with this drug.</w:t>
            </w:r>
          </w:p>
          <w:p w14:paraId="6452A563" w14:textId="77777777" w:rsidR="00B5146E" w:rsidRPr="008E6588" w:rsidRDefault="00B5146E" w:rsidP="00836DB5">
            <w:pPr>
              <w:rPr>
                <w:rFonts w:ascii="Arial Narrow" w:hAnsi="Arial Narrow"/>
                <w:sz w:val="20"/>
                <w:szCs w:val="20"/>
              </w:rPr>
            </w:pPr>
            <w:r w:rsidRPr="008E6588">
              <w:rPr>
                <w:rFonts w:ascii="Arial Narrow" w:hAnsi="Arial Narrow"/>
                <w:sz w:val="20"/>
                <w:szCs w:val="20"/>
              </w:rPr>
              <w:t>Where treatment was ceased for clinical reasons despite the patient experiencing improvement, an assessment of the patient's response to treatment made at the time of treatment cessation or retrospectively will be considered to determine whether the patient demonstrated or sustained an adequate response to treatment.</w:t>
            </w:r>
          </w:p>
          <w:p w14:paraId="519FADC4" w14:textId="77777777" w:rsidR="00B5146E" w:rsidRPr="008E6588" w:rsidRDefault="00B5146E" w:rsidP="00836DB5">
            <w:pPr>
              <w:rPr>
                <w:rFonts w:ascii="Arial Narrow" w:hAnsi="Arial Narrow"/>
                <w:sz w:val="20"/>
                <w:szCs w:val="20"/>
              </w:rPr>
            </w:pPr>
            <w:r w:rsidRPr="008E6588">
              <w:rPr>
                <w:rFonts w:ascii="Arial Narrow" w:hAnsi="Arial Narrow"/>
                <w:sz w:val="20"/>
                <w:szCs w:val="20"/>
              </w:rPr>
              <w:t>A patient who fails to respond to treatment with this biological medicine for uncontrolled severe asthma will not be eligible to receive further PBS-subsidised treatment with this biological medicine for severe asthma within the current treatment cycle.</w:t>
            </w:r>
          </w:p>
          <w:p w14:paraId="75DA1A22" w14:textId="77777777" w:rsidR="00B5146E" w:rsidRPr="008E6588" w:rsidRDefault="00B5146E" w:rsidP="00836DB5">
            <w:pPr>
              <w:rPr>
                <w:rFonts w:ascii="Arial Narrow" w:hAnsi="Arial Narrow"/>
                <w:b/>
                <w:bCs/>
                <w:sz w:val="20"/>
                <w:szCs w:val="20"/>
              </w:rPr>
            </w:pPr>
            <w:r w:rsidRPr="008E6588">
              <w:rPr>
                <w:rFonts w:ascii="Arial Narrow" w:hAnsi="Arial Narrow"/>
                <w:sz w:val="20"/>
                <w:szCs w:val="20"/>
              </w:rPr>
              <w:t>At the time of the authority application, medical practitioners should request the appropriate quantity and number of repeats to provide for a continuing course of this biological medicine consisting of the recommended number of doses for the baseline IgE level and body weight of the patient (refer to the TGA-approved Product Information), sufficient for up to 24 weeks of therapy.</w:t>
            </w:r>
          </w:p>
        </w:tc>
      </w:tr>
      <w:tr w:rsidR="00B5146E" w:rsidRPr="008E6588" w14:paraId="2CE808FB" w14:textId="77777777" w:rsidTr="00B174FD">
        <w:tblPrEx>
          <w:tblCellMar>
            <w:top w:w="15" w:type="dxa"/>
            <w:bottom w:w="15" w:type="dxa"/>
          </w:tblCellMar>
          <w:tblLook w:val="04A0" w:firstRow="1" w:lastRow="0" w:firstColumn="1" w:lastColumn="0" w:noHBand="0" w:noVBand="1"/>
        </w:tblPrEx>
        <w:trPr>
          <w:cantSplit/>
          <w:trHeight w:val="20"/>
        </w:trPr>
        <w:tc>
          <w:tcPr>
            <w:tcW w:w="6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882DB" w14:textId="3EF95C21" w:rsidR="00B5146E" w:rsidRPr="008E6588" w:rsidRDefault="00B5146E" w:rsidP="00836DB5">
            <w:pPr>
              <w:jc w:val="center"/>
              <w:rPr>
                <w:rFonts w:ascii="Arial Narrow" w:hAnsi="Arial Narrow"/>
                <w:sz w:val="20"/>
                <w:szCs w:val="20"/>
              </w:rPr>
            </w:pPr>
          </w:p>
        </w:tc>
        <w:tc>
          <w:tcPr>
            <w:tcW w:w="43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D0C374" w14:textId="77777777" w:rsidR="00B5146E" w:rsidRPr="008E6588" w:rsidRDefault="00B5146E" w:rsidP="00836DB5">
            <w:pPr>
              <w:rPr>
                <w:rFonts w:ascii="Arial Narrow" w:hAnsi="Arial Narrow"/>
                <w:b/>
                <w:bCs/>
                <w:sz w:val="20"/>
                <w:szCs w:val="20"/>
              </w:rPr>
            </w:pPr>
            <w:r w:rsidRPr="008E6588">
              <w:rPr>
                <w:rFonts w:ascii="Arial Narrow" w:hAnsi="Arial Narrow"/>
                <w:b/>
                <w:bCs/>
                <w:sz w:val="20"/>
                <w:szCs w:val="20"/>
              </w:rPr>
              <w:t>Prescribing Instructions:</w:t>
            </w:r>
          </w:p>
          <w:p w14:paraId="0BE72651" w14:textId="77777777" w:rsidR="00B5146E" w:rsidRPr="008E6588" w:rsidRDefault="00B5146E" w:rsidP="00836DB5">
            <w:pPr>
              <w:rPr>
                <w:rFonts w:ascii="Arial Narrow" w:hAnsi="Arial Narrow"/>
                <w:sz w:val="20"/>
                <w:szCs w:val="20"/>
              </w:rPr>
            </w:pPr>
            <w:r w:rsidRPr="008E6588">
              <w:rPr>
                <w:rFonts w:ascii="Arial Narrow" w:hAnsi="Arial Narrow"/>
                <w:sz w:val="20"/>
                <w:szCs w:val="20"/>
              </w:rPr>
              <w:t>The following information must be provided at the time of application and must be documented in the patient's medical records:</w:t>
            </w:r>
          </w:p>
          <w:p w14:paraId="3DB5977D" w14:textId="77777777" w:rsidR="00B5146E" w:rsidRPr="008E6588" w:rsidRDefault="00B5146E" w:rsidP="00836DB5">
            <w:pPr>
              <w:rPr>
                <w:rFonts w:ascii="Arial Narrow" w:hAnsi="Arial Narrow"/>
                <w:sz w:val="20"/>
                <w:szCs w:val="20"/>
              </w:rPr>
            </w:pPr>
            <w:r w:rsidRPr="008E6588">
              <w:rPr>
                <w:rFonts w:ascii="Arial Narrow" w:hAnsi="Arial Narrow"/>
                <w:sz w:val="20"/>
                <w:szCs w:val="20"/>
              </w:rPr>
              <w:t>(a) Asthma Control Questionnaire (ACQ-5) score; and</w:t>
            </w:r>
          </w:p>
          <w:p w14:paraId="7A817ABC" w14:textId="77777777" w:rsidR="00B5146E" w:rsidRPr="008E6588" w:rsidRDefault="00B5146E" w:rsidP="00836DB5">
            <w:pPr>
              <w:rPr>
                <w:rFonts w:ascii="Arial Narrow" w:hAnsi="Arial Narrow"/>
                <w:sz w:val="20"/>
                <w:szCs w:val="20"/>
              </w:rPr>
            </w:pPr>
            <w:r w:rsidRPr="008E6588">
              <w:rPr>
                <w:rFonts w:ascii="Arial Narrow" w:hAnsi="Arial Narrow"/>
                <w:sz w:val="20"/>
                <w:szCs w:val="20"/>
              </w:rPr>
              <w:t>(b) If applicable, maintenance oral corticosteroid dose; and</w:t>
            </w:r>
          </w:p>
          <w:p w14:paraId="544E86D1" w14:textId="77777777" w:rsidR="00B5146E" w:rsidRPr="008E6588" w:rsidRDefault="00B5146E" w:rsidP="00836DB5">
            <w:pPr>
              <w:rPr>
                <w:rFonts w:ascii="Arial Narrow" w:hAnsi="Arial Narrow"/>
                <w:sz w:val="20"/>
                <w:szCs w:val="20"/>
              </w:rPr>
            </w:pPr>
            <w:r w:rsidRPr="008E6588">
              <w:rPr>
                <w:rFonts w:ascii="Arial Narrow" w:hAnsi="Arial Narrow"/>
                <w:sz w:val="20"/>
                <w:szCs w:val="20"/>
              </w:rPr>
              <w:t>(c) For patients transitioned from the paediatric to the adolescent/adult restrictions, confirmation that the time-adjusted exacerbation rate has reduced.</w:t>
            </w:r>
          </w:p>
          <w:p w14:paraId="6396D7F7" w14:textId="77777777" w:rsidR="00B5146E" w:rsidRPr="008E6588" w:rsidRDefault="00B5146E" w:rsidP="00836DB5">
            <w:pPr>
              <w:rPr>
                <w:rFonts w:ascii="Arial Narrow" w:hAnsi="Arial Narrow"/>
                <w:b/>
                <w:bCs/>
                <w:sz w:val="20"/>
                <w:szCs w:val="20"/>
              </w:rPr>
            </w:pPr>
            <w:r w:rsidRPr="008E6588">
              <w:rPr>
                <w:rFonts w:ascii="Arial Narrow" w:hAnsi="Arial Narrow"/>
                <w:sz w:val="20"/>
                <w:szCs w:val="20"/>
              </w:rPr>
              <w:t>The most recent Asthma Control Questionnaire (ACQ-5) score must be no more than 4 weeks old at the time of application.</w:t>
            </w:r>
          </w:p>
        </w:tc>
      </w:tr>
    </w:tbl>
    <w:p w14:paraId="08997761" w14:textId="77777777" w:rsidR="00FF5FC3" w:rsidRPr="008E6588" w:rsidRDefault="00FF5FC3" w:rsidP="004164CF">
      <w:pPr>
        <w:rPr>
          <w:rFonts w:ascii="Arial Narrow" w:hAnsi="Arial Narrow"/>
          <w:sz w:val="20"/>
          <w:szCs w:val="20"/>
        </w:rPr>
      </w:pPr>
    </w:p>
    <w:p w14:paraId="566A6F58" w14:textId="71AE247E" w:rsidR="00A413D3" w:rsidRPr="005B140A" w:rsidRDefault="00A413D3" w:rsidP="005B140A">
      <w:pPr>
        <w:pStyle w:val="4-SubsectionHeading"/>
      </w:pPr>
      <w:r w:rsidRPr="005B140A">
        <w:t>Uncontrolled severe asthma - Balance of supply</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commended listing"/>
        <w:tblDescription w:val="Uncontrolled severe asthma - balance of supply &#10;omalizumab 75 mg/0.5 mL injection, 0.5 mL syringe - item code 11846L/ Public&#10;omalizumab 75 mg/0.5 mL injection, 0.5 mL syringe - item code 11826K/ Private&#10;omalizumab 75 mg/0.5 mL injection, 0.5 mL pen device - NEW item / Public&#10;omalizumab 75 mg/0.5 mL injection, 0.5 mL pen device - NEW item / Private&#10;"/>
      </w:tblPr>
      <w:tblGrid>
        <w:gridCol w:w="566"/>
        <w:gridCol w:w="710"/>
        <w:gridCol w:w="3251"/>
        <w:gridCol w:w="1276"/>
        <w:gridCol w:w="803"/>
        <w:gridCol w:w="803"/>
        <w:gridCol w:w="804"/>
        <w:gridCol w:w="808"/>
      </w:tblGrid>
      <w:tr w:rsidR="004164CF" w:rsidRPr="008E6588" w14:paraId="7FB9E3CC" w14:textId="77777777" w:rsidTr="003E1CD1">
        <w:trPr>
          <w:cantSplit/>
          <w:trHeight w:val="300"/>
        </w:trPr>
        <w:tc>
          <w:tcPr>
            <w:tcW w:w="4527" w:type="dxa"/>
            <w:gridSpan w:val="3"/>
            <w:vAlign w:val="center"/>
          </w:tcPr>
          <w:p w14:paraId="58735740" w14:textId="77777777" w:rsidR="004164CF" w:rsidRPr="008E6588" w:rsidRDefault="004164CF" w:rsidP="00836DB5">
            <w:pPr>
              <w:keepLines/>
              <w:rPr>
                <w:rFonts w:ascii="Arial Narrow" w:hAnsi="Arial Narrow" w:cs="Arial"/>
                <w:b/>
                <w:bCs/>
                <w:sz w:val="20"/>
                <w:szCs w:val="20"/>
              </w:rPr>
            </w:pPr>
            <w:r w:rsidRPr="008E6588">
              <w:rPr>
                <w:rFonts w:ascii="Arial Narrow" w:hAnsi="Arial Narrow" w:cs="Arial"/>
                <w:b/>
                <w:bCs/>
                <w:sz w:val="20"/>
                <w:szCs w:val="20"/>
              </w:rPr>
              <w:t>MEDICINAL PRODUCT</w:t>
            </w:r>
          </w:p>
          <w:p w14:paraId="5BE7062B" w14:textId="77777777" w:rsidR="004164CF" w:rsidRPr="008E6588" w:rsidRDefault="004164CF" w:rsidP="00836DB5">
            <w:pPr>
              <w:keepLines/>
              <w:rPr>
                <w:rFonts w:ascii="Arial Narrow" w:hAnsi="Arial Narrow" w:cs="Arial"/>
                <w:b/>
                <w:sz w:val="20"/>
                <w:szCs w:val="20"/>
              </w:rPr>
            </w:pPr>
            <w:r w:rsidRPr="008E6588">
              <w:rPr>
                <w:rFonts w:ascii="Arial Narrow" w:hAnsi="Arial Narrow" w:cs="Arial"/>
                <w:b/>
                <w:bCs/>
                <w:sz w:val="20"/>
                <w:szCs w:val="20"/>
              </w:rPr>
              <w:t>medicinal product pack</w:t>
            </w:r>
          </w:p>
        </w:tc>
        <w:tc>
          <w:tcPr>
            <w:tcW w:w="1276" w:type="dxa"/>
            <w:vAlign w:val="center"/>
          </w:tcPr>
          <w:p w14:paraId="48E48A3E" w14:textId="77777777" w:rsidR="004164CF" w:rsidRPr="008E6588" w:rsidRDefault="004164CF" w:rsidP="00836DB5">
            <w:pPr>
              <w:keepLines/>
              <w:jc w:val="center"/>
              <w:rPr>
                <w:rFonts w:ascii="Arial Narrow" w:hAnsi="Arial Narrow" w:cs="Arial"/>
                <w:b/>
                <w:sz w:val="20"/>
                <w:szCs w:val="20"/>
              </w:rPr>
            </w:pPr>
            <w:r w:rsidRPr="008E6588">
              <w:rPr>
                <w:rFonts w:ascii="Arial Narrow" w:hAnsi="Arial Narrow" w:cs="Arial"/>
                <w:b/>
                <w:sz w:val="20"/>
                <w:szCs w:val="20"/>
              </w:rPr>
              <w:t>PBS item code</w:t>
            </w:r>
          </w:p>
        </w:tc>
        <w:tc>
          <w:tcPr>
            <w:tcW w:w="803" w:type="dxa"/>
            <w:vAlign w:val="center"/>
          </w:tcPr>
          <w:p w14:paraId="02985893" w14:textId="77777777" w:rsidR="004164CF" w:rsidRPr="008E6588" w:rsidRDefault="004164CF" w:rsidP="00836DB5">
            <w:pPr>
              <w:keepLines/>
              <w:jc w:val="center"/>
              <w:rPr>
                <w:rFonts w:ascii="Arial Narrow" w:hAnsi="Arial Narrow" w:cs="Arial"/>
                <w:b/>
                <w:sz w:val="20"/>
                <w:szCs w:val="20"/>
              </w:rPr>
            </w:pPr>
            <w:r w:rsidRPr="008E6588">
              <w:rPr>
                <w:rFonts w:ascii="Arial Narrow" w:hAnsi="Arial Narrow" w:cs="Arial"/>
                <w:b/>
                <w:sz w:val="20"/>
                <w:szCs w:val="20"/>
              </w:rPr>
              <w:t>Max. qty packs</w:t>
            </w:r>
          </w:p>
        </w:tc>
        <w:tc>
          <w:tcPr>
            <w:tcW w:w="803" w:type="dxa"/>
            <w:vAlign w:val="center"/>
          </w:tcPr>
          <w:p w14:paraId="298AB008" w14:textId="77777777" w:rsidR="004164CF" w:rsidRPr="008E6588" w:rsidRDefault="004164CF" w:rsidP="00836DB5">
            <w:pPr>
              <w:keepLines/>
              <w:jc w:val="center"/>
              <w:rPr>
                <w:rFonts w:ascii="Arial Narrow" w:hAnsi="Arial Narrow" w:cs="Arial"/>
                <w:b/>
                <w:sz w:val="20"/>
                <w:szCs w:val="20"/>
              </w:rPr>
            </w:pPr>
            <w:r w:rsidRPr="008E6588">
              <w:rPr>
                <w:rFonts w:ascii="Arial Narrow" w:hAnsi="Arial Narrow" w:cs="Arial"/>
                <w:b/>
                <w:sz w:val="20"/>
                <w:szCs w:val="20"/>
              </w:rPr>
              <w:t>Max. qty units</w:t>
            </w:r>
          </w:p>
        </w:tc>
        <w:tc>
          <w:tcPr>
            <w:tcW w:w="804" w:type="dxa"/>
            <w:vAlign w:val="center"/>
          </w:tcPr>
          <w:p w14:paraId="488FF854" w14:textId="77777777" w:rsidR="004164CF" w:rsidRPr="008E6588" w:rsidRDefault="004164CF" w:rsidP="00836DB5">
            <w:pPr>
              <w:keepLines/>
              <w:jc w:val="center"/>
              <w:rPr>
                <w:rFonts w:ascii="Arial Narrow" w:hAnsi="Arial Narrow" w:cs="Arial"/>
                <w:b/>
                <w:bCs/>
                <w:sz w:val="20"/>
                <w:szCs w:val="20"/>
              </w:rPr>
            </w:pPr>
            <w:proofErr w:type="gramStart"/>
            <w:r w:rsidRPr="008E6588">
              <w:rPr>
                <w:rFonts w:ascii="Arial Narrow" w:hAnsi="Arial Narrow" w:cs="Arial"/>
                <w:b/>
                <w:bCs/>
                <w:sz w:val="20"/>
                <w:szCs w:val="20"/>
              </w:rPr>
              <w:t>№.of</w:t>
            </w:r>
            <w:proofErr w:type="gramEnd"/>
          </w:p>
          <w:p w14:paraId="56367BB1" w14:textId="77777777" w:rsidR="004164CF" w:rsidRPr="008E6588" w:rsidRDefault="004164CF" w:rsidP="00836DB5">
            <w:pPr>
              <w:keepLines/>
              <w:jc w:val="center"/>
              <w:rPr>
                <w:rFonts w:ascii="Arial Narrow" w:hAnsi="Arial Narrow" w:cs="Arial"/>
                <w:b/>
                <w:bCs/>
                <w:sz w:val="20"/>
                <w:szCs w:val="20"/>
              </w:rPr>
            </w:pPr>
            <w:r w:rsidRPr="008E6588">
              <w:rPr>
                <w:rFonts w:ascii="Arial Narrow" w:hAnsi="Arial Narrow" w:cs="Arial"/>
                <w:b/>
                <w:bCs/>
                <w:sz w:val="20"/>
                <w:szCs w:val="20"/>
              </w:rPr>
              <w:t>Rpts</w:t>
            </w:r>
          </w:p>
        </w:tc>
        <w:tc>
          <w:tcPr>
            <w:tcW w:w="808" w:type="dxa"/>
            <w:vAlign w:val="center"/>
          </w:tcPr>
          <w:p w14:paraId="03341297" w14:textId="77777777" w:rsidR="004164CF" w:rsidRPr="008E6588" w:rsidRDefault="004164CF" w:rsidP="00836DB5">
            <w:pPr>
              <w:keepLines/>
              <w:rPr>
                <w:rFonts w:ascii="Arial Narrow" w:hAnsi="Arial Narrow" w:cs="Arial"/>
                <w:b/>
                <w:sz w:val="20"/>
                <w:szCs w:val="20"/>
                <w:lang w:val="fr-FR"/>
              </w:rPr>
            </w:pPr>
            <w:r w:rsidRPr="008E6588">
              <w:rPr>
                <w:rFonts w:ascii="Arial Narrow" w:hAnsi="Arial Narrow" w:cs="Arial"/>
                <w:b/>
                <w:sz w:val="20"/>
                <w:szCs w:val="20"/>
              </w:rPr>
              <w:t>Available brands</w:t>
            </w:r>
          </w:p>
        </w:tc>
      </w:tr>
      <w:tr w:rsidR="004164CF" w:rsidRPr="008E6588" w14:paraId="546827A2" w14:textId="77777777" w:rsidTr="003E1CD1">
        <w:trPr>
          <w:cantSplit/>
          <w:trHeight w:val="300"/>
        </w:trPr>
        <w:tc>
          <w:tcPr>
            <w:tcW w:w="9021" w:type="dxa"/>
            <w:gridSpan w:val="8"/>
            <w:vAlign w:val="center"/>
          </w:tcPr>
          <w:p w14:paraId="19650B1D" w14:textId="77777777" w:rsidR="004164CF" w:rsidRPr="008E6588" w:rsidRDefault="004164CF" w:rsidP="00836DB5">
            <w:pPr>
              <w:keepLines/>
              <w:rPr>
                <w:rFonts w:ascii="Arial Narrow" w:hAnsi="Arial Narrow" w:cs="Arial"/>
                <w:sz w:val="20"/>
                <w:szCs w:val="20"/>
              </w:rPr>
            </w:pPr>
            <w:r w:rsidRPr="008E6588">
              <w:rPr>
                <w:rFonts w:ascii="Arial Narrow" w:hAnsi="Arial Narrow" w:cs="Arial"/>
                <w:sz w:val="20"/>
                <w:szCs w:val="20"/>
              </w:rPr>
              <w:t>OMALIZUMAB</w:t>
            </w:r>
          </w:p>
        </w:tc>
      </w:tr>
      <w:tr w:rsidR="00167EF9" w:rsidRPr="008E6588" w14:paraId="5FC30A47" w14:textId="77777777" w:rsidTr="00167EF9">
        <w:trPr>
          <w:cantSplit/>
          <w:trHeight w:val="300"/>
        </w:trPr>
        <w:tc>
          <w:tcPr>
            <w:tcW w:w="4527" w:type="dxa"/>
            <w:gridSpan w:val="3"/>
            <w:vAlign w:val="center"/>
          </w:tcPr>
          <w:p w14:paraId="3AC5525C" w14:textId="77777777" w:rsidR="00167EF9" w:rsidRPr="008E6588" w:rsidRDefault="00167EF9" w:rsidP="00836DB5">
            <w:pPr>
              <w:keepLines/>
              <w:rPr>
                <w:rFonts w:ascii="Arial Narrow" w:hAnsi="Arial Narrow" w:cs="Arial"/>
                <w:sz w:val="20"/>
                <w:szCs w:val="20"/>
              </w:rPr>
            </w:pPr>
            <w:r w:rsidRPr="008E6588">
              <w:rPr>
                <w:rFonts w:ascii="Arial Narrow" w:hAnsi="Arial Narrow" w:cs="Arial"/>
                <w:sz w:val="20"/>
                <w:szCs w:val="20"/>
              </w:rPr>
              <w:t>omalizumab 75 mg/0.5 mL injection, 0.5 mL syringe</w:t>
            </w:r>
          </w:p>
        </w:tc>
        <w:tc>
          <w:tcPr>
            <w:tcW w:w="1276" w:type="dxa"/>
          </w:tcPr>
          <w:p w14:paraId="3EF56B77" w14:textId="77777777" w:rsidR="00167EF9" w:rsidRPr="008E6588" w:rsidRDefault="00167EF9" w:rsidP="00836DB5">
            <w:pPr>
              <w:keepLines/>
              <w:jc w:val="center"/>
              <w:rPr>
                <w:rFonts w:ascii="Arial Narrow" w:hAnsi="Arial Narrow" w:cs="Arial"/>
                <w:sz w:val="20"/>
                <w:szCs w:val="20"/>
              </w:rPr>
            </w:pPr>
            <w:r w:rsidRPr="008E6588">
              <w:rPr>
                <w:rFonts w:ascii="Arial Narrow" w:hAnsi="Arial Narrow" w:cs="Arial"/>
                <w:sz w:val="20"/>
                <w:szCs w:val="20"/>
              </w:rPr>
              <w:t>11846L/ Public</w:t>
            </w:r>
          </w:p>
        </w:tc>
        <w:tc>
          <w:tcPr>
            <w:tcW w:w="803" w:type="dxa"/>
          </w:tcPr>
          <w:p w14:paraId="6828781D" w14:textId="77777777" w:rsidR="00167EF9" w:rsidRPr="008E6588" w:rsidRDefault="00167EF9"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803" w:type="dxa"/>
          </w:tcPr>
          <w:p w14:paraId="7394E01A" w14:textId="77777777" w:rsidR="00167EF9" w:rsidRPr="008E6588" w:rsidRDefault="00167EF9"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804" w:type="dxa"/>
          </w:tcPr>
          <w:p w14:paraId="3166310B" w14:textId="77777777" w:rsidR="00167EF9" w:rsidRPr="008E6588" w:rsidRDefault="00167EF9" w:rsidP="00836DB5">
            <w:pPr>
              <w:keepLines/>
              <w:jc w:val="center"/>
              <w:rPr>
                <w:rFonts w:ascii="Arial Narrow" w:hAnsi="Arial Narrow" w:cs="Arial"/>
                <w:sz w:val="20"/>
                <w:szCs w:val="20"/>
              </w:rPr>
            </w:pPr>
            <w:r w:rsidRPr="008E6588">
              <w:rPr>
                <w:rFonts w:ascii="Arial Narrow" w:hAnsi="Arial Narrow" w:cs="Arial"/>
                <w:sz w:val="20"/>
                <w:szCs w:val="20"/>
              </w:rPr>
              <w:t>0</w:t>
            </w:r>
          </w:p>
        </w:tc>
        <w:tc>
          <w:tcPr>
            <w:tcW w:w="808" w:type="dxa"/>
            <w:vMerge w:val="restart"/>
          </w:tcPr>
          <w:p w14:paraId="3874468B" w14:textId="0C414989" w:rsidR="00167EF9" w:rsidRPr="008E6588" w:rsidRDefault="00167EF9" w:rsidP="00167EF9">
            <w:pPr>
              <w:keepLines/>
              <w:jc w:val="center"/>
              <w:rPr>
                <w:rFonts w:ascii="Arial Narrow" w:hAnsi="Arial Narrow" w:cs="Arial"/>
                <w:sz w:val="20"/>
                <w:szCs w:val="20"/>
              </w:rPr>
            </w:pPr>
            <w:proofErr w:type="spellStart"/>
            <w:r w:rsidRPr="008E6588">
              <w:rPr>
                <w:rFonts w:ascii="Arial Narrow" w:hAnsi="Arial Narrow"/>
                <w:sz w:val="20"/>
                <w:szCs w:val="20"/>
                <w:vertAlign w:val="superscript"/>
              </w:rPr>
              <w:t>a</w:t>
            </w:r>
            <w:r w:rsidRPr="008E6588">
              <w:rPr>
                <w:rFonts w:ascii="Arial Narrow" w:hAnsi="Arial Narrow" w:cs="Arial"/>
                <w:sz w:val="20"/>
                <w:szCs w:val="20"/>
              </w:rPr>
              <w:t>Xolair</w:t>
            </w:r>
            <w:proofErr w:type="spellEnd"/>
          </w:p>
        </w:tc>
      </w:tr>
      <w:tr w:rsidR="00167EF9" w:rsidRPr="008E6588" w14:paraId="0E7B13C7" w14:textId="77777777" w:rsidTr="003E1CD1">
        <w:trPr>
          <w:cantSplit/>
          <w:trHeight w:val="300"/>
        </w:trPr>
        <w:tc>
          <w:tcPr>
            <w:tcW w:w="4527" w:type="dxa"/>
            <w:gridSpan w:val="3"/>
            <w:vAlign w:val="center"/>
          </w:tcPr>
          <w:p w14:paraId="586E2015" w14:textId="77777777" w:rsidR="00167EF9" w:rsidRPr="008E6588" w:rsidRDefault="00167EF9" w:rsidP="00836DB5">
            <w:pPr>
              <w:keepLines/>
              <w:rPr>
                <w:rFonts w:ascii="Arial Narrow" w:hAnsi="Arial Narrow" w:cs="Arial"/>
                <w:sz w:val="20"/>
                <w:szCs w:val="20"/>
              </w:rPr>
            </w:pPr>
            <w:r w:rsidRPr="008E6588">
              <w:rPr>
                <w:rFonts w:ascii="Arial Narrow" w:hAnsi="Arial Narrow" w:cs="Arial"/>
                <w:sz w:val="20"/>
                <w:szCs w:val="20"/>
              </w:rPr>
              <w:t>omalizumab 75 mg/0.5 mL injection, 0.5 mL syringe</w:t>
            </w:r>
          </w:p>
        </w:tc>
        <w:tc>
          <w:tcPr>
            <w:tcW w:w="1276" w:type="dxa"/>
          </w:tcPr>
          <w:p w14:paraId="13D19AC0" w14:textId="77777777" w:rsidR="00167EF9" w:rsidRPr="008E6588" w:rsidRDefault="00167EF9" w:rsidP="00836DB5">
            <w:pPr>
              <w:keepLines/>
              <w:jc w:val="center"/>
              <w:rPr>
                <w:rFonts w:ascii="Arial Narrow" w:hAnsi="Arial Narrow" w:cs="Arial"/>
                <w:sz w:val="20"/>
                <w:szCs w:val="20"/>
              </w:rPr>
            </w:pPr>
            <w:r w:rsidRPr="008E6588">
              <w:rPr>
                <w:rFonts w:ascii="Arial Narrow" w:hAnsi="Arial Narrow" w:cs="Arial"/>
                <w:sz w:val="20"/>
                <w:szCs w:val="20"/>
              </w:rPr>
              <w:t>11826K/ Private</w:t>
            </w:r>
          </w:p>
        </w:tc>
        <w:tc>
          <w:tcPr>
            <w:tcW w:w="803" w:type="dxa"/>
          </w:tcPr>
          <w:p w14:paraId="6B2A7869" w14:textId="77777777" w:rsidR="00167EF9" w:rsidRPr="008E6588" w:rsidRDefault="00167EF9"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803" w:type="dxa"/>
          </w:tcPr>
          <w:p w14:paraId="575A4AFB" w14:textId="77777777" w:rsidR="00167EF9" w:rsidRPr="008E6588" w:rsidRDefault="00167EF9"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804" w:type="dxa"/>
          </w:tcPr>
          <w:p w14:paraId="3DFB5C52" w14:textId="77777777" w:rsidR="00167EF9" w:rsidRPr="008E6588" w:rsidRDefault="00167EF9" w:rsidP="00836DB5">
            <w:pPr>
              <w:keepLines/>
              <w:jc w:val="center"/>
              <w:rPr>
                <w:rFonts w:ascii="Arial Narrow" w:hAnsi="Arial Narrow" w:cs="Arial"/>
                <w:sz w:val="20"/>
                <w:szCs w:val="20"/>
              </w:rPr>
            </w:pPr>
            <w:r w:rsidRPr="008E6588">
              <w:rPr>
                <w:rFonts w:ascii="Arial Narrow" w:hAnsi="Arial Narrow" w:cs="Arial"/>
                <w:sz w:val="20"/>
                <w:szCs w:val="20"/>
              </w:rPr>
              <w:t>0</w:t>
            </w:r>
          </w:p>
        </w:tc>
        <w:tc>
          <w:tcPr>
            <w:tcW w:w="808" w:type="dxa"/>
            <w:vMerge/>
            <w:vAlign w:val="center"/>
          </w:tcPr>
          <w:p w14:paraId="6F118729" w14:textId="77777777" w:rsidR="00167EF9" w:rsidRPr="008E6588" w:rsidRDefault="00167EF9" w:rsidP="00836DB5">
            <w:pPr>
              <w:keepLines/>
              <w:rPr>
                <w:rFonts w:ascii="Arial Narrow" w:hAnsi="Arial Narrow" w:cs="Arial"/>
                <w:sz w:val="20"/>
                <w:szCs w:val="20"/>
              </w:rPr>
            </w:pPr>
          </w:p>
        </w:tc>
      </w:tr>
      <w:tr w:rsidR="00167EF9" w:rsidRPr="008E6588" w14:paraId="415241AE" w14:textId="77777777" w:rsidTr="003E1CD1">
        <w:trPr>
          <w:cantSplit/>
          <w:trHeight w:val="300"/>
        </w:trPr>
        <w:tc>
          <w:tcPr>
            <w:tcW w:w="4527" w:type="dxa"/>
            <w:gridSpan w:val="3"/>
            <w:vAlign w:val="center"/>
          </w:tcPr>
          <w:p w14:paraId="22B271B7" w14:textId="77777777" w:rsidR="00167EF9" w:rsidRPr="008E6588" w:rsidRDefault="00167EF9" w:rsidP="00836DB5">
            <w:pPr>
              <w:keepLines/>
              <w:rPr>
                <w:rFonts w:ascii="Arial Narrow" w:hAnsi="Arial Narrow" w:cs="Arial"/>
                <w:sz w:val="20"/>
                <w:szCs w:val="20"/>
              </w:rPr>
            </w:pPr>
            <w:r w:rsidRPr="008E6588">
              <w:rPr>
                <w:rFonts w:ascii="Arial Narrow" w:hAnsi="Arial Narrow" w:cs="Arial"/>
                <w:sz w:val="20"/>
                <w:szCs w:val="20"/>
              </w:rPr>
              <w:t>omalizumab 75 mg/0.5 mL injection, 0.5 mL pen device</w:t>
            </w:r>
          </w:p>
        </w:tc>
        <w:tc>
          <w:tcPr>
            <w:tcW w:w="1276" w:type="dxa"/>
            <w:vAlign w:val="center"/>
          </w:tcPr>
          <w:p w14:paraId="32C14AB4" w14:textId="53CE833E" w:rsidR="00167EF9" w:rsidRPr="008E6588" w:rsidRDefault="00167EF9" w:rsidP="00836DB5">
            <w:pPr>
              <w:keepLines/>
              <w:jc w:val="center"/>
              <w:rPr>
                <w:rFonts w:ascii="Arial Narrow" w:hAnsi="Arial Narrow" w:cs="Arial"/>
                <w:iCs/>
                <w:sz w:val="20"/>
                <w:szCs w:val="20"/>
              </w:rPr>
            </w:pPr>
            <w:r w:rsidRPr="008E6588">
              <w:rPr>
                <w:rFonts w:ascii="Arial Narrow" w:hAnsi="Arial Narrow" w:cs="Arial"/>
                <w:iCs/>
                <w:sz w:val="20"/>
                <w:szCs w:val="20"/>
              </w:rPr>
              <w:t>NEW</w:t>
            </w:r>
            <w:r w:rsidR="001954ED" w:rsidRPr="008E6588">
              <w:rPr>
                <w:rFonts w:ascii="Arial Narrow" w:hAnsi="Arial Narrow" w:cs="Arial"/>
                <w:iCs/>
                <w:sz w:val="20"/>
                <w:szCs w:val="20"/>
              </w:rPr>
              <w:t>/ Public</w:t>
            </w:r>
          </w:p>
        </w:tc>
        <w:tc>
          <w:tcPr>
            <w:tcW w:w="803" w:type="dxa"/>
          </w:tcPr>
          <w:p w14:paraId="3C5BB155" w14:textId="77777777" w:rsidR="00167EF9" w:rsidRPr="008E6588" w:rsidRDefault="00167EF9"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803" w:type="dxa"/>
          </w:tcPr>
          <w:p w14:paraId="24AEF0D5" w14:textId="77777777" w:rsidR="00167EF9" w:rsidRPr="008E6588" w:rsidRDefault="00167EF9"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804" w:type="dxa"/>
          </w:tcPr>
          <w:p w14:paraId="6659E4E2" w14:textId="77777777" w:rsidR="00167EF9" w:rsidRPr="008E6588" w:rsidRDefault="00167EF9" w:rsidP="00836DB5">
            <w:pPr>
              <w:keepLines/>
              <w:jc w:val="center"/>
              <w:rPr>
                <w:rFonts w:ascii="Arial Narrow" w:hAnsi="Arial Narrow" w:cs="Arial"/>
                <w:sz w:val="20"/>
                <w:szCs w:val="20"/>
              </w:rPr>
            </w:pPr>
            <w:r w:rsidRPr="008E6588">
              <w:rPr>
                <w:rFonts w:ascii="Arial Narrow" w:hAnsi="Arial Narrow" w:cs="Arial"/>
                <w:sz w:val="20"/>
                <w:szCs w:val="20"/>
              </w:rPr>
              <w:t>0</w:t>
            </w:r>
          </w:p>
        </w:tc>
        <w:tc>
          <w:tcPr>
            <w:tcW w:w="808" w:type="dxa"/>
            <w:vMerge/>
            <w:vAlign w:val="center"/>
          </w:tcPr>
          <w:p w14:paraId="21AE9336" w14:textId="77777777" w:rsidR="00167EF9" w:rsidRPr="008E6588" w:rsidRDefault="00167EF9" w:rsidP="00836DB5">
            <w:pPr>
              <w:keepLines/>
              <w:rPr>
                <w:rFonts w:ascii="Arial Narrow" w:hAnsi="Arial Narrow" w:cs="Arial"/>
                <w:sz w:val="20"/>
                <w:szCs w:val="20"/>
              </w:rPr>
            </w:pPr>
          </w:p>
        </w:tc>
      </w:tr>
      <w:tr w:rsidR="00167EF9" w:rsidRPr="008E6588" w14:paraId="62297B24" w14:textId="77777777" w:rsidTr="003E1CD1">
        <w:trPr>
          <w:cantSplit/>
          <w:trHeight w:val="300"/>
        </w:trPr>
        <w:tc>
          <w:tcPr>
            <w:tcW w:w="4527" w:type="dxa"/>
            <w:gridSpan w:val="3"/>
            <w:vAlign w:val="center"/>
          </w:tcPr>
          <w:p w14:paraId="0BAE797F" w14:textId="77777777" w:rsidR="00167EF9" w:rsidRPr="008E6588" w:rsidRDefault="00167EF9" w:rsidP="00836DB5">
            <w:pPr>
              <w:keepLines/>
              <w:rPr>
                <w:rFonts w:ascii="Arial Narrow" w:hAnsi="Arial Narrow" w:cs="Arial"/>
                <w:sz w:val="20"/>
                <w:szCs w:val="20"/>
              </w:rPr>
            </w:pPr>
            <w:r w:rsidRPr="008E6588">
              <w:rPr>
                <w:rFonts w:ascii="Arial Narrow" w:hAnsi="Arial Narrow" w:cs="Arial"/>
                <w:sz w:val="20"/>
                <w:szCs w:val="20"/>
              </w:rPr>
              <w:t>omalizumab 75 mg/0.5 mL injection, 0.5 mL pen device</w:t>
            </w:r>
          </w:p>
        </w:tc>
        <w:tc>
          <w:tcPr>
            <w:tcW w:w="1276" w:type="dxa"/>
            <w:vAlign w:val="center"/>
          </w:tcPr>
          <w:p w14:paraId="3F77A2FA" w14:textId="3E71A136" w:rsidR="00167EF9" w:rsidRPr="008E6588" w:rsidRDefault="00167EF9" w:rsidP="00836DB5">
            <w:pPr>
              <w:keepLines/>
              <w:jc w:val="center"/>
              <w:rPr>
                <w:rFonts w:ascii="Arial Narrow" w:hAnsi="Arial Narrow" w:cs="Arial"/>
                <w:iCs/>
                <w:sz w:val="20"/>
                <w:szCs w:val="20"/>
              </w:rPr>
            </w:pPr>
            <w:r w:rsidRPr="008E6588">
              <w:rPr>
                <w:rFonts w:ascii="Arial Narrow" w:hAnsi="Arial Narrow" w:cs="Arial"/>
                <w:iCs/>
                <w:sz w:val="20"/>
                <w:szCs w:val="20"/>
              </w:rPr>
              <w:t>NEW</w:t>
            </w:r>
            <w:r w:rsidR="001954ED" w:rsidRPr="008E6588">
              <w:rPr>
                <w:rFonts w:ascii="Arial Narrow" w:hAnsi="Arial Narrow" w:cs="Arial"/>
                <w:iCs/>
                <w:sz w:val="20"/>
                <w:szCs w:val="20"/>
              </w:rPr>
              <w:t>/ Private</w:t>
            </w:r>
          </w:p>
        </w:tc>
        <w:tc>
          <w:tcPr>
            <w:tcW w:w="803" w:type="dxa"/>
          </w:tcPr>
          <w:p w14:paraId="6BB4203E" w14:textId="77777777" w:rsidR="00167EF9" w:rsidRPr="008E6588" w:rsidRDefault="00167EF9"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803" w:type="dxa"/>
          </w:tcPr>
          <w:p w14:paraId="7845D90A" w14:textId="77777777" w:rsidR="00167EF9" w:rsidRPr="008E6588" w:rsidRDefault="00167EF9"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804" w:type="dxa"/>
          </w:tcPr>
          <w:p w14:paraId="2AA451D7" w14:textId="77777777" w:rsidR="00167EF9" w:rsidRPr="008E6588" w:rsidRDefault="00167EF9" w:rsidP="00836DB5">
            <w:pPr>
              <w:keepLines/>
              <w:jc w:val="center"/>
              <w:rPr>
                <w:rFonts w:ascii="Arial Narrow" w:hAnsi="Arial Narrow" w:cs="Arial"/>
                <w:sz w:val="20"/>
                <w:szCs w:val="20"/>
              </w:rPr>
            </w:pPr>
            <w:r w:rsidRPr="008E6588">
              <w:rPr>
                <w:rFonts w:ascii="Arial Narrow" w:hAnsi="Arial Narrow" w:cs="Arial"/>
                <w:sz w:val="20"/>
                <w:szCs w:val="20"/>
              </w:rPr>
              <w:t>0</w:t>
            </w:r>
          </w:p>
        </w:tc>
        <w:tc>
          <w:tcPr>
            <w:tcW w:w="808" w:type="dxa"/>
            <w:vMerge/>
            <w:vAlign w:val="center"/>
          </w:tcPr>
          <w:p w14:paraId="7CE46CA9" w14:textId="77777777" w:rsidR="00167EF9" w:rsidRPr="008E6588" w:rsidRDefault="00167EF9" w:rsidP="00836DB5">
            <w:pPr>
              <w:keepLines/>
              <w:rPr>
                <w:rFonts w:ascii="Arial Narrow" w:hAnsi="Arial Narrow" w:cs="Arial"/>
                <w:sz w:val="20"/>
                <w:szCs w:val="20"/>
              </w:rPr>
            </w:pPr>
          </w:p>
        </w:tc>
      </w:tr>
      <w:tr w:rsidR="004164CF" w:rsidRPr="008E6588" w14:paraId="47C86C8F" w14:textId="77777777" w:rsidTr="003E1CD1">
        <w:tblPrEx>
          <w:tblCellMar>
            <w:top w:w="15" w:type="dxa"/>
            <w:bottom w:w="15" w:type="dxa"/>
          </w:tblCellMar>
        </w:tblPrEx>
        <w:trPr>
          <w:trHeight w:val="300"/>
        </w:trPr>
        <w:tc>
          <w:tcPr>
            <w:tcW w:w="9021" w:type="dxa"/>
            <w:gridSpan w:val="8"/>
            <w:tcBorders>
              <w:top w:val="single" w:sz="4" w:space="0" w:color="auto"/>
              <w:left w:val="single" w:sz="4" w:space="0" w:color="auto"/>
              <w:right w:val="single" w:sz="4" w:space="0" w:color="auto"/>
            </w:tcBorders>
            <w:vAlign w:val="center"/>
          </w:tcPr>
          <w:p w14:paraId="0C983F7E" w14:textId="77777777" w:rsidR="004164CF" w:rsidRPr="008E6588" w:rsidRDefault="004164CF" w:rsidP="00836DB5">
            <w:pPr>
              <w:rPr>
                <w:rFonts w:ascii="Arial Narrow" w:hAnsi="Arial Narrow" w:cs="Arial"/>
                <w:sz w:val="20"/>
                <w:szCs w:val="20"/>
              </w:rPr>
            </w:pPr>
          </w:p>
        </w:tc>
      </w:tr>
      <w:tr w:rsidR="004164CF" w:rsidRPr="008E6588" w14:paraId="55BACCAF" w14:textId="77777777" w:rsidTr="003E1CD1">
        <w:tblPrEx>
          <w:tblCellMar>
            <w:top w:w="15" w:type="dxa"/>
            <w:bottom w:w="15" w:type="dxa"/>
          </w:tblCellMar>
        </w:tblPrEx>
        <w:trPr>
          <w:trHeight w:val="300"/>
        </w:trPr>
        <w:tc>
          <w:tcPr>
            <w:tcW w:w="1276" w:type="dxa"/>
            <w:gridSpan w:val="2"/>
            <w:vMerge w:val="restart"/>
            <w:tcBorders>
              <w:top w:val="single" w:sz="4" w:space="0" w:color="auto"/>
              <w:left w:val="single" w:sz="4" w:space="0" w:color="auto"/>
              <w:right w:val="single" w:sz="4" w:space="0" w:color="auto"/>
            </w:tcBorders>
          </w:tcPr>
          <w:p w14:paraId="7548B54A" w14:textId="77777777" w:rsidR="004164CF" w:rsidRPr="008E6588" w:rsidRDefault="004164CF" w:rsidP="00836DB5">
            <w:pPr>
              <w:jc w:val="center"/>
              <w:rPr>
                <w:rFonts w:ascii="Arial Narrow" w:hAnsi="Arial Narrow" w:cs="Arial"/>
                <w:b/>
                <w:sz w:val="20"/>
                <w:szCs w:val="20"/>
              </w:rPr>
            </w:pPr>
            <w:r w:rsidRPr="008E6588">
              <w:rPr>
                <w:rFonts w:ascii="Arial Narrow" w:hAnsi="Arial Narrow" w:cs="Arial"/>
                <w:b/>
                <w:sz w:val="20"/>
                <w:szCs w:val="20"/>
              </w:rPr>
              <w:t xml:space="preserve">Concept ID </w:t>
            </w:r>
            <w:r w:rsidRPr="008E6588">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15FDD56" w14:textId="77777777" w:rsidR="004164CF" w:rsidRPr="008E6588" w:rsidRDefault="004164CF" w:rsidP="00836DB5">
            <w:pPr>
              <w:keepLines/>
              <w:rPr>
                <w:rFonts w:ascii="Arial Narrow" w:hAnsi="Arial Narrow" w:cs="Arial"/>
                <w:sz w:val="20"/>
                <w:szCs w:val="20"/>
              </w:rPr>
            </w:pPr>
            <w:r w:rsidRPr="008E6588">
              <w:rPr>
                <w:rFonts w:ascii="Arial Narrow" w:hAnsi="Arial Narrow" w:cs="Arial"/>
                <w:b/>
                <w:sz w:val="20"/>
                <w:szCs w:val="20"/>
              </w:rPr>
              <w:t>Category / Program:</w:t>
            </w:r>
            <w:r w:rsidRPr="008E6588">
              <w:rPr>
                <w:rFonts w:ascii="Arial Narrow" w:hAnsi="Arial Narrow" w:cs="Arial"/>
                <w:sz w:val="20"/>
                <w:szCs w:val="20"/>
              </w:rPr>
              <w:t xml:space="preserve"> </w:t>
            </w:r>
            <w:r w:rsidRPr="008E6588">
              <w:rPr>
                <w:rFonts w:ascii="Arial Narrow" w:eastAsia="Calibri" w:hAnsi="Arial Narrow" w:cs="Arial"/>
                <w:sz w:val="20"/>
                <w:szCs w:val="20"/>
              </w:rPr>
              <w:t>Section 100 – Highly Specialised Drugs Program – Public (Code HB)</w:t>
            </w:r>
            <w:r w:rsidRPr="008E6588">
              <w:rPr>
                <w:rFonts w:ascii="Arial Narrow" w:eastAsia="Calibri" w:hAnsi="Arial Narrow" w:cs="Arial"/>
                <w:color w:val="FF0000"/>
                <w:sz w:val="20"/>
                <w:szCs w:val="20"/>
              </w:rPr>
              <w:t xml:space="preserve"> </w:t>
            </w:r>
            <w:r w:rsidRPr="008E6588">
              <w:rPr>
                <w:rFonts w:ascii="Arial Narrow" w:eastAsia="Calibri" w:hAnsi="Arial Narrow" w:cs="Arial"/>
                <w:sz w:val="20"/>
                <w:szCs w:val="20"/>
              </w:rPr>
              <w:t>/ Private (Code HS)</w:t>
            </w:r>
          </w:p>
        </w:tc>
      </w:tr>
      <w:tr w:rsidR="004164CF" w:rsidRPr="008E6588" w14:paraId="424392E8" w14:textId="77777777">
        <w:tblPrEx>
          <w:tblCellMar>
            <w:top w:w="15" w:type="dxa"/>
            <w:bottom w:w="15" w:type="dxa"/>
          </w:tblCellMar>
        </w:tblPrEx>
        <w:trPr>
          <w:trHeight w:val="300"/>
        </w:trPr>
        <w:tc>
          <w:tcPr>
            <w:tcW w:w="1276" w:type="dxa"/>
            <w:gridSpan w:val="2"/>
            <w:vMerge/>
            <w:tcBorders>
              <w:left w:val="single" w:sz="4" w:space="0" w:color="auto"/>
              <w:right w:val="single" w:sz="4" w:space="0" w:color="auto"/>
            </w:tcBorders>
          </w:tcPr>
          <w:p w14:paraId="7A4B485D" w14:textId="77777777" w:rsidR="004164CF" w:rsidRPr="008E6588" w:rsidRDefault="004164CF" w:rsidP="00836DB5">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5240794" w14:textId="77777777" w:rsidR="004164CF" w:rsidRPr="008E6588" w:rsidRDefault="004164CF" w:rsidP="00836DB5">
            <w:pPr>
              <w:keepLines/>
              <w:rPr>
                <w:rFonts w:ascii="Arial Narrow" w:hAnsi="Arial Narrow" w:cs="Arial"/>
                <w:b/>
                <w:sz w:val="20"/>
                <w:szCs w:val="20"/>
              </w:rPr>
            </w:pPr>
            <w:r w:rsidRPr="008E6588">
              <w:rPr>
                <w:rFonts w:ascii="Arial Narrow" w:hAnsi="Arial Narrow" w:cs="Arial"/>
                <w:b/>
                <w:sz w:val="20"/>
                <w:szCs w:val="20"/>
              </w:rPr>
              <w:t xml:space="preserve">Prescriber type: </w:t>
            </w:r>
            <w:r w:rsidRPr="008E6588">
              <w:rPr>
                <w:rFonts w:ascii="Arial Narrow" w:hAnsi="Arial Narrow" w:cs="Arial"/>
                <w:sz w:val="20"/>
                <w:szCs w:val="20"/>
              </w:rPr>
              <w:fldChar w:fldCharType="begin" w:fldLock="1">
                <w:ffData>
                  <w:name w:val=""/>
                  <w:enabled/>
                  <w:calcOnExit w:val="0"/>
                  <w:checkBox>
                    <w:sizeAuto/>
                    <w:default w:val="1"/>
                  </w:checkBox>
                </w:ffData>
              </w:fldChar>
            </w:r>
            <w:r w:rsidRPr="008E6588">
              <w:rPr>
                <w:rFonts w:ascii="Arial Narrow" w:hAnsi="Arial Narrow" w:cs="Arial"/>
                <w:sz w:val="20"/>
                <w:szCs w:val="20"/>
              </w:rPr>
              <w:instrText xml:space="preserve"> FORMCHECKBOX </w:instrText>
            </w:r>
            <w:r w:rsidRPr="008E6588">
              <w:rPr>
                <w:rFonts w:ascii="Arial Narrow" w:hAnsi="Arial Narrow" w:cs="Arial"/>
                <w:sz w:val="20"/>
                <w:szCs w:val="20"/>
              </w:rPr>
            </w:r>
            <w:r w:rsidRPr="008E6588">
              <w:rPr>
                <w:rFonts w:ascii="Arial Narrow" w:hAnsi="Arial Narrow" w:cs="Arial"/>
                <w:sz w:val="20"/>
                <w:szCs w:val="20"/>
              </w:rPr>
              <w:fldChar w:fldCharType="separate"/>
            </w:r>
            <w:r w:rsidRPr="008E6588">
              <w:rPr>
                <w:rFonts w:ascii="Arial Narrow" w:hAnsi="Arial Narrow" w:cs="Arial"/>
                <w:sz w:val="20"/>
                <w:szCs w:val="20"/>
              </w:rPr>
              <w:fldChar w:fldCharType="end"/>
            </w:r>
            <w:r w:rsidRPr="008E6588">
              <w:rPr>
                <w:rFonts w:ascii="Arial Narrow" w:hAnsi="Arial Narrow" w:cs="Arial"/>
                <w:sz w:val="20"/>
                <w:szCs w:val="20"/>
              </w:rPr>
              <w:t xml:space="preserve">Medical Practitioners </w:t>
            </w:r>
          </w:p>
        </w:tc>
      </w:tr>
      <w:tr w:rsidR="004164CF" w:rsidRPr="008E6588" w14:paraId="12FA7171" w14:textId="77777777">
        <w:tblPrEx>
          <w:tblCellMar>
            <w:top w:w="15" w:type="dxa"/>
            <w:bottom w:w="15" w:type="dxa"/>
          </w:tblCellMar>
        </w:tblPrEx>
        <w:trPr>
          <w:trHeight w:val="300"/>
        </w:trPr>
        <w:tc>
          <w:tcPr>
            <w:tcW w:w="1276" w:type="dxa"/>
            <w:gridSpan w:val="2"/>
            <w:vMerge/>
            <w:tcBorders>
              <w:left w:val="single" w:sz="4" w:space="0" w:color="auto"/>
              <w:right w:val="single" w:sz="4" w:space="0" w:color="auto"/>
            </w:tcBorders>
          </w:tcPr>
          <w:p w14:paraId="35679577" w14:textId="77777777" w:rsidR="004164CF" w:rsidRPr="008E6588" w:rsidRDefault="004164CF" w:rsidP="00836DB5">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1DDBF22" w14:textId="77777777" w:rsidR="004164CF" w:rsidRPr="008E6588" w:rsidRDefault="004164CF" w:rsidP="00836DB5">
            <w:pPr>
              <w:keepLines/>
              <w:rPr>
                <w:rFonts w:ascii="Arial Narrow" w:eastAsia="Calibri" w:hAnsi="Arial Narrow" w:cs="Arial"/>
                <w:color w:val="FF0000"/>
                <w:sz w:val="20"/>
                <w:szCs w:val="20"/>
              </w:rPr>
            </w:pPr>
            <w:r w:rsidRPr="008E6588">
              <w:rPr>
                <w:rFonts w:ascii="Arial Narrow" w:hAnsi="Arial Narrow" w:cs="Arial"/>
                <w:b/>
                <w:sz w:val="20"/>
                <w:szCs w:val="20"/>
              </w:rPr>
              <w:t xml:space="preserve">Restriction type: </w:t>
            </w:r>
            <w:r w:rsidRPr="008E6588">
              <w:rPr>
                <w:rFonts w:ascii="Arial Narrow" w:eastAsia="Calibri" w:hAnsi="Arial Narrow" w:cs="Arial"/>
                <w:sz w:val="20"/>
                <w:szCs w:val="20"/>
              </w:rPr>
              <w:fldChar w:fldCharType="begin" w:fldLock="1">
                <w:ffData>
                  <w:name w:val=""/>
                  <w:enabled/>
                  <w:calcOnExit w:val="0"/>
                  <w:checkBox>
                    <w:sizeAuto/>
                    <w:default w:val="1"/>
                  </w:checkBox>
                </w:ffData>
              </w:fldChar>
            </w:r>
            <w:r w:rsidRPr="008E6588">
              <w:rPr>
                <w:rFonts w:ascii="Arial Narrow" w:eastAsia="Calibri" w:hAnsi="Arial Narrow" w:cs="Arial"/>
                <w:sz w:val="20"/>
                <w:szCs w:val="20"/>
              </w:rPr>
              <w:instrText xml:space="preserve"> FORMCHECKBOX </w:instrText>
            </w:r>
            <w:r w:rsidRPr="008E6588">
              <w:rPr>
                <w:rFonts w:ascii="Arial Narrow" w:eastAsia="Calibri" w:hAnsi="Arial Narrow" w:cs="Arial"/>
                <w:sz w:val="20"/>
                <w:szCs w:val="20"/>
              </w:rPr>
            </w:r>
            <w:r w:rsidRPr="008E6588">
              <w:rPr>
                <w:rFonts w:ascii="Arial Narrow" w:eastAsia="Calibri" w:hAnsi="Arial Narrow" w:cs="Arial"/>
                <w:sz w:val="20"/>
                <w:szCs w:val="20"/>
              </w:rPr>
              <w:fldChar w:fldCharType="separate"/>
            </w:r>
            <w:r w:rsidRPr="008E6588">
              <w:rPr>
                <w:rFonts w:ascii="Arial Narrow" w:eastAsia="Calibri" w:hAnsi="Arial Narrow" w:cs="Arial"/>
                <w:sz w:val="20"/>
                <w:szCs w:val="20"/>
              </w:rPr>
              <w:fldChar w:fldCharType="end"/>
            </w:r>
            <w:r w:rsidRPr="008E6588">
              <w:rPr>
                <w:rFonts w:ascii="Arial Narrow" w:eastAsia="Calibri" w:hAnsi="Arial Narrow" w:cs="Arial"/>
                <w:sz w:val="20"/>
                <w:szCs w:val="20"/>
              </w:rPr>
              <w:t>Authority Required (telephone/online PBS Authorities system)</w:t>
            </w:r>
          </w:p>
        </w:tc>
      </w:tr>
      <w:tr w:rsidR="0020460A" w:rsidRPr="008E6588" w14:paraId="385C7BB7" w14:textId="77777777">
        <w:tblPrEx>
          <w:tblCellMar>
            <w:top w:w="15" w:type="dxa"/>
            <w:bottom w:w="15" w:type="dxa"/>
          </w:tblCellMar>
        </w:tblPrEx>
        <w:trPr>
          <w:trHeight w:val="300"/>
        </w:trPr>
        <w:tc>
          <w:tcPr>
            <w:tcW w:w="1276" w:type="dxa"/>
            <w:gridSpan w:val="2"/>
            <w:vMerge/>
            <w:tcBorders>
              <w:left w:val="single" w:sz="4" w:space="0" w:color="auto"/>
              <w:right w:val="single" w:sz="4" w:space="0" w:color="auto"/>
            </w:tcBorders>
          </w:tcPr>
          <w:p w14:paraId="5819387D" w14:textId="77777777" w:rsidR="0020460A" w:rsidRPr="008E6588" w:rsidRDefault="0020460A">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A98F0D8" w14:textId="30AE86B9" w:rsidR="0020460A" w:rsidRPr="008E6588" w:rsidRDefault="0020460A">
            <w:pPr>
              <w:keepLines/>
              <w:rPr>
                <w:rFonts w:ascii="Arial Narrow" w:hAnsi="Arial Narrow" w:cs="Arial"/>
                <w:b/>
                <w:sz w:val="20"/>
                <w:szCs w:val="20"/>
              </w:rPr>
            </w:pPr>
            <w:r w:rsidRPr="008E6588">
              <w:rPr>
                <w:rFonts w:ascii="Arial Narrow" w:hAnsi="Arial Narrow"/>
                <w:b/>
                <w:sz w:val="20"/>
                <w:szCs w:val="20"/>
              </w:rPr>
              <w:t xml:space="preserve">Authority type: </w:t>
            </w:r>
            <w:r w:rsidRPr="008E6588">
              <w:rPr>
                <w:rFonts w:ascii="Arial Narrow" w:eastAsia="Calibri" w:hAnsi="Arial Narrow"/>
                <w:sz w:val="20"/>
                <w:szCs w:val="20"/>
              </w:rPr>
              <w:fldChar w:fldCharType="begin" w:fldLock="1">
                <w:ffData>
                  <w:name w:val=""/>
                  <w:enabled/>
                  <w:calcOnExit w:val="0"/>
                  <w:checkBox>
                    <w:sizeAuto/>
                    <w:default w:val="1"/>
                  </w:checkBox>
                </w:ffData>
              </w:fldChar>
            </w:r>
            <w:r w:rsidRPr="008E6588">
              <w:rPr>
                <w:rFonts w:ascii="Arial Narrow" w:eastAsia="Calibri" w:hAnsi="Arial Narrow"/>
                <w:sz w:val="20"/>
                <w:szCs w:val="20"/>
              </w:rPr>
              <w:instrText xml:space="preserve"> FORMCHECKBOX </w:instrText>
            </w:r>
            <w:r w:rsidRPr="008E6588">
              <w:rPr>
                <w:rFonts w:ascii="Arial Narrow" w:eastAsia="Calibri" w:hAnsi="Arial Narrow"/>
                <w:sz w:val="20"/>
                <w:szCs w:val="20"/>
              </w:rPr>
            </w:r>
            <w:r w:rsidRPr="008E6588">
              <w:rPr>
                <w:rFonts w:ascii="Arial Narrow" w:eastAsia="Calibri" w:hAnsi="Arial Narrow"/>
                <w:sz w:val="20"/>
                <w:szCs w:val="20"/>
              </w:rPr>
              <w:fldChar w:fldCharType="separate"/>
            </w:r>
            <w:r w:rsidRPr="008E6588">
              <w:rPr>
                <w:rFonts w:ascii="Arial Narrow" w:eastAsia="Calibri" w:hAnsi="Arial Narrow"/>
                <w:sz w:val="20"/>
                <w:szCs w:val="20"/>
              </w:rPr>
              <w:fldChar w:fldCharType="end"/>
            </w:r>
            <w:r w:rsidRPr="008E6588">
              <w:rPr>
                <w:rFonts w:ascii="Arial Narrow" w:eastAsia="Calibri" w:hAnsi="Arial Narrow"/>
                <w:sz w:val="20"/>
                <w:szCs w:val="20"/>
              </w:rPr>
              <w:t xml:space="preserve"> Complex Authority Required (CAR)</w:t>
            </w:r>
          </w:p>
        </w:tc>
      </w:tr>
      <w:tr w:rsidR="009B3FBA" w:rsidRPr="008E6588" w14:paraId="03EFB29E" w14:textId="77777777" w:rsidTr="00B13442">
        <w:tblPrEx>
          <w:tblCellMar>
            <w:top w:w="15" w:type="dxa"/>
            <w:bottom w:w="15" w:type="dxa"/>
          </w:tblCellMar>
          <w:tblLook w:val="0000" w:firstRow="0" w:lastRow="0" w:firstColumn="0" w:lastColumn="0" w:noHBand="0" w:noVBand="0"/>
        </w:tblPrEx>
        <w:trPr>
          <w:trHeight w:val="20"/>
        </w:trPr>
        <w:tc>
          <w:tcPr>
            <w:tcW w:w="566" w:type="dxa"/>
            <w:vMerge w:val="restart"/>
            <w:tcBorders>
              <w:left w:val="single" w:sz="4" w:space="0" w:color="auto"/>
              <w:right w:val="single" w:sz="4" w:space="0" w:color="auto"/>
            </w:tcBorders>
            <w:textDirection w:val="btLr"/>
          </w:tcPr>
          <w:p w14:paraId="57918DA1" w14:textId="77777777" w:rsidR="009B3FBA" w:rsidRPr="008E6588" w:rsidRDefault="009B3FBA" w:rsidP="00B13442">
            <w:pPr>
              <w:ind w:left="113" w:right="113"/>
              <w:jc w:val="center"/>
              <w:rPr>
                <w:rFonts w:ascii="Arial Narrow" w:hAnsi="Arial Narrow" w:cs="Arial"/>
                <w:sz w:val="20"/>
                <w:szCs w:val="20"/>
              </w:rPr>
            </w:pPr>
            <w:r w:rsidRPr="008E6588">
              <w:rPr>
                <w:rFonts w:ascii="Arial Narrow" w:hAnsi="Arial Narrow" w:cs="Arial"/>
                <w:sz w:val="20"/>
                <w:szCs w:val="20"/>
              </w:rPr>
              <w:t>Prescribing rule level</w:t>
            </w:r>
          </w:p>
        </w:tc>
        <w:tc>
          <w:tcPr>
            <w:tcW w:w="710" w:type="dxa"/>
            <w:tcBorders>
              <w:left w:val="single" w:sz="4" w:space="0" w:color="auto"/>
              <w:right w:val="single" w:sz="4" w:space="0" w:color="auto"/>
            </w:tcBorders>
          </w:tcPr>
          <w:p w14:paraId="05F33D4C" w14:textId="7F5041B7" w:rsidR="009B3FBA" w:rsidRPr="008E6588" w:rsidRDefault="009B3FBA" w:rsidP="00836DB5">
            <w:pPr>
              <w:jc w:val="left"/>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5F833DFC"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
                <w:sz w:val="20"/>
                <w:szCs w:val="20"/>
              </w:rPr>
              <w:t xml:space="preserve">Administrative Advice: </w:t>
            </w:r>
          </w:p>
          <w:p w14:paraId="48EDE149" w14:textId="77777777" w:rsidR="009B3FBA" w:rsidRPr="008E6588" w:rsidRDefault="009B3FBA" w:rsidP="00836DB5">
            <w:pPr>
              <w:keepLines/>
              <w:jc w:val="left"/>
              <w:rPr>
                <w:rFonts w:ascii="Arial Narrow" w:hAnsi="Arial Narrow" w:cs="Arial"/>
                <w:b/>
                <w:sz w:val="20"/>
                <w:szCs w:val="20"/>
              </w:rPr>
            </w:pPr>
            <w:r w:rsidRPr="008E6588">
              <w:rPr>
                <w:rFonts w:ascii="Arial Narrow" w:hAnsi="Arial Narrow" w:cs="Arial"/>
                <w:b/>
                <w:bCs/>
                <w:sz w:val="20"/>
                <w:szCs w:val="20"/>
              </w:rPr>
              <w:lastRenderedPageBreak/>
              <w:t>TREATMENT OF ADULT AND ADOLESCENT PATIENTS WITH UNCONTROLLED SEVERE ASTHMA</w:t>
            </w:r>
          </w:p>
          <w:p w14:paraId="68E88735"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The following information applies to the prescribing under the Pharmaceutical Benefits Scheme (PBS) of the biological medicines for uncontrolled severe asthma. Where the term biological medicine appears in the following notes and restrictions it refers to all PBS benefits with the specific PBS indication of 'uncontrolled severe asthma'.</w:t>
            </w:r>
          </w:p>
          <w:p w14:paraId="3B97E65A"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A patient is eligible for PBS-subsidised treatment with only 1 biological medicine for uncontrolled severe asthma at any one time.</w:t>
            </w:r>
          </w:p>
          <w:p w14:paraId="4D6CEC54"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 xml:space="preserve">A patient receiving PBS-subsidised treatment for uncontrolled severe asthma </w:t>
            </w:r>
            <w:proofErr w:type="gramStart"/>
            <w:r w:rsidRPr="008E6588">
              <w:rPr>
                <w:rFonts w:ascii="Arial Narrow" w:hAnsi="Arial Narrow" w:cs="Arial"/>
                <w:bCs/>
                <w:sz w:val="20"/>
                <w:szCs w:val="20"/>
              </w:rPr>
              <w:t>is able to</w:t>
            </w:r>
            <w:proofErr w:type="gramEnd"/>
            <w:r w:rsidRPr="008E6588">
              <w:rPr>
                <w:rFonts w:ascii="Arial Narrow" w:hAnsi="Arial Narrow" w:cs="Arial"/>
                <w:bCs/>
                <w:sz w:val="20"/>
                <w:szCs w:val="20"/>
              </w:rPr>
              <w:t xml:space="preserve"> commence a treatment cycle where they may trial a biological medicine without having to experience a disease flare when swapping to an alternate biological medicine within the same treatment cycle.</w:t>
            </w:r>
          </w:p>
          <w:p w14:paraId="66B31FFD"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 xml:space="preserve">Under these arrangements, within a treatment cycle, a patient may receive long-term treatment with a biological medicine </w:t>
            </w:r>
            <w:proofErr w:type="gramStart"/>
            <w:r w:rsidRPr="008E6588">
              <w:rPr>
                <w:rFonts w:ascii="Arial Narrow" w:hAnsi="Arial Narrow" w:cs="Arial"/>
                <w:bCs/>
                <w:sz w:val="20"/>
                <w:szCs w:val="20"/>
              </w:rPr>
              <w:t>as long as</w:t>
            </w:r>
            <w:proofErr w:type="gramEnd"/>
            <w:r w:rsidRPr="008E6588">
              <w:rPr>
                <w:rFonts w:ascii="Arial Narrow" w:hAnsi="Arial Narrow" w:cs="Arial"/>
                <w:bCs/>
                <w:sz w:val="20"/>
                <w:szCs w:val="20"/>
              </w:rPr>
              <w:t xml:space="preserve"> they sustain a response to therapy.</w:t>
            </w:r>
          </w:p>
          <w:p w14:paraId="00DF2613"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A patient currently receiving PBS-subsidised treatment as of 1 April 2021 is considered to have started a cycle of treatment.</w:t>
            </w:r>
          </w:p>
          <w:p w14:paraId="0BC44F5E"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Within the same treatment cycle, a patient cannot trial and fail, or cease to respond to, the same PBS-subsidised biological medicine more than once.</w:t>
            </w:r>
          </w:p>
          <w:p w14:paraId="05257FED"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Therefore, once a patient fails to meet the response criteria for a PBS-subsidised biological medicine, they must change to an alternate biological medicine if they wish to continue PBS-subsidised biological treatment.</w:t>
            </w:r>
          </w:p>
          <w:p w14:paraId="0AA95D9D"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Once a patient has either failed to achieve or sustain a response to treatment 4 times, they are deemed to have completed a single treatment cycle. They must have at least a 12-month break in PBS-subsidised biological medicine therapy before they are eligible to recommence another new treatment cycle [further details are under 'Recommencement of treatment after a treatment break in PBS-subsidised therapy' below].</w:t>
            </w:r>
          </w:p>
          <w:p w14:paraId="1E78F5D7"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The length of the break in therapy is measured from the date the most recent treatment with a PBS-subsidised biological medicine is ceased until the date of the first application for recommencement of treatment with a biological medicine under the new treatment cycle.</w:t>
            </w:r>
          </w:p>
          <w:p w14:paraId="217BF1DE"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There is no limit to the number of treatment cycles that a patient may undertake in their lifetime.</w:t>
            </w:r>
          </w:p>
          <w:p w14:paraId="2AFA88AF"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How to prescribe PBS-subsidised biological medicine treatment for uncontrolled severe asthma.</w:t>
            </w:r>
          </w:p>
          <w:p w14:paraId="685A7827"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(1) Initial treatment:</w:t>
            </w:r>
          </w:p>
          <w:p w14:paraId="71C058CD"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Applications for initial treatment should be made where:</w:t>
            </w:r>
          </w:p>
          <w:p w14:paraId="7B1BB6E4"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w:t>
            </w:r>
            <w:proofErr w:type="spellStart"/>
            <w:r w:rsidRPr="008E6588">
              <w:rPr>
                <w:rFonts w:ascii="Arial Narrow" w:hAnsi="Arial Narrow" w:cs="Arial"/>
                <w:bCs/>
                <w:sz w:val="20"/>
                <w:szCs w:val="20"/>
              </w:rPr>
              <w:t>i</w:t>
            </w:r>
            <w:proofErr w:type="spellEnd"/>
            <w:r w:rsidRPr="008E6588">
              <w:rPr>
                <w:rFonts w:ascii="Arial Narrow" w:hAnsi="Arial Narrow" w:cs="Arial"/>
                <w:bCs/>
                <w:sz w:val="20"/>
                <w:szCs w:val="20"/>
              </w:rPr>
              <w:t>) a patient has not received prior PBS-subsidised biological medicine treatment and wishes to commence such therapy (Initial 1 restriction); or</w:t>
            </w:r>
          </w:p>
          <w:p w14:paraId="714443EF"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(ii) a patient has received prior PBS-subsidised treatment with a biological medicine and wishes to recommence a new treatment cycle with this biological medicine following a treatment break in PBS-subsidised therapy (Initial 1 restriction); or</w:t>
            </w:r>
          </w:p>
          <w:p w14:paraId="62EF1272"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(iii) a patient has received prior PBS-subsidised biological medicine therapy and wishes to trial an alternate biological medicine within the same treatment cycle (Initial 2 restriction) - [further details are under 'Swapping therapy' below].</w:t>
            </w:r>
          </w:p>
          <w:p w14:paraId="08A38B8A"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All applications for initial treatment will be limited to provide for a maximum of up to 32 weeks of therapy of a biological medicine. It is recommended that a patient be reviewed in the month prior to completing their course of initial treatment to ensure uninterrupted biological medicine supply.</w:t>
            </w:r>
          </w:p>
          <w:p w14:paraId="052CE4BC"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(2) Continuing treatment:</w:t>
            </w:r>
          </w:p>
          <w:p w14:paraId="264FAB3C"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Following the completion of an initial treatment course with a specific biological medicine, a patient may qualify to receive up to 24 weeks of continuing treatment with that biological medicine providing they have demonstrated an adequate response to treatment. The patient remains eligible to receive continuing biological medicine treatment with the same drug in courses of up to 24 weeks providing they continue to sustain the response. It is recommended that a patient be reviewed the month prior to completing their current course of treatment to ensure uninterrupted biological medicine supply.</w:t>
            </w:r>
          </w:p>
          <w:p w14:paraId="5968D358"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(3) Baseline measurements to determine response:</w:t>
            </w:r>
          </w:p>
          <w:p w14:paraId="2580B9CD"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Baseline measurements of the Asthma Control Questionnaire (ACQ; 5 item version) or oral corticosteroid dose submitted with the Initial authority application for a biological medicine must be used to determine whether an adequate response to treatment has been achieved or sustained.</w:t>
            </w:r>
          </w:p>
          <w:p w14:paraId="5664B75A"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lastRenderedPageBreak/>
              <w:t>For patients transitioned from the paediatric to the adolescent/adult restriction, the exacerbation history may also be used to determine response.</w:t>
            </w:r>
          </w:p>
          <w:p w14:paraId="70DAD547"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 xml:space="preserve">However, prescribers may provide new baseline measurements when a new Initial treatment authority application is </w:t>
            </w:r>
            <w:proofErr w:type="gramStart"/>
            <w:r w:rsidRPr="008E6588">
              <w:rPr>
                <w:rFonts w:ascii="Arial Narrow" w:hAnsi="Arial Narrow" w:cs="Arial"/>
                <w:bCs/>
                <w:sz w:val="20"/>
                <w:szCs w:val="20"/>
              </w:rPr>
              <w:t>submitted</w:t>
            </w:r>
            <w:proofErr w:type="gramEnd"/>
            <w:r w:rsidRPr="008E6588">
              <w:rPr>
                <w:rFonts w:ascii="Arial Narrow" w:hAnsi="Arial Narrow" w:cs="Arial"/>
                <w:bCs/>
                <w:sz w:val="20"/>
                <w:szCs w:val="20"/>
              </w:rPr>
              <w:t xml:space="preserve"> and these new baseline measurements may be used to assess response.</w:t>
            </w:r>
          </w:p>
          <w:p w14:paraId="1634FFFA"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(4) Swapping therapy within the same treatment cycle.</w:t>
            </w:r>
          </w:p>
          <w:p w14:paraId="0A4CE4FA"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Once initial treatment with the first PBS-subsidised biological medicine is approved, a patient may swap to an alternate biological medicine at any time by qualifying under an Initial 2 restriction.</w:t>
            </w:r>
          </w:p>
          <w:p w14:paraId="42F9056A"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However, they cannot swap to a particular biological medicine if they have failed to respond to prior treatment with that drug within the same treatment cycle.</w:t>
            </w:r>
          </w:p>
          <w:p w14:paraId="66518EFE"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Within the same treatment cycle a patient may alternate between therapy with any biological medicine of their choice (1 at a time) providing:</w:t>
            </w:r>
          </w:p>
          <w:p w14:paraId="61E79E28"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w:t>
            </w:r>
            <w:proofErr w:type="spellStart"/>
            <w:r w:rsidRPr="008E6588">
              <w:rPr>
                <w:rFonts w:ascii="Arial Narrow" w:hAnsi="Arial Narrow" w:cs="Arial"/>
                <w:bCs/>
                <w:sz w:val="20"/>
                <w:szCs w:val="20"/>
              </w:rPr>
              <w:t>i</w:t>
            </w:r>
            <w:proofErr w:type="spellEnd"/>
            <w:r w:rsidRPr="008E6588">
              <w:rPr>
                <w:rFonts w:ascii="Arial Narrow" w:hAnsi="Arial Narrow" w:cs="Arial"/>
                <w:bCs/>
                <w:sz w:val="20"/>
                <w:szCs w:val="20"/>
              </w:rPr>
              <w:t xml:space="preserve">) they have not received PBS-subsidised treatment with that </w:t>
            </w:r>
            <w:proofErr w:type="gramStart"/>
            <w:r w:rsidRPr="008E6588">
              <w:rPr>
                <w:rFonts w:ascii="Arial Narrow" w:hAnsi="Arial Narrow" w:cs="Arial"/>
                <w:bCs/>
                <w:sz w:val="20"/>
                <w:szCs w:val="20"/>
              </w:rPr>
              <w:t>particular biological</w:t>
            </w:r>
            <w:proofErr w:type="gramEnd"/>
            <w:r w:rsidRPr="008E6588">
              <w:rPr>
                <w:rFonts w:ascii="Arial Narrow" w:hAnsi="Arial Narrow" w:cs="Arial"/>
                <w:bCs/>
                <w:sz w:val="20"/>
                <w:szCs w:val="20"/>
              </w:rPr>
              <w:t xml:space="preserve"> medicine previously; or</w:t>
            </w:r>
          </w:p>
          <w:p w14:paraId="0DAB565A"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 xml:space="preserve">(ii) they have demonstrated an adequate response to that </w:t>
            </w:r>
            <w:proofErr w:type="gramStart"/>
            <w:r w:rsidRPr="008E6588">
              <w:rPr>
                <w:rFonts w:ascii="Arial Narrow" w:hAnsi="Arial Narrow" w:cs="Arial"/>
                <w:bCs/>
                <w:sz w:val="20"/>
                <w:szCs w:val="20"/>
              </w:rPr>
              <w:t>particular biological</w:t>
            </w:r>
            <w:proofErr w:type="gramEnd"/>
            <w:r w:rsidRPr="008E6588">
              <w:rPr>
                <w:rFonts w:ascii="Arial Narrow" w:hAnsi="Arial Narrow" w:cs="Arial"/>
                <w:bCs/>
                <w:sz w:val="20"/>
                <w:szCs w:val="20"/>
              </w:rPr>
              <w:t xml:space="preserve"> medicine if they have previously trialled it on the PBS; and</w:t>
            </w:r>
          </w:p>
          <w:p w14:paraId="011C6ACE"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(iii) they have not previously failed to respond to treatment with all 4 biological medicines in this treatment cycle.</w:t>
            </w:r>
          </w:p>
          <w:p w14:paraId="3A3A057A"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(5) Re-commencement of a new treatment cycle after a treatment break in PBS-subsidised therapy:</w:t>
            </w:r>
          </w:p>
          <w:p w14:paraId="5EF0EC57"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A patient who wishes to trial a second or subsequent new treatment cycle, following a break in PBS-subsidised therapy of at least 12 months (in patients who have failed to achieve or ceased to sustain a response to treatment 4 times within a treatment cycle), must re-qualify through an Initial 1 restriction.</w:t>
            </w:r>
          </w:p>
          <w:p w14:paraId="5BA7B4CC"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(6) Monitoring of patients:</w:t>
            </w:r>
          </w:p>
          <w:p w14:paraId="4BCFE53A"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Omalizumab only:</w:t>
            </w:r>
          </w:p>
          <w:p w14:paraId="0199CA3A" w14:textId="77777777" w:rsidR="009B3FBA" w:rsidRPr="008E6588" w:rsidRDefault="009B3FBA" w:rsidP="00836DB5">
            <w:pPr>
              <w:keepLines/>
              <w:jc w:val="left"/>
              <w:rPr>
                <w:rFonts w:ascii="Arial Narrow" w:hAnsi="Arial Narrow" w:cs="Arial"/>
                <w:bCs/>
                <w:sz w:val="20"/>
                <w:szCs w:val="20"/>
              </w:rPr>
            </w:pPr>
            <w:r w:rsidRPr="008E6588">
              <w:rPr>
                <w:rFonts w:ascii="Arial Narrow" w:hAnsi="Arial Narrow" w:cs="Arial"/>
                <w:bCs/>
                <w:sz w:val="20"/>
                <w:szCs w:val="20"/>
              </w:rPr>
              <w:t xml:space="preserve">Anaphylaxis and anaphylactoid reactions have been reported following first or subsequent administration of omalizumab (see Product Information). Patients should be monitored post-injection, and medications for the treatment of anaphylactic reactions should be available for immediate use following administration of omalizumab. Patients should be informed that such reactions are </w:t>
            </w:r>
            <w:proofErr w:type="gramStart"/>
            <w:r w:rsidRPr="008E6588">
              <w:rPr>
                <w:rFonts w:ascii="Arial Narrow" w:hAnsi="Arial Narrow" w:cs="Arial"/>
                <w:bCs/>
                <w:sz w:val="20"/>
                <w:szCs w:val="20"/>
              </w:rPr>
              <w:t>possible</w:t>
            </w:r>
            <w:proofErr w:type="gramEnd"/>
            <w:r w:rsidRPr="008E6588">
              <w:rPr>
                <w:rFonts w:ascii="Arial Narrow" w:hAnsi="Arial Narrow" w:cs="Arial"/>
                <w:bCs/>
                <w:sz w:val="20"/>
                <w:szCs w:val="20"/>
              </w:rPr>
              <w:t xml:space="preserve"> and prompt medical attention should be sought if allergic reactions occur.</w:t>
            </w:r>
          </w:p>
        </w:tc>
      </w:tr>
      <w:tr w:rsidR="009B3FBA" w:rsidRPr="008E6588" w14:paraId="62C5F30B" w14:textId="77777777" w:rsidTr="003E1CD1">
        <w:tblPrEx>
          <w:tblCellMar>
            <w:top w:w="15" w:type="dxa"/>
            <w:bottom w:w="15" w:type="dxa"/>
          </w:tblCellMar>
          <w:tblLook w:val="0000" w:firstRow="0" w:lastRow="0" w:firstColumn="0" w:lastColumn="0" w:noHBand="0" w:noVBand="0"/>
        </w:tblPrEx>
        <w:trPr>
          <w:trHeight w:val="20"/>
        </w:trPr>
        <w:tc>
          <w:tcPr>
            <w:tcW w:w="566" w:type="dxa"/>
            <w:vMerge/>
            <w:tcBorders>
              <w:left w:val="single" w:sz="4" w:space="0" w:color="auto"/>
              <w:right w:val="single" w:sz="4" w:space="0" w:color="auto"/>
            </w:tcBorders>
          </w:tcPr>
          <w:p w14:paraId="3CA51FFC" w14:textId="77777777" w:rsidR="009B3FBA" w:rsidRPr="008E6588" w:rsidRDefault="009B3FBA" w:rsidP="00836DB5">
            <w:pPr>
              <w:jc w:val="left"/>
              <w:rPr>
                <w:rFonts w:ascii="Arial Narrow" w:hAnsi="Arial Narrow" w:cs="Arial"/>
                <w:sz w:val="20"/>
                <w:szCs w:val="20"/>
              </w:rPr>
            </w:pPr>
          </w:p>
        </w:tc>
        <w:tc>
          <w:tcPr>
            <w:tcW w:w="710" w:type="dxa"/>
            <w:tcBorders>
              <w:left w:val="single" w:sz="4" w:space="0" w:color="auto"/>
              <w:right w:val="single" w:sz="4" w:space="0" w:color="auto"/>
            </w:tcBorders>
          </w:tcPr>
          <w:p w14:paraId="238947D7" w14:textId="63440F43" w:rsidR="009B3FBA" w:rsidRPr="008E6588" w:rsidRDefault="009B3FBA" w:rsidP="00836DB5">
            <w:pPr>
              <w:jc w:val="left"/>
              <w:textAlignment w:val="baseline"/>
              <w:rPr>
                <w:rFonts w:ascii="Arial Narrow" w:hAnsi="Arial Narrow" w:cs="Open Sans"/>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6495D2D4" w14:textId="77777777" w:rsidR="009B3FBA" w:rsidRPr="008E6588" w:rsidRDefault="009B3FBA" w:rsidP="00836DB5">
            <w:pPr>
              <w:keepLines/>
              <w:jc w:val="left"/>
              <w:rPr>
                <w:rFonts w:ascii="Arial Narrow" w:hAnsi="Arial Narrow" w:cs="Arial"/>
                <w:sz w:val="20"/>
                <w:szCs w:val="20"/>
              </w:rPr>
            </w:pPr>
            <w:r w:rsidRPr="008E6588">
              <w:rPr>
                <w:rFonts w:ascii="Arial Narrow" w:hAnsi="Arial Narrow" w:cs="Arial"/>
                <w:b/>
                <w:sz w:val="20"/>
                <w:szCs w:val="20"/>
              </w:rPr>
              <w:t>Administrative Advice</w:t>
            </w:r>
            <w:r w:rsidRPr="008E6588">
              <w:rPr>
                <w:rFonts w:ascii="Arial Narrow" w:hAnsi="Arial Narrow" w:cs="Arial"/>
                <w:sz w:val="20"/>
                <w:szCs w:val="20"/>
              </w:rPr>
              <w:t>: 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9B3FBA" w:rsidRPr="008E6588" w14:paraId="7AE9F0AC" w14:textId="77777777" w:rsidTr="003E1CD1">
        <w:tblPrEx>
          <w:tblCellMar>
            <w:top w:w="15" w:type="dxa"/>
            <w:bottom w:w="15" w:type="dxa"/>
          </w:tblCellMar>
          <w:tblLook w:val="0000" w:firstRow="0" w:lastRow="0" w:firstColumn="0" w:lastColumn="0" w:noHBand="0" w:noVBand="0"/>
        </w:tblPrEx>
        <w:trPr>
          <w:trHeight w:val="20"/>
        </w:trPr>
        <w:tc>
          <w:tcPr>
            <w:tcW w:w="566" w:type="dxa"/>
            <w:vMerge/>
            <w:tcBorders>
              <w:left w:val="single" w:sz="4" w:space="0" w:color="auto"/>
              <w:right w:val="single" w:sz="4" w:space="0" w:color="auto"/>
            </w:tcBorders>
          </w:tcPr>
          <w:p w14:paraId="5F09D9A4" w14:textId="77777777" w:rsidR="009B3FBA" w:rsidRPr="008E6588" w:rsidRDefault="009B3FBA" w:rsidP="00836DB5">
            <w:pPr>
              <w:jc w:val="left"/>
              <w:rPr>
                <w:rFonts w:ascii="Arial Narrow" w:hAnsi="Arial Narrow" w:cs="Arial"/>
                <w:sz w:val="20"/>
                <w:szCs w:val="20"/>
              </w:rPr>
            </w:pPr>
          </w:p>
        </w:tc>
        <w:tc>
          <w:tcPr>
            <w:tcW w:w="710" w:type="dxa"/>
            <w:tcBorders>
              <w:left w:val="single" w:sz="4" w:space="0" w:color="auto"/>
              <w:right w:val="single" w:sz="4" w:space="0" w:color="auto"/>
            </w:tcBorders>
          </w:tcPr>
          <w:p w14:paraId="17EF50F5" w14:textId="744AC1D6" w:rsidR="009B3FBA" w:rsidRPr="008E6588" w:rsidRDefault="009B3FBA" w:rsidP="00836DB5">
            <w:pPr>
              <w:jc w:val="left"/>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53017B74" w14:textId="1ACE3E8D" w:rsidR="009B3FBA" w:rsidRPr="008E6588" w:rsidRDefault="009B3FBA" w:rsidP="00836DB5">
            <w:pPr>
              <w:jc w:val="left"/>
              <w:rPr>
                <w:rFonts w:ascii="Arial Narrow" w:hAnsi="Arial Narrow"/>
                <w:sz w:val="20"/>
                <w:szCs w:val="20"/>
              </w:rPr>
            </w:pPr>
            <w:r w:rsidRPr="008E6588">
              <w:rPr>
                <w:rFonts w:ascii="Arial Narrow" w:hAnsi="Arial Narrow"/>
                <w:b/>
                <w:bCs/>
                <w:sz w:val="20"/>
                <w:szCs w:val="20"/>
              </w:rPr>
              <w:t xml:space="preserve">Administrative Advice: </w:t>
            </w:r>
            <w:r w:rsidR="002E7006" w:rsidRPr="008E6588">
              <w:rPr>
                <w:rFonts w:ascii="Arial Narrow" w:hAnsi="Arial Narrow"/>
                <w:iCs/>
                <w:sz w:val="20"/>
                <w:szCs w:val="20"/>
              </w:rPr>
              <w:t>Pharmaceutical benefits that have the form omalizumab 75 mg/0.5 mL syringes and pharmaceutical benefits that have the form omalizumab 75 mg/0.5 mL pen devices are equivalent for the purposes of substitution.</w:t>
            </w:r>
          </w:p>
        </w:tc>
      </w:tr>
      <w:tr w:rsidR="00317730" w:rsidRPr="008E6588" w14:paraId="3FAAB73B" w14:textId="77777777" w:rsidTr="00836DB5">
        <w:tblPrEx>
          <w:tblCellMar>
            <w:top w:w="15" w:type="dxa"/>
            <w:bottom w:w="15" w:type="dxa"/>
          </w:tblCellMar>
        </w:tblPrEx>
        <w:trPr>
          <w:cantSplit/>
          <w:trHeight w:val="300"/>
        </w:trPr>
        <w:tc>
          <w:tcPr>
            <w:tcW w:w="9021" w:type="dxa"/>
            <w:gridSpan w:val="8"/>
            <w:vAlign w:val="center"/>
          </w:tcPr>
          <w:p w14:paraId="2DF23367" w14:textId="77777777" w:rsidR="00317730" w:rsidRPr="008E6588" w:rsidRDefault="00317730" w:rsidP="00836DB5">
            <w:pPr>
              <w:keepLines/>
              <w:rPr>
                <w:rFonts w:ascii="Arial Narrow" w:hAnsi="Arial Narrow"/>
                <w:b/>
                <w:bCs/>
                <w:sz w:val="20"/>
                <w:szCs w:val="20"/>
              </w:rPr>
            </w:pPr>
          </w:p>
        </w:tc>
      </w:tr>
      <w:tr w:rsidR="003E1CD1" w:rsidRPr="008E6588" w14:paraId="780C392A" w14:textId="77777777" w:rsidTr="00836DB5">
        <w:tblPrEx>
          <w:tblCellMar>
            <w:top w:w="15" w:type="dxa"/>
            <w:bottom w:w="15" w:type="dxa"/>
          </w:tblCellMar>
        </w:tblPrEx>
        <w:trPr>
          <w:cantSplit/>
          <w:trHeight w:val="300"/>
        </w:trPr>
        <w:tc>
          <w:tcPr>
            <w:tcW w:w="9021" w:type="dxa"/>
            <w:gridSpan w:val="8"/>
            <w:vAlign w:val="center"/>
          </w:tcPr>
          <w:p w14:paraId="3A12A337" w14:textId="24CEAD0D" w:rsidR="003E1CD1" w:rsidRPr="008E6588" w:rsidRDefault="003E1CD1" w:rsidP="003E1CD1">
            <w:pPr>
              <w:keepLines/>
              <w:rPr>
                <w:rFonts w:ascii="Arial Narrow" w:hAnsi="Arial Narrow"/>
                <w:b/>
                <w:bCs/>
                <w:sz w:val="20"/>
                <w:szCs w:val="20"/>
              </w:rPr>
            </w:pPr>
            <w:r w:rsidRPr="008E6588">
              <w:rPr>
                <w:rFonts w:ascii="Arial Narrow" w:hAnsi="Arial Narrow"/>
                <w:b/>
                <w:sz w:val="20"/>
                <w:szCs w:val="20"/>
              </w:rPr>
              <w:t>Restriction Summary 15349/ Treatment of Concept: 15376</w:t>
            </w:r>
            <w:r w:rsidR="000C46DD" w:rsidRPr="008E6588">
              <w:rPr>
                <w:rFonts w:ascii="Arial Narrow" w:hAnsi="Arial Narrow"/>
                <w:b/>
                <w:sz w:val="20"/>
                <w:szCs w:val="20"/>
              </w:rPr>
              <w:t>: Authority Required</w:t>
            </w:r>
          </w:p>
        </w:tc>
      </w:tr>
      <w:tr w:rsidR="003E1CD1" w:rsidRPr="008E6588" w14:paraId="26644A01" w14:textId="77777777" w:rsidTr="00B923E6">
        <w:tblPrEx>
          <w:tblCellMar>
            <w:top w:w="15" w:type="dxa"/>
            <w:bottom w:w="15" w:type="dxa"/>
          </w:tblCellMar>
        </w:tblPrEx>
        <w:trPr>
          <w:cantSplit/>
          <w:trHeight w:val="300"/>
        </w:trPr>
        <w:tc>
          <w:tcPr>
            <w:tcW w:w="1276" w:type="dxa"/>
            <w:gridSpan w:val="2"/>
            <w:vAlign w:val="center"/>
          </w:tcPr>
          <w:p w14:paraId="2CDEB9B8" w14:textId="72FB2460" w:rsidR="003E1CD1" w:rsidRPr="008E6588" w:rsidRDefault="003E1CD1" w:rsidP="003E1CD1">
            <w:pPr>
              <w:keepLines/>
              <w:jc w:val="center"/>
              <w:rPr>
                <w:rFonts w:ascii="Arial Narrow" w:hAnsi="Arial Narrow"/>
                <w:sz w:val="20"/>
                <w:szCs w:val="20"/>
              </w:rPr>
            </w:pPr>
          </w:p>
        </w:tc>
        <w:tc>
          <w:tcPr>
            <w:tcW w:w="7745" w:type="dxa"/>
            <w:gridSpan w:val="6"/>
            <w:vAlign w:val="center"/>
            <w:hideMark/>
          </w:tcPr>
          <w:p w14:paraId="77878E20" w14:textId="77777777" w:rsidR="003E1CD1" w:rsidRPr="008E6588" w:rsidRDefault="003E1CD1" w:rsidP="003E1CD1">
            <w:pPr>
              <w:keepLines/>
              <w:rPr>
                <w:rFonts w:ascii="Arial Narrow" w:hAnsi="Arial Narrow"/>
                <w:color w:val="333333"/>
                <w:sz w:val="20"/>
                <w:szCs w:val="20"/>
              </w:rPr>
            </w:pPr>
            <w:r w:rsidRPr="008E6588">
              <w:rPr>
                <w:rFonts w:ascii="Arial Narrow" w:hAnsi="Arial Narrow"/>
                <w:b/>
                <w:bCs/>
                <w:sz w:val="20"/>
                <w:szCs w:val="20"/>
              </w:rPr>
              <w:t>Indication:</w:t>
            </w:r>
            <w:r w:rsidRPr="008E6588">
              <w:rPr>
                <w:rFonts w:ascii="Arial Narrow" w:hAnsi="Arial Narrow"/>
                <w:sz w:val="20"/>
                <w:szCs w:val="20"/>
              </w:rPr>
              <w:t xml:space="preserve"> Uncontrolled severe asthma</w:t>
            </w:r>
          </w:p>
        </w:tc>
      </w:tr>
      <w:tr w:rsidR="003E1CD1" w:rsidRPr="008E6588" w14:paraId="69C78E26" w14:textId="77777777" w:rsidTr="00B923E6">
        <w:tblPrEx>
          <w:tblCellMar>
            <w:top w:w="15" w:type="dxa"/>
            <w:bottom w:w="15" w:type="dxa"/>
          </w:tblCellMar>
        </w:tblPrEx>
        <w:trPr>
          <w:cantSplit/>
          <w:trHeight w:val="300"/>
        </w:trPr>
        <w:tc>
          <w:tcPr>
            <w:tcW w:w="1276" w:type="dxa"/>
            <w:gridSpan w:val="2"/>
            <w:vAlign w:val="center"/>
          </w:tcPr>
          <w:p w14:paraId="7077BCE3" w14:textId="77777777" w:rsidR="003E1CD1" w:rsidRPr="008E6588" w:rsidRDefault="003E1CD1" w:rsidP="003E1CD1">
            <w:pPr>
              <w:jc w:val="center"/>
              <w:rPr>
                <w:rFonts w:ascii="Arial Narrow" w:hAnsi="Arial Narrow"/>
                <w:sz w:val="20"/>
                <w:szCs w:val="20"/>
              </w:rPr>
            </w:pPr>
          </w:p>
        </w:tc>
        <w:tc>
          <w:tcPr>
            <w:tcW w:w="7745" w:type="dxa"/>
            <w:gridSpan w:val="6"/>
            <w:vAlign w:val="center"/>
            <w:hideMark/>
          </w:tcPr>
          <w:p w14:paraId="3C9636F8" w14:textId="77777777" w:rsidR="003E1CD1" w:rsidRPr="008E6588" w:rsidRDefault="003E1CD1" w:rsidP="003E1CD1">
            <w:pPr>
              <w:rPr>
                <w:rFonts w:ascii="Arial Narrow" w:hAnsi="Arial Narrow"/>
                <w:sz w:val="20"/>
                <w:szCs w:val="20"/>
              </w:rPr>
            </w:pPr>
            <w:r w:rsidRPr="008E6588">
              <w:rPr>
                <w:rFonts w:ascii="Arial Narrow" w:hAnsi="Arial Narrow"/>
                <w:b/>
                <w:bCs/>
                <w:sz w:val="20"/>
                <w:szCs w:val="20"/>
              </w:rPr>
              <w:t>Treatment Phase:</w:t>
            </w:r>
            <w:r w:rsidRPr="008E6588">
              <w:rPr>
                <w:rFonts w:ascii="Arial Narrow" w:hAnsi="Arial Narrow"/>
                <w:sz w:val="20"/>
                <w:szCs w:val="20"/>
              </w:rPr>
              <w:t xml:space="preserve"> Balance of supply</w:t>
            </w:r>
          </w:p>
        </w:tc>
      </w:tr>
      <w:tr w:rsidR="004D15DD" w:rsidRPr="008E6588" w14:paraId="69C2D487" w14:textId="77777777" w:rsidTr="004D15DD">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847B9" w14:textId="27AF7DF9" w:rsidR="004D15DD" w:rsidRPr="008E6588" w:rsidRDefault="004D15DD" w:rsidP="004D15DD">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E441F2" w14:textId="77777777" w:rsidR="004D15DD" w:rsidRPr="008E6588" w:rsidRDefault="004D15DD" w:rsidP="004D15DD">
            <w:pPr>
              <w:rPr>
                <w:rFonts w:ascii="Arial Narrow" w:hAnsi="Arial Narrow"/>
                <w:b/>
                <w:bCs/>
                <w:sz w:val="20"/>
                <w:szCs w:val="20"/>
              </w:rPr>
            </w:pPr>
            <w:r w:rsidRPr="008E6588">
              <w:rPr>
                <w:rFonts w:ascii="Arial Narrow" w:hAnsi="Arial Narrow"/>
                <w:b/>
                <w:bCs/>
                <w:sz w:val="20"/>
                <w:szCs w:val="20"/>
              </w:rPr>
              <w:t>Treatment criteria:</w:t>
            </w:r>
          </w:p>
        </w:tc>
      </w:tr>
      <w:tr w:rsidR="004D15DD" w:rsidRPr="008E6588" w14:paraId="70806F32" w14:textId="77777777" w:rsidTr="004D15DD">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0234B" w14:textId="1280801E" w:rsidR="004D15DD" w:rsidRPr="008E6588" w:rsidRDefault="004D15DD" w:rsidP="004D15DD">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36F5CB" w14:textId="2AF85594" w:rsidR="004D15DD" w:rsidRPr="008E6588" w:rsidRDefault="004D15DD" w:rsidP="004D15DD">
            <w:pPr>
              <w:rPr>
                <w:rFonts w:ascii="Arial Narrow" w:hAnsi="Arial Narrow"/>
                <w:sz w:val="20"/>
                <w:szCs w:val="20"/>
              </w:rPr>
            </w:pPr>
            <w:r w:rsidRPr="008E6588">
              <w:rPr>
                <w:rFonts w:ascii="Arial Narrow" w:hAnsi="Arial Narrow"/>
                <w:sz w:val="20"/>
                <w:szCs w:val="20"/>
              </w:rPr>
              <w:t>Must be treated by a medical practitioner who is either a: (</w:t>
            </w:r>
            <w:proofErr w:type="spellStart"/>
            <w:r w:rsidRPr="008E6588">
              <w:rPr>
                <w:rFonts w:ascii="Arial Narrow" w:hAnsi="Arial Narrow"/>
                <w:sz w:val="20"/>
                <w:szCs w:val="20"/>
              </w:rPr>
              <w:t>i</w:t>
            </w:r>
            <w:proofErr w:type="spellEnd"/>
            <w:r w:rsidRPr="008E6588">
              <w:rPr>
                <w:rFonts w:ascii="Arial Narrow" w:hAnsi="Arial Narrow"/>
                <w:sz w:val="20"/>
                <w:szCs w:val="20"/>
              </w:rPr>
              <w:t>) respiratory physician, (ii) clinical immunologist, (iii) allergist, (iv) general physician experienced in the management of patients with severe asthma</w:t>
            </w:r>
          </w:p>
        </w:tc>
      </w:tr>
      <w:tr w:rsidR="004D15DD" w:rsidRPr="008E6588" w14:paraId="5F50E430" w14:textId="77777777" w:rsidTr="004D15DD">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36B426" w14:textId="66BFBD63" w:rsidR="004D15DD" w:rsidRPr="008E6588" w:rsidRDefault="004D15DD" w:rsidP="004D15DD">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A9C754" w14:textId="77777777" w:rsidR="004D15DD" w:rsidRPr="008E6588" w:rsidRDefault="004D15DD" w:rsidP="004D15DD">
            <w:pPr>
              <w:rPr>
                <w:rFonts w:ascii="Arial Narrow" w:hAnsi="Arial Narrow"/>
                <w:b/>
                <w:bCs/>
                <w:sz w:val="20"/>
                <w:szCs w:val="20"/>
              </w:rPr>
            </w:pPr>
            <w:r w:rsidRPr="008E6588">
              <w:rPr>
                <w:rFonts w:ascii="Arial Narrow" w:hAnsi="Arial Narrow"/>
                <w:b/>
                <w:bCs/>
                <w:sz w:val="20"/>
                <w:szCs w:val="20"/>
              </w:rPr>
              <w:t>Clinical criteria:</w:t>
            </w:r>
          </w:p>
        </w:tc>
      </w:tr>
      <w:tr w:rsidR="004D15DD" w:rsidRPr="008E6588" w14:paraId="7A97BAE2" w14:textId="77777777" w:rsidTr="004D15DD">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EFD40" w14:textId="64D16B89" w:rsidR="004D15DD" w:rsidRPr="008E6588" w:rsidRDefault="004D15DD" w:rsidP="004D15DD">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5644BD" w14:textId="0B3F2493" w:rsidR="004D15DD" w:rsidRPr="008E6588" w:rsidRDefault="004D15DD" w:rsidP="004D15DD">
            <w:pPr>
              <w:rPr>
                <w:rFonts w:ascii="Arial Narrow" w:hAnsi="Arial Narrow"/>
                <w:sz w:val="20"/>
                <w:szCs w:val="20"/>
              </w:rPr>
            </w:pPr>
            <w:r w:rsidRPr="008E6588">
              <w:rPr>
                <w:rFonts w:ascii="Arial Narrow" w:hAnsi="Arial Narrow"/>
                <w:sz w:val="20"/>
                <w:szCs w:val="20"/>
              </w:rPr>
              <w:t>Patient must have received insufficient therapy with this drug under the Initial 1 (new patients or recommencement of treatment in a new treatment cycle) restriction to complete 32 weeks treatment; or</w:t>
            </w:r>
          </w:p>
        </w:tc>
      </w:tr>
      <w:tr w:rsidR="004D15DD" w:rsidRPr="008E6588" w14:paraId="7463584F" w14:textId="77777777" w:rsidTr="004D15DD">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E96118" w14:textId="5117482D" w:rsidR="004D15DD" w:rsidRPr="008E6588" w:rsidRDefault="004D15DD" w:rsidP="004D15DD">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3EAC42" w14:textId="4379667D" w:rsidR="004D15DD" w:rsidRPr="008E6588" w:rsidRDefault="004D15DD" w:rsidP="004D15DD">
            <w:pPr>
              <w:rPr>
                <w:rFonts w:ascii="Arial Narrow" w:hAnsi="Arial Narrow"/>
                <w:sz w:val="20"/>
                <w:szCs w:val="20"/>
              </w:rPr>
            </w:pPr>
            <w:r w:rsidRPr="008E6588">
              <w:rPr>
                <w:rFonts w:ascii="Arial Narrow" w:hAnsi="Arial Narrow"/>
                <w:sz w:val="20"/>
                <w:szCs w:val="20"/>
              </w:rPr>
              <w:t>Patient must have received insufficient therapy with this drug under the Initial 2 (change of treatment) restriction to complete 32 weeks treatment; or</w:t>
            </w:r>
          </w:p>
        </w:tc>
      </w:tr>
      <w:tr w:rsidR="004D15DD" w:rsidRPr="008E6588" w14:paraId="2F6EDADD" w14:textId="77777777" w:rsidTr="004D15DD">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FC41D" w14:textId="0538C549" w:rsidR="004D15DD" w:rsidRPr="008E6588" w:rsidRDefault="004D15DD" w:rsidP="004D15DD">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53584B" w14:textId="116D36A1" w:rsidR="004D15DD" w:rsidRPr="008E6588" w:rsidRDefault="004D15DD" w:rsidP="004D15DD">
            <w:pPr>
              <w:rPr>
                <w:rFonts w:ascii="Arial Narrow" w:hAnsi="Arial Narrow"/>
                <w:sz w:val="20"/>
                <w:szCs w:val="20"/>
              </w:rPr>
            </w:pPr>
            <w:r w:rsidRPr="008E6588">
              <w:rPr>
                <w:rFonts w:ascii="Arial Narrow" w:hAnsi="Arial Narrow"/>
                <w:sz w:val="20"/>
                <w:szCs w:val="20"/>
              </w:rPr>
              <w:t>Patient must have received insufficient therapy with this drug under the Continuing treatment restriction to complete 24 weeks treatment</w:t>
            </w:r>
          </w:p>
        </w:tc>
      </w:tr>
      <w:tr w:rsidR="004D15DD" w:rsidRPr="008E6588" w14:paraId="06EFD201" w14:textId="77777777" w:rsidTr="004D15DD">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F0ACE" w14:textId="77777777" w:rsidR="004D15DD" w:rsidRPr="008E6588" w:rsidRDefault="004D15DD" w:rsidP="004D15DD">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DE6C5D" w14:textId="77777777" w:rsidR="004D15DD" w:rsidRPr="008E6588" w:rsidRDefault="004D15DD" w:rsidP="004D15DD">
            <w:pPr>
              <w:rPr>
                <w:rFonts w:ascii="Arial Narrow" w:hAnsi="Arial Narrow"/>
                <w:b/>
                <w:bCs/>
                <w:sz w:val="20"/>
                <w:szCs w:val="20"/>
              </w:rPr>
            </w:pPr>
            <w:r w:rsidRPr="008E6588">
              <w:rPr>
                <w:rFonts w:ascii="Arial Narrow" w:hAnsi="Arial Narrow"/>
                <w:b/>
                <w:bCs/>
                <w:sz w:val="20"/>
                <w:szCs w:val="20"/>
              </w:rPr>
              <w:t>AND</w:t>
            </w:r>
          </w:p>
        </w:tc>
      </w:tr>
      <w:tr w:rsidR="004D15DD" w:rsidRPr="008E6588" w14:paraId="3FBE7C05" w14:textId="77777777" w:rsidTr="004D15DD">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815E7" w14:textId="6DF53A50" w:rsidR="004D15DD" w:rsidRPr="008E6588" w:rsidRDefault="004D15DD" w:rsidP="004D15DD">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4D18D6" w14:textId="77777777" w:rsidR="004D15DD" w:rsidRPr="008E6588" w:rsidRDefault="004D15DD" w:rsidP="004D15DD">
            <w:pPr>
              <w:rPr>
                <w:rFonts w:ascii="Arial Narrow" w:hAnsi="Arial Narrow"/>
                <w:b/>
                <w:bCs/>
                <w:sz w:val="20"/>
                <w:szCs w:val="20"/>
              </w:rPr>
            </w:pPr>
            <w:r w:rsidRPr="008E6588">
              <w:rPr>
                <w:rFonts w:ascii="Arial Narrow" w:hAnsi="Arial Narrow"/>
                <w:b/>
                <w:bCs/>
                <w:sz w:val="20"/>
                <w:szCs w:val="20"/>
              </w:rPr>
              <w:t>Clinical criteria:</w:t>
            </w:r>
          </w:p>
        </w:tc>
      </w:tr>
      <w:tr w:rsidR="004D15DD" w:rsidRPr="008E6588" w14:paraId="0A8EE2C0" w14:textId="77777777" w:rsidTr="004D15DD">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8A117" w14:textId="73CB0320" w:rsidR="004D15DD" w:rsidRPr="008E6588" w:rsidRDefault="004D15DD" w:rsidP="004D15DD">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38AE99" w14:textId="21377443" w:rsidR="004D15DD" w:rsidRPr="008E6588" w:rsidRDefault="004D15DD" w:rsidP="004D15DD">
            <w:pPr>
              <w:rPr>
                <w:rFonts w:ascii="Arial Narrow" w:hAnsi="Arial Narrow"/>
                <w:sz w:val="20"/>
                <w:szCs w:val="20"/>
              </w:rPr>
            </w:pPr>
            <w:r w:rsidRPr="008E6588">
              <w:rPr>
                <w:rFonts w:ascii="Arial Narrow" w:hAnsi="Arial Narrow"/>
                <w:sz w:val="20"/>
                <w:szCs w:val="20"/>
              </w:rPr>
              <w:t>The treatment must not provide more than the balance of up to 32 weeks of treatment if the most recent authority approval was made under an Initial treatment restriction; or</w:t>
            </w:r>
          </w:p>
        </w:tc>
      </w:tr>
      <w:tr w:rsidR="004D15DD" w:rsidRPr="008E6588" w14:paraId="1AD90687" w14:textId="77777777" w:rsidTr="004D15DD">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D97F3" w14:textId="4E43CA66" w:rsidR="004D15DD" w:rsidRPr="008E6588" w:rsidRDefault="004D15DD" w:rsidP="004D15DD">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DB0199" w14:textId="3A892935" w:rsidR="004D15DD" w:rsidRPr="008E6588" w:rsidRDefault="004D15DD" w:rsidP="004D15DD">
            <w:pPr>
              <w:rPr>
                <w:rFonts w:ascii="Arial Narrow" w:hAnsi="Arial Narrow"/>
                <w:sz w:val="20"/>
                <w:szCs w:val="20"/>
              </w:rPr>
            </w:pPr>
            <w:r w:rsidRPr="008E6588">
              <w:rPr>
                <w:rFonts w:ascii="Arial Narrow" w:hAnsi="Arial Narrow"/>
                <w:sz w:val="20"/>
                <w:szCs w:val="20"/>
              </w:rPr>
              <w:t>The treatment must not provide more than the balance of up to 24 weeks of treatment if the most recent authority approval was made under the Continuing treatment restriction</w:t>
            </w:r>
          </w:p>
        </w:tc>
      </w:tr>
    </w:tbl>
    <w:p w14:paraId="6A364D87" w14:textId="77777777" w:rsidR="000C46DD" w:rsidRPr="008E6588" w:rsidRDefault="000C46DD">
      <w:pPr>
        <w:rPr>
          <w:rFonts w:ascii="Arial Narrow" w:hAnsi="Arial Narrow"/>
          <w:sz w:val="20"/>
          <w:szCs w:val="20"/>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commended listing "/>
        <w:tblDescription w:val="Uncontrolled severe asthma - balance of supply &#10;omalizumab 150 mg/mL injection, 1 mL syringe - item code - 11828M/ Public&#10;omalizumab 150 mg/mL injection, 1 mL syringe - item code - 11825J/ Private&#10;omalizumab 150 mg/mL injection, 1 mL pen device - NEW item/ Public&#10;omalizumab 150 mg/mL injection, 1 mL pen device - NEW item / Private&#10;"/>
      </w:tblPr>
      <w:tblGrid>
        <w:gridCol w:w="566"/>
        <w:gridCol w:w="710"/>
        <w:gridCol w:w="3251"/>
        <w:gridCol w:w="1276"/>
        <w:gridCol w:w="803"/>
        <w:gridCol w:w="803"/>
        <w:gridCol w:w="804"/>
        <w:gridCol w:w="808"/>
      </w:tblGrid>
      <w:tr w:rsidR="004D15DD" w:rsidRPr="008E6588" w14:paraId="5C6FE383" w14:textId="77777777" w:rsidTr="00836DB5">
        <w:trPr>
          <w:cantSplit/>
          <w:trHeight w:val="300"/>
        </w:trPr>
        <w:tc>
          <w:tcPr>
            <w:tcW w:w="4527" w:type="dxa"/>
            <w:gridSpan w:val="3"/>
            <w:vAlign w:val="center"/>
          </w:tcPr>
          <w:p w14:paraId="6FA1797D" w14:textId="77777777" w:rsidR="004D15DD" w:rsidRPr="008E6588" w:rsidRDefault="004D15DD" w:rsidP="00836DB5">
            <w:pPr>
              <w:keepLines/>
              <w:rPr>
                <w:rFonts w:ascii="Arial Narrow" w:hAnsi="Arial Narrow" w:cs="Arial"/>
                <w:b/>
                <w:bCs/>
                <w:sz w:val="20"/>
                <w:szCs w:val="20"/>
              </w:rPr>
            </w:pPr>
            <w:r w:rsidRPr="008E6588">
              <w:rPr>
                <w:rFonts w:ascii="Arial Narrow" w:hAnsi="Arial Narrow" w:cs="Arial"/>
                <w:b/>
                <w:bCs/>
                <w:sz w:val="20"/>
                <w:szCs w:val="20"/>
              </w:rPr>
              <w:t>MEDICINAL PRODUCT</w:t>
            </w:r>
          </w:p>
          <w:p w14:paraId="20BEA18E" w14:textId="77777777" w:rsidR="004D15DD" w:rsidRPr="008E6588" w:rsidRDefault="004D15DD" w:rsidP="00836DB5">
            <w:pPr>
              <w:keepLines/>
              <w:rPr>
                <w:rFonts w:ascii="Arial Narrow" w:hAnsi="Arial Narrow" w:cs="Arial"/>
                <w:b/>
                <w:sz w:val="20"/>
                <w:szCs w:val="20"/>
              </w:rPr>
            </w:pPr>
            <w:r w:rsidRPr="008E6588">
              <w:rPr>
                <w:rFonts w:ascii="Arial Narrow" w:hAnsi="Arial Narrow" w:cs="Arial"/>
                <w:b/>
                <w:bCs/>
                <w:sz w:val="20"/>
                <w:szCs w:val="20"/>
              </w:rPr>
              <w:t>medicinal product pack</w:t>
            </w:r>
          </w:p>
        </w:tc>
        <w:tc>
          <w:tcPr>
            <w:tcW w:w="1276" w:type="dxa"/>
            <w:vAlign w:val="center"/>
          </w:tcPr>
          <w:p w14:paraId="4C4882DA" w14:textId="77777777" w:rsidR="004D15DD" w:rsidRPr="008E6588" w:rsidRDefault="004D15DD" w:rsidP="00836DB5">
            <w:pPr>
              <w:keepLines/>
              <w:jc w:val="center"/>
              <w:rPr>
                <w:rFonts w:ascii="Arial Narrow" w:hAnsi="Arial Narrow" w:cs="Arial"/>
                <w:b/>
                <w:sz w:val="20"/>
                <w:szCs w:val="20"/>
              </w:rPr>
            </w:pPr>
            <w:r w:rsidRPr="008E6588">
              <w:rPr>
                <w:rFonts w:ascii="Arial Narrow" w:hAnsi="Arial Narrow" w:cs="Arial"/>
                <w:b/>
                <w:sz w:val="20"/>
                <w:szCs w:val="20"/>
              </w:rPr>
              <w:t>PBS item code</w:t>
            </w:r>
          </w:p>
        </w:tc>
        <w:tc>
          <w:tcPr>
            <w:tcW w:w="803" w:type="dxa"/>
            <w:vAlign w:val="center"/>
          </w:tcPr>
          <w:p w14:paraId="14D0BCDD" w14:textId="77777777" w:rsidR="004D15DD" w:rsidRPr="008E6588" w:rsidRDefault="004D15DD" w:rsidP="00836DB5">
            <w:pPr>
              <w:keepLines/>
              <w:jc w:val="center"/>
              <w:rPr>
                <w:rFonts w:ascii="Arial Narrow" w:hAnsi="Arial Narrow" w:cs="Arial"/>
                <w:b/>
                <w:sz w:val="20"/>
                <w:szCs w:val="20"/>
              </w:rPr>
            </w:pPr>
            <w:r w:rsidRPr="008E6588">
              <w:rPr>
                <w:rFonts w:ascii="Arial Narrow" w:hAnsi="Arial Narrow" w:cs="Arial"/>
                <w:b/>
                <w:sz w:val="20"/>
                <w:szCs w:val="20"/>
              </w:rPr>
              <w:t>Max. qty packs</w:t>
            </w:r>
          </w:p>
        </w:tc>
        <w:tc>
          <w:tcPr>
            <w:tcW w:w="803" w:type="dxa"/>
            <w:vAlign w:val="center"/>
          </w:tcPr>
          <w:p w14:paraId="26EA31B2" w14:textId="77777777" w:rsidR="004D15DD" w:rsidRPr="008E6588" w:rsidRDefault="004D15DD" w:rsidP="00836DB5">
            <w:pPr>
              <w:keepLines/>
              <w:jc w:val="center"/>
              <w:rPr>
                <w:rFonts w:ascii="Arial Narrow" w:hAnsi="Arial Narrow" w:cs="Arial"/>
                <w:b/>
                <w:sz w:val="20"/>
                <w:szCs w:val="20"/>
              </w:rPr>
            </w:pPr>
            <w:r w:rsidRPr="008E6588">
              <w:rPr>
                <w:rFonts w:ascii="Arial Narrow" w:hAnsi="Arial Narrow" w:cs="Arial"/>
                <w:b/>
                <w:sz w:val="20"/>
                <w:szCs w:val="20"/>
              </w:rPr>
              <w:t>Max. qty units</w:t>
            </w:r>
          </w:p>
        </w:tc>
        <w:tc>
          <w:tcPr>
            <w:tcW w:w="804" w:type="dxa"/>
            <w:vAlign w:val="center"/>
          </w:tcPr>
          <w:p w14:paraId="0181311D" w14:textId="77777777" w:rsidR="004D15DD" w:rsidRPr="008E6588" w:rsidRDefault="004D15DD" w:rsidP="00836DB5">
            <w:pPr>
              <w:keepLines/>
              <w:jc w:val="center"/>
              <w:rPr>
                <w:rFonts w:ascii="Arial Narrow" w:hAnsi="Arial Narrow" w:cs="Arial"/>
                <w:b/>
                <w:bCs/>
                <w:sz w:val="20"/>
                <w:szCs w:val="20"/>
              </w:rPr>
            </w:pPr>
            <w:proofErr w:type="gramStart"/>
            <w:r w:rsidRPr="008E6588">
              <w:rPr>
                <w:rFonts w:ascii="Arial Narrow" w:hAnsi="Arial Narrow" w:cs="Arial"/>
                <w:b/>
                <w:bCs/>
                <w:sz w:val="20"/>
                <w:szCs w:val="20"/>
              </w:rPr>
              <w:t>№.of</w:t>
            </w:r>
            <w:proofErr w:type="gramEnd"/>
          </w:p>
          <w:p w14:paraId="5445E8E5" w14:textId="77777777" w:rsidR="004D15DD" w:rsidRPr="008E6588" w:rsidRDefault="004D15DD" w:rsidP="00836DB5">
            <w:pPr>
              <w:keepLines/>
              <w:jc w:val="center"/>
              <w:rPr>
                <w:rFonts w:ascii="Arial Narrow" w:hAnsi="Arial Narrow" w:cs="Arial"/>
                <w:b/>
                <w:bCs/>
                <w:sz w:val="20"/>
                <w:szCs w:val="20"/>
              </w:rPr>
            </w:pPr>
            <w:r w:rsidRPr="008E6588">
              <w:rPr>
                <w:rFonts w:ascii="Arial Narrow" w:hAnsi="Arial Narrow" w:cs="Arial"/>
                <w:b/>
                <w:bCs/>
                <w:sz w:val="20"/>
                <w:szCs w:val="20"/>
              </w:rPr>
              <w:t>Rpts</w:t>
            </w:r>
          </w:p>
        </w:tc>
        <w:tc>
          <w:tcPr>
            <w:tcW w:w="808" w:type="dxa"/>
            <w:vAlign w:val="center"/>
          </w:tcPr>
          <w:p w14:paraId="19047E59" w14:textId="77777777" w:rsidR="004D15DD" w:rsidRPr="008E6588" w:rsidRDefault="004D15DD" w:rsidP="00836DB5">
            <w:pPr>
              <w:keepLines/>
              <w:rPr>
                <w:rFonts w:ascii="Arial Narrow" w:hAnsi="Arial Narrow" w:cs="Arial"/>
                <w:b/>
                <w:sz w:val="20"/>
                <w:szCs w:val="20"/>
                <w:lang w:val="fr-FR"/>
              </w:rPr>
            </w:pPr>
            <w:r w:rsidRPr="008E6588">
              <w:rPr>
                <w:rFonts w:ascii="Arial Narrow" w:hAnsi="Arial Narrow" w:cs="Arial"/>
                <w:b/>
                <w:sz w:val="20"/>
                <w:szCs w:val="20"/>
              </w:rPr>
              <w:t>Available brands</w:t>
            </w:r>
          </w:p>
        </w:tc>
      </w:tr>
      <w:tr w:rsidR="004D15DD" w:rsidRPr="008E6588" w14:paraId="56D252A5" w14:textId="77777777" w:rsidTr="00836DB5">
        <w:trPr>
          <w:cantSplit/>
          <w:trHeight w:val="300"/>
        </w:trPr>
        <w:tc>
          <w:tcPr>
            <w:tcW w:w="9021" w:type="dxa"/>
            <w:gridSpan w:val="8"/>
            <w:vAlign w:val="center"/>
          </w:tcPr>
          <w:p w14:paraId="4B7807DC" w14:textId="77777777" w:rsidR="004D15DD" w:rsidRPr="008E6588" w:rsidRDefault="004D15DD" w:rsidP="00836DB5">
            <w:pPr>
              <w:keepLines/>
              <w:rPr>
                <w:rFonts w:ascii="Arial Narrow" w:hAnsi="Arial Narrow" w:cs="Arial"/>
                <w:sz w:val="20"/>
                <w:szCs w:val="20"/>
              </w:rPr>
            </w:pPr>
            <w:r w:rsidRPr="008E6588">
              <w:rPr>
                <w:rFonts w:ascii="Arial Narrow" w:hAnsi="Arial Narrow" w:cs="Arial"/>
                <w:sz w:val="20"/>
                <w:szCs w:val="20"/>
              </w:rPr>
              <w:t>OMALIZUMAB</w:t>
            </w:r>
          </w:p>
        </w:tc>
      </w:tr>
      <w:tr w:rsidR="005B140A" w:rsidRPr="008E6588" w14:paraId="3EC2E832" w14:textId="77777777" w:rsidTr="00897838">
        <w:trPr>
          <w:cantSplit/>
          <w:trHeight w:val="300"/>
        </w:trPr>
        <w:tc>
          <w:tcPr>
            <w:tcW w:w="4527" w:type="dxa"/>
            <w:gridSpan w:val="3"/>
            <w:vAlign w:val="center"/>
          </w:tcPr>
          <w:p w14:paraId="2DE5403E" w14:textId="61E9C228" w:rsidR="005B140A" w:rsidRPr="008E6588" w:rsidRDefault="005B140A" w:rsidP="005B140A">
            <w:pPr>
              <w:keepLines/>
              <w:rPr>
                <w:rFonts w:ascii="Arial Narrow" w:hAnsi="Arial Narrow" w:cs="Arial"/>
                <w:sz w:val="20"/>
                <w:szCs w:val="20"/>
              </w:rPr>
            </w:pPr>
            <w:r w:rsidRPr="008E6588">
              <w:rPr>
                <w:rFonts w:ascii="Arial Narrow" w:hAnsi="Arial Narrow" w:cs="Arial"/>
                <w:sz w:val="20"/>
                <w:szCs w:val="20"/>
              </w:rPr>
              <w:t>omalizumab 150 mg/mL injection, 1 mL syringe</w:t>
            </w:r>
          </w:p>
        </w:tc>
        <w:tc>
          <w:tcPr>
            <w:tcW w:w="1276" w:type="dxa"/>
            <w:vAlign w:val="center"/>
          </w:tcPr>
          <w:p w14:paraId="4EDE6449" w14:textId="719B631A" w:rsidR="005B140A" w:rsidRPr="008E6588" w:rsidRDefault="005B140A" w:rsidP="005B140A">
            <w:pPr>
              <w:keepLines/>
              <w:jc w:val="center"/>
              <w:rPr>
                <w:rFonts w:ascii="Arial Narrow" w:hAnsi="Arial Narrow" w:cs="Arial"/>
                <w:sz w:val="20"/>
                <w:szCs w:val="20"/>
              </w:rPr>
            </w:pPr>
            <w:r w:rsidRPr="008E6588">
              <w:rPr>
                <w:rFonts w:ascii="Arial Narrow" w:hAnsi="Arial Narrow" w:cs="Arial"/>
                <w:sz w:val="20"/>
                <w:szCs w:val="20"/>
              </w:rPr>
              <w:t>11828M/ Public</w:t>
            </w:r>
          </w:p>
        </w:tc>
        <w:tc>
          <w:tcPr>
            <w:tcW w:w="803" w:type="dxa"/>
          </w:tcPr>
          <w:p w14:paraId="44BA3596" w14:textId="77777777" w:rsidR="005B140A" w:rsidRPr="008E6588" w:rsidRDefault="005B140A" w:rsidP="005B140A">
            <w:pPr>
              <w:keepLines/>
              <w:jc w:val="center"/>
              <w:rPr>
                <w:rFonts w:ascii="Arial Narrow" w:hAnsi="Arial Narrow" w:cs="Arial"/>
                <w:sz w:val="20"/>
                <w:szCs w:val="20"/>
              </w:rPr>
            </w:pPr>
            <w:r w:rsidRPr="008E6588">
              <w:rPr>
                <w:rFonts w:ascii="Arial Narrow" w:hAnsi="Arial Narrow" w:cs="Arial"/>
                <w:sz w:val="20"/>
                <w:szCs w:val="20"/>
              </w:rPr>
              <w:t>1</w:t>
            </w:r>
          </w:p>
        </w:tc>
        <w:tc>
          <w:tcPr>
            <w:tcW w:w="803" w:type="dxa"/>
          </w:tcPr>
          <w:p w14:paraId="36A69901" w14:textId="77777777" w:rsidR="005B140A" w:rsidRPr="008E6588" w:rsidRDefault="005B140A" w:rsidP="005B140A">
            <w:pPr>
              <w:keepLines/>
              <w:jc w:val="center"/>
              <w:rPr>
                <w:rFonts w:ascii="Arial Narrow" w:hAnsi="Arial Narrow" w:cs="Arial"/>
                <w:sz w:val="20"/>
                <w:szCs w:val="20"/>
              </w:rPr>
            </w:pPr>
            <w:r w:rsidRPr="008E6588">
              <w:rPr>
                <w:rFonts w:ascii="Arial Narrow" w:hAnsi="Arial Narrow" w:cs="Arial"/>
                <w:sz w:val="20"/>
                <w:szCs w:val="20"/>
              </w:rPr>
              <w:t>1</w:t>
            </w:r>
          </w:p>
        </w:tc>
        <w:tc>
          <w:tcPr>
            <w:tcW w:w="804" w:type="dxa"/>
          </w:tcPr>
          <w:p w14:paraId="30488937" w14:textId="77777777" w:rsidR="005B140A" w:rsidRPr="008E6588" w:rsidRDefault="005B140A" w:rsidP="005B140A">
            <w:pPr>
              <w:keepLines/>
              <w:jc w:val="center"/>
              <w:rPr>
                <w:rFonts w:ascii="Arial Narrow" w:hAnsi="Arial Narrow" w:cs="Arial"/>
                <w:sz w:val="20"/>
                <w:szCs w:val="20"/>
              </w:rPr>
            </w:pPr>
            <w:r w:rsidRPr="008E6588">
              <w:rPr>
                <w:rFonts w:ascii="Arial Narrow" w:hAnsi="Arial Narrow" w:cs="Arial"/>
                <w:sz w:val="20"/>
                <w:szCs w:val="20"/>
              </w:rPr>
              <w:t>0</w:t>
            </w:r>
          </w:p>
        </w:tc>
        <w:tc>
          <w:tcPr>
            <w:tcW w:w="808" w:type="dxa"/>
            <w:vMerge w:val="restart"/>
          </w:tcPr>
          <w:p w14:paraId="69C4D241" w14:textId="2FC66B83" w:rsidR="005B140A" w:rsidRPr="008E6588" w:rsidRDefault="005B140A" w:rsidP="005B140A">
            <w:pPr>
              <w:keepLines/>
              <w:jc w:val="center"/>
              <w:rPr>
                <w:rFonts w:ascii="Arial Narrow" w:hAnsi="Arial Narrow" w:cs="Arial"/>
                <w:sz w:val="20"/>
                <w:szCs w:val="20"/>
              </w:rPr>
            </w:pPr>
            <w:proofErr w:type="spellStart"/>
            <w:r w:rsidRPr="008E6588">
              <w:rPr>
                <w:rFonts w:ascii="Arial Narrow" w:hAnsi="Arial Narrow"/>
                <w:sz w:val="20"/>
                <w:szCs w:val="20"/>
                <w:vertAlign w:val="superscript"/>
              </w:rPr>
              <w:t>a</w:t>
            </w:r>
            <w:r w:rsidRPr="008E6588">
              <w:rPr>
                <w:rFonts w:ascii="Arial Narrow" w:hAnsi="Arial Narrow" w:cs="Arial"/>
                <w:sz w:val="20"/>
                <w:szCs w:val="20"/>
              </w:rPr>
              <w:t>Xolair</w:t>
            </w:r>
            <w:proofErr w:type="spellEnd"/>
          </w:p>
        </w:tc>
      </w:tr>
      <w:tr w:rsidR="005B140A" w:rsidRPr="008E6588" w14:paraId="55024300" w14:textId="77777777" w:rsidTr="00836DB5">
        <w:trPr>
          <w:cantSplit/>
          <w:trHeight w:val="300"/>
        </w:trPr>
        <w:tc>
          <w:tcPr>
            <w:tcW w:w="4527" w:type="dxa"/>
            <w:gridSpan w:val="3"/>
            <w:vAlign w:val="center"/>
          </w:tcPr>
          <w:p w14:paraId="5652A52C" w14:textId="375F2082" w:rsidR="005B140A" w:rsidRPr="008E6588" w:rsidRDefault="005B140A" w:rsidP="005B140A">
            <w:pPr>
              <w:keepLines/>
              <w:rPr>
                <w:rFonts w:ascii="Arial Narrow" w:hAnsi="Arial Narrow" w:cs="Arial"/>
                <w:sz w:val="20"/>
                <w:szCs w:val="20"/>
              </w:rPr>
            </w:pPr>
            <w:r w:rsidRPr="008E6588">
              <w:rPr>
                <w:rFonts w:ascii="Arial Narrow" w:hAnsi="Arial Narrow" w:cs="Arial"/>
                <w:sz w:val="20"/>
                <w:szCs w:val="20"/>
              </w:rPr>
              <w:t>omalizumab 150 mg/mL injection, 1 mL syringe</w:t>
            </w:r>
          </w:p>
        </w:tc>
        <w:tc>
          <w:tcPr>
            <w:tcW w:w="1276" w:type="dxa"/>
            <w:vAlign w:val="center"/>
          </w:tcPr>
          <w:p w14:paraId="3B976F1D" w14:textId="54D97493" w:rsidR="005B140A" w:rsidRPr="008E6588" w:rsidRDefault="005B140A" w:rsidP="005B140A">
            <w:pPr>
              <w:keepLines/>
              <w:jc w:val="center"/>
              <w:rPr>
                <w:rFonts w:ascii="Arial Narrow" w:hAnsi="Arial Narrow" w:cs="Arial"/>
                <w:sz w:val="20"/>
                <w:szCs w:val="20"/>
              </w:rPr>
            </w:pPr>
            <w:r w:rsidRPr="008E6588">
              <w:rPr>
                <w:rFonts w:ascii="Arial Narrow" w:hAnsi="Arial Narrow" w:cs="Arial"/>
                <w:sz w:val="20"/>
                <w:szCs w:val="20"/>
              </w:rPr>
              <w:t>11825J/ Private</w:t>
            </w:r>
          </w:p>
        </w:tc>
        <w:tc>
          <w:tcPr>
            <w:tcW w:w="803" w:type="dxa"/>
          </w:tcPr>
          <w:p w14:paraId="3B8E751E" w14:textId="77777777" w:rsidR="005B140A" w:rsidRPr="008E6588" w:rsidRDefault="005B140A" w:rsidP="005B140A">
            <w:pPr>
              <w:keepLines/>
              <w:jc w:val="center"/>
              <w:rPr>
                <w:rFonts w:ascii="Arial Narrow" w:hAnsi="Arial Narrow" w:cs="Arial"/>
                <w:sz w:val="20"/>
                <w:szCs w:val="20"/>
              </w:rPr>
            </w:pPr>
            <w:r w:rsidRPr="008E6588">
              <w:rPr>
                <w:rFonts w:ascii="Arial Narrow" w:hAnsi="Arial Narrow" w:cs="Arial"/>
                <w:sz w:val="20"/>
                <w:szCs w:val="20"/>
              </w:rPr>
              <w:t>1</w:t>
            </w:r>
          </w:p>
        </w:tc>
        <w:tc>
          <w:tcPr>
            <w:tcW w:w="803" w:type="dxa"/>
          </w:tcPr>
          <w:p w14:paraId="632FC19C" w14:textId="77777777" w:rsidR="005B140A" w:rsidRPr="008E6588" w:rsidRDefault="005B140A" w:rsidP="005B140A">
            <w:pPr>
              <w:keepLines/>
              <w:jc w:val="center"/>
              <w:rPr>
                <w:rFonts w:ascii="Arial Narrow" w:hAnsi="Arial Narrow" w:cs="Arial"/>
                <w:sz w:val="20"/>
                <w:szCs w:val="20"/>
              </w:rPr>
            </w:pPr>
            <w:r w:rsidRPr="008E6588">
              <w:rPr>
                <w:rFonts w:ascii="Arial Narrow" w:hAnsi="Arial Narrow" w:cs="Arial"/>
                <w:sz w:val="20"/>
                <w:szCs w:val="20"/>
              </w:rPr>
              <w:t>1</w:t>
            </w:r>
          </w:p>
        </w:tc>
        <w:tc>
          <w:tcPr>
            <w:tcW w:w="804" w:type="dxa"/>
          </w:tcPr>
          <w:p w14:paraId="3A2362FA" w14:textId="77777777" w:rsidR="005B140A" w:rsidRPr="008E6588" w:rsidRDefault="005B140A" w:rsidP="005B140A">
            <w:pPr>
              <w:keepLines/>
              <w:jc w:val="center"/>
              <w:rPr>
                <w:rFonts w:ascii="Arial Narrow" w:hAnsi="Arial Narrow" w:cs="Arial"/>
                <w:sz w:val="20"/>
                <w:szCs w:val="20"/>
              </w:rPr>
            </w:pPr>
            <w:r w:rsidRPr="008E6588">
              <w:rPr>
                <w:rFonts w:ascii="Arial Narrow" w:hAnsi="Arial Narrow" w:cs="Arial"/>
                <w:sz w:val="20"/>
                <w:szCs w:val="20"/>
              </w:rPr>
              <w:t>0</w:t>
            </w:r>
          </w:p>
        </w:tc>
        <w:tc>
          <w:tcPr>
            <w:tcW w:w="808" w:type="dxa"/>
            <w:vMerge/>
            <w:vAlign w:val="center"/>
          </w:tcPr>
          <w:p w14:paraId="7A98DA79" w14:textId="77777777" w:rsidR="005B140A" w:rsidRPr="008E6588" w:rsidRDefault="005B140A" w:rsidP="005B140A">
            <w:pPr>
              <w:keepLines/>
              <w:rPr>
                <w:rFonts w:ascii="Arial Narrow" w:hAnsi="Arial Narrow" w:cs="Arial"/>
                <w:sz w:val="20"/>
                <w:szCs w:val="20"/>
              </w:rPr>
            </w:pPr>
          </w:p>
        </w:tc>
      </w:tr>
      <w:tr w:rsidR="005B140A" w:rsidRPr="008E6588" w14:paraId="01BD9831" w14:textId="77777777" w:rsidTr="00836DB5">
        <w:trPr>
          <w:cantSplit/>
          <w:trHeight w:val="300"/>
        </w:trPr>
        <w:tc>
          <w:tcPr>
            <w:tcW w:w="4527" w:type="dxa"/>
            <w:gridSpan w:val="3"/>
            <w:vAlign w:val="center"/>
          </w:tcPr>
          <w:p w14:paraId="52D13855" w14:textId="59BBAADE" w:rsidR="005B140A" w:rsidRPr="008E6588" w:rsidRDefault="005B140A" w:rsidP="005B140A">
            <w:pPr>
              <w:keepLines/>
              <w:rPr>
                <w:rFonts w:ascii="Arial Narrow" w:hAnsi="Arial Narrow" w:cs="Arial"/>
                <w:sz w:val="20"/>
                <w:szCs w:val="20"/>
              </w:rPr>
            </w:pPr>
            <w:r w:rsidRPr="008E6588">
              <w:rPr>
                <w:rFonts w:ascii="Arial Narrow" w:hAnsi="Arial Narrow" w:cs="Arial"/>
                <w:sz w:val="20"/>
                <w:szCs w:val="20"/>
              </w:rPr>
              <w:t>omalizumab 150 mg/mL injection, 1 mL pen device</w:t>
            </w:r>
          </w:p>
        </w:tc>
        <w:tc>
          <w:tcPr>
            <w:tcW w:w="1276" w:type="dxa"/>
            <w:vAlign w:val="center"/>
          </w:tcPr>
          <w:p w14:paraId="3F6AECD8" w14:textId="2A7F6976" w:rsidR="005B140A" w:rsidRPr="008E6588" w:rsidRDefault="005B140A" w:rsidP="005B140A">
            <w:pPr>
              <w:keepLines/>
              <w:jc w:val="center"/>
              <w:rPr>
                <w:rFonts w:ascii="Arial Narrow" w:hAnsi="Arial Narrow" w:cs="Arial"/>
                <w:iCs/>
                <w:sz w:val="20"/>
                <w:szCs w:val="20"/>
              </w:rPr>
            </w:pPr>
            <w:r w:rsidRPr="008E6588">
              <w:rPr>
                <w:rFonts w:ascii="Arial Narrow" w:hAnsi="Arial Narrow" w:cs="Arial"/>
                <w:iCs/>
                <w:sz w:val="20"/>
                <w:szCs w:val="20"/>
              </w:rPr>
              <w:t>NEW/ Public</w:t>
            </w:r>
          </w:p>
        </w:tc>
        <w:tc>
          <w:tcPr>
            <w:tcW w:w="803" w:type="dxa"/>
          </w:tcPr>
          <w:p w14:paraId="040CFDC1" w14:textId="77777777" w:rsidR="005B140A" w:rsidRPr="008E6588" w:rsidRDefault="005B140A" w:rsidP="005B140A">
            <w:pPr>
              <w:keepLines/>
              <w:jc w:val="center"/>
              <w:rPr>
                <w:rFonts w:ascii="Arial Narrow" w:hAnsi="Arial Narrow" w:cs="Arial"/>
                <w:sz w:val="20"/>
                <w:szCs w:val="20"/>
              </w:rPr>
            </w:pPr>
            <w:r w:rsidRPr="008E6588">
              <w:rPr>
                <w:rFonts w:ascii="Arial Narrow" w:hAnsi="Arial Narrow" w:cs="Arial"/>
                <w:sz w:val="20"/>
                <w:szCs w:val="20"/>
              </w:rPr>
              <w:t>1</w:t>
            </w:r>
          </w:p>
        </w:tc>
        <w:tc>
          <w:tcPr>
            <w:tcW w:w="803" w:type="dxa"/>
          </w:tcPr>
          <w:p w14:paraId="016F7C15" w14:textId="77777777" w:rsidR="005B140A" w:rsidRPr="008E6588" w:rsidRDefault="005B140A" w:rsidP="005B140A">
            <w:pPr>
              <w:keepLines/>
              <w:jc w:val="center"/>
              <w:rPr>
                <w:rFonts w:ascii="Arial Narrow" w:hAnsi="Arial Narrow" w:cs="Arial"/>
                <w:sz w:val="20"/>
                <w:szCs w:val="20"/>
              </w:rPr>
            </w:pPr>
            <w:r w:rsidRPr="008E6588">
              <w:rPr>
                <w:rFonts w:ascii="Arial Narrow" w:hAnsi="Arial Narrow" w:cs="Arial"/>
                <w:sz w:val="20"/>
                <w:szCs w:val="20"/>
              </w:rPr>
              <w:t>1</w:t>
            </w:r>
          </w:p>
        </w:tc>
        <w:tc>
          <w:tcPr>
            <w:tcW w:w="804" w:type="dxa"/>
          </w:tcPr>
          <w:p w14:paraId="2CF7D020" w14:textId="77777777" w:rsidR="005B140A" w:rsidRPr="008E6588" w:rsidRDefault="005B140A" w:rsidP="005B140A">
            <w:pPr>
              <w:keepLines/>
              <w:jc w:val="center"/>
              <w:rPr>
                <w:rFonts w:ascii="Arial Narrow" w:hAnsi="Arial Narrow" w:cs="Arial"/>
                <w:sz w:val="20"/>
                <w:szCs w:val="20"/>
              </w:rPr>
            </w:pPr>
            <w:r w:rsidRPr="008E6588">
              <w:rPr>
                <w:rFonts w:ascii="Arial Narrow" w:hAnsi="Arial Narrow" w:cs="Arial"/>
                <w:sz w:val="20"/>
                <w:szCs w:val="20"/>
              </w:rPr>
              <w:t>0</w:t>
            </w:r>
          </w:p>
        </w:tc>
        <w:tc>
          <w:tcPr>
            <w:tcW w:w="808" w:type="dxa"/>
            <w:vMerge/>
            <w:vAlign w:val="center"/>
          </w:tcPr>
          <w:p w14:paraId="39F832B2" w14:textId="77777777" w:rsidR="005B140A" w:rsidRPr="008E6588" w:rsidRDefault="005B140A" w:rsidP="005B140A">
            <w:pPr>
              <w:keepLines/>
              <w:rPr>
                <w:rFonts w:ascii="Arial Narrow" w:hAnsi="Arial Narrow" w:cs="Arial"/>
                <w:sz w:val="20"/>
                <w:szCs w:val="20"/>
              </w:rPr>
            </w:pPr>
          </w:p>
        </w:tc>
      </w:tr>
      <w:tr w:rsidR="005B140A" w:rsidRPr="008E6588" w14:paraId="3C856BF3" w14:textId="77777777" w:rsidTr="00836DB5">
        <w:trPr>
          <w:cantSplit/>
          <w:trHeight w:val="300"/>
        </w:trPr>
        <w:tc>
          <w:tcPr>
            <w:tcW w:w="4527" w:type="dxa"/>
            <w:gridSpan w:val="3"/>
            <w:vAlign w:val="center"/>
          </w:tcPr>
          <w:p w14:paraId="61845089" w14:textId="42E10BB8" w:rsidR="005B140A" w:rsidRPr="008E6588" w:rsidRDefault="005B140A" w:rsidP="005B140A">
            <w:pPr>
              <w:keepLines/>
              <w:rPr>
                <w:rFonts w:ascii="Arial Narrow" w:hAnsi="Arial Narrow" w:cs="Arial"/>
                <w:sz w:val="20"/>
                <w:szCs w:val="20"/>
              </w:rPr>
            </w:pPr>
            <w:r w:rsidRPr="008E6588">
              <w:rPr>
                <w:rFonts w:ascii="Arial Narrow" w:hAnsi="Arial Narrow" w:cs="Arial"/>
                <w:sz w:val="20"/>
                <w:szCs w:val="20"/>
              </w:rPr>
              <w:t>omalizumab 150 mg/mL injection, 1 mL pen device</w:t>
            </w:r>
          </w:p>
        </w:tc>
        <w:tc>
          <w:tcPr>
            <w:tcW w:w="1276" w:type="dxa"/>
            <w:vAlign w:val="center"/>
          </w:tcPr>
          <w:p w14:paraId="2C129594" w14:textId="560AE61B" w:rsidR="005B140A" w:rsidRPr="008E6588" w:rsidRDefault="005B140A" w:rsidP="005B140A">
            <w:pPr>
              <w:keepLines/>
              <w:jc w:val="center"/>
              <w:rPr>
                <w:rFonts w:ascii="Arial Narrow" w:hAnsi="Arial Narrow" w:cs="Arial"/>
                <w:iCs/>
                <w:sz w:val="20"/>
                <w:szCs w:val="20"/>
              </w:rPr>
            </w:pPr>
            <w:r w:rsidRPr="008E6588">
              <w:rPr>
                <w:rFonts w:ascii="Arial Narrow" w:hAnsi="Arial Narrow" w:cs="Arial"/>
                <w:iCs/>
                <w:sz w:val="20"/>
                <w:szCs w:val="20"/>
              </w:rPr>
              <w:t>NEW/ Private</w:t>
            </w:r>
          </w:p>
        </w:tc>
        <w:tc>
          <w:tcPr>
            <w:tcW w:w="803" w:type="dxa"/>
          </w:tcPr>
          <w:p w14:paraId="60011845" w14:textId="77777777" w:rsidR="005B140A" w:rsidRPr="008E6588" w:rsidRDefault="005B140A" w:rsidP="005B140A">
            <w:pPr>
              <w:keepLines/>
              <w:jc w:val="center"/>
              <w:rPr>
                <w:rFonts w:ascii="Arial Narrow" w:hAnsi="Arial Narrow" w:cs="Arial"/>
                <w:sz w:val="20"/>
                <w:szCs w:val="20"/>
              </w:rPr>
            </w:pPr>
            <w:r w:rsidRPr="008E6588">
              <w:rPr>
                <w:rFonts w:ascii="Arial Narrow" w:hAnsi="Arial Narrow" w:cs="Arial"/>
                <w:sz w:val="20"/>
                <w:szCs w:val="20"/>
              </w:rPr>
              <w:t>1</w:t>
            </w:r>
          </w:p>
        </w:tc>
        <w:tc>
          <w:tcPr>
            <w:tcW w:w="803" w:type="dxa"/>
          </w:tcPr>
          <w:p w14:paraId="250CF02D" w14:textId="77777777" w:rsidR="005B140A" w:rsidRPr="008E6588" w:rsidRDefault="005B140A" w:rsidP="005B140A">
            <w:pPr>
              <w:keepLines/>
              <w:jc w:val="center"/>
              <w:rPr>
                <w:rFonts w:ascii="Arial Narrow" w:hAnsi="Arial Narrow" w:cs="Arial"/>
                <w:sz w:val="20"/>
                <w:szCs w:val="20"/>
              </w:rPr>
            </w:pPr>
            <w:r w:rsidRPr="008E6588">
              <w:rPr>
                <w:rFonts w:ascii="Arial Narrow" w:hAnsi="Arial Narrow" w:cs="Arial"/>
                <w:sz w:val="20"/>
                <w:szCs w:val="20"/>
              </w:rPr>
              <w:t>1</w:t>
            </w:r>
          </w:p>
        </w:tc>
        <w:tc>
          <w:tcPr>
            <w:tcW w:w="804" w:type="dxa"/>
          </w:tcPr>
          <w:p w14:paraId="7C66B168" w14:textId="77777777" w:rsidR="005B140A" w:rsidRPr="008E6588" w:rsidRDefault="005B140A" w:rsidP="005B140A">
            <w:pPr>
              <w:keepLines/>
              <w:jc w:val="center"/>
              <w:rPr>
                <w:rFonts w:ascii="Arial Narrow" w:hAnsi="Arial Narrow" w:cs="Arial"/>
                <w:sz w:val="20"/>
                <w:szCs w:val="20"/>
              </w:rPr>
            </w:pPr>
            <w:r w:rsidRPr="008E6588">
              <w:rPr>
                <w:rFonts w:ascii="Arial Narrow" w:hAnsi="Arial Narrow" w:cs="Arial"/>
                <w:sz w:val="20"/>
                <w:szCs w:val="20"/>
              </w:rPr>
              <w:t>0</w:t>
            </w:r>
          </w:p>
        </w:tc>
        <w:tc>
          <w:tcPr>
            <w:tcW w:w="808" w:type="dxa"/>
            <w:vMerge/>
            <w:vAlign w:val="center"/>
          </w:tcPr>
          <w:p w14:paraId="0AB0D26E" w14:textId="77777777" w:rsidR="005B140A" w:rsidRPr="008E6588" w:rsidRDefault="005B140A" w:rsidP="005B140A">
            <w:pPr>
              <w:keepLines/>
              <w:rPr>
                <w:rFonts w:ascii="Arial Narrow" w:hAnsi="Arial Narrow" w:cs="Arial"/>
                <w:sz w:val="20"/>
                <w:szCs w:val="20"/>
              </w:rPr>
            </w:pPr>
          </w:p>
        </w:tc>
      </w:tr>
      <w:tr w:rsidR="004D15DD" w:rsidRPr="008E6588" w14:paraId="5F259588" w14:textId="77777777" w:rsidTr="00836DB5">
        <w:tblPrEx>
          <w:tblCellMar>
            <w:top w:w="15" w:type="dxa"/>
            <w:bottom w:w="15" w:type="dxa"/>
          </w:tblCellMar>
        </w:tblPrEx>
        <w:trPr>
          <w:trHeight w:val="300"/>
        </w:trPr>
        <w:tc>
          <w:tcPr>
            <w:tcW w:w="9021" w:type="dxa"/>
            <w:gridSpan w:val="8"/>
            <w:tcBorders>
              <w:top w:val="single" w:sz="4" w:space="0" w:color="auto"/>
              <w:left w:val="single" w:sz="4" w:space="0" w:color="auto"/>
              <w:right w:val="single" w:sz="4" w:space="0" w:color="auto"/>
            </w:tcBorders>
            <w:vAlign w:val="center"/>
          </w:tcPr>
          <w:p w14:paraId="02284D2E" w14:textId="77777777" w:rsidR="004D15DD" w:rsidRPr="008E6588" w:rsidRDefault="004D15DD" w:rsidP="00836DB5">
            <w:pPr>
              <w:rPr>
                <w:rFonts w:ascii="Arial Narrow" w:hAnsi="Arial Narrow" w:cs="Arial"/>
                <w:sz w:val="20"/>
                <w:szCs w:val="20"/>
              </w:rPr>
            </w:pPr>
          </w:p>
        </w:tc>
      </w:tr>
      <w:tr w:rsidR="004D15DD" w:rsidRPr="008E6588" w14:paraId="38A33599" w14:textId="77777777" w:rsidTr="00836DB5">
        <w:tblPrEx>
          <w:tblCellMar>
            <w:top w:w="15" w:type="dxa"/>
            <w:bottom w:w="15" w:type="dxa"/>
          </w:tblCellMar>
        </w:tblPrEx>
        <w:trPr>
          <w:trHeight w:val="300"/>
        </w:trPr>
        <w:tc>
          <w:tcPr>
            <w:tcW w:w="1276" w:type="dxa"/>
            <w:gridSpan w:val="2"/>
            <w:vMerge w:val="restart"/>
            <w:tcBorders>
              <w:top w:val="single" w:sz="4" w:space="0" w:color="auto"/>
              <w:left w:val="single" w:sz="4" w:space="0" w:color="auto"/>
              <w:right w:val="single" w:sz="4" w:space="0" w:color="auto"/>
            </w:tcBorders>
          </w:tcPr>
          <w:p w14:paraId="3FE6689C" w14:textId="77777777" w:rsidR="004D15DD" w:rsidRPr="008E6588" w:rsidRDefault="004D15DD" w:rsidP="00836DB5">
            <w:pPr>
              <w:jc w:val="center"/>
              <w:rPr>
                <w:rFonts w:ascii="Arial Narrow" w:hAnsi="Arial Narrow" w:cs="Arial"/>
                <w:b/>
                <w:sz w:val="20"/>
                <w:szCs w:val="20"/>
              </w:rPr>
            </w:pPr>
            <w:r w:rsidRPr="008E6588">
              <w:rPr>
                <w:rFonts w:ascii="Arial Narrow" w:hAnsi="Arial Narrow" w:cs="Arial"/>
                <w:b/>
                <w:sz w:val="20"/>
                <w:szCs w:val="20"/>
              </w:rPr>
              <w:t xml:space="preserve">Concept ID </w:t>
            </w:r>
            <w:r w:rsidRPr="008E6588">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548103A" w14:textId="77777777" w:rsidR="004D15DD" w:rsidRPr="008E6588" w:rsidRDefault="004D15DD" w:rsidP="00836DB5">
            <w:pPr>
              <w:keepLines/>
              <w:rPr>
                <w:rFonts w:ascii="Arial Narrow" w:hAnsi="Arial Narrow" w:cs="Arial"/>
                <w:sz w:val="20"/>
                <w:szCs w:val="20"/>
              </w:rPr>
            </w:pPr>
            <w:r w:rsidRPr="008E6588">
              <w:rPr>
                <w:rFonts w:ascii="Arial Narrow" w:hAnsi="Arial Narrow" w:cs="Arial"/>
                <w:b/>
                <w:sz w:val="20"/>
                <w:szCs w:val="20"/>
              </w:rPr>
              <w:t>Category / Program:</w:t>
            </w:r>
            <w:r w:rsidRPr="008E6588">
              <w:rPr>
                <w:rFonts w:ascii="Arial Narrow" w:hAnsi="Arial Narrow" w:cs="Arial"/>
                <w:sz w:val="20"/>
                <w:szCs w:val="20"/>
              </w:rPr>
              <w:t xml:space="preserve"> </w:t>
            </w:r>
            <w:r w:rsidRPr="008E6588">
              <w:rPr>
                <w:rFonts w:ascii="Arial Narrow" w:eastAsia="Calibri" w:hAnsi="Arial Narrow" w:cs="Arial"/>
                <w:sz w:val="20"/>
                <w:szCs w:val="20"/>
              </w:rPr>
              <w:t>Section 100 – Highly Specialised Drugs Program – Public (Code HB)</w:t>
            </w:r>
            <w:r w:rsidRPr="008E6588">
              <w:rPr>
                <w:rFonts w:ascii="Arial Narrow" w:eastAsia="Calibri" w:hAnsi="Arial Narrow" w:cs="Arial"/>
                <w:color w:val="FF0000"/>
                <w:sz w:val="20"/>
                <w:szCs w:val="20"/>
              </w:rPr>
              <w:t xml:space="preserve"> </w:t>
            </w:r>
            <w:r w:rsidRPr="008E6588">
              <w:rPr>
                <w:rFonts w:ascii="Arial Narrow" w:eastAsia="Calibri" w:hAnsi="Arial Narrow" w:cs="Arial"/>
                <w:sz w:val="20"/>
                <w:szCs w:val="20"/>
              </w:rPr>
              <w:t>/ Private (Code HS)</w:t>
            </w:r>
          </w:p>
        </w:tc>
      </w:tr>
      <w:tr w:rsidR="004D15DD" w:rsidRPr="008E6588" w14:paraId="7FFB052B" w14:textId="77777777">
        <w:tblPrEx>
          <w:tblCellMar>
            <w:top w:w="15" w:type="dxa"/>
            <w:bottom w:w="15" w:type="dxa"/>
          </w:tblCellMar>
        </w:tblPrEx>
        <w:trPr>
          <w:trHeight w:val="300"/>
        </w:trPr>
        <w:tc>
          <w:tcPr>
            <w:tcW w:w="1276" w:type="dxa"/>
            <w:gridSpan w:val="2"/>
            <w:vMerge/>
            <w:tcBorders>
              <w:left w:val="single" w:sz="4" w:space="0" w:color="auto"/>
              <w:right w:val="single" w:sz="4" w:space="0" w:color="auto"/>
            </w:tcBorders>
          </w:tcPr>
          <w:p w14:paraId="684BEEB8" w14:textId="77777777" w:rsidR="004D15DD" w:rsidRPr="008E6588" w:rsidRDefault="004D15DD" w:rsidP="00836DB5">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411F544" w14:textId="77777777" w:rsidR="004D15DD" w:rsidRPr="008E6588" w:rsidRDefault="004D15DD" w:rsidP="00836DB5">
            <w:pPr>
              <w:keepLines/>
              <w:rPr>
                <w:rFonts w:ascii="Arial Narrow" w:hAnsi="Arial Narrow" w:cs="Arial"/>
                <w:b/>
                <w:sz w:val="20"/>
                <w:szCs w:val="20"/>
              </w:rPr>
            </w:pPr>
            <w:r w:rsidRPr="008E6588">
              <w:rPr>
                <w:rFonts w:ascii="Arial Narrow" w:hAnsi="Arial Narrow" w:cs="Arial"/>
                <w:b/>
                <w:sz w:val="20"/>
                <w:szCs w:val="20"/>
              </w:rPr>
              <w:t xml:space="preserve">Prescriber type: </w:t>
            </w:r>
            <w:r w:rsidRPr="008E6588">
              <w:rPr>
                <w:rFonts w:ascii="Arial Narrow" w:hAnsi="Arial Narrow" w:cs="Arial"/>
                <w:sz w:val="20"/>
                <w:szCs w:val="20"/>
              </w:rPr>
              <w:fldChar w:fldCharType="begin" w:fldLock="1">
                <w:ffData>
                  <w:name w:val=""/>
                  <w:enabled/>
                  <w:calcOnExit w:val="0"/>
                  <w:checkBox>
                    <w:sizeAuto/>
                    <w:default w:val="1"/>
                  </w:checkBox>
                </w:ffData>
              </w:fldChar>
            </w:r>
            <w:r w:rsidRPr="008E6588">
              <w:rPr>
                <w:rFonts w:ascii="Arial Narrow" w:hAnsi="Arial Narrow" w:cs="Arial"/>
                <w:sz w:val="20"/>
                <w:szCs w:val="20"/>
              </w:rPr>
              <w:instrText xml:space="preserve"> FORMCHECKBOX </w:instrText>
            </w:r>
            <w:r w:rsidRPr="008E6588">
              <w:rPr>
                <w:rFonts w:ascii="Arial Narrow" w:hAnsi="Arial Narrow" w:cs="Arial"/>
                <w:sz w:val="20"/>
                <w:szCs w:val="20"/>
              </w:rPr>
            </w:r>
            <w:r w:rsidRPr="008E6588">
              <w:rPr>
                <w:rFonts w:ascii="Arial Narrow" w:hAnsi="Arial Narrow" w:cs="Arial"/>
                <w:sz w:val="20"/>
                <w:szCs w:val="20"/>
              </w:rPr>
              <w:fldChar w:fldCharType="separate"/>
            </w:r>
            <w:r w:rsidRPr="008E6588">
              <w:rPr>
                <w:rFonts w:ascii="Arial Narrow" w:hAnsi="Arial Narrow" w:cs="Arial"/>
                <w:sz w:val="20"/>
                <w:szCs w:val="20"/>
              </w:rPr>
              <w:fldChar w:fldCharType="end"/>
            </w:r>
            <w:r w:rsidRPr="008E6588">
              <w:rPr>
                <w:rFonts w:ascii="Arial Narrow" w:hAnsi="Arial Narrow" w:cs="Arial"/>
                <w:sz w:val="20"/>
                <w:szCs w:val="20"/>
              </w:rPr>
              <w:t xml:space="preserve">Medical Practitioners </w:t>
            </w:r>
          </w:p>
        </w:tc>
      </w:tr>
      <w:tr w:rsidR="004D15DD" w:rsidRPr="008E6588" w14:paraId="66564BF3" w14:textId="77777777">
        <w:tblPrEx>
          <w:tblCellMar>
            <w:top w:w="15" w:type="dxa"/>
            <w:bottom w:w="15" w:type="dxa"/>
          </w:tblCellMar>
        </w:tblPrEx>
        <w:trPr>
          <w:trHeight w:val="300"/>
        </w:trPr>
        <w:tc>
          <w:tcPr>
            <w:tcW w:w="1276" w:type="dxa"/>
            <w:gridSpan w:val="2"/>
            <w:vMerge/>
            <w:tcBorders>
              <w:left w:val="single" w:sz="4" w:space="0" w:color="auto"/>
              <w:right w:val="single" w:sz="4" w:space="0" w:color="auto"/>
            </w:tcBorders>
          </w:tcPr>
          <w:p w14:paraId="5C025029" w14:textId="77777777" w:rsidR="004D15DD" w:rsidRPr="008E6588" w:rsidRDefault="004D15DD" w:rsidP="00836DB5">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FCA1361" w14:textId="77777777" w:rsidR="004D15DD" w:rsidRPr="008E6588" w:rsidRDefault="004D15DD" w:rsidP="00836DB5">
            <w:pPr>
              <w:keepLines/>
              <w:rPr>
                <w:rFonts w:ascii="Arial Narrow" w:eastAsia="Calibri" w:hAnsi="Arial Narrow" w:cs="Arial"/>
                <w:color w:val="FF0000"/>
                <w:sz w:val="20"/>
                <w:szCs w:val="20"/>
              </w:rPr>
            </w:pPr>
            <w:r w:rsidRPr="008E6588">
              <w:rPr>
                <w:rFonts w:ascii="Arial Narrow" w:hAnsi="Arial Narrow" w:cs="Arial"/>
                <w:b/>
                <w:sz w:val="20"/>
                <w:szCs w:val="20"/>
              </w:rPr>
              <w:t xml:space="preserve">Restriction type: </w:t>
            </w:r>
            <w:r w:rsidRPr="008E6588">
              <w:rPr>
                <w:rFonts w:ascii="Arial Narrow" w:eastAsia="Calibri" w:hAnsi="Arial Narrow" w:cs="Arial"/>
                <w:sz w:val="20"/>
                <w:szCs w:val="20"/>
              </w:rPr>
              <w:fldChar w:fldCharType="begin" w:fldLock="1">
                <w:ffData>
                  <w:name w:val=""/>
                  <w:enabled/>
                  <w:calcOnExit w:val="0"/>
                  <w:checkBox>
                    <w:sizeAuto/>
                    <w:default w:val="1"/>
                  </w:checkBox>
                </w:ffData>
              </w:fldChar>
            </w:r>
            <w:r w:rsidRPr="008E6588">
              <w:rPr>
                <w:rFonts w:ascii="Arial Narrow" w:eastAsia="Calibri" w:hAnsi="Arial Narrow" w:cs="Arial"/>
                <w:sz w:val="20"/>
                <w:szCs w:val="20"/>
              </w:rPr>
              <w:instrText xml:space="preserve"> FORMCHECKBOX </w:instrText>
            </w:r>
            <w:r w:rsidRPr="008E6588">
              <w:rPr>
                <w:rFonts w:ascii="Arial Narrow" w:eastAsia="Calibri" w:hAnsi="Arial Narrow" w:cs="Arial"/>
                <w:sz w:val="20"/>
                <w:szCs w:val="20"/>
              </w:rPr>
            </w:r>
            <w:r w:rsidRPr="008E6588">
              <w:rPr>
                <w:rFonts w:ascii="Arial Narrow" w:eastAsia="Calibri" w:hAnsi="Arial Narrow" w:cs="Arial"/>
                <w:sz w:val="20"/>
                <w:szCs w:val="20"/>
              </w:rPr>
              <w:fldChar w:fldCharType="separate"/>
            </w:r>
            <w:r w:rsidRPr="008E6588">
              <w:rPr>
                <w:rFonts w:ascii="Arial Narrow" w:eastAsia="Calibri" w:hAnsi="Arial Narrow" w:cs="Arial"/>
                <w:sz w:val="20"/>
                <w:szCs w:val="20"/>
              </w:rPr>
              <w:fldChar w:fldCharType="end"/>
            </w:r>
            <w:r w:rsidRPr="008E6588">
              <w:rPr>
                <w:rFonts w:ascii="Arial Narrow" w:eastAsia="Calibri" w:hAnsi="Arial Narrow" w:cs="Arial"/>
                <w:sz w:val="20"/>
                <w:szCs w:val="20"/>
              </w:rPr>
              <w:t>Authority Required (telephone/online PBS Authorities system)</w:t>
            </w:r>
          </w:p>
        </w:tc>
      </w:tr>
      <w:tr w:rsidR="00B174FD" w:rsidRPr="008E6588" w14:paraId="55860EA2" w14:textId="77777777">
        <w:tblPrEx>
          <w:tblCellMar>
            <w:top w:w="15" w:type="dxa"/>
            <w:bottom w:w="15" w:type="dxa"/>
          </w:tblCellMar>
        </w:tblPrEx>
        <w:trPr>
          <w:trHeight w:val="300"/>
        </w:trPr>
        <w:tc>
          <w:tcPr>
            <w:tcW w:w="1276" w:type="dxa"/>
            <w:gridSpan w:val="2"/>
            <w:vMerge/>
            <w:tcBorders>
              <w:left w:val="single" w:sz="4" w:space="0" w:color="auto"/>
              <w:right w:val="single" w:sz="4" w:space="0" w:color="auto"/>
            </w:tcBorders>
          </w:tcPr>
          <w:p w14:paraId="01470995" w14:textId="77777777" w:rsidR="00B174FD" w:rsidRPr="008E6588" w:rsidRDefault="00B174FD">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D475B4B" w14:textId="7C97468D" w:rsidR="00B174FD" w:rsidRPr="008E6588" w:rsidRDefault="00B174FD">
            <w:pPr>
              <w:keepLines/>
              <w:rPr>
                <w:rFonts w:ascii="Arial Narrow" w:hAnsi="Arial Narrow" w:cs="Arial"/>
                <w:b/>
                <w:sz w:val="20"/>
                <w:szCs w:val="20"/>
              </w:rPr>
            </w:pPr>
            <w:r w:rsidRPr="008E6588">
              <w:rPr>
                <w:rFonts w:ascii="Arial Narrow" w:hAnsi="Arial Narrow"/>
                <w:b/>
                <w:sz w:val="20"/>
                <w:szCs w:val="20"/>
              </w:rPr>
              <w:t xml:space="preserve">Authority type: </w:t>
            </w:r>
            <w:r w:rsidRPr="008E6588">
              <w:rPr>
                <w:rFonts w:ascii="Arial Narrow" w:eastAsia="Calibri" w:hAnsi="Arial Narrow"/>
                <w:sz w:val="20"/>
                <w:szCs w:val="20"/>
              </w:rPr>
              <w:fldChar w:fldCharType="begin" w:fldLock="1">
                <w:ffData>
                  <w:name w:val=""/>
                  <w:enabled/>
                  <w:calcOnExit w:val="0"/>
                  <w:checkBox>
                    <w:sizeAuto/>
                    <w:default w:val="1"/>
                  </w:checkBox>
                </w:ffData>
              </w:fldChar>
            </w:r>
            <w:r w:rsidRPr="008E6588">
              <w:rPr>
                <w:rFonts w:ascii="Arial Narrow" w:eastAsia="Calibri" w:hAnsi="Arial Narrow"/>
                <w:sz w:val="20"/>
                <w:szCs w:val="20"/>
              </w:rPr>
              <w:instrText xml:space="preserve"> FORMCHECKBOX </w:instrText>
            </w:r>
            <w:r w:rsidRPr="008E6588">
              <w:rPr>
                <w:rFonts w:ascii="Arial Narrow" w:eastAsia="Calibri" w:hAnsi="Arial Narrow"/>
                <w:sz w:val="20"/>
                <w:szCs w:val="20"/>
              </w:rPr>
            </w:r>
            <w:r w:rsidRPr="008E6588">
              <w:rPr>
                <w:rFonts w:ascii="Arial Narrow" w:eastAsia="Calibri" w:hAnsi="Arial Narrow"/>
                <w:sz w:val="20"/>
                <w:szCs w:val="20"/>
              </w:rPr>
              <w:fldChar w:fldCharType="separate"/>
            </w:r>
            <w:r w:rsidRPr="008E6588">
              <w:rPr>
                <w:rFonts w:ascii="Arial Narrow" w:eastAsia="Calibri" w:hAnsi="Arial Narrow"/>
                <w:sz w:val="20"/>
                <w:szCs w:val="20"/>
              </w:rPr>
              <w:fldChar w:fldCharType="end"/>
            </w:r>
            <w:r w:rsidRPr="008E6588">
              <w:rPr>
                <w:rFonts w:ascii="Arial Narrow" w:eastAsia="Calibri" w:hAnsi="Arial Narrow"/>
                <w:sz w:val="20"/>
                <w:szCs w:val="20"/>
              </w:rPr>
              <w:t xml:space="preserve"> Complex Authority Required (CAR)</w:t>
            </w:r>
          </w:p>
        </w:tc>
      </w:tr>
      <w:tr w:rsidR="004D15DD" w:rsidRPr="008E6588" w14:paraId="28B865CA" w14:textId="77777777" w:rsidTr="00836DB5">
        <w:tblPrEx>
          <w:tblCellMar>
            <w:top w:w="15" w:type="dxa"/>
            <w:bottom w:w="15" w:type="dxa"/>
          </w:tblCellMar>
          <w:tblLook w:val="0000" w:firstRow="0" w:lastRow="0" w:firstColumn="0" w:lastColumn="0" w:noHBand="0" w:noVBand="0"/>
        </w:tblPrEx>
        <w:trPr>
          <w:trHeight w:val="20"/>
        </w:trPr>
        <w:tc>
          <w:tcPr>
            <w:tcW w:w="566" w:type="dxa"/>
            <w:vMerge w:val="restart"/>
            <w:tcBorders>
              <w:left w:val="single" w:sz="4" w:space="0" w:color="auto"/>
              <w:right w:val="single" w:sz="4" w:space="0" w:color="auto"/>
            </w:tcBorders>
            <w:textDirection w:val="btLr"/>
          </w:tcPr>
          <w:p w14:paraId="17AC8FB5" w14:textId="77777777" w:rsidR="004D15DD" w:rsidRPr="008E6588" w:rsidRDefault="004D15DD" w:rsidP="00836DB5">
            <w:pPr>
              <w:ind w:left="113" w:right="113"/>
              <w:jc w:val="center"/>
              <w:rPr>
                <w:rFonts w:ascii="Arial Narrow" w:hAnsi="Arial Narrow" w:cs="Arial"/>
                <w:sz w:val="20"/>
                <w:szCs w:val="20"/>
              </w:rPr>
            </w:pPr>
            <w:r w:rsidRPr="008E6588">
              <w:rPr>
                <w:rFonts w:ascii="Arial Narrow" w:hAnsi="Arial Narrow" w:cs="Arial"/>
                <w:sz w:val="20"/>
                <w:szCs w:val="20"/>
              </w:rPr>
              <w:t>Prescribing rule level</w:t>
            </w:r>
          </w:p>
        </w:tc>
        <w:tc>
          <w:tcPr>
            <w:tcW w:w="710" w:type="dxa"/>
            <w:tcBorders>
              <w:left w:val="single" w:sz="4" w:space="0" w:color="auto"/>
              <w:right w:val="single" w:sz="4" w:space="0" w:color="auto"/>
            </w:tcBorders>
          </w:tcPr>
          <w:p w14:paraId="5211D1D8" w14:textId="19B89AED" w:rsidR="004D15DD" w:rsidRPr="008E6588" w:rsidRDefault="004D15DD" w:rsidP="00836DB5">
            <w:pPr>
              <w:jc w:val="left"/>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10AC2310"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
                <w:sz w:val="20"/>
                <w:szCs w:val="20"/>
              </w:rPr>
              <w:t xml:space="preserve">Administrative Advice: </w:t>
            </w:r>
          </w:p>
          <w:p w14:paraId="36C9DD40" w14:textId="77777777" w:rsidR="004D15DD" w:rsidRPr="008E6588" w:rsidRDefault="004D15DD" w:rsidP="00836DB5">
            <w:pPr>
              <w:keepLines/>
              <w:jc w:val="left"/>
              <w:rPr>
                <w:rFonts w:ascii="Arial Narrow" w:hAnsi="Arial Narrow" w:cs="Arial"/>
                <w:b/>
                <w:sz w:val="20"/>
                <w:szCs w:val="20"/>
              </w:rPr>
            </w:pPr>
            <w:r w:rsidRPr="008E6588">
              <w:rPr>
                <w:rFonts w:ascii="Arial Narrow" w:hAnsi="Arial Narrow" w:cs="Arial"/>
                <w:b/>
                <w:bCs/>
                <w:sz w:val="20"/>
                <w:szCs w:val="20"/>
              </w:rPr>
              <w:t>TREATMENT OF ADULT AND ADOLESCENT PATIENTS WITH UNCONTROLLED SEVERE ASTHMA</w:t>
            </w:r>
          </w:p>
          <w:p w14:paraId="7939C22E"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The following information applies to the prescribing under the Pharmaceutical Benefits Scheme (PBS) of the biological medicines for uncontrolled severe asthma. Where the term biological medicine appears in the following notes and restrictions it refers to all PBS benefits with the specific PBS indication of 'uncontrolled severe asthma'.</w:t>
            </w:r>
          </w:p>
          <w:p w14:paraId="37DB4810"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A patient is eligible for PBS-subsidised treatment with only 1 biological medicine for uncontrolled severe asthma at any one time.</w:t>
            </w:r>
          </w:p>
          <w:p w14:paraId="72685045"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 xml:space="preserve">A patient receiving PBS-subsidised treatment for uncontrolled severe asthma </w:t>
            </w:r>
            <w:proofErr w:type="gramStart"/>
            <w:r w:rsidRPr="008E6588">
              <w:rPr>
                <w:rFonts w:ascii="Arial Narrow" w:hAnsi="Arial Narrow" w:cs="Arial"/>
                <w:bCs/>
                <w:sz w:val="20"/>
                <w:szCs w:val="20"/>
              </w:rPr>
              <w:t>is able to</w:t>
            </w:r>
            <w:proofErr w:type="gramEnd"/>
            <w:r w:rsidRPr="008E6588">
              <w:rPr>
                <w:rFonts w:ascii="Arial Narrow" w:hAnsi="Arial Narrow" w:cs="Arial"/>
                <w:bCs/>
                <w:sz w:val="20"/>
                <w:szCs w:val="20"/>
              </w:rPr>
              <w:t xml:space="preserve"> commence a treatment cycle where they may trial a biological medicine without having to experience a disease flare when swapping to an alternate biological medicine within the same treatment cycle.</w:t>
            </w:r>
          </w:p>
          <w:p w14:paraId="26DC6BB1"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 xml:space="preserve">Under these arrangements, within a treatment cycle, a patient may receive long-term treatment with a biological medicine </w:t>
            </w:r>
            <w:proofErr w:type="gramStart"/>
            <w:r w:rsidRPr="008E6588">
              <w:rPr>
                <w:rFonts w:ascii="Arial Narrow" w:hAnsi="Arial Narrow" w:cs="Arial"/>
                <w:bCs/>
                <w:sz w:val="20"/>
                <w:szCs w:val="20"/>
              </w:rPr>
              <w:t>as long as</w:t>
            </w:r>
            <w:proofErr w:type="gramEnd"/>
            <w:r w:rsidRPr="008E6588">
              <w:rPr>
                <w:rFonts w:ascii="Arial Narrow" w:hAnsi="Arial Narrow" w:cs="Arial"/>
                <w:bCs/>
                <w:sz w:val="20"/>
                <w:szCs w:val="20"/>
              </w:rPr>
              <w:t xml:space="preserve"> they sustain a response to therapy.</w:t>
            </w:r>
          </w:p>
          <w:p w14:paraId="711C2C41"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A patient currently receiving PBS-subsidised treatment as of 1 April 2021 is considered to have started a cycle of treatment.</w:t>
            </w:r>
          </w:p>
          <w:p w14:paraId="60DABA57"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Within the same treatment cycle, a patient cannot trial and fail, or cease to respond to, the same PBS-subsidised biological medicine more than once.</w:t>
            </w:r>
          </w:p>
          <w:p w14:paraId="422B77D8"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Therefore, once a patient fails to meet the response criteria for a PBS-subsidised biological medicine, they must change to an alternate biological medicine if they wish to continue PBS-subsidised biological treatment.</w:t>
            </w:r>
          </w:p>
          <w:p w14:paraId="18A163F3"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Once a patient has either failed to achieve or sustain a response to treatment 4 times, they are deemed to have completed a single treatment cycle. They must have at least a 12-month break in PBS-subsidised biological medicine therapy before they are eligible to recommence another new treatment cycle [further details are under 'Recommencement of treatment after a treatment break in PBS-subsidised therapy' below].</w:t>
            </w:r>
          </w:p>
          <w:p w14:paraId="028429E3"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The length of the break in therapy is measured from the date the most recent treatment with a PBS-subsidised biological medicine is ceased until the date of the first application for recommencement of treatment with a biological medicine under the new treatment cycle.</w:t>
            </w:r>
          </w:p>
          <w:p w14:paraId="23479D51"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lastRenderedPageBreak/>
              <w:t>There is no limit to the number of treatment cycles that a patient may undertake in their lifetime.</w:t>
            </w:r>
          </w:p>
          <w:p w14:paraId="0D6AFA95"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How to prescribe PBS-subsidised biological medicine treatment for uncontrolled severe asthma.</w:t>
            </w:r>
          </w:p>
          <w:p w14:paraId="5C1BDB8D"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(1) Initial treatment:</w:t>
            </w:r>
          </w:p>
          <w:p w14:paraId="33C29D9E"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Applications for initial treatment should be made where:</w:t>
            </w:r>
          </w:p>
          <w:p w14:paraId="4C2597BB"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w:t>
            </w:r>
            <w:proofErr w:type="spellStart"/>
            <w:r w:rsidRPr="008E6588">
              <w:rPr>
                <w:rFonts w:ascii="Arial Narrow" w:hAnsi="Arial Narrow" w:cs="Arial"/>
                <w:bCs/>
                <w:sz w:val="20"/>
                <w:szCs w:val="20"/>
              </w:rPr>
              <w:t>i</w:t>
            </w:r>
            <w:proofErr w:type="spellEnd"/>
            <w:r w:rsidRPr="008E6588">
              <w:rPr>
                <w:rFonts w:ascii="Arial Narrow" w:hAnsi="Arial Narrow" w:cs="Arial"/>
                <w:bCs/>
                <w:sz w:val="20"/>
                <w:szCs w:val="20"/>
              </w:rPr>
              <w:t>) a patient has not received prior PBS-subsidised biological medicine treatment and wishes to commence such therapy (Initial 1 restriction); or</w:t>
            </w:r>
          </w:p>
          <w:p w14:paraId="593AB8E6"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(ii) a patient has received prior PBS-subsidised treatment with a biological medicine and wishes to recommence a new treatment cycle with this biological medicine following a treatment break in PBS-subsidised therapy (Initial 1 restriction); or</w:t>
            </w:r>
          </w:p>
          <w:p w14:paraId="3CD432D6"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(iii) a patient has received prior PBS-subsidised biological medicine therapy and wishes to trial an alternate biological medicine within the same treatment cycle (Initial 2 restriction) - [further details are under 'Swapping therapy' below].</w:t>
            </w:r>
          </w:p>
          <w:p w14:paraId="33AF0912"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All applications for initial treatment will be limited to provide for a maximum of up to 32 weeks of therapy of a biological medicine. It is recommended that a patient be reviewed in the month prior to completing their course of initial treatment to ensure uninterrupted biological medicine supply.</w:t>
            </w:r>
          </w:p>
          <w:p w14:paraId="5CFBBC66"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(2) Continuing treatment:</w:t>
            </w:r>
          </w:p>
          <w:p w14:paraId="40776C1F"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Following the completion of an initial treatment course with a specific biological medicine, a patient may qualify to receive up to 24 weeks of continuing treatment with that biological medicine providing they have demonstrated an adequate response to treatment. The patient remains eligible to receive continuing biological medicine treatment with the same drug in courses of up to 24 weeks providing they continue to sustain the response. It is recommended that a patient be reviewed the month prior to completing their current course of treatment to ensure uninterrupted biological medicine supply.</w:t>
            </w:r>
          </w:p>
          <w:p w14:paraId="407BBDA6"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(3) Baseline measurements to determine response:</w:t>
            </w:r>
          </w:p>
          <w:p w14:paraId="662761B8"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Baseline measurements of the Asthma Control Questionnaire (ACQ; 5 item version) or oral corticosteroid dose submitted with the Initial authority application for a biological medicine must be used to determine whether an adequate response to treatment has been achieved or sustained.</w:t>
            </w:r>
          </w:p>
          <w:p w14:paraId="0FDCB693"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For patients transitioned from the paediatric to the adolescent/adult restriction, the exacerbation history may also be used to determine response.</w:t>
            </w:r>
          </w:p>
          <w:p w14:paraId="2154DA01"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 xml:space="preserve">However, prescribers may provide new baseline measurements when a new Initial treatment authority application is </w:t>
            </w:r>
            <w:proofErr w:type="gramStart"/>
            <w:r w:rsidRPr="008E6588">
              <w:rPr>
                <w:rFonts w:ascii="Arial Narrow" w:hAnsi="Arial Narrow" w:cs="Arial"/>
                <w:bCs/>
                <w:sz w:val="20"/>
                <w:szCs w:val="20"/>
              </w:rPr>
              <w:t>submitted</w:t>
            </w:r>
            <w:proofErr w:type="gramEnd"/>
            <w:r w:rsidRPr="008E6588">
              <w:rPr>
                <w:rFonts w:ascii="Arial Narrow" w:hAnsi="Arial Narrow" w:cs="Arial"/>
                <w:bCs/>
                <w:sz w:val="20"/>
                <w:szCs w:val="20"/>
              </w:rPr>
              <w:t xml:space="preserve"> and these new baseline measurements may be used to assess response.</w:t>
            </w:r>
          </w:p>
          <w:p w14:paraId="4F3C1F78"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(4) Swapping therapy within the same treatment cycle.</w:t>
            </w:r>
          </w:p>
          <w:p w14:paraId="509026E5"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Once initial treatment with the first PBS-subsidised biological medicine is approved, a patient may swap to an alternate biological medicine at any time by qualifying under an Initial 2 restriction.</w:t>
            </w:r>
          </w:p>
          <w:p w14:paraId="4530F309"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However, they cannot swap to a particular biological medicine if they have failed to respond to prior treatment with that drug within the same treatment cycle.</w:t>
            </w:r>
          </w:p>
          <w:p w14:paraId="01E883EE"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Within the same treatment cycle a patient may alternate between therapy with any biological medicine of their choice (1 at a time) providing:</w:t>
            </w:r>
          </w:p>
          <w:p w14:paraId="5019E4E7"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w:t>
            </w:r>
            <w:proofErr w:type="spellStart"/>
            <w:r w:rsidRPr="008E6588">
              <w:rPr>
                <w:rFonts w:ascii="Arial Narrow" w:hAnsi="Arial Narrow" w:cs="Arial"/>
                <w:bCs/>
                <w:sz w:val="20"/>
                <w:szCs w:val="20"/>
              </w:rPr>
              <w:t>i</w:t>
            </w:r>
            <w:proofErr w:type="spellEnd"/>
            <w:r w:rsidRPr="008E6588">
              <w:rPr>
                <w:rFonts w:ascii="Arial Narrow" w:hAnsi="Arial Narrow" w:cs="Arial"/>
                <w:bCs/>
                <w:sz w:val="20"/>
                <w:szCs w:val="20"/>
              </w:rPr>
              <w:t xml:space="preserve">) they have not received PBS-subsidised treatment with that </w:t>
            </w:r>
            <w:proofErr w:type="gramStart"/>
            <w:r w:rsidRPr="008E6588">
              <w:rPr>
                <w:rFonts w:ascii="Arial Narrow" w:hAnsi="Arial Narrow" w:cs="Arial"/>
                <w:bCs/>
                <w:sz w:val="20"/>
                <w:szCs w:val="20"/>
              </w:rPr>
              <w:t>particular biological</w:t>
            </w:r>
            <w:proofErr w:type="gramEnd"/>
            <w:r w:rsidRPr="008E6588">
              <w:rPr>
                <w:rFonts w:ascii="Arial Narrow" w:hAnsi="Arial Narrow" w:cs="Arial"/>
                <w:bCs/>
                <w:sz w:val="20"/>
                <w:szCs w:val="20"/>
              </w:rPr>
              <w:t xml:space="preserve"> medicine previously; or</w:t>
            </w:r>
          </w:p>
          <w:p w14:paraId="0C6F488A"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 xml:space="preserve">(ii) they have demonstrated an adequate response to that </w:t>
            </w:r>
            <w:proofErr w:type="gramStart"/>
            <w:r w:rsidRPr="008E6588">
              <w:rPr>
                <w:rFonts w:ascii="Arial Narrow" w:hAnsi="Arial Narrow" w:cs="Arial"/>
                <w:bCs/>
                <w:sz w:val="20"/>
                <w:szCs w:val="20"/>
              </w:rPr>
              <w:t>particular biological</w:t>
            </w:r>
            <w:proofErr w:type="gramEnd"/>
            <w:r w:rsidRPr="008E6588">
              <w:rPr>
                <w:rFonts w:ascii="Arial Narrow" w:hAnsi="Arial Narrow" w:cs="Arial"/>
                <w:bCs/>
                <w:sz w:val="20"/>
                <w:szCs w:val="20"/>
              </w:rPr>
              <w:t xml:space="preserve"> medicine if they have previously trialled it on the PBS; and</w:t>
            </w:r>
          </w:p>
          <w:p w14:paraId="243E9FB7"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(iii) they have not previously failed to respond to treatment with all 4 biological medicines in this treatment cycle.</w:t>
            </w:r>
          </w:p>
          <w:p w14:paraId="1181F132"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(5) Re-commencement of a new treatment cycle after a treatment break in PBS-subsidised therapy:</w:t>
            </w:r>
          </w:p>
          <w:p w14:paraId="410ECA1B"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A patient who wishes to trial a second or subsequent new treatment cycle, following a break in PBS-subsidised therapy of at least 12 months (in patients who have failed to achieve or ceased to sustain a response to treatment 4 times within a treatment cycle), must re-qualify through an Initial 1 restriction.</w:t>
            </w:r>
          </w:p>
          <w:p w14:paraId="6F6C3776"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(6) Monitoring of patients:</w:t>
            </w:r>
          </w:p>
          <w:p w14:paraId="259898EA"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Omalizumab only:</w:t>
            </w:r>
          </w:p>
          <w:p w14:paraId="6A2F03F9"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 xml:space="preserve">Anaphylaxis and anaphylactoid reactions have been reported following first or subsequent administration of omalizumab (see Product Information). Patients should be monitored post-injection, and medications for the treatment of anaphylactic reactions should be available for immediate use following administration of omalizumab. Patients should be informed that such reactions are </w:t>
            </w:r>
            <w:proofErr w:type="gramStart"/>
            <w:r w:rsidRPr="008E6588">
              <w:rPr>
                <w:rFonts w:ascii="Arial Narrow" w:hAnsi="Arial Narrow" w:cs="Arial"/>
                <w:bCs/>
                <w:sz w:val="20"/>
                <w:szCs w:val="20"/>
              </w:rPr>
              <w:t>possible</w:t>
            </w:r>
            <w:proofErr w:type="gramEnd"/>
            <w:r w:rsidRPr="008E6588">
              <w:rPr>
                <w:rFonts w:ascii="Arial Narrow" w:hAnsi="Arial Narrow" w:cs="Arial"/>
                <w:bCs/>
                <w:sz w:val="20"/>
                <w:szCs w:val="20"/>
              </w:rPr>
              <w:t xml:space="preserve"> and prompt medical attention should be sought if allergic reactions occur.</w:t>
            </w:r>
          </w:p>
        </w:tc>
      </w:tr>
      <w:tr w:rsidR="004D15DD" w:rsidRPr="008E6588" w14:paraId="48157FCD" w14:textId="77777777" w:rsidTr="00836DB5">
        <w:tblPrEx>
          <w:tblCellMar>
            <w:top w:w="15" w:type="dxa"/>
            <w:bottom w:w="15" w:type="dxa"/>
          </w:tblCellMar>
          <w:tblLook w:val="0000" w:firstRow="0" w:lastRow="0" w:firstColumn="0" w:lastColumn="0" w:noHBand="0" w:noVBand="0"/>
        </w:tblPrEx>
        <w:trPr>
          <w:trHeight w:val="20"/>
        </w:trPr>
        <w:tc>
          <w:tcPr>
            <w:tcW w:w="566" w:type="dxa"/>
            <w:vMerge/>
            <w:tcBorders>
              <w:left w:val="single" w:sz="4" w:space="0" w:color="auto"/>
              <w:right w:val="single" w:sz="4" w:space="0" w:color="auto"/>
            </w:tcBorders>
          </w:tcPr>
          <w:p w14:paraId="4525B34D" w14:textId="77777777" w:rsidR="004D15DD" w:rsidRPr="008E6588" w:rsidRDefault="004D15DD" w:rsidP="00836DB5">
            <w:pPr>
              <w:jc w:val="left"/>
              <w:rPr>
                <w:rFonts w:ascii="Arial Narrow" w:hAnsi="Arial Narrow" w:cs="Arial"/>
                <w:sz w:val="20"/>
                <w:szCs w:val="20"/>
              </w:rPr>
            </w:pPr>
          </w:p>
        </w:tc>
        <w:tc>
          <w:tcPr>
            <w:tcW w:w="710" w:type="dxa"/>
            <w:tcBorders>
              <w:left w:val="single" w:sz="4" w:space="0" w:color="auto"/>
              <w:right w:val="single" w:sz="4" w:space="0" w:color="auto"/>
            </w:tcBorders>
          </w:tcPr>
          <w:p w14:paraId="3C9A74D5" w14:textId="01484725" w:rsidR="004D15DD" w:rsidRPr="008E6588" w:rsidRDefault="004D15DD" w:rsidP="00836DB5">
            <w:pPr>
              <w:jc w:val="left"/>
              <w:textAlignment w:val="baseline"/>
              <w:rPr>
                <w:rFonts w:ascii="Arial Narrow" w:hAnsi="Arial Narrow" w:cs="Open Sans"/>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0C80E673" w14:textId="77777777" w:rsidR="004D15DD" w:rsidRPr="008E6588" w:rsidRDefault="004D15DD" w:rsidP="00836DB5">
            <w:pPr>
              <w:keepLines/>
              <w:jc w:val="left"/>
              <w:rPr>
                <w:rFonts w:ascii="Arial Narrow" w:hAnsi="Arial Narrow" w:cs="Arial"/>
                <w:sz w:val="20"/>
                <w:szCs w:val="20"/>
              </w:rPr>
            </w:pPr>
            <w:r w:rsidRPr="008E6588">
              <w:rPr>
                <w:rFonts w:ascii="Arial Narrow" w:hAnsi="Arial Narrow" w:cs="Arial"/>
                <w:b/>
                <w:sz w:val="20"/>
                <w:szCs w:val="20"/>
              </w:rPr>
              <w:t>Administrative Advice</w:t>
            </w:r>
            <w:r w:rsidRPr="008E6588">
              <w:rPr>
                <w:rFonts w:ascii="Arial Narrow" w:hAnsi="Arial Narrow" w:cs="Arial"/>
                <w:sz w:val="20"/>
                <w:szCs w:val="20"/>
              </w:rPr>
              <w:t>: 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4D15DD" w:rsidRPr="008E6588" w14:paraId="6144322E" w14:textId="77777777" w:rsidTr="00836DB5">
        <w:tblPrEx>
          <w:tblCellMar>
            <w:top w:w="15" w:type="dxa"/>
            <w:bottom w:w="15" w:type="dxa"/>
          </w:tblCellMar>
          <w:tblLook w:val="0000" w:firstRow="0" w:lastRow="0" w:firstColumn="0" w:lastColumn="0" w:noHBand="0" w:noVBand="0"/>
        </w:tblPrEx>
        <w:trPr>
          <w:trHeight w:val="20"/>
        </w:trPr>
        <w:tc>
          <w:tcPr>
            <w:tcW w:w="566" w:type="dxa"/>
            <w:vMerge/>
            <w:tcBorders>
              <w:left w:val="single" w:sz="4" w:space="0" w:color="auto"/>
              <w:right w:val="single" w:sz="4" w:space="0" w:color="auto"/>
            </w:tcBorders>
          </w:tcPr>
          <w:p w14:paraId="7BD4B3E2" w14:textId="77777777" w:rsidR="004D15DD" w:rsidRPr="008E6588" w:rsidRDefault="004D15DD" w:rsidP="00836DB5">
            <w:pPr>
              <w:jc w:val="left"/>
              <w:rPr>
                <w:rFonts w:ascii="Arial Narrow" w:hAnsi="Arial Narrow" w:cs="Arial"/>
                <w:sz w:val="20"/>
                <w:szCs w:val="20"/>
              </w:rPr>
            </w:pPr>
          </w:p>
        </w:tc>
        <w:tc>
          <w:tcPr>
            <w:tcW w:w="710" w:type="dxa"/>
            <w:tcBorders>
              <w:left w:val="single" w:sz="4" w:space="0" w:color="auto"/>
              <w:right w:val="single" w:sz="4" w:space="0" w:color="auto"/>
            </w:tcBorders>
          </w:tcPr>
          <w:p w14:paraId="2A05F231" w14:textId="53B5BDAB" w:rsidR="004D15DD" w:rsidRPr="008E6588" w:rsidRDefault="004D15DD" w:rsidP="00836DB5">
            <w:pPr>
              <w:jc w:val="left"/>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41291CD7" w14:textId="7C83B8E4" w:rsidR="004D15DD" w:rsidRPr="008E6588" w:rsidRDefault="004D15DD" w:rsidP="00836DB5">
            <w:pPr>
              <w:jc w:val="left"/>
              <w:rPr>
                <w:rFonts w:ascii="Arial Narrow" w:hAnsi="Arial Narrow"/>
                <w:sz w:val="20"/>
                <w:szCs w:val="20"/>
              </w:rPr>
            </w:pPr>
            <w:r w:rsidRPr="008E6588">
              <w:rPr>
                <w:rFonts w:ascii="Arial Narrow" w:hAnsi="Arial Narrow"/>
                <w:b/>
                <w:bCs/>
                <w:sz w:val="20"/>
                <w:szCs w:val="20"/>
              </w:rPr>
              <w:t xml:space="preserve">Administrative Advice: </w:t>
            </w:r>
            <w:r w:rsidR="00592F51" w:rsidRPr="008E6588">
              <w:rPr>
                <w:rFonts w:ascii="Arial Narrow" w:hAnsi="Arial Narrow"/>
                <w:iCs/>
                <w:sz w:val="20"/>
                <w:szCs w:val="20"/>
              </w:rPr>
              <w:t xml:space="preserve">Pharmaceutical benefits that have the form omalizumab </w:t>
            </w:r>
            <w:r w:rsidR="00592F51" w:rsidRPr="008E6588">
              <w:rPr>
                <w:rFonts w:ascii="Arial Narrow" w:hAnsi="Arial Narrow" w:cs="Arial"/>
                <w:iCs/>
                <w:sz w:val="20"/>
                <w:szCs w:val="20"/>
              </w:rPr>
              <w:t xml:space="preserve">150 mg/mL </w:t>
            </w:r>
            <w:r w:rsidR="00592F51" w:rsidRPr="008E6588">
              <w:rPr>
                <w:rFonts w:ascii="Arial Narrow" w:hAnsi="Arial Narrow"/>
                <w:iCs/>
                <w:sz w:val="20"/>
                <w:szCs w:val="20"/>
              </w:rPr>
              <w:t xml:space="preserve">syringes and pharmaceutical benefits that have the form omalizumab </w:t>
            </w:r>
            <w:r w:rsidR="00592F51" w:rsidRPr="008E6588">
              <w:rPr>
                <w:rFonts w:ascii="Arial Narrow" w:hAnsi="Arial Narrow" w:cs="Arial"/>
                <w:iCs/>
                <w:sz w:val="20"/>
                <w:szCs w:val="20"/>
              </w:rPr>
              <w:t xml:space="preserve">150 mg/mL </w:t>
            </w:r>
            <w:r w:rsidR="00592F51" w:rsidRPr="008E6588">
              <w:rPr>
                <w:rFonts w:ascii="Arial Narrow" w:hAnsi="Arial Narrow"/>
                <w:iCs/>
                <w:sz w:val="20"/>
                <w:szCs w:val="20"/>
              </w:rPr>
              <w:t>pen devices are equivalent for the purposes of substitution.</w:t>
            </w:r>
          </w:p>
        </w:tc>
      </w:tr>
      <w:tr w:rsidR="004D15DD" w:rsidRPr="008E6588" w14:paraId="6683E90C" w14:textId="77777777" w:rsidTr="00836DB5">
        <w:tblPrEx>
          <w:tblCellMar>
            <w:top w:w="15" w:type="dxa"/>
            <w:bottom w:w="15" w:type="dxa"/>
          </w:tblCellMar>
        </w:tblPrEx>
        <w:trPr>
          <w:cantSplit/>
          <w:trHeight w:val="300"/>
        </w:trPr>
        <w:tc>
          <w:tcPr>
            <w:tcW w:w="9021" w:type="dxa"/>
            <w:gridSpan w:val="8"/>
            <w:vAlign w:val="center"/>
          </w:tcPr>
          <w:p w14:paraId="1045F2E5" w14:textId="77777777" w:rsidR="004D15DD" w:rsidRPr="008E6588" w:rsidRDefault="004D15DD" w:rsidP="00836DB5">
            <w:pPr>
              <w:keepLines/>
              <w:rPr>
                <w:rFonts w:ascii="Arial Narrow" w:hAnsi="Arial Narrow"/>
                <w:b/>
                <w:bCs/>
                <w:sz w:val="20"/>
                <w:szCs w:val="20"/>
              </w:rPr>
            </w:pPr>
          </w:p>
        </w:tc>
      </w:tr>
      <w:tr w:rsidR="004D15DD" w:rsidRPr="008E6588" w14:paraId="54932A56" w14:textId="77777777" w:rsidTr="00836DB5">
        <w:tblPrEx>
          <w:tblCellMar>
            <w:top w:w="15" w:type="dxa"/>
            <w:bottom w:w="15" w:type="dxa"/>
          </w:tblCellMar>
        </w:tblPrEx>
        <w:trPr>
          <w:cantSplit/>
          <w:trHeight w:val="300"/>
        </w:trPr>
        <w:tc>
          <w:tcPr>
            <w:tcW w:w="9021" w:type="dxa"/>
            <w:gridSpan w:val="8"/>
            <w:vAlign w:val="center"/>
          </w:tcPr>
          <w:p w14:paraId="6D90517D" w14:textId="77777777" w:rsidR="004D15DD" w:rsidRPr="008E6588" w:rsidRDefault="004D15DD" w:rsidP="00836DB5">
            <w:pPr>
              <w:keepLines/>
              <w:rPr>
                <w:rFonts w:ascii="Arial Narrow" w:hAnsi="Arial Narrow"/>
                <w:b/>
                <w:bCs/>
                <w:sz w:val="20"/>
                <w:szCs w:val="20"/>
              </w:rPr>
            </w:pPr>
            <w:r w:rsidRPr="008E6588">
              <w:rPr>
                <w:rFonts w:ascii="Arial Narrow" w:hAnsi="Arial Narrow"/>
                <w:b/>
                <w:sz w:val="20"/>
                <w:szCs w:val="20"/>
              </w:rPr>
              <w:t>Restriction Summary 15349/ Treatment of Concept: 15376: Authority Required</w:t>
            </w:r>
          </w:p>
        </w:tc>
      </w:tr>
      <w:tr w:rsidR="004D15DD" w:rsidRPr="008E6588" w14:paraId="7296B71C" w14:textId="77777777" w:rsidTr="00B923E6">
        <w:tblPrEx>
          <w:tblCellMar>
            <w:top w:w="15" w:type="dxa"/>
            <w:bottom w:w="15" w:type="dxa"/>
          </w:tblCellMar>
        </w:tblPrEx>
        <w:trPr>
          <w:cantSplit/>
          <w:trHeight w:val="300"/>
        </w:trPr>
        <w:tc>
          <w:tcPr>
            <w:tcW w:w="1276" w:type="dxa"/>
            <w:gridSpan w:val="2"/>
            <w:vAlign w:val="center"/>
          </w:tcPr>
          <w:p w14:paraId="2CCBFDE2" w14:textId="7E3A2CFF" w:rsidR="004D15DD" w:rsidRPr="008E6588" w:rsidRDefault="004D15DD" w:rsidP="00836DB5">
            <w:pPr>
              <w:keepLines/>
              <w:jc w:val="center"/>
              <w:rPr>
                <w:rFonts w:ascii="Arial Narrow" w:hAnsi="Arial Narrow"/>
                <w:sz w:val="20"/>
                <w:szCs w:val="20"/>
              </w:rPr>
            </w:pPr>
          </w:p>
        </w:tc>
        <w:tc>
          <w:tcPr>
            <w:tcW w:w="7745" w:type="dxa"/>
            <w:gridSpan w:val="6"/>
            <w:vAlign w:val="center"/>
            <w:hideMark/>
          </w:tcPr>
          <w:p w14:paraId="28D79C5F" w14:textId="77777777" w:rsidR="004D15DD" w:rsidRPr="008E6588" w:rsidRDefault="004D15DD" w:rsidP="00836DB5">
            <w:pPr>
              <w:keepLines/>
              <w:rPr>
                <w:rFonts w:ascii="Arial Narrow" w:hAnsi="Arial Narrow"/>
                <w:color w:val="333333"/>
                <w:sz w:val="20"/>
                <w:szCs w:val="20"/>
              </w:rPr>
            </w:pPr>
            <w:r w:rsidRPr="008E6588">
              <w:rPr>
                <w:rFonts w:ascii="Arial Narrow" w:hAnsi="Arial Narrow"/>
                <w:b/>
                <w:bCs/>
                <w:sz w:val="20"/>
                <w:szCs w:val="20"/>
              </w:rPr>
              <w:t>Indication:</w:t>
            </w:r>
            <w:r w:rsidRPr="008E6588">
              <w:rPr>
                <w:rFonts w:ascii="Arial Narrow" w:hAnsi="Arial Narrow"/>
                <w:sz w:val="20"/>
                <w:szCs w:val="20"/>
              </w:rPr>
              <w:t xml:space="preserve"> Uncontrolled severe asthma</w:t>
            </w:r>
          </w:p>
        </w:tc>
      </w:tr>
      <w:tr w:rsidR="004D15DD" w:rsidRPr="008E6588" w14:paraId="546C58F1" w14:textId="77777777" w:rsidTr="00B923E6">
        <w:tblPrEx>
          <w:tblCellMar>
            <w:top w:w="15" w:type="dxa"/>
            <w:bottom w:w="15" w:type="dxa"/>
          </w:tblCellMar>
        </w:tblPrEx>
        <w:trPr>
          <w:cantSplit/>
          <w:trHeight w:val="300"/>
        </w:trPr>
        <w:tc>
          <w:tcPr>
            <w:tcW w:w="1276" w:type="dxa"/>
            <w:gridSpan w:val="2"/>
            <w:vAlign w:val="center"/>
          </w:tcPr>
          <w:p w14:paraId="1AFB9BC5" w14:textId="77777777" w:rsidR="004D15DD" w:rsidRPr="008E6588" w:rsidRDefault="004D15DD" w:rsidP="00836DB5">
            <w:pPr>
              <w:jc w:val="center"/>
              <w:rPr>
                <w:rFonts w:ascii="Arial Narrow" w:hAnsi="Arial Narrow"/>
                <w:sz w:val="20"/>
                <w:szCs w:val="20"/>
              </w:rPr>
            </w:pPr>
          </w:p>
        </w:tc>
        <w:tc>
          <w:tcPr>
            <w:tcW w:w="7745" w:type="dxa"/>
            <w:gridSpan w:val="6"/>
            <w:vAlign w:val="center"/>
            <w:hideMark/>
          </w:tcPr>
          <w:p w14:paraId="41938BF0" w14:textId="77777777" w:rsidR="004D15DD" w:rsidRPr="008E6588" w:rsidRDefault="004D15DD" w:rsidP="00836DB5">
            <w:pPr>
              <w:rPr>
                <w:rFonts w:ascii="Arial Narrow" w:hAnsi="Arial Narrow"/>
                <w:sz w:val="20"/>
                <w:szCs w:val="20"/>
              </w:rPr>
            </w:pPr>
            <w:r w:rsidRPr="008E6588">
              <w:rPr>
                <w:rFonts w:ascii="Arial Narrow" w:hAnsi="Arial Narrow"/>
                <w:b/>
                <w:bCs/>
                <w:sz w:val="20"/>
                <w:szCs w:val="20"/>
              </w:rPr>
              <w:t>Treatment Phase:</w:t>
            </w:r>
            <w:r w:rsidRPr="008E6588">
              <w:rPr>
                <w:rFonts w:ascii="Arial Narrow" w:hAnsi="Arial Narrow"/>
                <w:sz w:val="20"/>
                <w:szCs w:val="20"/>
              </w:rPr>
              <w:t xml:space="preserve"> Balance of supply</w:t>
            </w:r>
          </w:p>
        </w:tc>
      </w:tr>
      <w:tr w:rsidR="004D15DD" w:rsidRPr="008E6588" w14:paraId="6D0E8BDD" w14:textId="77777777" w:rsidTr="00836DB5">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CFED3" w14:textId="18DD37B6" w:rsidR="004D15DD" w:rsidRPr="008E6588" w:rsidRDefault="004D15DD" w:rsidP="00836DB5">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E8C65C" w14:textId="77777777" w:rsidR="004D15DD" w:rsidRPr="008E6588" w:rsidRDefault="004D15DD" w:rsidP="00836DB5">
            <w:pPr>
              <w:rPr>
                <w:rFonts w:ascii="Arial Narrow" w:hAnsi="Arial Narrow"/>
                <w:b/>
                <w:bCs/>
                <w:sz w:val="20"/>
                <w:szCs w:val="20"/>
              </w:rPr>
            </w:pPr>
            <w:r w:rsidRPr="008E6588">
              <w:rPr>
                <w:rFonts w:ascii="Arial Narrow" w:hAnsi="Arial Narrow"/>
                <w:b/>
                <w:bCs/>
                <w:sz w:val="20"/>
                <w:szCs w:val="20"/>
              </w:rPr>
              <w:t>Treatment criteria:</w:t>
            </w:r>
          </w:p>
        </w:tc>
      </w:tr>
      <w:tr w:rsidR="004D15DD" w:rsidRPr="008E6588" w14:paraId="49BA9B0D" w14:textId="77777777" w:rsidTr="00836DB5">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89252" w14:textId="79AF0B5E" w:rsidR="004D15DD" w:rsidRPr="008E6588" w:rsidRDefault="004D15DD" w:rsidP="00836DB5">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B24980" w14:textId="77777777" w:rsidR="004D15DD" w:rsidRPr="008E6588" w:rsidRDefault="004D15DD" w:rsidP="00836DB5">
            <w:pPr>
              <w:rPr>
                <w:rFonts w:ascii="Arial Narrow" w:hAnsi="Arial Narrow"/>
                <w:sz w:val="20"/>
                <w:szCs w:val="20"/>
              </w:rPr>
            </w:pPr>
            <w:r w:rsidRPr="008E6588">
              <w:rPr>
                <w:rFonts w:ascii="Arial Narrow" w:hAnsi="Arial Narrow"/>
                <w:sz w:val="20"/>
                <w:szCs w:val="20"/>
              </w:rPr>
              <w:t>Must be treated by a medical practitioner who is either a: (</w:t>
            </w:r>
            <w:proofErr w:type="spellStart"/>
            <w:r w:rsidRPr="008E6588">
              <w:rPr>
                <w:rFonts w:ascii="Arial Narrow" w:hAnsi="Arial Narrow"/>
                <w:sz w:val="20"/>
                <w:szCs w:val="20"/>
              </w:rPr>
              <w:t>i</w:t>
            </w:r>
            <w:proofErr w:type="spellEnd"/>
            <w:r w:rsidRPr="008E6588">
              <w:rPr>
                <w:rFonts w:ascii="Arial Narrow" w:hAnsi="Arial Narrow"/>
                <w:sz w:val="20"/>
                <w:szCs w:val="20"/>
              </w:rPr>
              <w:t>) respiratory physician, (ii) clinical immunologist, (iii) allergist, (iv) general physician experienced in the management of patients with severe asthma</w:t>
            </w:r>
          </w:p>
        </w:tc>
      </w:tr>
      <w:tr w:rsidR="004D15DD" w:rsidRPr="008E6588" w14:paraId="73804B67" w14:textId="77777777" w:rsidTr="00836DB5">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B1C9D" w14:textId="4B541593" w:rsidR="004D15DD" w:rsidRPr="008E6588" w:rsidRDefault="004D15DD" w:rsidP="00836DB5">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E5732C" w14:textId="77777777" w:rsidR="004D15DD" w:rsidRPr="008E6588" w:rsidRDefault="004D15DD" w:rsidP="00836DB5">
            <w:pPr>
              <w:rPr>
                <w:rFonts w:ascii="Arial Narrow" w:hAnsi="Arial Narrow"/>
                <w:b/>
                <w:bCs/>
                <w:sz w:val="20"/>
                <w:szCs w:val="20"/>
              </w:rPr>
            </w:pPr>
            <w:r w:rsidRPr="008E6588">
              <w:rPr>
                <w:rFonts w:ascii="Arial Narrow" w:hAnsi="Arial Narrow"/>
                <w:b/>
                <w:bCs/>
                <w:sz w:val="20"/>
                <w:szCs w:val="20"/>
              </w:rPr>
              <w:t>Clinical criteria:</w:t>
            </w:r>
          </w:p>
        </w:tc>
      </w:tr>
      <w:tr w:rsidR="004D15DD" w:rsidRPr="008E6588" w14:paraId="1E332BC5" w14:textId="77777777" w:rsidTr="00836DB5">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9A854" w14:textId="73CC8F20" w:rsidR="004D15DD" w:rsidRPr="008E6588" w:rsidRDefault="004D15DD" w:rsidP="00836DB5">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1B6660" w14:textId="77777777" w:rsidR="004D15DD" w:rsidRPr="008E6588" w:rsidRDefault="004D15DD" w:rsidP="00836DB5">
            <w:pPr>
              <w:rPr>
                <w:rFonts w:ascii="Arial Narrow" w:hAnsi="Arial Narrow"/>
                <w:sz w:val="20"/>
                <w:szCs w:val="20"/>
              </w:rPr>
            </w:pPr>
            <w:r w:rsidRPr="008E6588">
              <w:rPr>
                <w:rFonts w:ascii="Arial Narrow" w:hAnsi="Arial Narrow"/>
                <w:sz w:val="20"/>
                <w:szCs w:val="20"/>
              </w:rPr>
              <w:t>Patient must have received insufficient therapy with this drug under the Initial 1 (new patients or recommencement of treatment in a new treatment cycle) restriction to complete 32 weeks treatment; or</w:t>
            </w:r>
          </w:p>
        </w:tc>
      </w:tr>
      <w:tr w:rsidR="004D15DD" w:rsidRPr="008E6588" w14:paraId="5644456E" w14:textId="77777777" w:rsidTr="00836DB5">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2F591" w14:textId="099BBFF4" w:rsidR="004D15DD" w:rsidRPr="008E6588" w:rsidRDefault="004D15DD" w:rsidP="00836DB5">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337CB6" w14:textId="77777777" w:rsidR="004D15DD" w:rsidRPr="008E6588" w:rsidRDefault="004D15DD" w:rsidP="00836DB5">
            <w:pPr>
              <w:rPr>
                <w:rFonts w:ascii="Arial Narrow" w:hAnsi="Arial Narrow"/>
                <w:sz w:val="20"/>
                <w:szCs w:val="20"/>
              </w:rPr>
            </w:pPr>
            <w:r w:rsidRPr="008E6588">
              <w:rPr>
                <w:rFonts w:ascii="Arial Narrow" w:hAnsi="Arial Narrow"/>
                <w:sz w:val="20"/>
                <w:szCs w:val="20"/>
              </w:rPr>
              <w:t>Patient must have received insufficient therapy with this drug under the Initial 2 (change of treatment) restriction to complete 32 weeks treatment; or</w:t>
            </w:r>
          </w:p>
        </w:tc>
      </w:tr>
      <w:tr w:rsidR="004D15DD" w:rsidRPr="008E6588" w14:paraId="60230453" w14:textId="77777777" w:rsidTr="00836DB5">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87BB5" w14:textId="371FBAE6" w:rsidR="004D15DD" w:rsidRPr="008E6588" w:rsidRDefault="004D15DD" w:rsidP="00836DB5">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1E940F" w14:textId="77777777" w:rsidR="004D15DD" w:rsidRPr="008E6588" w:rsidRDefault="004D15DD" w:rsidP="00836DB5">
            <w:pPr>
              <w:rPr>
                <w:rFonts w:ascii="Arial Narrow" w:hAnsi="Arial Narrow"/>
                <w:sz w:val="20"/>
                <w:szCs w:val="20"/>
              </w:rPr>
            </w:pPr>
            <w:r w:rsidRPr="008E6588">
              <w:rPr>
                <w:rFonts w:ascii="Arial Narrow" w:hAnsi="Arial Narrow"/>
                <w:sz w:val="20"/>
                <w:szCs w:val="20"/>
              </w:rPr>
              <w:t>Patient must have received insufficient therapy with this drug under the Continuing treatment restriction to complete 24 weeks treatment</w:t>
            </w:r>
          </w:p>
        </w:tc>
      </w:tr>
      <w:tr w:rsidR="004D15DD" w:rsidRPr="008E6588" w14:paraId="060A97B1" w14:textId="77777777" w:rsidTr="00836DB5">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9CE2D" w14:textId="77777777" w:rsidR="004D15DD" w:rsidRPr="008E6588" w:rsidRDefault="004D15DD" w:rsidP="00836DB5">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176F04" w14:textId="77777777" w:rsidR="004D15DD" w:rsidRPr="008E6588" w:rsidRDefault="004D15DD" w:rsidP="00836DB5">
            <w:pPr>
              <w:rPr>
                <w:rFonts w:ascii="Arial Narrow" w:hAnsi="Arial Narrow"/>
                <w:b/>
                <w:bCs/>
                <w:sz w:val="20"/>
                <w:szCs w:val="20"/>
              </w:rPr>
            </w:pPr>
            <w:r w:rsidRPr="008E6588">
              <w:rPr>
                <w:rFonts w:ascii="Arial Narrow" w:hAnsi="Arial Narrow"/>
                <w:b/>
                <w:bCs/>
                <w:sz w:val="20"/>
                <w:szCs w:val="20"/>
              </w:rPr>
              <w:t>AND</w:t>
            </w:r>
          </w:p>
        </w:tc>
      </w:tr>
      <w:tr w:rsidR="004D15DD" w:rsidRPr="008E6588" w14:paraId="4FB3D4F2" w14:textId="77777777" w:rsidTr="00836DB5">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A0D5B" w14:textId="5751D96D" w:rsidR="004D15DD" w:rsidRPr="008E6588" w:rsidRDefault="004D15DD" w:rsidP="00836DB5">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8F54C6" w14:textId="77777777" w:rsidR="004D15DD" w:rsidRPr="008E6588" w:rsidRDefault="004D15DD" w:rsidP="00836DB5">
            <w:pPr>
              <w:rPr>
                <w:rFonts w:ascii="Arial Narrow" w:hAnsi="Arial Narrow"/>
                <w:b/>
                <w:bCs/>
                <w:sz w:val="20"/>
                <w:szCs w:val="20"/>
              </w:rPr>
            </w:pPr>
            <w:r w:rsidRPr="008E6588">
              <w:rPr>
                <w:rFonts w:ascii="Arial Narrow" w:hAnsi="Arial Narrow"/>
                <w:b/>
                <w:bCs/>
                <w:sz w:val="20"/>
                <w:szCs w:val="20"/>
              </w:rPr>
              <w:t>Clinical criteria:</w:t>
            </w:r>
          </w:p>
        </w:tc>
      </w:tr>
      <w:tr w:rsidR="004D15DD" w:rsidRPr="008E6588" w14:paraId="43FBEDCB" w14:textId="77777777" w:rsidTr="00836DB5">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D176A" w14:textId="7A0F1C8F" w:rsidR="004D15DD" w:rsidRPr="008E6588" w:rsidRDefault="004D15DD" w:rsidP="00836DB5">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7823A3" w14:textId="77777777" w:rsidR="004D15DD" w:rsidRPr="008E6588" w:rsidRDefault="004D15DD" w:rsidP="00836DB5">
            <w:pPr>
              <w:rPr>
                <w:rFonts w:ascii="Arial Narrow" w:hAnsi="Arial Narrow"/>
                <w:sz w:val="20"/>
                <w:szCs w:val="20"/>
              </w:rPr>
            </w:pPr>
            <w:r w:rsidRPr="008E6588">
              <w:rPr>
                <w:rFonts w:ascii="Arial Narrow" w:hAnsi="Arial Narrow"/>
                <w:sz w:val="20"/>
                <w:szCs w:val="20"/>
              </w:rPr>
              <w:t>The treatment must not provide more than the balance of up to 32 weeks of treatment if the most recent authority approval was made under an Initial treatment restriction; or</w:t>
            </w:r>
          </w:p>
        </w:tc>
      </w:tr>
      <w:tr w:rsidR="004D15DD" w:rsidRPr="008E6588" w14:paraId="4A6E25DF" w14:textId="77777777" w:rsidTr="00836DB5">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E6CD3" w14:textId="30C7A4B8" w:rsidR="004D15DD" w:rsidRPr="008E6588" w:rsidRDefault="004D15DD" w:rsidP="00836DB5">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019998" w14:textId="77777777" w:rsidR="004D15DD" w:rsidRPr="008E6588" w:rsidRDefault="004D15DD" w:rsidP="00836DB5">
            <w:pPr>
              <w:rPr>
                <w:rFonts w:ascii="Arial Narrow" w:hAnsi="Arial Narrow"/>
                <w:sz w:val="20"/>
                <w:szCs w:val="20"/>
              </w:rPr>
            </w:pPr>
            <w:r w:rsidRPr="008E6588">
              <w:rPr>
                <w:rFonts w:ascii="Arial Narrow" w:hAnsi="Arial Narrow"/>
                <w:sz w:val="20"/>
                <w:szCs w:val="20"/>
              </w:rPr>
              <w:t>The treatment must not provide more than the balance of up to 24 weeks of treatment if the most recent authority approval was made under the Continuing treatment restriction</w:t>
            </w:r>
          </w:p>
        </w:tc>
      </w:tr>
    </w:tbl>
    <w:p w14:paraId="3A15FC57" w14:textId="77777777" w:rsidR="004D15DD" w:rsidRDefault="004D15DD">
      <w:pPr>
        <w:rPr>
          <w:rFonts w:ascii="Arial Narrow" w:hAnsi="Arial Narrow"/>
          <w:sz w:val="20"/>
          <w:szCs w:val="20"/>
        </w:rPr>
      </w:pPr>
    </w:p>
    <w:p w14:paraId="4C71300C" w14:textId="77777777" w:rsidR="00B91BC7" w:rsidRDefault="00B91BC7">
      <w:pPr>
        <w:rPr>
          <w:rFonts w:ascii="Arial Narrow" w:hAnsi="Arial Narrow"/>
          <w:sz w:val="20"/>
          <w:szCs w:val="20"/>
        </w:rPr>
      </w:pPr>
    </w:p>
    <w:p w14:paraId="0164F3B0" w14:textId="77777777" w:rsidR="00B91BC7" w:rsidRDefault="00B91BC7">
      <w:pPr>
        <w:rPr>
          <w:rFonts w:ascii="Arial Narrow" w:hAnsi="Arial Narrow"/>
          <w:sz w:val="20"/>
          <w:szCs w:val="20"/>
        </w:rPr>
      </w:pPr>
    </w:p>
    <w:p w14:paraId="2F40C369" w14:textId="77777777" w:rsidR="00B91BC7" w:rsidRDefault="00B91BC7">
      <w:pPr>
        <w:rPr>
          <w:rFonts w:ascii="Arial Narrow" w:hAnsi="Arial Narrow"/>
          <w:sz w:val="20"/>
          <w:szCs w:val="20"/>
        </w:rPr>
      </w:pPr>
    </w:p>
    <w:p w14:paraId="17033DFF" w14:textId="77777777" w:rsidR="00B91BC7" w:rsidRPr="008E6588" w:rsidRDefault="00B91BC7">
      <w:pPr>
        <w:rPr>
          <w:rFonts w:ascii="Arial Narrow" w:hAnsi="Arial Narrow"/>
          <w:sz w:val="20"/>
          <w:szCs w:val="20"/>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commended listing"/>
        <w:tblDescription w:val="Uncontrolled severe asthma - balance of supply &#10;omalizumab 300 mg/2 mL injection, 2 mL syringe - NEW listing / Public&#10;omalizumab 300 mg/2 mL injection, 2 mL syringe - NEW listing / Private&#10;omalizumab 300 mg/2 mL injection, 2 mL pen device - NEW listing / Public&#10;omalizumab 300 mg/2 mL injection, 2 mL pen device - NEW listing / Private&#10;"/>
      </w:tblPr>
      <w:tblGrid>
        <w:gridCol w:w="566"/>
        <w:gridCol w:w="710"/>
        <w:gridCol w:w="3251"/>
        <w:gridCol w:w="1276"/>
        <w:gridCol w:w="803"/>
        <w:gridCol w:w="803"/>
        <w:gridCol w:w="804"/>
        <w:gridCol w:w="808"/>
      </w:tblGrid>
      <w:tr w:rsidR="004D15DD" w:rsidRPr="008E6588" w14:paraId="59E319C9" w14:textId="77777777" w:rsidTr="00836DB5">
        <w:trPr>
          <w:cantSplit/>
          <w:trHeight w:val="300"/>
        </w:trPr>
        <w:tc>
          <w:tcPr>
            <w:tcW w:w="4527" w:type="dxa"/>
            <w:gridSpan w:val="3"/>
            <w:vAlign w:val="center"/>
          </w:tcPr>
          <w:p w14:paraId="5E89562B" w14:textId="77777777" w:rsidR="004D15DD" w:rsidRPr="008E6588" w:rsidRDefault="004D15DD" w:rsidP="00836DB5">
            <w:pPr>
              <w:keepLines/>
              <w:rPr>
                <w:rFonts w:ascii="Arial Narrow" w:hAnsi="Arial Narrow" w:cs="Arial"/>
                <w:b/>
                <w:bCs/>
                <w:sz w:val="20"/>
                <w:szCs w:val="20"/>
              </w:rPr>
            </w:pPr>
            <w:r w:rsidRPr="008E6588">
              <w:rPr>
                <w:rFonts w:ascii="Arial Narrow" w:hAnsi="Arial Narrow" w:cs="Arial"/>
                <w:b/>
                <w:bCs/>
                <w:sz w:val="20"/>
                <w:szCs w:val="20"/>
              </w:rPr>
              <w:t>MEDICINAL PRODUCT</w:t>
            </w:r>
          </w:p>
          <w:p w14:paraId="55BBA21C" w14:textId="77777777" w:rsidR="004D15DD" w:rsidRPr="008E6588" w:rsidRDefault="004D15DD" w:rsidP="00836DB5">
            <w:pPr>
              <w:keepLines/>
              <w:rPr>
                <w:rFonts w:ascii="Arial Narrow" w:hAnsi="Arial Narrow" w:cs="Arial"/>
                <w:b/>
                <w:sz w:val="20"/>
                <w:szCs w:val="20"/>
              </w:rPr>
            </w:pPr>
            <w:r w:rsidRPr="008E6588">
              <w:rPr>
                <w:rFonts w:ascii="Arial Narrow" w:hAnsi="Arial Narrow" w:cs="Arial"/>
                <w:b/>
                <w:bCs/>
                <w:sz w:val="20"/>
                <w:szCs w:val="20"/>
              </w:rPr>
              <w:t>medicinal product pack</w:t>
            </w:r>
          </w:p>
        </w:tc>
        <w:tc>
          <w:tcPr>
            <w:tcW w:w="1276" w:type="dxa"/>
            <w:vAlign w:val="center"/>
          </w:tcPr>
          <w:p w14:paraId="1A46FAFE" w14:textId="77777777" w:rsidR="004D15DD" w:rsidRPr="008E6588" w:rsidRDefault="004D15DD" w:rsidP="00836DB5">
            <w:pPr>
              <w:keepLines/>
              <w:jc w:val="center"/>
              <w:rPr>
                <w:rFonts w:ascii="Arial Narrow" w:hAnsi="Arial Narrow" w:cs="Arial"/>
                <w:b/>
                <w:sz w:val="20"/>
                <w:szCs w:val="20"/>
              </w:rPr>
            </w:pPr>
            <w:r w:rsidRPr="008E6588">
              <w:rPr>
                <w:rFonts w:ascii="Arial Narrow" w:hAnsi="Arial Narrow" w:cs="Arial"/>
                <w:b/>
                <w:sz w:val="20"/>
                <w:szCs w:val="20"/>
              </w:rPr>
              <w:t>PBS item code</w:t>
            </w:r>
          </w:p>
        </w:tc>
        <w:tc>
          <w:tcPr>
            <w:tcW w:w="803" w:type="dxa"/>
            <w:vAlign w:val="center"/>
          </w:tcPr>
          <w:p w14:paraId="3017AE8D" w14:textId="77777777" w:rsidR="004D15DD" w:rsidRPr="008E6588" w:rsidRDefault="004D15DD" w:rsidP="00836DB5">
            <w:pPr>
              <w:keepLines/>
              <w:jc w:val="center"/>
              <w:rPr>
                <w:rFonts w:ascii="Arial Narrow" w:hAnsi="Arial Narrow" w:cs="Arial"/>
                <w:b/>
                <w:sz w:val="20"/>
                <w:szCs w:val="20"/>
              </w:rPr>
            </w:pPr>
            <w:r w:rsidRPr="008E6588">
              <w:rPr>
                <w:rFonts w:ascii="Arial Narrow" w:hAnsi="Arial Narrow" w:cs="Arial"/>
                <w:b/>
                <w:sz w:val="20"/>
                <w:szCs w:val="20"/>
              </w:rPr>
              <w:t>Max. qty packs</w:t>
            </w:r>
          </w:p>
        </w:tc>
        <w:tc>
          <w:tcPr>
            <w:tcW w:w="803" w:type="dxa"/>
            <w:vAlign w:val="center"/>
          </w:tcPr>
          <w:p w14:paraId="17902D9E" w14:textId="77777777" w:rsidR="004D15DD" w:rsidRPr="008E6588" w:rsidRDefault="004D15DD" w:rsidP="00836DB5">
            <w:pPr>
              <w:keepLines/>
              <w:jc w:val="center"/>
              <w:rPr>
                <w:rFonts w:ascii="Arial Narrow" w:hAnsi="Arial Narrow" w:cs="Arial"/>
                <w:b/>
                <w:sz w:val="20"/>
                <w:szCs w:val="20"/>
              </w:rPr>
            </w:pPr>
            <w:r w:rsidRPr="008E6588">
              <w:rPr>
                <w:rFonts w:ascii="Arial Narrow" w:hAnsi="Arial Narrow" w:cs="Arial"/>
                <w:b/>
                <w:sz w:val="20"/>
                <w:szCs w:val="20"/>
              </w:rPr>
              <w:t>Max. qty units</w:t>
            </w:r>
          </w:p>
        </w:tc>
        <w:tc>
          <w:tcPr>
            <w:tcW w:w="804" w:type="dxa"/>
            <w:vAlign w:val="center"/>
          </w:tcPr>
          <w:p w14:paraId="1132CA70" w14:textId="77777777" w:rsidR="004D15DD" w:rsidRPr="008E6588" w:rsidRDefault="004D15DD" w:rsidP="00836DB5">
            <w:pPr>
              <w:keepLines/>
              <w:jc w:val="center"/>
              <w:rPr>
                <w:rFonts w:ascii="Arial Narrow" w:hAnsi="Arial Narrow" w:cs="Arial"/>
                <w:b/>
                <w:bCs/>
                <w:sz w:val="20"/>
                <w:szCs w:val="20"/>
              </w:rPr>
            </w:pPr>
            <w:proofErr w:type="gramStart"/>
            <w:r w:rsidRPr="008E6588">
              <w:rPr>
                <w:rFonts w:ascii="Arial Narrow" w:hAnsi="Arial Narrow" w:cs="Arial"/>
                <w:b/>
                <w:bCs/>
                <w:sz w:val="20"/>
                <w:szCs w:val="20"/>
              </w:rPr>
              <w:t>№.of</w:t>
            </w:r>
            <w:proofErr w:type="gramEnd"/>
          </w:p>
          <w:p w14:paraId="648CDB77" w14:textId="77777777" w:rsidR="004D15DD" w:rsidRPr="008E6588" w:rsidRDefault="004D15DD" w:rsidP="00836DB5">
            <w:pPr>
              <w:keepLines/>
              <w:jc w:val="center"/>
              <w:rPr>
                <w:rFonts w:ascii="Arial Narrow" w:hAnsi="Arial Narrow" w:cs="Arial"/>
                <w:b/>
                <w:bCs/>
                <w:sz w:val="20"/>
                <w:szCs w:val="20"/>
              </w:rPr>
            </w:pPr>
            <w:r w:rsidRPr="008E6588">
              <w:rPr>
                <w:rFonts w:ascii="Arial Narrow" w:hAnsi="Arial Narrow" w:cs="Arial"/>
                <w:b/>
                <w:bCs/>
                <w:sz w:val="20"/>
                <w:szCs w:val="20"/>
              </w:rPr>
              <w:t>Rpts</w:t>
            </w:r>
          </w:p>
        </w:tc>
        <w:tc>
          <w:tcPr>
            <w:tcW w:w="808" w:type="dxa"/>
            <w:vAlign w:val="center"/>
          </w:tcPr>
          <w:p w14:paraId="0ACC4797" w14:textId="77777777" w:rsidR="004D15DD" w:rsidRPr="008E6588" w:rsidRDefault="004D15DD" w:rsidP="00836DB5">
            <w:pPr>
              <w:keepLines/>
              <w:rPr>
                <w:rFonts w:ascii="Arial Narrow" w:hAnsi="Arial Narrow" w:cs="Arial"/>
                <w:b/>
                <w:sz w:val="20"/>
                <w:szCs w:val="20"/>
                <w:lang w:val="fr-FR"/>
              </w:rPr>
            </w:pPr>
            <w:r w:rsidRPr="008E6588">
              <w:rPr>
                <w:rFonts w:ascii="Arial Narrow" w:hAnsi="Arial Narrow" w:cs="Arial"/>
                <w:b/>
                <w:sz w:val="20"/>
                <w:szCs w:val="20"/>
              </w:rPr>
              <w:t>Available brands</w:t>
            </w:r>
          </w:p>
        </w:tc>
      </w:tr>
      <w:tr w:rsidR="004D15DD" w:rsidRPr="008E6588" w14:paraId="405A4BB4" w14:textId="77777777" w:rsidTr="00836DB5">
        <w:trPr>
          <w:cantSplit/>
          <w:trHeight w:val="300"/>
        </w:trPr>
        <w:tc>
          <w:tcPr>
            <w:tcW w:w="9021" w:type="dxa"/>
            <w:gridSpan w:val="8"/>
            <w:vAlign w:val="center"/>
          </w:tcPr>
          <w:p w14:paraId="78611B1E" w14:textId="77777777" w:rsidR="004D15DD" w:rsidRPr="008E6588" w:rsidRDefault="004D15DD" w:rsidP="00836DB5">
            <w:pPr>
              <w:keepLines/>
              <w:rPr>
                <w:rFonts w:ascii="Arial Narrow" w:hAnsi="Arial Narrow" w:cs="Arial"/>
                <w:sz w:val="20"/>
                <w:szCs w:val="20"/>
              </w:rPr>
            </w:pPr>
            <w:r w:rsidRPr="008E6588">
              <w:rPr>
                <w:rFonts w:ascii="Arial Narrow" w:hAnsi="Arial Narrow" w:cs="Arial"/>
                <w:sz w:val="20"/>
                <w:szCs w:val="20"/>
              </w:rPr>
              <w:t>OMALIZUMAB</w:t>
            </w:r>
          </w:p>
        </w:tc>
      </w:tr>
      <w:tr w:rsidR="00592F51" w:rsidRPr="008E6588" w14:paraId="2A2FF603" w14:textId="77777777" w:rsidTr="00592F51">
        <w:trPr>
          <w:cantSplit/>
          <w:trHeight w:val="300"/>
        </w:trPr>
        <w:tc>
          <w:tcPr>
            <w:tcW w:w="4527" w:type="dxa"/>
            <w:gridSpan w:val="3"/>
            <w:vAlign w:val="center"/>
          </w:tcPr>
          <w:p w14:paraId="25638095" w14:textId="77777777" w:rsidR="00592F51" w:rsidRPr="008E6588" w:rsidRDefault="00592F51" w:rsidP="00836DB5">
            <w:pPr>
              <w:keepLines/>
              <w:rPr>
                <w:rFonts w:ascii="Arial Narrow" w:hAnsi="Arial Narrow" w:cs="Arial"/>
                <w:sz w:val="20"/>
                <w:szCs w:val="20"/>
              </w:rPr>
            </w:pPr>
            <w:r w:rsidRPr="008E6588">
              <w:rPr>
                <w:rFonts w:ascii="Arial Narrow" w:hAnsi="Arial Narrow" w:cs="Arial"/>
                <w:sz w:val="20"/>
                <w:szCs w:val="20"/>
              </w:rPr>
              <w:t>omalizumab 300 mg/2 mL injection, 2 mL syringe</w:t>
            </w:r>
          </w:p>
        </w:tc>
        <w:tc>
          <w:tcPr>
            <w:tcW w:w="1276" w:type="dxa"/>
            <w:vAlign w:val="center"/>
          </w:tcPr>
          <w:p w14:paraId="75488B93" w14:textId="23CF8B0E" w:rsidR="00592F51" w:rsidRPr="008E6588" w:rsidRDefault="00592F51" w:rsidP="00836DB5">
            <w:pPr>
              <w:keepLines/>
              <w:jc w:val="center"/>
              <w:rPr>
                <w:rFonts w:ascii="Arial Narrow" w:hAnsi="Arial Narrow" w:cs="Arial"/>
                <w:iCs/>
                <w:sz w:val="20"/>
                <w:szCs w:val="20"/>
              </w:rPr>
            </w:pPr>
            <w:r w:rsidRPr="008E6588">
              <w:rPr>
                <w:rFonts w:ascii="Arial Narrow" w:hAnsi="Arial Narrow" w:cs="Arial"/>
                <w:iCs/>
                <w:sz w:val="20"/>
                <w:szCs w:val="20"/>
              </w:rPr>
              <w:t>NEW</w:t>
            </w:r>
            <w:r w:rsidR="00027332" w:rsidRPr="008E6588">
              <w:rPr>
                <w:rFonts w:ascii="Arial Narrow" w:hAnsi="Arial Narrow" w:cs="Arial"/>
                <w:iCs/>
                <w:sz w:val="20"/>
                <w:szCs w:val="20"/>
              </w:rPr>
              <w:t>/ Public</w:t>
            </w:r>
          </w:p>
        </w:tc>
        <w:tc>
          <w:tcPr>
            <w:tcW w:w="803" w:type="dxa"/>
          </w:tcPr>
          <w:p w14:paraId="7B1F701F" w14:textId="77777777" w:rsidR="00592F51" w:rsidRPr="008E6588" w:rsidRDefault="00592F51"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803" w:type="dxa"/>
          </w:tcPr>
          <w:p w14:paraId="001D60DB" w14:textId="77777777" w:rsidR="00592F51" w:rsidRPr="008E6588" w:rsidRDefault="00592F51"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804" w:type="dxa"/>
          </w:tcPr>
          <w:p w14:paraId="02197453" w14:textId="77777777" w:rsidR="00592F51" w:rsidRPr="008E6588" w:rsidRDefault="00592F51" w:rsidP="00836DB5">
            <w:pPr>
              <w:keepLines/>
              <w:jc w:val="center"/>
              <w:rPr>
                <w:rFonts w:ascii="Arial Narrow" w:hAnsi="Arial Narrow" w:cs="Arial"/>
                <w:sz w:val="20"/>
                <w:szCs w:val="20"/>
              </w:rPr>
            </w:pPr>
            <w:r w:rsidRPr="008E6588">
              <w:rPr>
                <w:rFonts w:ascii="Arial Narrow" w:hAnsi="Arial Narrow" w:cs="Arial"/>
                <w:sz w:val="20"/>
                <w:szCs w:val="20"/>
              </w:rPr>
              <w:t>0</w:t>
            </w:r>
          </w:p>
        </w:tc>
        <w:tc>
          <w:tcPr>
            <w:tcW w:w="808" w:type="dxa"/>
            <w:vMerge w:val="restart"/>
          </w:tcPr>
          <w:p w14:paraId="25904190" w14:textId="1C576B88" w:rsidR="00592F51" w:rsidRPr="008E6588" w:rsidRDefault="00592F51" w:rsidP="00592F51">
            <w:pPr>
              <w:keepLines/>
              <w:jc w:val="center"/>
              <w:rPr>
                <w:rFonts w:ascii="Arial Narrow" w:hAnsi="Arial Narrow" w:cs="Arial"/>
                <w:sz w:val="20"/>
                <w:szCs w:val="20"/>
              </w:rPr>
            </w:pPr>
            <w:proofErr w:type="spellStart"/>
            <w:r w:rsidRPr="008E6588">
              <w:rPr>
                <w:rFonts w:ascii="Arial Narrow" w:hAnsi="Arial Narrow"/>
                <w:sz w:val="20"/>
                <w:szCs w:val="20"/>
                <w:vertAlign w:val="superscript"/>
              </w:rPr>
              <w:t>a</w:t>
            </w:r>
            <w:r w:rsidRPr="008E6588">
              <w:rPr>
                <w:rFonts w:ascii="Arial Narrow" w:hAnsi="Arial Narrow" w:cs="Arial"/>
                <w:sz w:val="20"/>
                <w:szCs w:val="20"/>
              </w:rPr>
              <w:t>Xolair</w:t>
            </w:r>
            <w:proofErr w:type="spellEnd"/>
          </w:p>
        </w:tc>
      </w:tr>
      <w:tr w:rsidR="00592F51" w:rsidRPr="008E6588" w14:paraId="4451FF60" w14:textId="77777777" w:rsidTr="00836DB5">
        <w:trPr>
          <w:cantSplit/>
          <w:trHeight w:val="300"/>
        </w:trPr>
        <w:tc>
          <w:tcPr>
            <w:tcW w:w="4527" w:type="dxa"/>
            <w:gridSpan w:val="3"/>
            <w:vAlign w:val="center"/>
          </w:tcPr>
          <w:p w14:paraId="0CFD9A56" w14:textId="77777777" w:rsidR="00592F51" w:rsidRPr="008E6588" w:rsidRDefault="00592F51" w:rsidP="00836DB5">
            <w:pPr>
              <w:keepLines/>
              <w:rPr>
                <w:rFonts w:ascii="Arial Narrow" w:hAnsi="Arial Narrow" w:cs="Arial"/>
                <w:sz w:val="20"/>
                <w:szCs w:val="20"/>
              </w:rPr>
            </w:pPr>
            <w:r w:rsidRPr="008E6588">
              <w:rPr>
                <w:rFonts w:ascii="Arial Narrow" w:hAnsi="Arial Narrow" w:cs="Arial"/>
                <w:sz w:val="20"/>
                <w:szCs w:val="20"/>
              </w:rPr>
              <w:t>omalizumab 300 mg/2 mL injection, 2 mL syringe</w:t>
            </w:r>
          </w:p>
        </w:tc>
        <w:tc>
          <w:tcPr>
            <w:tcW w:w="1276" w:type="dxa"/>
            <w:vAlign w:val="center"/>
          </w:tcPr>
          <w:p w14:paraId="78168AC6" w14:textId="265E78C8" w:rsidR="00592F51" w:rsidRPr="008E6588" w:rsidRDefault="00592F51" w:rsidP="00836DB5">
            <w:pPr>
              <w:keepLines/>
              <w:jc w:val="center"/>
              <w:rPr>
                <w:rFonts w:ascii="Arial Narrow" w:hAnsi="Arial Narrow" w:cs="Arial"/>
                <w:iCs/>
                <w:sz w:val="20"/>
                <w:szCs w:val="20"/>
              </w:rPr>
            </w:pPr>
            <w:r w:rsidRPr="008E6588">
              <w:rPr>
                <w:rFonts w:ascii="Arial Narrow" w:hAnsi="Arial Narrow" w:cs="Arial"/>
                <w:iCs/>
                <w:sz w:val="20"/>
                <w:szCs w:val="20"/>
              </w:rPr>
              <w:t>NEW</w:t>
            </w:r>
            <w:r w:rsidR="00027332" w:rsidRPr="008E6588">
              <w:rPr>
                <w:rFonts w:ascii="Arial Narrow" w:hAnsi="Arial Narrow" w:cs="Arial"/>
                <w:iCs/>
                <w:sz w:val="20"/>
                <w:szCs w:val="20"/>
              </w:rPr>
              <w:t>/ Private</w:t>
            </w:r>
          </w:p>
        </w:tc>
        <w:tc>
          <w:tcPr>
            <w:tcW w:w="803" w:type="dxa"/>
          </w:tcPr>
          <w:p w14:paraId="13D6D8F6" w14:textId="77777777" w:rsidR="00592F51" w:rsidRPr="008E6588" w:rsidRDefault="00592F51"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803" w:type="dxa"/>
          </w:tcPr>
          <w:p w14:paraId="344E1D60" w14:textId="77777777" w:rsidR="00592F51" w:rsidRPr="008E6588" w:rsidRDefault="00592F51"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804" w:type="dxa"/>
          </w:tcPr>
          <w:p w14:paraId="33C9B4B5" w14:textId="77777777" w:rsidR="00592F51" w:rsidRPr="008E6588" w:rsidRDefault="00592F51" w:rsidP="00836DB5">
            <w:pPr>
              <w:keepLines/>
              <w:jc w:val="center"/>
              <w:rPr>
                <w:rFonts w:ascii="Arial Narrow" w:hAnsi="Arial Narrow" w:cs="Arial"/>
                <w:sz w:val="20"/>
                <w:szCs w:val="20"/>
              </w:rPr>
            </w:pPr>
            <w:r w:rsidRPr="008E6588">
              <w:rPr>
                <w:rFonts w:ascii="Arial Narrow" w:hAnsi="Arial Narrow" w:cs="Arial"/>
                <w:sz w:val="20"/>
                <w:szCs w:val="20"/>
              </w:rPr>
              <w:t>0</w:t>
            </w:r>
          </w:p>
        </w:tc>
        <w:tc>
          <w:tcPr>
            <w:tcW w:w="808" w:type="dxa"/>
            <w:vMerge/>
            <w:vAlign w:val="center"/>
          </w:tcPr>
          <w:p w14:paraId="5C264C82" w14:textId="77777777" w:rsidR="00592F51" w:rsidRPr="008E6588" w:rsidRDefault="00592F51" w:rsidP="00836DB5">
            <w:pPr>
              <w:keepLines/>
              <w:rPr>
                <w:rFonts w:ascii="Arial Narrow" w:hAnsi="Arial Narrow" w:cs="Arial"/>
                <w:sz w:val="20"/>
                <w:szCs w:val="20"/>
              </w:rPr>
            </w:pPr>
          </w:p>
        </w:tc>
      </w:tr>
      <w:tr w:rsidR="00592F51" w:rsidRPr="008E6588" w14:paraId="038B8765" w14:textId="77777777" w:rsidTr="00836DB5">
        <w:trPr>
          <w:cantSplit/>
          <w:trHeight w:val="300"/>
        </w:trPr>
        <w:tc>
          <w:tcPr>
            <w:tcW w:w="4527" w:type="dxa"/>
            <w:gridSpan w:val="3"/>
            <w:vAlign w:val="center"/>
          </w:tcPr>
          <w:p w14:paraId="18BEF226" w14:textId="77777777" w:rsidR="00592F51" w:rsidRPr="008E6588" w:rsidRDefault="00592F51" w:rsidP="00836DB5">
            <w:pPr>
              <w:keepLines/>
              <w:rPr>
                <w:rFonts w:ascii="Arial Narrow" w:hAnsi="Arial Narrow" w:cs="Arial"/>
                <w:sz w:val="20"/>
                <w:szCs w:val="20"/>
              </w:rPr>
            </w:pPr>
            <w:r w:rsidRPr="008E6588">
              <w:rPr>
                <w:rFonts w:ascii="Arial Narrow" w:hAnsi="Arial Narrow" w:cs="Arial"/>
                <w:sz w:val="20"/>
                <w:szCs w:val="20"/>
              </w:rPr>
              <w:t>omalizumab 300 mg/2 mL injection, 2 mL pen device</w:t>
            </w:r>
          </w:p>
        </w:tc>
        <w:tc>
          <w:tcPr>
            <w:tcW w:w="1276" w:type="dxa"/>
            <w:vAlign w:val="center"/>
          </w:tcPr>
          <w:p w14:paraId="705C6156" w14:textId="140D4C02" w:rsidR="00592F51" w:rsidRPr="008E6588" w:rsidRDefault="00592F51" w:rsidP="00836DB5">
            <w:pPr>
              <w:keepLines/>
              <w:jc w:val="center"/>
              <w:rPr>
                <w:rFonts w:ascii="Arial Narrow" w:hAnsi="Arial Narrow" w:cs="Arial"/>
                <w:iCs/>
                <w:sz w:val="20"/>
                <w:szCs w:val="20"/>
              </w:rPr>
            </w:pPr>
            <w:r w:rsidRPr="008E6588">
              <w:rPr>
                <w:rFonts w:ascii="Arial Narrow" w:hAnsi="Arial Narrow" w:cs="Arial"/>
                <w:iCs/>
                <w:sz w:val="20"/>
                <w:szCs w:val="20"/>
              </w:rPr>
              <w:t>NEW</w:t>
            </w:r>
            <w:r w:rsidR="00027332" w:rsidRPr="008E6588">
              <w:rPr>
                <w:rFonts w:ascii="Arial Narrow" w:hAnsi="Arial Narrow" w:cs="Arial"/>
                <w:iCs/>
                <w:sz w:val="20"/>
                <w:szCs w:val="20"/>
              </w:rPr>
              <w:t>/ Public</w:t>
            </w:r>
          </w:p>
        </w:tc>
        <w:tc>
          <w:tcPr>
            <w:tcW w:w="803" w:type="dxa"/>
          </w:tcPr>
          <w:p w14:paraId="230F0FAA" w14:textId="77777777" w:rsidR="00592F51" w:rsidRPr="008E6588" w:rsidRDefault="00592F51"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803" w:type="dxa"/>
          </w:tcPr>
          <w:p w14:paraId="13D8A422" w14:textId="77777777" w:rsidR="00592F51" w:rsidRPr="008E6588" w:rsidRDefault="00592F51"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804" w:type="dxa"/>
          </w:tcPr>
          <w:p w14:paraId="791D68BE" w14:textId="77777777" w:rsidR="00592F51" w:rsidRPr="008E6588" w:rsidRDefault="00592F51" w:rsidP="00836DB5">
            <w:pPr>
              <w:keepLines/>
              <w:jc w:val="center"/>
              <w:rPr>
                <w:rFonts w:ascii="Arial Narrow" w:hAnsi="Arial Narrow" w:cs="Arial"/>
                <w:sz w:val="20"/>
                <w:szCs w:val="20"/>
              </w:rPr>
            </w:pPr>
            <w:r w:rsidRPr="008E6588">
              <w:rPr>
                <w:rFonts w:ascii="Arial Narrow" w:hAnsi="Arial Narrow" w:cs="Arial"/>
                <w:sz w:val="20"/>
                <w:szCs w:val="20"/>
              </w:rPr>
              <w:t>0</w:t>
            </w:r>
          </w:p>
        </w:tc>
        <w:tc>
          <w:tcPr>
            <w:tcW w:w="808" w:type="dxa"/>
            <w:vMerge/>
            <w:vAlign w:val="center"/>
          </w:tcPr>
          <w:p w14:paraId="78482A4B" w14:textId="77777777" w:rsidR="00592F51" w:rsidRPr="008E6588" w:rsidRDefault="00592F51" w:rsidP="00836DB5">
            <w:pPr>
              <w:keepLines/>
              <w:rPr>
                <w:rFonts w:ascii="Arial Narrow" w:hAnsi="Arial Narrow" w:cs="Arial"/>
                <w:sz w:val="20"/>
                <w:szCs w:val="20"/>
              </w:rPr>
            </w:pPr>
          </w:p>
        </w:tc>
      </w:tr>
      <w:tr w:rsidR="00592F51" w:rsidRPr="008E6588" w14:paraId="64C878D7" w14:textId="77777777" w:rsidTr="00836DB5">
        <w:trPr>
          <w:cantSplit/>
          <w:trHeight w:val="300"/>
        </w:trPr>
        <w:tc>
          <w:tcPr>
            <w:tcW w:w="4527" w:type="dxa"/>
            <w:gridSpan w:val="3"/>
            <w:vAlign w:val="center"/>
          </w:tcPr>
          <w:p w14:paraId="1AD5E2D1" w14:textId="77777777" w:rsidR="00592F51" w:rsidRPr="008E6588" w:rsidRDefault="00592F51" w:rsidP="00836DB5">
            <w:pPr>
              <w:keepLines/>
              <w:rPr>
                <w:rFonts w:ascii="Arial Narrow" w:hAnsi="Arial Narrow" w:cs="Arial"/>
                <w:sz w:val="20"/>
                <w:szCs w:val="20"/>
              </w:rPr>
            </w:pPr>
            <w:r w:rsidRPr="008E6588">
              <w:rPr>
                <w:rFonts w:ascii="Arial Narrow" w:hAnsi="Arial Narrow" w:cs="Arial"/>
                <w:sz w:val="20"/>
                <w:szCs w:val="20"/>
              </w:rPr>
              <w:t>omalizumab 300 mg/2 mL injection, 2 mL pen device</w:t>
            </w:r>
          </w:p>
        </w:tc>
        <w:tc>
          <w:tcPr>
            <w:tcW w:w="1276" w:type="dxa"/>
            <w:vAlign w:val="center"/>
          </w:tcPr>
          <w:p w14:paraId="1A6B3D73" w14:textId="0565C02B" w:rsidR="00592F51" w:rsidRPr="008E6588" w:rsidRDefault="00592F51" w:rsidP="00836DB5">
            <w:pPr>
              <w:keepLines/>
              <w:jc w:val="center"/>
              <w:rPr>
                <w:rFonts w:ascii="Arial Narrow" w:hAnsi="Arial Narrow" w:cs="Arial"/>
                <w:sz w:val="20"/>
                <w:szCs w:val="20"/>
              </w:rPr>
            </w:pPr>
            <w:r w:rsidRPr="008E6588">
              <w:rPr>
                <w:rFonts w:ascii="Arial Narrow" w:hAnsi="Arial Narrow" w:cs="Arial"/>
                <w:sz w:val="20"/>
                <w:szCs w:val="20"/>
              </w:rPr>
              <w:t>NEW</w:t>
            </w:r>
            <w:r w:rsidR="00027332" w:rsidRPr="008E6588">
              <w:rPr>
                <w:rFonts w:ascii="Arial Narrow" w:hAnsi="Arial Narrow" w:cs="Arial"/>
                <w:sz w:val="20"/>
                <w:szCs w:val="20"/>
              </w:rPr>
              <w:t>/ Private</w:t>
            </w:r>
          </w:p>
        </w:tc>
        <w:tc>
          <w:tcPr>
            <w:tcW w:w="803" w:type="dxa"/>
          </w:tcPr>
          <w:p w14:paraId="1F21303C" w14:textId="77777777" w:rsidR="00592F51" w:rsidRPr="008E6588" w:rsidRDefault="00592F51"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803" w:type="dxa"/>
          </w:tcPr>
          <w:p w14:paraId="57441DE6" w14:textId="77777777" w:rsidR="00592F51" w:rsidRPr="008E6588" w:rsidRDefault="00592F51"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804" w:type="dxa"/>
          </w:tcPr>
          <w:p w14:paraId="6B3BF1EB" w14:textId="77777777" w:rsidR="00592F51" w:rsidRPr="008E6588" w:rsidRDefault="00592F51" w:rsidP="00836DB5">
            <w:pPr>
              <w:keepLines/>
              <w:jc w:val="center"/>
              <w:rPr>
                <w:rFonts w:ascii="Arial Narrow" w:hAnsi="Arial Narrow" w:cs="Arial"/>
                <w:sz w:val="20"/>
                <w:szCs w:val="20"/>
              </w:rPr>
            </w:pPr>
            <w:r w:rsidRPr="008E6588">
              <w:rPr>
                <w:rFonts w:ascii="Arial Narrow" w:hAnsi="Arial Narrow" w:cs="Arial"/>
                <w:sz w:val="20"/>
                <w:szCs w:val="20"/>
              </w:rPr>
              <w:t>0</w:t>
            </w:r>
          </w:p>
        </w:tc>
        <w:tc>
          <w:tcPr>
            <w:tcW w:w="808" w:type="dxa"/>
            <w:vMerge/>
            <w:vAlign w:val="center"/>
          </w:tcPr>
          <w:p w14:paraId="75BCBDC1" w14:textId="77777777" w:rsidR="00592F51" w:rsidRPr="008E6588" w:rsidRDefault="00592F51" w:rsidP="00836DB5">
            <w:pPr>
              <w:keepLines/>
              <w:rPr>
                <w:rFonts w:ascii="Arial Narrow" w:hAnsi="Arial Narrow" w:cs="Arial"/>
                <w:sz w:val="20"/>
                <w:szCs w:val="20"/>
              </w:rPr>
            </w:pPr>
          </w:p>
        </w:tc>
      </w:tr>
      <w:tr w:rsidR="004D15DD" w:rsidRPr="008E6588" w14:paraId="597B47E4" w14:textId="77777777" w:rsidTr="00836DB5">
        <w:tblPrEx>
          <w:tblCellMar>
            <w:top w:w="15" w:type="dxa"/>
            <w:bottom w:w="15" w:type="dxa"/>
          </w:tblCellMar>
        </w:tblPrEx>
        <w:trPr>
          <w:trHeight w:val="300"/>
        </w:trPr>
        <w:tc>
          <w:tcPr>
            <w:tcW w:w="9021" w:type="dxa"/>
            <w:gridSpan w:val="8"/>
            <w:tcBorders>
              <w:top w:val="single" w:sz="4" w:space="0" w:color="auto"/>
              <w:left w:val="single" w:sz="4" w:space="0" w:color="auto"/>
              <w:right w:val="single" w:sz="4" w:space="0" w:color="auto"/>
            </w:tcBorders>
            <w:vAlign w:val="center"/>
          </w:tcPr>
          <w:p w14:paraId="79D0C750" w14:textId="77777777" w:rsidR="004D15DD" w:rsidRPr="008E6588" w:rsidRDefault="004D15DD" w:rsidP="00836DB5">
            <w:pPr>
              <w:rPr>
                <w:rFonts w:ascii="Arial Narrow" w:hAnsi="Arial Narrow" w:cs="Arial"/>
                <w:sz w:val="20"/>
                <w:szCs w:val="20"/>
              </w:rPr>
            </w:pPr>
          </w:p>
        </w:tc>
      </w:tr>
      <w:tr w:rsidR="004D15DD" w:rsidRPr="008E6588" w14:paraId="722607B1" w14:textId="77777777" w:rsidTr="00836DB5">
        <w:tblPrEx>
          <w:tblCellMar>
            <w:top w:w="15" w:type="dxa"/>
            <w:bottom w:w="15" w:type="dxa"/>
          </w:tblCellMar>
        </w:tblPrEx>
        <w:trPr>
          <w:trHeight w:val="300"/>
        </w:trPr>
        <w:tc>
          <w:tcPr>
            <w:tcW w:w="1276" w:type="dxa"/>
            <w:gridSpan w:val="2"/>
            <w:vMerge w:val="restart"/>
            <w:tcBorders>
              <w:top w:val="single" w:sz="4" w:space="0" w:color="auto"/>
              <w:left w:val="single" w:sz="4" w:space="0" w:color="auto"/>
              <w:right w:val="single" w:sz="4" w:space="0" w:color="auto"/>
            </w:tcBorders>
          </w:tcPr>
          <w:p w14:paraId="6981CB2B" w14:textId="77777777" w:rsidR="004D15DD" w:rsidRPr="008E6588" w:rsidRDefault="004D15DD" w:rsidP="00836DB5">
            <w:pPr>
              <w:jc w:val="center"/>
              <w:rPr>
                <w:rFonts w:ascii="Arial Narrow" w:hAnsi="Arial Narrow" w:cs="Arial"/>
                <w:b/>
                <w:sz w:val="20"/>
                <w:szCs w:val="20"/>
              </w:rPr>
            </w:pPr>
            <w:r w:rsidRPr="008E6588">
              <w:rPr>
                <w:rFonts w:ascii="Arial Narrow" w:hAnsi="Arial Narrow" w:cs="Arial"/>
                <w:b/>
                <w:sz w:val="20"/>
                <w:szCs w:val="20"/>
              </w:rPr>
              <w:t xml:space="preserve">Concept ID </w:t>
            </w:r>
            <w:r w:rsidRPr="008E6588">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35C2C8E" w14:textId="77777777" w:rsidR="004D15DD" w:rsidRPr="008E6588" w:rsidRDefault="004D15DD" w:rsidP="00836DB5">
            <w:pPr>
              <w:keepLines/>
              <w:rPr>
                <w:rFonts w:ascii="Arial Narrow" w:hAnsi="Arial Narrow" w:cs="Arial"/>
                <w:sz w:val="20"/>
                <w:szCs w:val="20"/>
              </w:rPr>
            </w:pPr>
            <w:r w:rsidRPr="008E6588">
              <w:rPr>
                <w:rFonts w:ascii="Arial Narrow" w:hAnsi="Arial Narrow" w:cs="Arial"/>
                <w:b/>
                <w:sz w:val="20"/>
                <w:szCs w:val="20"/>
              </w:rPr>
              <w:t>Category / Program:</w:t>
            </w:r>
            <w:r w:rsidRPr="008E6588">
              <w:rPr>
                <w:rFonts w:ascii="Arial Narrow" w:hAnsi="Arial Narrow" w:cs="Arial"/>
                <w:sz w:val="20"/>
                <w:szCs w:val="20"/>
              </w:rPr>
              <w:t xml:space="preserve"> </w:t>
            </w:r>
            <w:r w:rsidRPr="008E6588">
              <w:rPr>
                <w:rFonts w:ascii="Arial Narrow" w:eastAsia="Calibri" w:hAnsi="Arial Narrow" w:cs="Arial"/>
                <w:sz w:val="20"/>
                <w:szCs w:val="20"/>
              </w:rPr>
              <w:t>Section 100 – Highly Specialised Drugs Program – Public (Code HB)</w:t>
            </w:r>
            <w:r w:rsidRPr="008E6588">
              <w:rPr>
                <w:rFonts w:ascii="Arial Narrow" w:eastAsia="Calibri" w:hAnsi="Arial Narrow" w:cs="Arial"/>
                <w:color w:val="FF0000"/>
                <w:sz w:val="20"/>
                <w:szCs w:val="20"/>
              </w:rPr>
              <w:t xml:space="preserve"> </w:t>
            </w:r>
            <w:r w:rsidRPr="008E6588">
              <w:rPr>
                <w:rFonts w:ascii="Arial Narrow" w:eastAsia="Calibri" w:hAnsi="Arial Narrow" w:cs="Arial"/>
                <w:sz w:val="20"/>
                <w:szCs w:val="20"/>
              </w:rPr>
              <w:t>/ Private (Code HS)</w:t>
            </w:r>
          </w:p>
        </w:tc>
      </w:tr>
      <w:tr w:rsidR="004D15DD" w:rsidRPr="008E6588" w14:paraId="784D1BEC" w14:textId="77777777">
        <w:tblPrEx>
          <w:tblCellMar>
            <w:top w:w="15" w:type="dxa"/>
            <w:bottom w:w="15" w:type="dxa"/>
          </w:tblCellMar>
        </w:tblPrEx>
        <w:trPr>
          <w:trHeight w:val="300"/>
        </w:trPr>
        <w:tc>
          <w:tcPr>
            <w:tcW w:w="1276" w:type="dxa"/>
            <w:gridSpan w:val="2"/>
            <w:vMerge/>
            <w:tcBorders>
              <w:left w:val="single" w:sz="4" w:space="0" w:color="auto"/>
              <w:right w:val="single" w:sz="4" w:space="0" w:color="auto"/>
            </w:tcBorders>
          </w:tcPr>
          <w:p w14:paraId="380215C6" w14:textId="77777777" w:rsidR="004D15DD" w:rsidRPr="008E6588" w:rsidRDefault="004D15DD" w:rsidP="00836DB5">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30A2C2A" w14:textId="77777777" w:rsidR="004D15DD" w:rsidRPr="008E6588" w:rsidRDefault="004D15DD" w:rsidP="00836DB5">
            <w:pPr>
              <w:keepLines/>
              <w:rPr>
                <w:rFonts w:ascii="Arial Narrow" w:hAnsi="Arial Narrow" w:cs="Arial"/>
                <w:b/>
                <w:sz w:val="20"/>
                <w:szCs w:val="20"/>
              </w:rPr>
            </w:pPr>
            <w:r w:rsidRPr="008E6588">
              <w:rPr>
                <w:rFonts w:ascii="Arial Narrow" w:hAnsi="Arial Narrow" w:cs="Arial"/>
                <w:b/>
                <w:sz w:val="20"/>
                <w:szCs w:val="20"/>
              </w:rPr>
              <w:t xml:space="preserve">Prescriber type: </w:t>
            </w:r>
            <w:r w:rsidRPr="008E6588">
              <w:rPr>
                <w:rFonts w:ascii="Arial Narrow" w:hAnsi="Arial Narrow" w:cs="Arial"/>
                <w:sz w:val="20"/>
                <w:szCs w:val="20"/>
              </w:rPr>
              <w:fldChar w:fldCharType="begin" w:fldLock="1">
                <w:ffData>
                  <w:name w:val=""/>
                  <w:enabled/>
                  <w:calcOnExit w:val="0"/>
                  <w:checkBox>
                    <w:sizeAuto/>
                    <w:default w:val="1"/>
                  </w:checkBox>
                </w:ffData>
              </w:fldChar>
            </w:r>
            <w:r w:rsidRPr="008E6588">
              <w:rPr>
                <w:rFonts w:ascii="Arial Narrow" w:hAnsi="Arial Narrow" w:cs="Arial"/>
                <w:sz w:val="20"/>
                <w:szCs w:val="20"/>
              </w:rPr>
              <w:instrText xml:space="preserve"> FORMCHECKBOX </w:instrText>
            </w:r>
            <w:r w:rsidRPr="008E6588">
              <w:rPr>
                <w:rFonts w:ascii="Arial Narrow" w:hAnsi="Arial Narrow" w:cs="Arial"/>
                <w:sz w:val="20"/>
                <w:szCs w:val="20"/>
              </w:rPr>
            </w:r>
            <w:r w:rsidRPr="008E6588">
              <w:rPr>
                <w:rFonts w:ascii="Arial Narrow" w:hAnsi="Arial Narrow" w:cs="Arial"/>
                <w:sz w:val="20"/>
                <w:szCs w:val="20"/>
              </w:rPr>
              <w:fldChar w:fldCharType="separate"/>
            </w:r>
            <w:r w:rsidRPr="008E6588">
              <w:rPr>
                <w:rFonts w:ascii="Arial Narrow" w:hAnsi="Arial Narrow" w:cs="Arial"/>
                <w:sz w:val="20"/>
                <w:szCs w:val="20"/>
              </w:rPr>
              <w:fldChar w:fldCharType="end"/>
            </w:r>
            <w:r w:rsidRPr="008E6588">
              <w:rPr>
                <w:rFonts w:ascii="Arial Narrow" w:hAnsi="Arial Narrow" w:cs="Arial"/>
                <w:sz w:val="20"/>
                <w:szCs w:val="20"/>
              </w:rPr>
              <w:t xml:space="preserve">Medical Practitioners </w:t>
            </w:r>
          </w:p>
        </w:tc>
      </w:tr>
      <w:tr w:rsidR="004D15DD" w:rsidRPr="008E6588" w14:paraId="0196AAF9" w14:textId="77777777">
        <w:tblPrEx>
          <w:tblCellMar>
            <w:top w:w="15" w:type="dxa"/>
            <w:bottom w:w="15" w:type="dxa"/>
          </w:tblCellMar>
        </w:tblPrEx>
        <w:trPr>
          <w:trHeight w:val="300"/>
        </w:trPr>
        <w:tc>
          <w:tcPr>
            <w:tcW w:w="1276" w:type="dxa"/>
            <w:gridSpan w:val="2"/>
            <w:vMerge/>
            <w:tcBorders>
              <w:left w:val="single" w:sz="4" w:space="0" w:color="auto"/>
              <w:right w:val="single" w:sz="4" w:space="0" w:color="auto"/>
            </w:tcBorders>
          </w:tcPr>
          <w:p w14:paraId="413536AD" w14:textId="77777777" w:rsidR="004D15DD" w:rsidRPr="008E6588" w:rsidRDefault="004D15DD" w:rsidP="00836DB5">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17F7420" w14:textId="77777777" w:rsidR="004D15DD" w:rsidRPr="008E6588" w:rsidRDefault="004D15DD" w:rsidP="00836DB5">
            <w:pPr>
              <w:keepLines/>
              <w:rPr>
                <w:rFonts w:ascii="Arial Narrow" w:eastAsia="Calibri" w:hAnsi="Arial Narrow" w:cs="Arial"/>
                <w:color w:val="FF0000"/>
                <w:sz w:val="20"/>
                <w:szCs w:val="20"/>
              </w:rPr>
            </w:pPr>
            <w:r w:rsidRPr="008E6588">
              <w:rPr>
                <w:rFonts w:ascii="Arial Narrow" w:hAnsi="Arial Narrow" w:cs="Arial"/>
                <w:b/>
                <w:sz w:val="20"/>
                <w:szCs w:val="20"/>
              </w:rPr>
              <w:t xml:space="preserve">Restriction type: </w:t>
            </w:r>
            <w:r w:rsidRPr="008E6588">
              <w:rPr>
                <w:rFonts w:ascii="Arial Narrow" w:eastAsia="Calibri" w:hAnsi="Arial Narrow" w:cs="Arial"/>
                <w:sz w:val="20"/>
                <w:szCs w:val="20"/>
              </w:rPr>
              <w:fldChar w:fldCharType="begin" w:fldLock="1">
                <w:ffData>
                  <w:name w:val=""/>
                  <w:enabled/>
                  <w:calcOnExit w:val="0"/>
                  <w:checkBox>
                    <w:sizeAuto/>
                    <w:default w:val="1"/>
                  </w:checkBox>
                </w:ffData>
              </w:fldChar>
            </w:r>
            <w:r w:rsidRPr="008E6588">
              <w:rPr>
                <w:rFonts w:ascii="Arial Narrow" w:eastAsia="Calibri" w:hAnsi="Arial Narrow" w:cs="Arial"/>
                <w:sz w:val="20"/>
                <w:szCs w:val="20"/>
              </w:rPr>
              <w:instrText xml:space="preserve"> FORMCHECKBOX </w:instrText>
            </w:r>
            <w:r w:rsidRPr="008E6588">
              <w:rPr>
                <w:rFonts w:ascii="Arial Narrow" w:eastAsia="Calibri" w:hAnsi="Arial Narrow" w:cs="Arial"/>
                <w:sz w:val="20"/>
                <w:szCs w:val="20"/>
              </w:rPr>
            </w:r>
            <w:r w:rsidRPr="008E6588">
              <w:rPr>
                <w:rFonts w:ascii="Arial Narrow" w:eastAsia="Calibri" w:hAnsi="Arial Narrow" w:cs="Arial"/>
                <w:sz w:val="20"/>
                <w:szCs w:val="20"/>
              </w:rPr>
              <w:fldChar w:fldCharType="separate"/>
            </w:r>
            <w:r w:rsidRPr="008E6588">
              <w:rPr>
                <w:rFonts w:ascii="Arial Narrow" w:eastAsia="Calibri" w:hAnsi="Arial Narrow" w:cs="Arial"/>
                <w:sz w:val="20"/>
                <w:szCs w:val="20"/>
              </w:rPr>
              <w:fldChar w:fldCharType="end"/>
            </w:r>
            <w:r w:rsidRPr="008E6588">
              <w:rPr>
                <w:rFonts w:ascii="Arial Narrow" w:eastAsia="Calibri" w:hAnsi="Arial Narrow" w:cs="Arial"/>
                <w:sz w:val="20"/>
                <w:szCs w:val="20"/>
              </w:rPr>
              <w:t>Authority Required (telephone/online PBS Authorities system)</w:t>
            </w:r>
          </w:p>
        </w:tc>
      </w:tr>
      <w:tr w:rsidR="00B174FD" w:rsidRPr="008E6588" w14:paraId="5FA64472" w14:textId="77777777">
        <w:tblPrEx>
          <w:tblCellMar>
            <w:top w:w="15" w:type="dxa"/>
            <w:bottom w:w="15" w:type="dxa"/>
          </w:tblCellMar>
        </w:tblPrEx>
        <w:trPr>
          <w:trHeight w:val="300"/>
        </w:trPr>
        <w:tc>
          <w:tcPr>
            <w:tcW w:w="1276" w:type="dxa"/>
            <w:gridSpan w:val="2"/>
            <w:vMerge/>
            <w:tcBorders>
              <w:left w:val="single" w:sz="4" w:space="0" w:color="auto"/>
              <w:right w:val="single" w:sz="4" w:space="0" w:color="auto"/>
            </w:tcBorders>
          </w:tcPr>
          <w:p w14:paraId="373B94A8" w14:textId="77777777" w:rsidR="00B174FD" w:rsidRPr="008E6588" w:rsidRDefault="00B174FD">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3C2B4FF" w14:textId="089CB0E5" w:rsidR="00B174FD" w:rsidRPr="008E6588" w:rsidRDefault="00B174FD">
            <w:pPr>
              <w:keepLines/>
              <w:rPr>
                <w:rFonts w:ascii="Arial Narrow" w:hAnsi="Arial Narrow" w:cs="Arial"/>
                <w:b/>
                <w:sz w:val="20"/>
                <w:szCs w:val="20"/>
              </w:rPr>
            </w:pPr>
            <w:r w:rsidRPr="008E6588">
              <w:rPr>
                <w:rFonts w:ascii="Arial Narrow" w:hAnsi="Arial Narrow"/>
                <w:b/>
                <w:sz w:val="20"/>
                <w:szCs w:val="20"/>
              </w:rPr>
              <w:t xml:space="preserve">Authority type: </w:t>
            </w:r>
            <w:r w:rsidRPr="008E6588">
              <w:rPr>
                <w:rFonts w:ascii="Arial Narrow" w:eastAsia="Calibri" w:hAnsi="Arial Narrow"/>
                <w:sz w:val="20"/>
                <w:szCs w:val="20"/>
              </w:rPr>
              <w:fldChar w:fldCharType="begin" w:fldLock="1">
                <w:ffData>
                  <w:name w:val=""/>
                  <w:enabled/>
                  <w:calcOnExit w:val="0"/>
                  <w:checkBox>
                    <w:sizeAuto/>
                    <w:default w:val="1"/>
                  </w:checkBox>
                </w:ffData>
              </w:fldChar>
            </w:r>
            <w:r w:rsidRPr="008E6588">
              <w:rPr>
                <w:rFonts w:ascii="Arial Narrow" w:eastAsia="Calibri" w:hAnsi="Arial Narrow"/>
                <w:sz w:val="20"/>
                <w:szCs w:val="20"/>
              </w:rPr>
              <w:instrText xml:space="preserve"> FORMCHECKBOX </w:instrText>
            </w:r>
            <w:r w:rsidRPr="008E6588">
              <w:rPr>
                <w:rFonts w:ascii="Arial Narrow" w:eastAsia="Calibri" w:hAnsi="Arial Narrow"/>
                <w:sz w:val="20"/>
                <w:szCs w:val="20"/>
              </w:rPr>
            </w:r>
            <w:r w:rsidRPr="008E6588">
              <w:rPr>
                <w:rFonts w:ascii="Arial Narrow" w:eastAsia="Calibri" w:hAnsi="Arial Narrow"/>
                <w:sz w:val="20"/>
                <w:szCs w:val="20"/>
              </w:rPr>
              <w:fldChar w:fldCharType="separate"/>
            </w:r>
            <w:r w:rsidRPr="008E6588">
              <w:rPr>
                <w:rFonts w:ascii="Arial Narrow" w:eastAsia="Calibri" w:hAnsi="Arial Narrow"/>
                <w:sz w:val="20"/>
                <w:szCs w:val="20"/>
              </w:rPr>
              <w:fldChar w:fldCharType="end"/>
            </w:r>
            <w:r w:rsidRPr="008E6588">
              <w:rPr>
                <w:rFonts w:ascii="Arial Narrow" w:eastAsia="Calibri" w:hAnsi="Arial Narrow"/>
                <w:sz w:val="20"/>
                <w:szCs w:val="20"/>
              </w:rPr>
              <w:t xml:space="preserve"> Complex Authority Required (CAR)</w:t>
            </w:r>
          </w:p>
        </w:tc>
      </w:tr>
      <w:tr w:rsidR="004D15DD" w:rsidRPr="008E6588" w14:paraId="568D72D6" w14:textId="77777777" w:rsidTr="00836DB5">
        <w:tblPrEx>
          <w:tblCellMar>
            <w:top w:w="15" w:type="dxa"/>
            <w:bottom w:w="15" w:type="dxa"/>
          </w:tblCellMar>
          <w:tblLook w:val="0000" w:firstRow="0" w:lastRow="0" w:firstColumn="0" w:lastColumn="0" w:noHBand="0" w:noVBand="0"/>
        </w:tblPrEx>
        <w:trPr>
          <w:trHeight w:val="20"/>
        </w:trPr>
        <w:tc>
          <w:tcPr>
            <w:tcW w:w="566" w:type="dxa"/>
            <w:vMerge w:val="restart"/>
            <w:tcBorders>
              <w:left w:val="single" w:sz="4" w:space="0" w:color="auto"/>
              <w:right w:val="single" w:sz="4" w:space="0" w:color="auto"/>
            </w:tcBorders>
            <w:textDirection w:val="btLr"/>
          </w:tcPr>
          <w:p w14:paraId="0C29C08B" w14:textId="77777777" w:rsidR="004D15DD" w:rsidRPr="008E6588" w:rsidRDefault="004D15DD" w:rsidP="00836DB5">
            <w:pPr>
              <w:ind w:left="113" w:right="113"/>
              <w:jc w:val="center"/>
              <w:rPr>
                <w:rFonts w:ascii="Arial Narrow" w:hAnsi="Arial Narrow" w:cs="Arial"/>
                <w:sz w:val="20"/>
                <w:szCs w:val="20"/>
              </w:rPr>
            </w:pPr>
            <w:r w:rsidRPr="008E6588">
              <w:rPr>
                <w:rFonts w:ascii="Arial Narrow" w:hAnsi="Arial Narrow" w:cs="Arial"/>
                <w:sz w:val="20"/>
                <w:szCs w:val="20"/>
              </w:rPr>
              <w:lastRenderedPageBreak/>
              <w:t>Prescribing rule level</w:t>
            </w:r>
          </w:p>
        </w:tc>
        <w:tc>
          <w:tcPr>
            <w:tcW w:w="710" w:type="dxa"/>
            <w:tcBorders>
              <w:left w:val="single" w:sz="4" w:space="0" w:color="auto"/>
              <w:right w:val="single" w:sz="4" w:space="0" w:color="auto"/>
            </w:tcBorders>
          </w:tcPr>
          <w:p w14:paraId="38CC3CCF" w14:textId="7606E99A" w:rsidR="004D15DD" w:rsidRPr="008E6588" w:rsidRDefault="004D15DD" w:rsidP="00836DB5">
            <w:pPr>
              <w:jc w:val="left"/>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0E45ABE7"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
                <w:sz w:val="20"/>
                <w:szCs w:val="20"/>
              </w:rPr>
              <w:t xml:space="preserve">Administrative Advice: </w:t>
            </w:r>
          </w:p>
          <w:p w14:paraId="21E07EDB" w14:textId="77777777" w:rsidR="004D15DD" w:rsidRPr="008E6588" w:rsidRDefault="004D15DD" w:rsidP="00836DB5">
            <w:pPr>
              <w:keepLines/>
              <w:jc w:val="left"/>
              <w:rPr>
                <w:rFonts w:ascii="Arial Narrow" w:hAnsi="Arial Narrow" w:cs="Arial"/>
                <w:b/>
                <w:sz w:val="20"/>
                <w:szCs w:val="20"/>
              </w:rPr>
            </w:pPr>
            <w:r w:rsidRPr="008E6588">
              <w:rPr>
                <w:rFonts w:ascii="Arial Narrow" w:hAnsi="Arial Narrow" w:cs="Arial"/>
                <w:b/>
                <w:bCs/>
                <w:sz w:val="20"/>
                <w:szCs w:val="20"/>
              </w:rPr>
              <w:t>TREATMENT OF ADULT AND ADOLESCENT PATIENTS WITH UNCONTROLLED SEVERE ASTHMA</w:t>
            </w:r>
          </w:p>
          <w:p w14:paraId="3C6F6B67"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The following information applies to the prescribing under the Pharmaceutical Benefits Scheme (PBS) of the biological medicines for uncontrolled severe asthma. Where the term biological medicine appears in the following notes and restrictions it refers to all PBS benefits with the specific PBS indication of 'uncontrolled severe asthma'.</w:t>
            </w:r>
          </w:p>
          <w:p w14:paraId="19783213"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A patient is eligible for PBS-subsidised treatment with only 1 biological medicine for uncontrolled severe asthma at any one time.</w:t>
            </w:r>
          </w:p>
          <w:p w14:paraId="3325CCB5"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 xml:space="preserve">A patient receiving PBS-subsidised treatment for uncontrolled severe asthma </w:t>
            </w:r>
            <w:proofErr w:type="gramStart"/>
            <w:r w:rsidRPr="008E6588">
              <w:rPr>
                <w:rFonts w:ascii="Arial Narrow" w:hAnsi="Arial Narrow" w:cs="Arial"/>
                <w:bCs/>
                <w:sz w:val="20"/>
                <w:szCs w:val="20"/>
              </w:rPr>
              <w:t>is able to</w:t>
            </w:r>
            <w:proofErr w:type="gramEnd"/>
            <w:r w:rsidRPr="008E6588">
              <w:rPr>
                <w:rFonts w:ascii="Arial Narrow" w:hAnsi="Arial Narrow" w:cs="Arial"/>
                <w:bCs/>
                <w:sz w:val="20"/>
                <w:szCs w:val="20"/>
              </w:rPr>
              <w:t xml:space="preserve"> commence a treatment cycle where they may trial a biological medicine without having to experience a disease flare when swapping to an alternate biological medicine within the same treatment cycle.</w:t>
            </w:r>
          </w:p>
          <w:p w14:paraId="4C2B125F"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 xml:space="preserve">Under these arrangements, within a treatment cycle, a patient may receive long-term treatment with a biological medicine </w:t>
            </w:r>
            <w:proofErr w:type="gramStart"/>
            <w:r w:rsidRPr="008E6588">
              <w:rPr>
                <w:rFonts w:ascii="Arial Narrow" w:hAnsi="Arial Narrow" w:cs="Arial"/>
                <w:bCs/>
                <w:sz w:val="20"/>
                <w:szCs w:val="20"/>
              </w:rPr>
              <w:t>as long as</w:t>
            </w:r>
            <w:proofErr w:type="gramEnd"/>
            <w:r w:rsidRPr="008E6588">
              <w:rPr>
                <w:rFonts w:ascii="Arial Narrow" w:hAnsi="Arial Narrow" w:cs="Arial"/>
                <w:bCs/>
                <w:sz w:val="20"/>
                <w:szCs w:val="20"/>
              </w:rPr>
              <w:t xml:space="preserve"> they sustain a response to therapy.</w:t>
            </w:r>
          </w:p>
          <w:p w14:paraId="2B6C9F74"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A patient currently receiving PBS-subsidised treatment as of 1 April 2021 is considered to have started a cycle of treatment.</w:t>
            </w:r>
          </w:p>
          <w:p w14:paraId="012DEFEC"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Within the same treatment cycle, a patient cannot trial and fail, or cease to respond to, the same PBS-subsidised biological medicine more than once.</w:t>
            </w:r>
          </w:p>
          <w:p w14:paraId="5A59EED9"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Therefore, once a patient fails to meet the response criteria for a PBS-subsidised biological medicine, they must change to an alternate biological medicine if they wish to continue PBS-subsidised biological treatment.</w:t>
            </w:r>
          </w:p>
          <w:p w14:paraId="472CEAED"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Once a patient has either failed to achieve or sustain a response to treatment 4 times, they are deemed to have completed a single treatment cycle. They must have at least a 12-month break in PBS-subsidised biological medicine therapy before they are eligible to recommence another new treatment cycle [further details are under 'Recommencement of treatment after a treatment break in PBS-subsidised therapy' below].</w:t>
            </w:r>
          </w:p>
          <w:p w14:paraId="213D6136"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The length of the break in therapy is measured from the date the most recent treatment with a PBS-subsidised biological medicine is ceased until the date of the first application for recommencement of treatment with a biological medicine under the new treatment cycle.</w:t>
            </w:r>
          </w:p>
          <w:p w14:paraId="4AC729A9"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There is no limit to the number of treatment cycles that a patient may undertake in their lifetime.</w:t>
            </w:r>
          </w:p>
          <w:p w14:paraId="55961874"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How to prescribe PBS-subsidised biological medicine treatment for uncontrolled severe asthma.</w:t>
            </w:r>
          </w:p>
          <w:p w14:paraId="7A34EEBB"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(1) Initial treatment:</w:t>
            </w:r>
          </w:p>
          <w:p w14:paraId="5BB77EE8"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Applications for initial treatment should be made where:</w:t>
            </w:r>
          </w:p>
          <w:p w14:paraId="298C779A"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w:t>
            </w:r>
            <w:proofErr w:type="spellStart"/>
            <w:r w:rsidRPr="008E6588">
              <w:rPr>
                <w:rFonts w:ascii="Arial Narrow" w:hAnsi="Arial Narrow" w:cs="Arial"/>
                <w:bCs/>
                <w:sz w:val="20"/>
                <w:szCs w:val="20"/>
              </w:rPr>
              <w:t>i</w:t>
            </w:r>
            <w:proofErr w:type="spellEnd"/>
            <w:r w:rsidRPr="008E6588">
              <w:rPr>
                <w:rFonts w:ascii="Arial Narrow" w:hAnsi="Arial Narrow" w:cs="Arial"/>
                <w:bCs/>
                <w:sz w:val="20"/>
                <w:szCs w:val="20"/>
              </w:rPr>
              <w:t>) a patient has not received prior PBS-subsidised biological medicine treatment and wishes to commence such therapy (Initial 1 restriction); or</w:t>
            </w:r>
          </w:p>
          <w:p w14:paraId="0CD52950"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(ii) a patient has received prior PBS-subsidised treatment with a biological medicine and wishes to recommence a new treatment cycle with this biological medicine following a treatment break in PBS-subsidised therapy (Initial 1 restriction); or</w:t>
            </w:r>
          </w:p>
          <w:p w14:paraId="689E97C9"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(iii) a patient has received prior PBS-subsidised biological medicine therapy and wishes to trial an alternate biological medicine within the same treatment cycle (Initial 2 restriction) - [further details are under 'Swapping therapy' below].</w:t>
            </w:r>
          </w:p>
          <w:p w14:paraId="2731DCED"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All applications for initial treatment will be limited to provide for a maximum of up to 32 weeks of therapy of a biological medicine. It is recommended that a patient be reviewed in the month prior to completing their course of initial treatment to ensure uninterrupted biological medicine supply.</w:t>
            </w:r>
          </w:p>
          <w:p w14:paraId="3EF540F2"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(2) Continuing treatment:</w:t>
            </w:r>
          </w:p>
          <w:p w14:paraId="61C95D60"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Following the completion of an initial treatment course with a specific biological medicine, a patient may qualify to receive up to 24 weeks of continuing treatment with that biological medicine providing they have demonstrated an adequate response to treatment. The patient remains eligible to receive continuing biological medicine treatment with the same drug in courses of up to 24 weeks providing they continue to sustain the response. It is recommended that a patient be reviewed the month prior to completing their current course of treatment to ensure uninterrupted biological medicine supply.</w:t>
            </w:r>
          </w:p>
          <w:p w14:paraId="05102770"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(3) Baseline measurements to determine response:</w:t>
            </w:r>
          </w:p>
          <w:p w14:paraId="57C594F4"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Baseline measurements of the Asthma Control Questionnaire (ACQ; 5 item version) or oral corticosteroid dose submitted with the Initial authority application for a biological medicine must be used to determine whether an adequate response to treatment has been achieved or sustained.</w:t>
            </w:r>
          </w:p>
          <w:p w14:paraId="51F0475B"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lastRenderedPageBreak/>
              <w:t>For patients transitioned from the paediatric to the adolescent/adult restriction, the exacerbation history may also be used to determine response.</w:t>
            </w:r>
          </w:p>
          <w:p w14:paraId="09EE4B6C"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 xml:space="preserve">However, prescribers may provide new baseline measurements when a new Initial treatment authority application is </w:t>
            </w:r>
            <w:proofErr w:type="gramStart"/>
            <w:r w:rsidRPr="008E6588">
              <w:rPr>
                <w:rFonts w:ascii="Arial Narrow" w:hAnsi="Arial Narrow" w:cs="Arial"/>
                <w:bCs/>
                <w:sz w:val="20"/>
                <w:szCs w:val="20"/>
              </w:rPr>
              <w:t>submitted</w:t>
            </w:r>
            <w:proofErr w:type="gramEnd"/>
            <w:r w:rsidRPr="008E6588">
              <w:rPr>
                <w:rFonts w:ascii="Arial Narrow" w:hAnsi="Arial Narrow" w:cs="Arial"/>
                <w:bCs/>
                <w:sz w:val="20"/>
                <w:szCs w:val="20"/>
              </w:rPr>
              <w:t xml:space="preserve"> and these new baseline measurements may be used to assess response.</w:t>
            </w:r>
          </w:p>
          <w:p w14:paraId="15D02E27"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(4) Swapping therapy within the same treatment cycle.</w:t>
            </w:r>
          </w:p>
          <w:p w14:paraId="6E873F52"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Once initial treatment with the first PBS-subsidised biological medicine is approved, a patient may swap to an alternate biological medicine at any time by qualifying under an Initial 2 restriction.</w:t>
            </w:r>
          </w:p>
          <w:p w14:paraId="55950C9F"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However, they cannot swap to a particular biological medicine if they have failed to respond to prior treatment with that drug within the same treatment cycle.</w:t>
            </w:r>
          </w:p>
          <w:p w14:paraId="521215E3"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Within the same treatment cycle a patient may alternate between therapy with any biological medicine of their choice (1 at a time) providing:</w:t>
            </w:r>
          </w:p>
          <w:p w14:paraId="1ADE9569"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w:t>
            </w:r>
            <w:proofErr w:type="spellStart"/>
            <w:r w:rsidRPr="008E6588">
              <w:rPr>
                <w:rFonts w:ascii="Arial Narrow" w:hAnsi="Arial Narrow" w:cs="Arial"/>
                <w:bCs/>
                <w:sz w:val="20"/>
                <w:szCs w:val="20"/>
              </w:rPr>
              <w:t>i</w:t>
            </w:r>
            <w:proofErr w:type="spellEnd"/>
            <w:r w:rsidRPr="008E6588">
              <w:rPr>
                <w:rFonts w:ascii="Arial Narrow" w:hAnsi="Arial Narrow" w:cs="Arial"/>
                <w:bCs/>
                <w:sz w:val="20"/>
                <w:szCs w:val="20"/>
              </w:rPr>
              <w:t xml:space="preserve">) they have not received PBS-subsidised treatment with that </w:t>
            </w:r>
            <w:proofErr w:type="gramStart"/>
            <w:r w:rsidRPr="008E6588">
              <w:rPr>
                <w:rFonts w:ascii="Arial Narrow" w:hAnsi="Arial Narrow" w:cs="Arial"/>
                <w:bCs/>
                <w:sz w:val="20"/>
                <w:szCs w:val="20"/>
              </w:rPr>
              <w:t>particular biological</w:t>
            </w:r>
            <w:proofErr w:type="gramEnd"/>
            <w:r w:rsidRPr="008E6588">
              <w:rPr>
                <w:rFonts w:ascii="Arial Narrow" w:hAnsi="Arial Narrow" w:cs="Arial"/>
                <w:bCs/>
                <w:sz w:val="20"/>
                <w:szCs w:val="20"/>
              </w:rPr>
              <w:t xml:space="preserve"> medicine previously; or</w:t>
            </w:r>
          </w:p>
          <w:p w14:paraId="68169EDB"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 xml:space="preserve">(ii) they have demonstrated an adequate response to that </w:t>
            </w:r>
            <w:proofErr w:type="gramStart"/>
            <w:r w:rsidRPr="008E6588">
              <w:rPr>
                <w:rFonts w:ascii="Arial Narrow" w:hAnsi="Arial Narrow" w:cs="Arial"/>
                <w:bCs/>
                <w:sz w:val="20"/>
                <w:szCs w:val="20"/>
              </w:rPr>
              <w:t>particular biological</w:t>
            </w:r>
            <w:proofErr w:type="gramEnd"/>
            <w:r w:rsidRPr="008E6588">
              <w:rPr>
                <w:rFonts w:ascii="Arial Narrow" w:hAnsi="Arial Narrow" w:cs="Arial"/>
                <w:bCs/>
                <w:sz w:val="20"/>
                <w:szCs w:val="20"/>
              </w:rPr>
              <w:t xml:space="preserve"> medicine if they have previously trialled it on the PBS; and</w:t>
            </w:r>
          </w:p>
          <w:p w14:paraId="46D91CDD"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(iii) they have not previously failed to respond to treatment with all 4 biological medicines in this treatment cycle.</w:t>
            </w:r>
          </w:p>
          <w:p w14:paraId="123513F1"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(5) Re-commencement of a new treatment cycle after a treatment break in PBS-subsidised therapy:</w:t>
            </w:r>
          </w:p>
          <w:p w14:paraId="194ACD3C"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A patient who wishes to trial a second or subsequent new treatment cycle, following a break in PBS-subsidised therapy of at least 12 months (in patients who have failed to achieve or ceased to sustain a response to treatment 4 times within a treatment cycle), must re-qualify through an Initial 1 restriction.</w:t>
            </w:r>
          </w:p>
          <w:p w14:paraId="65B0319D"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(6) Monitoring of patients:</w:t>
            </w:r>
          </w:p>
          <w:p w14:paraId="336C446E"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Omalizumab only:</w:t>
            </w:r>
          </w:p>
          <w:p w14:paraId="5B89F51E" w14:textId="77777777" w:rsidR="004D15DD" w:rsidRPr="008E6588" w:rsidRDefault="004D15DD" w:rsidP="00836DB5">
            <w:pPr>
              <w:keepLines/>
              <w:jc w:val="left"/>
              <w:rPr>
                <w:rFonts w:ascii="Arial Narrow" w:hAnsi="Arial Narrow" w:cs="Arial"/>
                <w:bCs/>
                <w:sz w:val="20"/>
                <w:szCs w:val="20"/>
              </w:rPr>
            </w:pPr>
            <w:r w:rsidRPr="008E6588">
              <w:rPr>
                <w:rFonts w:ascii="Arial Narrow" w:hAnsi="Arial Narrow" w:cs="Arial"/>
                <w:bCs/>
                <w:sz w:val="20"/>
                <w:szCs w:val="20"/>
              </w:rPr>
              <w:t xml:space="preserve">Anaphylaxis and anaphylactoid reactions have been reported following first or subsequent administration of omalizumab (see Product Information). Patients should be monitored post-injection, and medications for the treatment of anaphylactic reactions should be available for immediate use following administration of omalizumab. Patients should be informed that such reactions are </w:t>
            </w:r>
            <w:proofErr w:type="gramStart"/>
            <w:r w:rsidRPr="008E6588">
              <w:rPr>
                <w:rFonts w:ascii="Arial Narrow" w:hAnsi="Arial Narrow" w:cs="Arial"/>
                <w:bCs/>
                <w:sz w:val="20"/>
                <w:szCs w:val="20"/>
              </w:rPr>
              <w:t>possible</w:t>
            </w:r>
            <w:proofErr w:type="gramEnd"/>
            <w:r w:rsidRPr="008E6588">
              <w:rPr>
                <w:rFonts w:ascii="Arial Narrow" w:hAnsi="Arial Narrow" w:cs="Arial"/>
                <w:bCs/>
                <w:sz w:val="20"/>
                <w:szCs w:val="20"/>
              </w:rPr>
              <w:t xml:space="preserve"> and prompt medical attention should be sought if allergic reactions occur.</w:t>
            </w:r>
          </w:p>
        </w:tc>
      </w:tr>
      <w:tr w:rsidR="004D15DD" w:rsidRPr="008E6588" w14:paraId="056662A4" w14:textId="77777777" w:rsidTr="00836DB5">
        <w:tblPrEx>
          <w:tblCellMar>
            <w:top w:w="15" w:type="dxa"/>
            <w:bottom w:w="15" w:type="dxa"/>
          </w:tblCellMar>
          <w:tblLook w:val="0000" w:firstRow="0" w:lastRow="0" w:firstColumn="0" w:lastColumn="0" w:noHBand="0" w:noVBand="0"/>
        </w:tblPrEx>
        <w:trPr>
          <w:trHeight w:val="20"/>
        </w:trPr>
        <w:tc>
          <w:tcPr>
            <w:tcW w:w="566" w:type="dxa"/>
            <w:vMerge/>
            <w:tcBorders>
              <w:left w:val="single" w:sz="4" w:space="0" w:color="auto"/>
              <w:right w:val="single" w:sz="4" w:space="0" w:color="auto"/>
            </w:tcBorders>
          </w:tcPr>
          <w:p w14:paraId="0B7B6E03" w14:textId="77777777" w:rsidR="004D15DD" w:rsidRPr="008E6588" w:rsidRDefault="004D15DD" w:rsidP="00836DB5">
            <w:pPr>
              <w:jc w:val="left"/>
              <w:rPr>
                <w:rFonts w:ascii="Arial Narrow" w:hAnsi="Arial Narrow" w:cs="Arial"/>
                <w:sz w:val="20"/>
                <w:szCs w:val="20"/>
              </w:rPr>
            </w:pPr>
          </w:p>
        </w:tc>
        <w:tc>
          <w:tcPr>
            <w:tcW w:w="710" w:type="dxa"/>
            <w:tcBorders>
              <w:left w:val="single" w:sz="4" w:space="0" w:color="auto"/>
              <w:right w:val="single" w:sz="4" w:space="0" w:color="auto"/>
            </w:tcBorders>
          </w:tcPr>
          <w:p w14:paraId="18AF9839" w14:textId="05BC13C8" w:rsidR="004D15DD" w:rsidRPr="008E6588" w:rsidRDefault="004D15DD" w:rsidP="00836DB5">
            <w:pPr>
              <w:jc w:val="left"/>
              <w:textAlignment w:val="baseline"/>
              <w:rPr>
                <w:rFonts w:ascii="Arial Narrow" w:hAnsi="Arial Narrow" w:cs="Open Sans"/>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236F719D" w14:textId="77777777" w:rsidR="004D15DD" w:rsidRPr="008E6588" w:rsidRDefault="004D15DD" w:rsidP="00836DB5">
            <w:pPr>
              <w:keepLines/>
              <w:jc w:val="left"/>
              <w:rPr>
                <w:rFonts w:ascii="Arial Narrow" w:hAnsi="Arial Narrow" w:cs="Arial"/>
                <w:sz w:val="20"/>
                <w:szCs w:val="20"/>
              </w:rPr>
            </w:pPr>
            <w:r w:rsidRPr="008E6588">
              <w:rPr>
                <w:rFonts w:ascii="Arial Narrow" w:hAnsi="Arial Narrow" w:cs="Arial"/>
                <w:b/>
                <w:sz w:val="20"/>
                <w:szCs w:val="20"/>
              </w:rPr>
              <w:t>Administrative Advice</w:t>
            </w:r>
            <w:r w:rsidRPr="008E6588">
              <w:rPr>
                <w:rFonts w:ascii="Arial Narrow" w:hAnsi="Arial Narrow" w:cs="Arial"/>
                <w:sz w:val="20"/>
                <w:szCs w:val="20"/>
              </w:rPr>
              <w:t>: 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4D15DD" w:rsidRPr="008E6588" w14:paraId="08EAF161" w14:textId="77777777" w:rsidTr="00836DB5">
        <w:tblPrEx>
          <w:tblCellMar>
            <w:top w:w="15" w:type="dxa"/>
            <w:bottom w:w="15" w:type="dxa"/>
          </w:tblCellMar>
          <w:tblLook w:val="0000" w:firstRow="0" w:lastRow="0" w:firstColumn="0" w:lastColumn="0" w:noHBand="0" w:noVBand="0"/>
        </w:tblPrEx>
        <w:trPr>
          <w:trHeight w:val="20"/>
        </w:trPr>
        <w:tc>
          <w:tcPr>
            <w:tcW w:w="566" w:type="dxa"/>
            <w:vMerge/>
            <w:tcBorders>
              <w:left w:val="single" w:sz="4" w:space="0" w:color="auto"/>
              <w:right w:val="single" w:sz="4" w:space="0" w:color="auto"/>
            </w:tcBorders>
          </w:tcPr>
          <w:p w14:paraId="43E2CF72" w14:textId="77777777" w:rsidR="004D15DD" w:rsidRPr="008E6588" w:rsidRDefault="004D15DD" w:rsidP="00836DB5">
            <w:pPr>
              <w:jc w:val="left"/>
              <w:rPr>
                <w:rFonts w:ascii="Arial Narrow" w:hAnsi="Arial Narrow" w:cs="Arial"/>
                <w:sz w:val="20"/>
                <w:szCs w:val="20"/>
              </w:rPr>
            </w:pPr>
          </w:p>
        </w:tc>
        <w:tc>
          <w:tcPr>
            <w:tcW w:w="710" w:type="dxa"/>
            <w:tcBorders>
              <w:left w:val="single" w:sz="4" w:space="0" w:color="auto"/>
              <w:right w:val="single" w:sz="4" w:space="0" w:color="auto"/>
            </w:tcBorders>
          </w:tcPr>
          <w:p w14:paraId="6F3D2626" w14:textId="69C293ED" w:rsidR="004D15DD" w:rsidRPr="008E6588" w:rsidRDefault="004D15DD" w:rsidP="00836DB5">
            <w:pPr>
              <w:jc w:val="left"/>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17ED6290" w14:textId="626E2F16" w:rsidR="004D15DD" w:rsidRPr="008E6588" w:rsidRDefault="004D15DD" w:rsidP="00836DB5">
            <w:pPr>
              <w:jc w:val="left"/>
              <w:rPr>
                <w:rFonts w:ascii="Arial Narrow" w:hAnsi="Arial Narrow"/>
                <w:sz w:val="20"/>
                <w:szCs w:val="20"/>
              </w:rPr>
            </w:pPr>
            <w:r w:rsidRPr="008E6588">
              <w:rPr>
                <w:rFonts w:ascii="Arial Narrow" w:hAnsi="Arial Narrow"/>
                <w:b/>
                <w:bCs/>
                <w:sz w:val="20"/>
                <w:szCs w:val="20"/>
              </w:rPr>
              <w:t xml:space="preserve">Administrative Advice: </w:t>
            </w:r>
            <w:r w:rsidR="00167EF9" w:rsidRPr="008E6588">
              <w:rPr>
                <w:rFonts w:ascii="Arial Narrow" w:hAnsi="Arial Narrow"/>
                <w:iCs/>
                <w:sz w:val="20"/>
                <w:szCs w:val="20"/>
              </w:rPr>
              <w:t xml:space="preserve">Pharmaceutical benefits that have the form omalizumab </w:t>
            </w:r>
            <w:r w:rsidR="00167EF9" w:rsidRPr="008E6588">
              <w:rPr>
                <w:rFonts w:ascii="Arial Narrow" w:hAnsi="Arial Narrow" w:cs="Arial"/>
                <w:iCs/>
                <w:sz w:val="20"/>
                <w:szCs w:val="20"/>
              </w:rPr>
              <w:t xml:space="preserve">300 mg/2 mL </w:t>
            </w:r>
            <w:r w:rsidR="00167EF9" w:rsidRPr="008E6588">
              <w:rPr>
                <w:rFonts w:ascii="Arial Narrow" w:hAnsi="Arial Narrow"/>
                <w:iCs/>
                <w:sz w:val="20"/>
                <w:szCs w:val="20"/>
              </w:rPr>
              <w:t xml:space="preserve">syringes and pharmaceutical benefits that have the form omalizumab </w:t>
            </w:r>
            <w:r w:rsidR="00167EF9" w:rsidRPr="008E6588">
              <w:rPr>
                <w:rFonts w:ascii="Arial Narrow" w:hAnsi="Arial Narrow" w:cs="Arial"/>
                <w:iCs/>
                <w:sz w:val="20"/>
                <w:szCs w:val="20"/>
              </w:rPr>
              <w:t xml:space="preserve">300 mg/2 mL </w:t>
            </w:r>
            <w:r w:rsidR="00167EF9" w:rsidRPr="008E6588">
              <w:rPr>
                <w:rFonts w:ascii="Arial Narrow" w:hAnsi="Arial Narrow"/>
                <w:iCs/>
                <w:sz w:val="20"/>
                <w:szCs w:val="20"/>
              </w:rPr>
              <w:t>pen devices are equivalent for the purposes of substitution.</w:t>
            </w:r>
          </w:p>
        </w:tc>
      </w:tr>
      <w:tr w:rsidR="004D15DD" w:rsidRPr="008E6588" w14:paraId="3FDDFFBC" w14:textId="77777777" w:rsidTr="00836DB5">
        <w:tblPrEx>
          <w:tblCellMar>
            <w:top w:w="15" w:type="dxa"/>
            <w:bottom w:w="15" w:type="dxa"/>
          </w:tblCellMar>
        </w:tblPrEx>
        <w:trPr>
          <w:cantSplit/>
          <w:trHeight w:val="300"/>
        </w:trPr>
        <w:tc>
          <w:tcPr>
            <w:tcW w:w="9021" w:type="dxa"/>
            <w:gridSpan w:val="8"/>
            <w:vAlign w:val="center"/>
          </w:tcPr>
          <w:p w14:paraId="383AB928" w14:textId="77777777" w:rsidR="004D15DD" w:rsidRPr="008E6588" w:rsidRDefault="004D15DD" w:rsidP="00836DB5">
            <w:pPr>
              <w:keepLines/>
              <w:rPr>
                <w:rFonts w:ascii="Arial Narrow" w:hAnsi="Arial Narrow"/>
                <w:b/>
                <w:bCs/>
                <w:sz w:val="20"/>
                <w:szCs w:val="20"/>
              </w:rPr>
            </w:pPr>
          </w:p>
        </w:tc>
      </w:tr>
      <w:tr w:rsidR="004D15DD" w:rsidRPr="008E6588" w14:paraId="59DDE75D" w14:textId="77777777" w:rsidTr="00836DB5">
        <w:tblPrEx>
          <w:tblCellMar>
            <w:top w:w="15" w:type="dxa"/>
            <w:bottom w:w="15" w:type="dxa"/>
          </w:tblCellMar>
        </w:tblPrEx>
        <w:trPr>
          <w:cantSplit/>
          <w:trHeight w:val="300"/>
        </w:trPr>
        <w:tc>
          <w:tcPr>
            <w:tcW w:w="9021" w:type="dxa"/>
            <w:gridSpan w:val="8"/>
            <w:vAlign w:val="center"/>
          </w:tcPr>
          <w:p w14:paraId="42A89EB9" w14:textId="77777777" w:rsidR="004D15DD" w:rsidRPr="008E6588" w:rsidRDefault="004D15DD" w:rsidP="00836DB5">
            <w:pPr>
              <w:keepLines/>
              <w:rPr>
                <w:rFonts w:ascii="Arial Narrow" w:hAnsi="Arial Narrow"/>
                <w:b/>
                <w:bCs/>
                <w:sz w:val="20"/>
                <w:szCs w:val="20"/>
              </w:rPr>
            </w:pPr>
            <w:r w:rsidRPr="008E6588">
              <w:rPr>
                <w:rFonts w:ascii="Arial Narrow" w:hAnsi="Arial Narrow"/>
                <w:b/>
                <w:sz w:val="20"/>
                <w:szCs w:val="20"/>
              </w:rPr>
              <w:t>Restriction Summary 15349/ Treatment of Concept: 15376: Authority Required</w:t>
            </w:r>
          </w:p>
        </w:tc>
      </w:tr>
      <w:tr w:rsidR="004D15DD" w:rsidRPr="008E6588" w14:paraId="4C9E88FB" w14:textId="77777777" w:rsidTr="00B923E6">
        <w:tblPrEx>
          <w:tblCellMar>
            <w:top w:w="15" w:type="dxa"/>
            <w:bottom w:w="15" w:type="dxa"/>
          </w:tblCellMar>
        </w:tblPrEx>
        <w:trPr>
          <w:cantSplit/>
          <w:trHeight w:val="300"/>
        </w:trPr>
        <w:tc>
          <w:tcPr>
            <w:tcW w:w="1276" w:type="dxa"/>
            <w:gridSpan w:val="2"/>
            <w:vAlign w:val="center"/>
          </w:tcPr>
          <w:p w14:paraId="3101B18E" w14:textId="68B1CA67" w:rsidR="004D15DD" w:rsidRPr="008E6588" w:rsidRDefault="004D15DD" w:rsidP="00836DB5">
            <w:pPr>
              <w:keepLines/>
              <w:jc w:val="center"/>
              <w:rPr>
                <w:rFonts w:ascii="Arial Narrow" w:hAnsi="Arial Narrow"/>
                <w:sz w:val="20"/>
                <w:szCs w:val="20"/>
              </w:rPr>
            </w:pPr>
          </w:p>
        </w:tc>
        <w:tc>
          <w:tcPr>
            <w:tcW w:w="7745" w:type="dxa"/>
            <w:gridSpan w:val="6"/>
            <w:vAlign w:val="center"/>
            <w:hideMark/>
          </w:tcPr>
          <w:p w14:paraId="2905551A" w14:textId="77777777" w:rsidR="004D15DD" w:rsidRPr="008E6588" w:rsidRDefault="004D15DD" w:rsidP="00836DB5">
            <w:pPr>
              <w:keepLines/>
              <w:rPr>
                <w:rFonts w:ascii="Arial Narrow" w:hAnsi="Arial Narrow"/>
                <w:color w:val="333333"/>
                <w:sz w:val="20"/>
                <w:szCs w:val="20"/>
              </w:rPr>
            </w:pPr>
            <w:r w:rsidRPr="008E6588">
              <w:rPr>
                <w:rFonts w:ascii="Arial Narrow" w:hAnsi="Arial Narrow"/>
                <w:b/>
                <w:bCs/>
                <w:sz w:val="20"/>
                <w:szCs w:val="20"/>
              </w:rPr>
              <w:t>Indication:</w:t>
            </w:r>
            <w:r w:rsidRPr="008E6588">
              <w:rPr>
                <w:rFonts w:ascii="Arial Narrow" w:hAnsi="Arial Narrow"/>
                <w:sz w:val="20"/>
                <w:szCs w:val="20"/>
              </w:rPr>
              <w:t xml:space="preserve"> Uncontrolled severe asthma</w:t>
            </w:r>
          </w:p>
        </w:tc>
      </w:tr>
      <w:tr w:rsidR="004D15DD" w:rsidRPr="008E6588" w14:paraId="48F4F61D" w14:textId="77777777" w:rsidTr="00B923E6">
        <w:tblPrEx>
          <w:tblCellMar>
            <w:top w:w="15" w:type="dxa"/>
            <w:bottom w:w="15" w:type="dxa"/>
          </w:tblCellMar>
        </w:tblPrEx>
        <w:trPr>
          <w:cantSplit/>
          <w:trHeight w:val="300"/>
        </w:trPr>
        <w:tc>
          <w:tcPr>
            <w:tcW w:w="1276" w:type="dxa"/>
            <w:gridSpan w:val="2"/>
            <w:vAlign w:val="center"/>
          </w:tcPr>
          <w:p w14:paraId="78F9EA69" w14:textId="77777777" w:rsidR="004D15DD" w:rsidRPr="008E6588" w:rsidRDefault="004D15DD" w:rsidP="00836DB5">
            <w:pPr>
              <w:jc w:val="center"/>
              <w:rPr>
                <w:rFonts w:ascii="Arial Narrow" w:hAnsi="Arial Narrow"/>
                <w:sz w:val="20"/>
                <w:szCs w:val="20"/>
              </w:rPr>
            </w:pPr>
          </w:p>
        </w:tc>
        <w:tc>
          <w:tcPr>
            <w:tcW w:w="7745" w:type="dxa"/>
            <w:gridSpan w:val="6"/>
            <w:vAlign w:val="center"/>
            <w:hideMark/>
          </w:tcPr>
          <w:p w14:paraId="26A2A732" w14:textId="77777777" w:rsidR="004D15DD" w:rsidRPr="008E6588" w:rsidRDefault="004D15DD" w:rsidP="00836DB5">
            <w:pPr>
              <w:rPr>
                <w:rFonts w:ascii="Arial Narrow" w:hAnsi="Arial Narrow"/>
                <w:sz w:val="20"/>
                <w:szCs w:val="20"/>
              </w:rPr>
            </w:pPr>
            <w:r w:rsidRPr="008E6588">
              <w:rPr>
                <w:rFonts w:ascii="Arial Narrow" w:hAnsi="Arial Narrow"/>
                <w:b/>
                <w:bCs/>
                <w:sz w:val="20"/>
                <w:szCs w:val="20"/>
              </w:rPr>
              <w:t>Treatment Phase:</w:t>
            </w:r>
            <w:r w:rsidRPr="008E6588">
              <w:rPr>
                <w:rFonts w:ascii="Arial Narrow" w:hAnsi="Arial Narrow"/>
                <w:sz w:val="20"/>
                <w:szCs w:val="20"/>
              </w:rPr>
              <w:t xml:space="preserve"> Balance of supply</w:t>
            </w:r>
          </w:p>
        </w:tc>
      </w:tr>
      <w:tr w:rsidR="004D15DD" w:rsidRPr="008E6588" w14:paraId="7BDC2FD1" w14:textId="77777777" w:rsidTr="00836DB5">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2A547" w14:textId="07AED36C" w:rsidR="004D15DD" w:rsidRPr="008E6588" w:rsidRDefault="004D15DD" w:rsidP="00836DB5">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DB8077" w14:textId="77777777" w:rsidR="004D15DD" w:rsidRPr="008E6588" w:rsidRDefault="004D15DD" w:rsidP="00836DB5">
            <w:pPr>
              <w:rPr>
                <w:rFonts w:ascii="Arial Narrow" w:hAnsi="Arial Narrow"/>
                <w:b/>
                <w:bCs/>
                <w:sz w:val="20"/>
                <w:szCs w:val="20"/>
              </w:rPr>
            </w:pPr>
            <w:r w:rsidRPr="008E6588">
              <w:rPr>
                <w:rFonts w:ascii="Arial Narrow" w:hAnsi="Arial Narrow"/>
                <w:b/>
                <w:bCs/>
                <w:sz w:val="20"/>
                <w:szCs w:val="20"/>
              </w:rPr>
              <w:t>Treatment criteria:</w:t>
            </w:r>
          </w:p>
        </w:tc>
      </w:tr>
      <w:tr w:rsidR="004D15DD" w:rsidRPr="008E6588" w14:paraId="0B1158FC" w14:textId="77777777" w:rsidTr="00836DB5">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355EB" w14:textId="58F18F54" w:rsidR="004D15DD" w:rsidRPr="008E6588" w:rsidRDefault="004D15DD" w:rsidP="00836DB5">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A3EEE9" w14:textId="77777777" w:rsidR="004D15DD" w:rsidRPr="008E6588" w:rsidRDefault="004D15DD" w:rsidP="00836DB5">
            <w:pPr>
              <w:rPr>
                <w:rFonts w:ascii="Arial Narrow" w:hAnsi="Arial Narrow"/>
                <w:sz w:val="20"/>
                <w:szCs w:val="20"/>
              </w:rPr>
            </w:pPr>
            <w:r w:rsidRPr="008E6588">
              <w:rPr>
                <w:rFonts w:ascii="Arial Narrow" w:hAnsi="Arial Narrow"/>
                <w:sz w:val="20"/>
                <w:szCs w:val="20"/>
              </w:rPr>
              <w:t>Must be treated by a medical practitioner who is either a: (</w:t>
            </w:r>
            <w:proofErr w:type="spellStart"/>
            <w:r w:rsidRPr="008E6588">
              <w:rPr>
                <w:rFonts w:ascii="Arial Narrow" w:hAnsi="Arial Narrow"/>
                <w:sz w:val="20"/>
                <w:szCs w:val="20"/>
              </w:rPr>
              <w:t>i</w:t>
            </w:r>
            <w:proofErr w:type="spellEnd"/>
            <w:r w:rsidRPr="008E6588">
              <w:rPr>
                <w:rFonts w:ascii="Arial Narrow" w:hAnsi="Arial Narrow"/>
                <w:sz w:val="20"/>
                <w:szCs w:val="20"/>
              </w:rPr>
              <w:t>) respiratory physician, (ii) clinical immunologist, (iii) allergist, (iv) general physician experienced in the management of patients with severe asthma</w:t>
            </w:r>
          </w:p>
        </w:tc>
      </w:tr>
      <w:tr w:rsidR="004D15DD" w:rsidRPr="008E6588" w14:paraId="22489655" w14:textId="77777777" w:rsidTr="00836DB5">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F643C" w14:textId="46147317" w:rsidR="004D15DD" w:rsidRPr="008E6588" w:rsidRDefault="004D15DD" w:rsidP="00836DB5">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051D7A" w14:textId="77777777" w:rsidR="004D15DD" w:rsidRPr="008E6588" w:rsidRDefault="004D15DD" w:rsidP="00836DB5">
            <w:pPr>
              <w:rPr>
                <w:rFonts w:ascii="Arial Narrow" w:hAnsi="Arial Narrow"/>
                <w:b/>
                <w:bCs/>
                <w:sz w:val="20"/>
                <w:szCs w:val="20"/>
              </w:rPr>
            </w:pPr>
            <w:r w:rsidRPr="008E6588">
              <w:rPr>
                <w:rFonts w:ascii="Arial Narrow" w:hAnsi="Arial Narrow"/>
                <w:b/>
                <w:bCs/>
                <w:sz w:val="20"/>
                <w:szCs w:val="20"/>
              </w:rPr>
              <w:t>Clinical criteria:</w:t>
            </w:r>
          </w:p>
        </w:tc>
      </w:tr>
      <w:tr w:rsidR="004D15DD" w:rsidRPr="008E6588" w14:paraId="313C8308" w14:textId="77777777" w:rsidTr="00836DB5">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BF985" w14:textId="19901093" w:rsidR="004D15DD" w:rsidRPr="008E6588" w:rsidRDefault="004D15DD" w:rsidP="00836DB5">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603776" w14:textId="77777777" w:rsidR="004D15DD" w:rsidRPr="008E6588" w:rsidRDefault="004D15DD" w:rsidP="00836DB5">
            <w:pPr>
              <w:rPr>
                <w:rFonts w:ascii="Arial Narrow" w:hAnsi="Arial Narrow"/>
                <w:sz w:val="20"/>
                <w:szCs w:val="20"/>
              </w:rPr>
            </w:pPr>
            <w:r w:rsidRPr="008E6588">
              <w:rPr>
                <w:rFonts w:ascii="Arial Narrow" w:hAnsi="Arial Narrow"/>
                <w:sz w:val="20"/>
                <w:szCs w:val="20"/>
              </w:rPr>
              <w:t>Patient must have received insufficient therapy with this drug under the Initial 1 (new patients or recommencement of treatment in a new treatment cycle) restriction to complete 32 weeks treatment; or</w:t>
            </w:r>
          </w:p>
        </w:tc>
      </w:tr>
      <w:tr w:rsidR="004D15DD" w:rsidRPr="008E6588" w14:paraId="7FC1644F" w14:textId="77777777" w:rsidTr="00836DB5">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BA996" w14:textId="46D89B5D" w:rsidR="004D15DD" w:rsidRPr="008E6588" w:rsidRDefault="004D15DD" w:rsidP="00836DB5">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25DDF9" w14:textId="77777777" w:rsidR="004D15DD" w:rsidRPr="008E6588" w:rsidRDefault="004D15DD" w:rsidP="00836DB5">
            <w:pPr>
              <w:rPr>
                <w:rFonts w:ascii="Arial Narrow" w:hAnsi="Arial Narrow"/>
                <w:sz w:val="20"/>
                <w:szCs w:val="20"/>
              </w:rPr>
            </w:pPr>
            <w:r w:rsidRPr="008E6588">
              <w:rPr>
                <w:rFonts w:ascii="Arial Narrow" w:hAnsi="Arial Narrow"/>
                <w:sz w:val="20"/>
                <w:szCs w:val="20"/>
              </w:rPr>
              <w:t>Patient must have received insufficient therapy with this drug under the Initial 2 (change of treatment) restriction to complete 32 weeks treatment; or</w:t>
            </w:r>
          </w:p>
        </w:tc>
      </w:tr>
      <w:tr w:rsidR="004D15DD" w:rsidRPr="008E6588" w14:paraId="7B12F345" w14:textId="77777777" w:rsidTr="00836DB5">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21626" w14:textId="7ECD0EF4" w:rsidR="004D15DD" w:rsidRPr="008E6588" w:rsidRDefault="004D15DD" w:rsidP="00836DB5">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887590" w14:textId="77777777" w:rsidR="004D15DD" w:rsidRPr="008E6588" w:rsidRDefault="004D15DD" w:rsidP="00836DB5">
            <w:pPr>
              <w:rPr>
                <w:rFonts w:ascii="Arial Narrow" w:hAnsi="Arial Narrow"/>
                <w:sz w:val="20"/>
                <w:szCs w:val="20"/>
              </w:rPr>
            </w:pPr>
            <w:r w:rsidRPr="008E6588">
              <w:rPr>
                <w:rFonts w:ascii="Arial Narrow" w:hAnsi="Arial Narrow"/>
                <w:sz w:val="20"/>
                <w:szCs w:val="20"/>
              </w:rPr>
              <w:t>Patient must have received insufficient therapy with this drug under the Continuing treatment restriction to complete 24 weeks treatment</w:t>
            </w:r>
          </w:p>
        </w:tc>
      </w:tr>
      <w:tr w:rsidR="004D15DD" w:rsidRPr="008E6588" w14:paraId="2EEF7A63" w14:textId="77777777" w:rsidTr="00836DB5">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B95BB" w14:textId="77777777" w:rsidR="004D15DD" w:rsidRPr="008E6588" w:rsidRDefault="004D15DD" w:rsidP="00836DB5">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7BDD8E" w14:textId="77777777" w:rsidR="004D15DD" w:rsidRPr="008E6588" w:rsidRDefault="004D15DD" w:rsidP="00836DB5">
            <w:pPr>
              <w:rPr>
                <w:rFonts w:ascii="Arial Narrow" w:hAnsi="Arial Narrow"/>
                <w:b/>
                <w:bCs/>
                <w:sz w:val="20"/>
                <w:szCs w:val="20"/>
              </w:rPr>
            </w:pPr>
            <w:r w:rsidRPr="008E6588">
              <w:rPr>
                <w:rFonts w:ascii="Arial Narrow" w:hAnsi="Arial Narrow"/>
                <w:b/>
                <w:bCs/>
                <w:sz w:val="20"/>
                <w:szCs w:val="20"/>
              </w:rPr>
              <w:t>AND</w:t>
            </w:r>
          </w:p>
        </w:tc>
      </w:tr>
      <w:tr w:rsidR="004D15DD" w:rsidRPr="008E6588" w14:paraId="5E5532EB" w14:textId="77777777" w:rsidTr="00836DB5">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6EDB9" w14:textId="1BC3B47B" w:rsidR="004D15DD" w:rsidRPr="008E6588" w:rsidRDefault="004D15DD" w:rsidP="00836DB5">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4AB02B" w14:textId="77777777" w:rsidR="004D15DD" w:rsidRPr="008E6588" w:rsidRDefault="004D15DD" w:rsidP="00836DB5">
            <w:pPr>
              <w:rPr>
                <w:rFonts w:ascii="Arial Narrow" w:hAnsi="Arial Narrow"/>
                <w:b/>
                <w:bCs/>
                <w:sz w:val="20"/>
                <w:szCs w:val="20"/>
              </w:rPr>
            </w:pPr>
            <w:r w:rsidRPr="008E6588">
              <w:rPr>
                <w:rFonts w:ascii="Arial Narrow" w:hAnsi="Arial Narrow"/>
                <w:b/>
                <w:bCs/>
                <w:sz w:val="20"/>
                <w:szCs w:val="20"/>
              </w:rPr>
              <w:t>Clinical criteria:</w:t>
            </w:r>
          </w:p>
        </w:tc>
      </w:tr>
      <w:tr w:rsidR="004D15DD" w:rsidRPr="008E6588" w14:paraId="5691DDCA" w14:textId="77777777" w:rsidTr="00836DB5">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F3E49" w14:textId="3DEFA6AE" w:rsidR="004D15DD" w:rsidRPr="008E6588" w:rsidRDefault="004D15DD" w:rsidP="00836DB5">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5532FC" w14:textId="77777777" w:rsidR="004D15DD" w:rsidRPr="008E6588" w:rsidRDefault="004D15DD" w:rsidP="00836DB5">
            <w:pPr>
              <w:rPr>
                <w:rFonts w:ascii="Arial Narrow" w:hAnsi="Arial Narrow"/>
                <w:sz w:val="20"/>
                <w:szCs w:val="20"/>
              </w:rPr>
            </w:pPr>
            <w:r w:rsidRPr="008E6588">
              <w:rPr>
                <w:rFonts w:ascii="Arial Narrow" w:hAnsi="Arial Narrow"/>
                <w:sz w:val="20"/>
                <w:szCs w:val="20"/>
              </w:rPr>
              <w:t>The treatment must not provide more than the balance of up to 32 weeks of treatment if the most recent authority approval was made under an Initial treatment restriction; or</w:t>
            </w:r>
          </w:p>
        </w:tc>
      </w:tr>
      <w:tr w:rsidR="004D15DD" w:rsidRPr="008E6588" w14:paraId="3F862529" w14:textId="77777777" w:rsidTr="00836DB5">
        <w:tblPrEx>
          <w:tblCellMar>
            <w:top w:w="15" w:type="dxa"/>
            <w:bottom w:w="15" w:type="dxa"/>
          </w:tblCellMar>
        </w:tblPrEx>
        <w:trPr>
          <w:cantSplit/>
          <w:trHeight w:val="3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66BF8" w14:textId="2DDA2C71" w:rsidR="004D15DD" w:rsidRPr="008E6588" w:rsidRDefault="004D15DD" w:rsidP="00836DB5">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98DDE9" w14:textId="77777777" w:rsidR="004D15DD" w:rsidRPr="008E6588" w:rsidRDefault="004D15DD" w:rsidP="00836DB5">
            <w:pPr>
              <w:rPr>
                <w:rFonts w:ascii="Arial Narrow" w:hAnsi="Arial Narrow"/>
                <w:sz w:val="20"/>
                <w:szCs w:val="20"/>
              </w:rPr>
            </w:pPr>
            <w:r w:rsidRPr="008E6588">
              <w:rPr>
                <w:rFonts w:ascii="Arial Narrow" w:hAnsi="Arial Narrow"/>
                <w:sz w:val="20"/>
                <w:szCs w:val="20"/>
              </w:rPr>
              <w:t>The treatment must not provide more than the balance of up to 24 weeks of treatment if the most recent authority approval was made under the Continuing treatment restriction</w:t>
            </w:r>
          </w:p>
        </w:tc>
      </w:tr>
    </w:tbl>
    <w:p w14:paraId="23447415" w14:textId="77777777" w:rsidR="004D15DD" w:rsidRPr="008E6588" w:rsidRDefault="004D15DD">
      <w:pPr>
        <w:rPr>
          <w:rFonts w:ascii="Arial Narrow" w:hAnsi="Arial Narrow"/>
          <w:sz w:val="20"/>
          <w:szCs w:val="20"/>
        </w:rPr>
      </w:pPr>
    </w:p>
    <w:p w14:paraId="465E2454" w14:textId="0A0970E9" w:rsidR="004164CF" w:rsidRPr="00B91BC7" w:rsidRDefault="004164CF" w:rsidP="00B91BC7">
      <w:pPr>
        <w:pStyle w:val="4-SubsectionHeading"/>
      </w:pPr>
      <w:r w:rsidRPr="00B91BC7">
        <w:t>Uncontrolled severe allergic asthma</w:t>
      </w:r>
      <w:r w:rsidR="00636E96" w:rsidRPr="00B91BC7">
        <w:t xml:space="preserve"> - Initial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commended listing"/>
        <w:tblDescription w:val="Uncontrolled severe allergic asthma - initial treatment&#10;omalizumab 75 mg/0.5 mL injection, 0.5 mL syringe - item code 10967F/ Public&#10;omalizumab 75 mg/0.5 mL injection, 0.5 mL syringe - item code 10956P/ Private&#10;omalizumab 150 mg/mL injection, 1 mL syringe - item code 10973M/ Public&#10;omalizumab 150 mg/mL injection, 1 mL syringe - item code 10968G/ Private&#10;"/>
      </w:tblPr>
      <w:tblGrid>
        <w:gridCol w:w="8"/>
        <w:gridCol w:w="562"/>
        <w:gridCol w:w="699"/>
        <w:gridCol w:w="140"/>
        <w:gridCol w:w="2824"/>
        <w:gridCol w:w="1125"/>
        <w:gridCol w:w="984"/>
        <w:gridCol w:w="985"/>
        <w:gridCol w:w="700"/>
        <w:gridCol w:w="989"/>
      </w:tblGrid>
      <w:tr w:rsidR="004F3B9F" w:rsidRPr="008E6588" w14:paraId="493E4217" w14:textId="77777777" w:rsidTr="00F4072D">
        <w:trPr>
          <w:cantSplit/>
          <w:trHeight w:val="20"/>
        </w:trPr>
        <w:tc>
          <w:tcPr>
            <w:tcW w:w="2343" w:type="pct"/>
            <w:gridSpan w:val="5"/>
            <w:vAlign w:val="center"/>
          </w:tcPr>
          <w:p w14:paraId="24A4755F" w14:textId="77777777" w:rsidR="004164CF" w:rsidRPr="008E6588" w:rsidRDefault="004164CF" w:rsidP="00836DB5">
            <w:pPr>
              <w:keepLines/>
              <w:rPr>
                <w:rFonts w:ascii="Arial Narrow" w:hAnsi="Arial Narrow" w:cs="Arial"/>
                <w:b/>
                <w:bCs/>
                <w:sz w:val="20"/>
                <w:szCs w:val="20"/>
              </w:rPr>
            </w:pPr>
            <w:r w:rsidRPr="008E6588">
              <w:rPr>
                <w:rFonts w:ascii="Arial Narrow" w:hAnsi="Arial Narrow" w:cs="Arial"/>
                <w:b/>
                <w:bCs/>
                <w:sz w:val="20"/>
                <w:szCs w:val="20"/>
              </w:rPr>
              <w:t>MEDICINAL PRODUCT</w:t>
            </w:r>
          </w:p>
          <w:p w14:paraId="54378298" w14:textId="77777777" w:rsidR="004164CF" w:rsidRPr="008E6588" w:rsidRDefault="004164CF" w:rsidP="00836DB5">
            <w:pPr>
              <w:keepLines/>
              <w:rPr>
                <w:rFonts w:ascii="Arial Narrow" w:hAnsi="Arial Narrow" w:cs="Arial"/>
                <w:b/>
                <w:sz w:val="20"/>
                <w:szCs w:val="20"/>
              </w:rPr>
            </w:pPr>
            <w:r w:rsidRPr="008E6588">
              <w:rPr>
                <w:rFonts w:ascii="Arial Narrow" w:hAnsi="Arial Narrow" w:cs="Arial"/>
                <w:b/>
                <w:bCs/>
                <w:sz w:val="20"/>
                <w:szCs w:val="20"/>
              </w:rPr>
              <w:t>medicinal product pack</w:t>
            </w:r>
          </w:p>
        </w:tc>
        <w:tc>
          <w:tcPr>
            <w:tcW w:w="625" w:type="pct"/>
            <w:vAlign w:val="center"/>
          </w:tcPr>
          <w:p w14:paraId="7099ED30" w14:textId="77777777" w:rsidR="004164CF" w:rsidRPr="008E6588" w:rsidRDefault="004164CF" w:rsidP="00836DB5">
            <w:pPr>
              <w:keepLines/>
              <w:jc w:val="center"/>
              <w:rPr>
                <w:rFonts w:ascii="Arial Narrow" w:hAnsi="Arial Narrow" w:cs="Arial"/>
                <w:b/>
                <w:sz w:val="20"/>
                <w:szCs w:val="20"/>
              </w:rPr>
            </w:pPr>
            <w:r w:rsidRPr="008E6588">
              <w:rPr>
                <w:rFonts w:ascii="Arial Narrow" w:hAnsi="Arial Narrow" w:cs="Arial"/>
                <w:b/>
                <w:sz w:val="20"/>
                <w:szCs w:val="20"/>
              </w:rPr>
              <w:t>PBS item code</w:t>
            </w:r>
          </w:p>
        </w:tc>
        <w:tc>
          <w:tcPr>
            <w:tcW w:w="547" w:type="pct"/>
            <w:vAlign w:val="center"/>
          </w:tcPr>
          <w:p w14:paraId="5C2D40D3" w14:textId="77777777" w:rsidR="004164CF" w:rsidRPr="008E6588" w:rsidRDefault="004164CF" w:rsidP="00836DB5">
            <w:pPr>
              <w:keepLines/>
              <w:jc w:val="center"/>
              <w:rPr>
                <w:rFonts w:ascii="Arial Narrow" w:hAnsi="Arial Narrow" w:cs="Arial"/>
                <w:b/>
                <w:sz w:val="20"/>
                <w:szCs w:val="20"/>
              </w:rPr>
            </w:pPr>
            <w:r w:rsidRPr="008E6588">
              <w:rPr>
                <w:rFonts w:ascii="Arial Narrow" w:hAnsi="Arial Narrow" w:cs="Arial"/>
                <w:b/>
                <w:sz w:val="20"/>
                <w:szCs w:val="20"/>
              </w:rPr>
              <w:t>Max. qty packs</w:t>
            </w:r>
          </w:p>
        </w:tc>
        <w:tc>
          <w:tcPr>
            <w:tcW w:w="547" w:type="pct"/>
            <w:vAlign w:val="center"/>
          </w:tcPr>
          <w:p w14:paraId="4F1CB831" w14:textId="77777777" w:rsidR="004164CF" w:rsidRPr="008E6588" w:rsidRDefault="004164CF" w:rsidP="00836DB5">
            <w:pPr>
              <w:keepLines/>
              <w:jc w:val="center"/>
              <w:rPr>
                <w:rFonts w:ascii="Arial Narrow" w:hAnsi="Arial Narrow" w:cs="Arial"/>
                <w:b/>
                <w:sz w:val="20"/>
                <w:szCs w:val="20"/>
              </w:rPr>
            </w:pPr>
            <w:r w:rsidRPr="008E6588">
              <w:rPr>
                <w:rFonts w:ascii="Arial Narrow" w:hAnsi="Arial Narrow" w:cs="Arial"/>
                <w:b/>
                <w:sz w:val="20"/>
                <w:szCs w:val="20"/>
              </w:rPr>
              <w:t>Max. qty units</w:t>
            </w:r>
          </w:p>
        </w:tc>
        <w:tc>
          <w:tcPr>
            <w:tcW w:w="389" w:type="pct"/>
            <w:vAlign w:val="center"/>
          </w:tcPr>
          <w:p w14:paraId="1BD30BF7" w14:textId="77777777" w:rsidR="004164CF" w:rsidRPr="008E6588" w:rsidRDefault="004164CF" w:rsidP="00836DB5">
            <w:pPr>
              <w:keepLines/>
              <w:jc w:val="center"/>
              <w:rPr>
                <w:rFonts w:ascii="Arial Narrow" w:hAnsi="Arial Narrow" w:cs="Arial"/>
                <w:b/>
                <w:bCs/>
                <w:sz w:val="20"/>
                <w:szCs w:val="20"/>
              </w:rPr>
            </w:pPr>
            <w:proofErr w:type="gramStart"/>
            <w:r w:rsidRPr="008E6588">
              <w:rPr>
                <w:rFonts w:ascii="Arial Narrow" w:hAnsi="Arial Narrow" w:cs="Arial"/>
                <w:b/>
                <w:bCs/>
                <w:sz w:val="20"/>
                <w:szCs w:val="20"/>
              </w:rPr>
              <w:t>№.of</w:t>
            </w:r>
            <w:proofErr w:type="gramEnd"/>
          </w:p>
          <w:p w14:paraId="0A7EC63F" w14:textId="77777777" w:rsidR="004164CF" w:rsidRPr="008E6588" w:rsidRDefault="004164CF" w:rsidP="00836DB5">
            <w:pPr>
              <w:keepLines/>
              <w:jc w:val="center"/>
              <w:rPr>
                <w:rFonts w:ascii="Arial Narrow" w:hAnsi="Arial Narrow" w:cs="Arial"/>
                <w:b/>
                <w:bCs/>
                <w:sz w:val="20"/>
                <w:szCs w:val="20"/>
              </w:rPr>
            </w:pPr>
            <w:r w:rsidRPr="008E6588">
              <w:rPr>
                <w:rFonts w:ascii="Arial Narrow" w:hAnsi="Arial Narrow" w:cs="Arial"/>
                <w:b/>
                <w:bCs/>
                <w:sz w:val="20"/>
                <w:szCs w:val="20"/>
              </w:rPr>
              <w:t>Rpts</w:t>
            </w:r>
          </w:p>
        </w:tc>
        <w:tc>
          <w:tcPr>
            <w:tcW w:w="550" w:type="pct"/>
            <w:vAlign w:val="center"/>
          </w:tcPr>
          <w:p w14:paraId="3C880540" w14:textId="77777777" w:rsidR="004164CF" w:rsidRPr="008E6588" w:rsidRDefault="004164CF" w:rsidP="00836DB5">
            <w:pPr>
              <w:keepLines/>
              <w:rPr>
                <w:rFonts w:ascii="Arial Narrow" w:hAnsi="Arial Narrow" w:cs="Arial"/>
                <w:b/>
                <w:sz w:val="20"/>
                <w:szCs w:val="20"/>
                <w:lang w:val="fr-FR"/>
              </w:rPr>
            </w:pPr>
            <w:r w:rsidRPr="008E6588">
              <w:rPr>
                <w:rFonts w:ascii="Arial Narrow" w:hAnsi="Arial Narrow" w:cs="Arial"/>
                <w:b/>
                <w:sz w:val="20"/>
                <w:szCs w:val="20"/>
              </w:rPr>
              <w:t>Available brands</w:t>
            </w:r>
          </w:p>
        </w:tc>
      </w:tr>
      <w:tr w:rsidR="004164CF" w:rsidRPr="008E6588" w14:paraId="10AA6BF0" w14:textId="77777777" w:rsidTr="00F4072D">
        <w:trPr>
          <w:cantSplit/>
          <w:trHeight w:val="20"/>
        </w:trPr>
        <w:tc>
          <w:tcPr>
            <w:tcW w:w="5000" w:type="pct"/>
            <w:gridSpan w:val="10"/>
            <w:vAlign w:val="center"/>
          </w:tcPr>
          <w:p w14:paraId="747A3E06" w14:textId="77777777" w:rsidR="004164CF" w:rsidRPr="008E6588" w:rsidRDefault="004164CF" w:rsidP="00836DB5">
            <w:pPr>
              <w:keepLines/>
              <w:rPr>
                <w:rFonts w:ascii="Arial Narrow" w:hAnsi="Arial Narrow" w:cs="Arial"/>
                <w:sz w:val="20"/>
                <w:szCs w:val="20"/>
              </w:rPr>
            </w:pPr>
            <w:r w:rsidRPr="008E6588">
              <w:rPr>
                <w:rFonts w:ascii="Arial Narrow" w:hAnsi="Arial Narrow" w:cs="Arial"/>
                <w:sz w:val="20"/>
                <w:szCs w:val="20"/>
              </w:rPr>
              <w:t>OMALIZUMAB</w:t>
            </w:r>
          </w:p>
        </w:tc>
      </w:tr>
      <w:tr w:rsidR="001840DB" w:rsidRPr="008E6588" w14:paraId="6E605243" w14:textId="77777777" w:rsidTr="00F4072D">
        <w:trPr>
          <w:cantSplit/>
          <w:trHeight w:val="20"/>
        </w:trPr>
        <w:tc>
          <w:tcPr>
            <w:tcW w:w="2343" w:type="pct"/>
            <w:gridSpan w:val="5"/>
            <w:vAlign w:val="center"/>
          </w:tcPr>
          <w:p w14:paraId="74FB7E1F" w14:textId="77777777" w:rsidR="001840DB" w:rsidRPr="008E6588" w:rsidRDefault="001840DB" w:rsidP="00836DB5">
            <w:pPr>
              <w:keepLines/>
              <w:rPr>
                <w:rFonts w:ascii="Arial Narrow" w:hAnsi="Arial Narrow" w:cs="Arial"/>
                <w:sz w:val="20"/>
                <w:szCs w:val="20"/>
              </w:rPr>
            </w:pPr>
            <w:r w:rsidRPr="008E6588">
              <w:rPr>
                <w:rFonts w:ascii="Arial Narrow" w:hAnsi="Arial Narrow" w:cs="Arial"/>
                <w:sz w:val="20"/>
                <w:szCs w:val="20"/>
              </w:rPr>
              <w:t>omalizumab 75 mg/0.5 mL injection, 0.5 mL syringe</w:t>
            </w:r>
          </w:p>
        </w:tc>
        <w:tc>
          <w:tcPr>
            <w:tcW w:w="625" w:type="pct"/>
          </w:tcPr>
          <w:p w14:paraId="6F226458" w14:textId="77777777" w:rsidR="001840DB" w:rsidRPr="008E6588" w:rsidRDefault="001840DB" w:rsidP="00836DB5">
            <w:pPr>
              <w:keepLines/>
              <w:jc w:val="center"/>
              <w:rPr>
                <w:rFonts w:ascii="Arial Narrow" w:hAnsi="Arial Narrow" w:cs="Arial"/>
                <w:sz w:val="20"/>
                <w:szCs w:val="20"/>
              </w:rPr>
            </w:pPr>
            <w:r w:rsidRPr="008E6588">
              <w:rPr>
                <w:rFonts w:ascii="Arial Narrow" w:hAnsi="Arial Narrow" w:cs="Arial"/>
                <w:sz w:val="20"/>
                <w:szCs w:val="20"/>
              </w:rPr>
              <w:t>10967F/ Public</w:t>
            </w:r>
          </w:p>
        </w:tc>
        <w:tc>
          <w:tcPr>
            <w:tcW w:w="547" w:type="pct"/>
          </w:tcPr>
          <w:p w14:paraId="15707231" w14:textId="77777777" w:rsidR="001840DB" w:rsidRPr="008E6588" w:rsidRDefault="001840DB"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547" w:type="pct"/>
          </w:tcPr>
          <w:p w14:paraId="15D97CC6" w14:textId="77777777" w:rsidR="001840DB" w:rsidRPr="008E6588" w:rsidRDefault="001840DB"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389" w:type="pct"/>
          </w:tcPr>
          <w:p w14:paraId="53946988" w14:textId="77777777" w:rsidR="001840DB" w:rsidRPr="008E6588" w:rsidRDefault="001840DB" w:rsidP="00836DB5">
            <w:pPr>
              <w:keepLines/>
              <w:jc w:val="center"/>
              <w:rPr>
                <w:rFonts w:ascii="Arial Narrow" w:hAnsi="Arial Narrow" w:cs="Arial"/>
                <w:sz w:val="20"/>
                <w:szCs w:val="20"/>
              </w:rPr>
            </w:pPr>
            <w:r w:rsidRPr="008E6588">
              <w:rPr>
                <w:rFonts w:ascii="Arial Narrow" w:hAnsi="Arial Narrow" w:cs="Arial"/>
                <w:sz w:val="20"/>
                <w:szCs w:val="20"/>
              </w:rPr>
              <w:t>6</w:t>
            </w:r>
          </w:p>
        </w:tc>
        <w:tc>
          <w:tcPr>
            <w:tcW w:w="550" w:type="pct"/>
            <w:vMerge w:val="restart"/>
          </w:tcPr>
          <w:p w14:paraId="7FA169AF" w14:textId="060563E2" w:rsidR="001840DB" w:rsidRPr="008E6588" w:rsidRDefault="001840DB" w:rsidP="001840DB">
            <w:pPr>
              <w:keepLines/>
              <w:jc w:val="center"/>
              <w:rPr>
                <w:rFonts w:ascii="Arial Narrow" w:hAnsi="Arial Narrow" w:cs="Arial"/>
                <w:sz w:val="20"/>
                <w:szCs w:val="20"/>
              </w:rPr>
            </w:pPr>
            <w:r w:rsidRPr="008E6588">
              <w:rPr>
                <w:rFonts w:ascii="Arial Narrow" w:hAnsi="Arial Narrow" w:cs="Arial"/>
                <w:sz w:val="20"/>
                <w:szCs w:val="20"/>
              </w:rPr>
              <w:t>Xolair</w:t>
            </w:r>
          </w:p>
        </w:tc>
      </w:tr>
      <w:tr w:rsidR="001840DB" w:rsidRPr="008E6588" w14:paraId="32000F6A" w14:textId="77777777" w:rsidTr="00F4072D">
        <w:trPr>
          <w:cantSplit/>
          <w:trHeight w:val="20"/>
        </w:trPr>
        <w:tc>
          <w:tcPr>
            <w:tcW w:w="2343" w:type="pct"/>
            <w:gridSpan w:val="5"/>
            <w:vAlign w:val="center"/>
          </w:tcPr>
          <w:p w14:paraId="0040BF91" w14:textId="77777777" w:rsidR="001840DB" w:rsidRPr="008E6588" w:rsidRDefault="001840DB" w:rsidP="00836DB5">
            <w:pPr>
              <w:keepLines/>
              <w:rPr>
                <w:rFonts w:ascii="Arial Narrow" w:hAnsi="Arial Narrow" w:cs="Arial"/>
                <w:sz w:val="20"/>
                <w:szCs w:val="20"/>
              </w:rPr>
            </w:pPr>
            <w:r w:rsidRPr="008E6588">
              <w:rPr>
                <w:rFonts w:ascii="Arial Narrow" w:hAnsi="Arial Narrow" w:cs="Arial"/>
                <w:sz w:val="20"/>
                <w:szCs w:val="20"/>
              </w:rPr>
              <w:t>omalizumab 75 mg/0.5 mL injection, 0.5 mL syringe</w:t>
            </w:r>
          </w:p>
        </w:tc>
        <w:tc>
          <w:tcPr>
            <w:tcW w:w="625" w:type="pct"/>
          </w:tcPr>
          <w:p w14:paraId="4F01CE74" w14:textId="77777777" w:rsidR="001840DB" w:rsidRPr="008E6588" w:rsidRDefault="001840DB" w:rsidP="00836DB5">
            <w:pPr>
              <w:keepLines/>
              <w:jc w:val="center"/>
              <w:rPr>
                <w:rFonts w:ascii="Arial Narrow" w:hAnsi="Arial Narrow" w:cs="Arial"/>
                <w:sz w:val="20"/>
                <w:szCs w:val="20"/>
              </w:rPr>
            </w:pPr>
            <w:r w:rsidRPr="008E6588">
              <w:rPr>
                <w:rFonts w:ascii="Arial Narrow" w:hAnsi="Arial Narrow" w:cs="Arial"/>
                <w:sz w:val="20"/>
                <w:szCs w:val="20"/>
              </w:rPr>
              <w:t>10956P/ Private</w:t>
            </w:r>
          </w:p>
        </w:tc>
        <w:tc>
          <w:tcPr>
            <w:tcW w:w="547" w:type="pct"/>
          </w:tcPr>
          <w:p w14:paraId="135A1B80" w14:textId="77777777" w:rsidR="001840DB" w:rsidRPr="008E6588" w:rsidRDefault="001840DB"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547" w:type="pct"/>
          </w:tcPr>
          <w:p w14:paraId="02DDB9D2" w14:textId="77777777" w:rsidR="001840DB" w:rsidRPr="008E6588" w:rsidRDefault="001840DB"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389" w:type="pct"/>
          </w:tcPr>
          <w:p w14:paraId="0F2E693C" w14:textId="77777777" w:rsidR="001840DB" w:rsidRPr="008E6588" w:rsidRDefault="001840DB" w:rsidP="00836DB5">
            <w:pPr>
              <w:keepLines/>
              <w:jc w:val="center"/>
              <w:rPr>
                <w:rFonts w:ascii="Arial Narrow" w:hAnsi="Arial Narrow" w:cs="Arial"/>
                <w:sz w:val="20"/>
                <w:szCs w:val="20"/>
              </w:rPr>
            </w:pPr>
            <w:r w:rsidRPr="008E6588">
              <w:rPr>
                <w:rFonts w:ascii="Arial Narrow" w:hAnsi="Arial Narrow" w:cs="Arial"/>
                <w:sz w:val="20"/>
                <w:szCs w:val="20"/>
              </w:rPr>
              <w:t>6</w:t>
            </w:r>
          </w:p>
        </w:tc>
        <w:tc>
          <w:tcPr>
            <w:tcW w:w="550" w:type="pct"/>
            <w:vMerge/>
            <w:vAlign w:val="center"/>
          </w:tcPr>
          <w:p w14:paraId="0287E244" w14:textId="77777777" w:rsidR="001840DB" w:rsidRPr="008E6588" w:rsidRDefault="001840DB" w:rsidP="00836DB5">
            <w:pPr>
              <w:keepLines/>
              <w:rPr>
                <w:rFonts w:ascii="Arial Narrow" w:hAnsi="Arial Narrow" w:cs="Arial"/>
                <w:sz w:val="20"/>
                <w:szCs w:val="20"/>
              </w:rPr>
            </w:pPr>
          </w:p>
        </w:tc>
      </w:tr>
      <w:tr w:rsidR="001840DB" w:rsidRPr="008E6588" w14:paraId="2B17D1C6" w14:textId="77777777" w:rsidTr="00F4072D">
        <w:trPr>
          <w:cantSplit/>
          <w:trHeight w:val="20"/>
        </w:trPr>
        <w:tc>
          <w:tcPr>
            <w:tcW w:w="2343" w:type="pct"/>
            <w:gridSpan w:val="5"/>
            <w:vAlign w:val="center"/>
          </w:tcPr>
          <w:p w14:paraId="475C1EA4" w14:textId="77777777" w:rsidR="001840DB" w:rsidRPr="008E6588" w:rsidRDefault="001840DB" w:rsidP="00836DB5">
            <w:pPr>
              <w:keepLines/>
              <w:rPr>
                <w:rFonts w:ascii="Arial Narrow" w:hAnsi="Arial Narrow" w:cs="Arial"/>
                <w:sz w:val="20"/>
                <w:szCs w:val="20"/>
              </w:rPr>
            </w:pPr>
            <w:r w:rsidRPr="008E6588">
              <w:rPr>
                <w:rFonts w:ascii="Arial Narrow" w:hAnsi="Arial Narrow" w:cs="Arial"/>
                <w:sz w:val="20"/>
                <w:szCs w:val="20"/>
              </w:rPr>
              <w:t>omalizumab 150 mg/mL injection, 1 mL syringe</w:t>
            </w:r>
          </w:p>
        </w:tc>
        <w:tc>
          <w:tcPr>
            <w:tcW w:w="625" w:type="pct"/>
            <w:vAlign w:val="center"/>
          </w:tcPr>
          <w:p w14:paraId="34104ED9" w14:textId="77777777" w:rsidR="001840DB" w:rsidRPr="008E6588" w:rsidRDefault="001840DB" w:rsidP="00836DB5">
            <w:pPr>
              <w:keepLines/>
              <w:jc w:val="center"/>
              <w:rPr>
                <w:rFonts w:ascii="Arial Narrow" w:hAnsi="Arial Narrow" w:cs="Arial"/>
                <w:sz w:val="20"/>
                <w:szCs w:val="20"/>
              </w:rPr>
            </w:pPr>
            <w:r w:rsidRPr="008E6588">
              <w:rPr>
                <w:rFonts w:ascii="Arial Narrow" w:hAnsi="Arial Narrow" w:cs="Arial"/>
                <w:sz w:val="20"/>
                <w:szCs w:val="20"/>
              </w:rPr>
              <w:t>10973M/ Public</w:t>
            </w:r>
          </w:p>
        </w:tc>
        <w:tc>
          <w:tcPr>
            <w:tcW w:w="547" w:type="pct"/>
          </w:tcPr>
          <w:p w14:paraId="70ADA96E" w14:textId="77777777" w:rsidR="001840DB" w:rsidRPr="008E6588" w:rsidRDefault="001840DB"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547" w:type="pct"/>
          </w:tcPr>
          <w:p w14:paraId="5149CF8E" w14:textId="77777777" w:rsidR="001840DB" w:rsidRPr="008E6588" w:rsidRDefault="001840DB"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389" w:type="pct"/>
          </w:tcPr>
          <w:p w14:paraId="17AC5853" w14:textId="77777777" w:rsidR="001840DB" w:rsidRPr="008E6588" w:rsidRDefault="001840DB" w:rsidP="00836DB5">
            <w:pPr>
              <w:keepLines/>
              <w:jc w:val="center"/>
              <w:rPr>
                <w:rFonts w:ascii="Arial Narrow" w:hAnsi="Arial Narrow" w:cs="Arial"/>
                <w:sz w:val="20"/>
                <w:szCs w:val="20"/>
              </w:rPr>
            </w:pPr>
            <w:r w:rsidRPr="008E6588">
              <w:rPr>
                <w:rFonts w:ascii="Arial Narrow" w:hAnsi="Arial Narrow" w:cs="Arial"/>
                <w:sz w:val="20"/>
                <w:szCs w:val="20"/>
              </w:rPr>
              <w:t>6</w:t>
            </w:r>
          </w:p>
        </w:tc>
        <w:tc>
          <w:tcPr>
            <w:tcW w:w="550" w:type="pct"/>
            <w:vMerge/>
            <w:vAlign w:val="center"/>
          </w:tcPr>
          <w:p w14:paraId="49C5248B" w14:textId="77777777" w:rsidR="001840DB" w:rsidRPr="008E6588" w:rsidRDefault="001840DB" w:rsidP="00836DB5">
            <w:pPr>
              <w:keepLines/>
              <w:rPr>
                <w:rFonts w:ascii="Arial Narrow" w:hAnsi="Arial Narrow" w:cs="Arial"/>
                <w:sz w:val="20"/>
                <w:szCs w:val="20"/>
              </w:rPr>
            </w:pPr>
          </w:p>
        </w:tc>
      </w:tr>
      <w:tr w:rsidR="001840DB" w:rsidRPr="008E6588" w14:paraId="0F78CEA0" w14:textId="77777777" w:rsidTr="00F4072D">
        <w:trPr>
          <w:cantSplit/>
          <w:trHeight w:val="20"/>
        </w:trPr>
        <w:tc>
          <w:tcPr>
            <w:tcW w:w="2343" w:type="pct"/>
            <w:gridSpan w:val="5"/>
            <w:vAlign w:val="center"/>
          </w:tcPr>
          <w:p w14:paraId="4BD75446" w14:textId="77777777" w:rsidR="001840DB" w:rsidRPr="008E6588" w:rsidRDefault="001840DB" w:rsidP="00836DB5">
            <w:pPr>
              <w:keepLines/>
              <w:rPr>
                <w:rFonts w:ascii="Arial Narrow" w:hAnsi="Arial Narrow" w:cs="Arial"/>
                <w:sz w:val="20"/>
                <w:szCs w:val="20"/>
              </w:rPr>
            </w:pPr>
            <w:r w:rsidRPr="008E6588">
              <w:rPr>
                <w:rFonts w:ascii="Arial Narrow" w:hAnsi="Arial Narrow" w:cs="Arial"/>
                <w:sz w:val="20"/>
                <w:szCs w:val="20"/>
              </w:rPr>
              <w:t>omalizumab 150 mg/mL injection, 1 mL syringe</w:t>
            </w:r>
          </w:p>
        </w:tc>
        <w:tc>
          <w:tcPr>
            <w:tcW w:w="625" w:type="pct"/>
            <w:vAlign w:val="center"/>
          </w:tcPr>
          <w:p w14:paraId="1EC8D5E0" w14:textId="77777777" w:rsidR="001840DB" w:rsidRPr="008E6588" w:rsidRDefault="001840DB" w:rsidP="00836DB5">
            <w:pPr>
              <w:keepLines/>
              <w:jc w:val="center"/>
              <w:rPr>
                <w:rFonts w:ascii="Arial Narrow" w:hAnsi="Arial Narrow" w:cs="Arial"/>
                <w:sz w:val="20"/>
                <w:szCs w:val="20"/>
              </w:rPr>
            </w:pPr>
            <w:r w:rsidRPr="008E6588">
              <w:rPr>
                <w:rFonts w:ascii="Arial Narrow" w:hAnsi="Arial Narrow" w:cs="Arial"/>
                <w:sz w:val="20"/>
                <w:szCs w:val="20"/>
              </w:rPr>
              <w:t>10968G/ Private</w:t>
            </w:r>
          </w:p>
        </w:tc>
        <w:tc>
          <w:tcPr>
            <w:tcW w:w="547" w:type="pct"/>
          </w:tcPr>
          <w:p w14:paraId="19C1C10D" w14:textId="77777777" w:rsidR="001840DB" w:rsidRPr="008E6588" w:rsidRDefault="001840DB"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547" w:type="pct"/>
          </w:tcPr>
          <w:p w14:paraId="3917DEEC" w14:textId="77777777" w:rsidR="001840DB" w:rsidRPr="008E6588" w:rsidRDefault="001840DB"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389" w:type="pct"/>
          </w:tcPr>
          <w:p w14:paraId="63CFDD59" w14:textId="77777777" w:rsidR="001840DB" w:rsidRPr="008E6588" w:rsidRDefault="001840DB" w:rsidP="00836DB5">
            <w:pPr>
              <w:keepLines/>
              <w:jc w:val="center"/>
              <w:rPr>
                <w:rFonts w:ascii="Arial Narrow" w:hAnsi="Arial Narrow" w:cs="Arial"/>
                <w:sz w:val="20"/>
                <w:szCs w:val="20"/>
              </w:rPr>
            </w:pPr>
            <w:r w:rsidRPr="008E6588">
              <w:rPr>
                <w:rFonts w:ascii="Arial Narrow" w:hAnsi="Arial Narrow" w:cs="Arial"/>
                <w:sz w:val="20"/>
                <w:szCs w:val="20"/>
              </w:rPr>
              <w:t>6</w:t>
            </w:r>
          </w:p>
        </w:tc>
        <w:tc>
          <w:tcPr>
            <w:tcW w:w="550" w:type="pct"/>
            <w:vMerge/>
            <w:vAlign w:val="center"/>
          </w:tcPr>
          <w:p w14:paraId="386B8277" w14:textId="77777777" w:rsidR="001840DB" w:rsidRPr="008E6588" w:rsidRDefault="001840DB" w:rsidP="00836DB5">
            <w:pPr>
              <w:keepLines/>
              <w:rPr>
                <w:rFonts w:ascii="Arial Narrow" w:hAnsi="Arial Narrow" w:cs="Arial"/>
                <w:sz w:val="20"/>
                <w:szCs w:val="20"/>
              </w:rPr>
            </w:pPr>
          </w:p>
        </w:tc>
      </w:tr>
      <w:tr w:rsidR="004F3B9F" w:rsidRPr="008E6588" w14:paraId="6E481992" w14:textId="77777777" w:rsidTr="00F4072D">
        <w:trPr>
          <w:cantSplit/>
          <w:trHeight w:val="20"/>
        </w:trPr>
        <w:tc>
          <w:tcPr>
            <w:tcW w:w="5000" w:type="pct"/>
            <w:gridSpan w:val="10"/>
            <w:vAlign w:val="center"/>
          </w:tcPr>
          <w:p w14:paraId="312B8989" w14:textId="77777777" w:rsidR="004F3B9F" w:rsidRPr="008E6588" w:rsidRDefault="004F3B9F" w:rsidP="00836DB5">
            <w:pPr>
              <w:keepLines/>
              <w:rPr>
                <w:rFonts w:ascii="Arial Narrow" w:hAnsi="Arial Narrow" w:cs="Arial"/>
                <w:sz w:val="20"/>
                <w:szCs w:val="20"/>
              </w:rPr>
            </w:pPr>
          </w:p>
        </w:tc>
      </w:tr>
      <w:tr w:rsidR="004F3B9F" w:rsidRPr="008E6588" w14:paraId="3387BA71" w14:textId="77777777" w:rsidTr="00F4072D">
        <w:tblPrEx>
          <w:tblCellMar>
            <w:top w:w="15" w:type="dxa"/>
            <w:bottom w:w="15" w:type="dxa"/>
          </w:tblCellMar>
          <w:tblLook w:val="04A0" w:firstRow="1" w:lastRow="0" w:firstColumn="1" w:lastColumn="0" w:noHBand="0" w:noVBand="1"/>
        </w:tblPrEx>
        <w:trPr>
          <w:trHeight w:val="300"/>
        </w:trPr>
        <w:tc>
          <w:tcPr>
            <w:tcW w:w="776" w:type="pct"/>
            <w:gridSpan w:val="4"/>
            <w:vMerge w:val="restart"/>
            <w:tcBorders>
              <w:top w:val="single" w:sz="4" w:space="0" w:color="auto"/>
              <w:left w:val="single" w:sz="4" w:space="0" w:color="auto"/>
              <w:right w:val="single" w:sz="4" w:space="0" w:color="auto"/>
            </w:tcBorders>
          </w:tcPr>
          <w:p w14:paraId="3FBAFC33" w14:textId="77777777" w:rsidR="008F5212" w:rsidRPr="008E6588" w:rsidRDefault="004F3B9F" w:rsidP="00836DB5">
            <w:pPr>
              <w:jc w:val="center"/>
              <w:rPr>
                <w:rFonts w:ascii="Arial Narrow" w:hAnsi="Arial Narrow" w:cs="Arial"/>
                <w:b/>
                <w:sz w:val="20"/>
                <w:szCs w:val="20"/>
              </w:rPr>
            </w:pPr>
            <w:r w:rsidRPr="008E6588">
              <w:rPr>
                <w:rFonts w:ascii="Arial Narrow" w:hAnsi="Arial Narrow" w:cs="Arial"/>
                <w:b/>
                <w:sz w:val="20"/>
                <w:szCs w:val="20"/>
              </w:rPr>
              <w:t xml:space="preserve">Concept ID </w:t>
            </w:r>
          </w:p>
          <w:p w14:paraId="708A2B81" w14:textId="4982F342" w:rsidR="004F3B9F" w:rsidRPr="008E6588" w:rsidRDefault="004F3B9F" w:rsidP="00836DB5">
            <w:pPr>
              <w:jc w:val="center"/>
              <w:rPr>
                <w:rFonts w:ascii="Arial Narrow" w:hAnsi="Arial Narrow" w:cs="Arial"/>
                <w:b/>
                <w:sz w:val="20"/>
                <w:szCs w:val="20"/>
              </w:rPr>
            </w:pPr>
            <w:r w:rsidRPr="008E6588">
              <w:rPr>
                <w:rFonts w:ascii="Arial Narrow" w:hAnsi="Arial Narrow" w:cs="Arial"/>
                <w:sz w:val="20"/>
                <w:szCs w:val="20"/>
              </w:rPr>
              <w:t>(for internal Dept. use)</w:t>
            </w:r>
          </w:p>
        </w:tc>
        <w:tc>
          <w:tcPr>
            <w:tcW w:w="4224" w:type="pct"/>
            <w:gridSpan w:val="6"/>
            <w:tcBorders>
              <w:top w:val="single" w:sz="4" w:space="0" w:color="auto"/>
              <w:left w:val="single" w:sz="4" w:space="0" w:color="auto"/>
              <w:bottom w:val="single" w:sz="4" w:space="0" w:color="auto"/>
              <w:right w:val="single" w:sz="4" w:space="0" w:color="auto"/>
            </w:tcBorders>
            <w:vAlign w:val="center"/>
          </w:tcPr>
          <w:p w14:paraId="7FB3E5E7" w14:textId="77777777" w:rsidR="004F3B9F" w:rsidRPr="008E6588" w:rsidRDefault="004F3B9F" w:rsidP="00836DB5">
            <w:pPr>
              <w:keepLines/>
              <w:rPr>
                <w:rFonts w:ascii="Arial Narrow" w:hAnsi="Arial Narrow" w:cs="Arial"/>
                <w:sz w:val="20"/>
                <w:szCs w:val="20"/>
              </w:rPr>
            </w:pPr>
            <w:r w:rsidRPr="008E6588">
              <w:rPr>
                <w:rFonts w:ascii="Arial Narrow" w:hAnsi="Arial Narrow" w:cs="Arial"/>
                <w:b/>
                <w:sz w:val="20"/>
                <w:szCs w:val="20"/>
              </w:rPr>
              <w:t>Category / Program:</w:t>
            </w:r>
            <w:r w:rsidRPr="008E6588">
              <w:rPr>
                <w:rFonts w:ascii="Arial Narrow" w:hAnsi="Arial Narrow" w:cs="Arial"/>
                <w:sz w:val="20"/>
                <w:szCs w:val="20"/>
              </w:rPr>
              <w:t xml:space="preserve"> </w:t>
            </w:r>
            <w:r w:rsidRPr="008E6588">
              <w:rPr>
                <w:rFonts w:ascii="Arial Narrow" w:eastAsia="Calibri" w:hAnsi="Arial Narrow" w:cs="Arial"/>
                <w:sz w:val="20"/>
                <w:szCs w:val="20"/>
              </w:rPr>
              <w:t>Section 100 – Highly Specialised Drugs Program – Public (Code HB)</w:t>
            </w:r>
            <w:r w:rsidRPr="008E6588">
              <w:rPr>
                <w:rFonts w:ascii="Arial Narrow" w:eastAsia="Calibri" w:hAnsi="Arial Narrow" w:cs="Arial"/>
                <w:color w:val="FF0000"/>
                <w:sz w:val="20"/>
                <w:szCs w:val="20"/>
              </w:rPr>
              <w:t xml:space="preserve"> </w:t>
            </w:r>
            <w:r w:rsidRPr="008E6588">
              <w:rPr>
                <w:rFonts w:ascii="Arial Narrow" w:eastAsia="Calibri" w:hAnsi="Arial Narrow" w:cs="Arial"/>
                <w:sz w:val="20"/>
                <w:szCs w:val="20"/>
              </w:rPr>
              <w:t>/ Private (Code HS)</w:t>
            </w:r>
          </w:p>
        </w:tc>
      </w:tr>
      <w:tr w:rsidR="004F3B9F" w:rsidRPr="008E6588" w14:paraId="7C317147" w14:textId="77777777">
        <w:tblPrEx>
          <w:tblCellMar>
            <w:top w:w="15" w:type="dxa"/>
            <w:bottom w:w="15" w:type="dxa"/>
          </w:tblCellMar>
          <w:tblLook w:val="04A0" w:firstRow="1" w:lastRow="0" w:firstColumn="1" w:lastColumn="0" w:noHBand="0" w:noVBand="1"/>
        </w:tblPrEx>
        <w:trPr>
          <w:trHeight w:val="300"/>
        </w:trPr>
        <w:tc>
          <w:tcPr>
            <w:tcW w:w="776" w:type="pct"/>
            <w:gridSpan w:val="4"/>
            <w:vMerge/>
            <w:tcBorders>
              <w:left w:val="single" w:sz="4" w:space="0" w:color="auto"/>
              <w:right w:val="single" w:sz="4" w:space="0" w:color="auto"/>
            </w:tcBorders>
          </w:tcPr>
          <w:p w14:paraId="79084DB3" w14:textId="77777777" w:rsidR="004F3B9F" w:rsidRPr="008E6588" w:rsidRDefault="004F3B9F" w:rsidP="00836DB5">
            <w:pPr>
              <w:rPr>
                <w:rFonts w:ascii="Arial Narrow" w:hAnsi="Arial Narrow" w:cs="Arial"/>
                <w:sz w:val="20"/>
                <w:szCs w:val="20"/>
              </w:rPr>
            </w:pPr>
          </w:p>
        </w:tc>
        <w:tc>
          <w:tcPr>
            <w:tcW w:w="4224" w:type="pct"/>
            <w:gridSpan w:val="6"/>
            <w:tcBorders>
              <w:top w:val="single" w:sz="4" w:space="0" w:color="auto"/>
              <w:left w:val="single" w:sz="4" w:space="0" w:color="auto"/>
              <w:bottom w:val="single" w:sz="4" w:space="0" w:color="auto"/>
              <w:right w:val="single" w:sz="4" w:space="0" w:color="auto"/>
            </w:tcBorders>
            <w:vAlign w:val="center"/>
          </w:tcPr>
          <w:p w14:paraId="4E99C543" w14:textId="77777777" w:rsidR="004F3B9F" w:rsidRPr="008E6588" w:rsidRDefault="004F3B9F" w:rsidP="00836DB5">
            <w:pPr>
              <w:keepLines/>
              <w:rPr>
                <w:rFonts w:ascii="Arial Narrow" w:hAnsi="Arial Narrow" w:cs="Arial"/>
                <w:b/>
                <w:sz w:val="20"/>
                <w:szCs w:val="20"/>
              </w:rPr>
            </w:pPr>
            <w:r w:rsidRPr="008E6588">
              <w:rPr>
                <w:rFonts w:ascii="Arial Narrow" w:hAnsi="Arial Narrow" w:cs="Arial"/>
                <w:b/>
                <w:sz w:val="20"/>
                <w:szCs w:val="20"/>
              </w:rPr>
              <w:t xml:space="preserve">Prescriber type: </w:t>
            </w:r>
            <w:r w:rsidRPr="008E6588">
              <w:rPr>
                <w:rFonts w:ascii="Arial Narrow" w:hAnsi="Arial Narrow" w:cs="Arial"/>
                <w:sz w:val="20"/>
                <w:szCs w:val="20"/>
              </w:rPr>
              <w:fldChar w:fldCharType="begin" w:fldLock="1">
                <w:ffData>
                  <w:name w:val=""/>
                  <w:enabled/>
                  <w:calcOnExit w:val="0"/>
                  <w:checkBox>
                    <w:sizeAuto/>
                    <w:default w:val="1"/>
                  </w:checkBox>
                </w:ffData>
              </w:fldChar>
            </w:r>
            <w:r w:rsidRPr="008E6588">
              <w:rPr>
                <w:rFonts w:ascii="Arial Narrow" w:hAnsi="Arial Narrow" w:cs="Arial"/>
                <w:sz w:val="20"/>
                <w:szCs w:val="20"/>
              </w:rPr>
              <w:instrText xml:space="preserve"> FORMCHECKBOX </w:instrText>
            </w:r>
            <w:r w:rsidRPr="008E6588">
              <w:rPr>
                <w:rFonts w:ascii="Arial Narrow" w:hAnsi="Arial Narrow" w:cs="Arial"/>
                <w:sz w:val="20"/>
                <w:szCs w:val="20"/>
              </w:rPr>
            </w:r>
            <w:r w:rsidRPr="008E6588">
              <w:rPr>
                <w:rFonts w:ascii="Arial Narrow" w:hAnsi="Arial Narrow" w:cs="Arial"/>
                <w:sz w:val="20"/>
                <w:szCs w:val="20"/>
              </w:rPr>
              <w:fldChar w:fldCharType="separate"/>
            </w:r>
            <w:r w:rsidRPr="008E6588">
              <w:rPr>
                <w:rFonts w:ascii="Arial Narrow" w:hAnsi="Arial Narrow" w:cs="Arial"/>
                <w:sz w:val="20"/>
                <w:szCs w:val="20"/>
              </w:rPr>
              <w:fldChar w:fldCharType="end"/>
            </w:r>
            <w:r w:rsidRPr="008E6588">
              <w:rPr>
                <w:rFonts w:ascii="Arial Narrow" w:hAnsi="Arial Narrow" w:cs="Arial"/>
                <w:sz w:val="20"/>
                <w:szCs w:val="20"/>
              </w:rPr>
              <w:t xml:space="preserve">Medical Practitioners </w:t>
            </w:r>
          </w:p>
        </w:tc>
      </w:tr>
      <w:tr w:rsidR="004F3B9F" w:rsidRPr="008E6588" w14:paraId="781FEAB1" w14:textId="77777777">
        <w:tblPrEx>
          <w:tblCellMar>
            <w:top w:w="15" w:type="dxa"/>
            <w:bottom w:w="15" w:type="dxa"/>
          </w:tblCellMar>
          <w:tblLook w:val="04A0" w:firstRow="1" w:lastRow="0" w:firstColumn="1" w:lastColumn="0" w:noHBand="0" w:noVBand="1"/>
        </w:tblPrEx>
        <w:trPr>
          <w:trHeight w:val="300"/>
        </w:trPr>
        <w:tc>
          <w:tcPr>
            <w:tcW w:w="776" w:type="pct"/>
            <w:gridSpan w:val="4"/>
            <w:vMerge/>
            <w:tcBorders>
              <w:left w:val="single" w:sz="4" w:space="0" w:color="auto"/>
              <w:right w:val="single" w:sz="4" w:space="0" w:color="auto"/>
            </w:tcBorders>
          </w:tcPr>
          <w:p w14:paraId="0FD3BE1C" w14:textId="77777777" w:rsidR="004F3B9F" w:rsidRPr="008E6588" w:rsidRDefault="004F3B9F" w:rsidP="00836DB5">
            <w:pPr>
              <w:rPr>
                <w:rFonts w:ascii="Arial Narrow" w:hAnsi="Arial Narrow" w:cs="Arial"/>
                <w:sz w:val="20"/>
                <w:szCs w:val="20"/>
              </w:rPr>
            </w:pPr>
          </w:p>
        </w:tc>
        <w:tc>
          <w:tcPr>
            <w:tcW w:w="4224" w:type="pct"/>
            <w:gridSpan w:val="6"/>
            <w:tcBorders>
              <w:top w:val="single" w:sz="4" w:space="0" w:color="auto"/>
              <w:left w:val="single" w:sz="4" w:space="0" w:color="auto"/>
              <w:bottom w:val="single" w:sz="4" w:space="0" w:color="auto"/>
              <w:right w:val="single" w:sz="4" w:space="0" w:color="auto"/>
            </w:tcBorders>
            <w:vAlign w:val="center"/>
          </w:tcPr>
          <w:p w14:paraId="493101D3" w14:textId="77777777" w:rsidR="004F3B9F" w:rsidRPr="008E6588" w:rsidRDefault="004F3B9F" w:rsidP="00836DB5">
            <w:pPr>
              <w:keepLines/>
              <w:rPr>
                <w:rFonts w:ascii="Arial Narrow" w:eastAsia="Calibri" w:hAnsi="Arial Narrow" w:cs="Arial"/>
                <w:color w:val="FF0000"/>
                <w:sz w:val="20"/>
                <w:szCs w:val="20"/>
              </w:rPr>
            </w:pPr>
            <w:r w:rsidRPr="008E6588">
              <w:rPr>
                <w:rFonts w:ascii="Arial Narrow" w:hAnsi="Arial Narrow" w:cs="Arial"/>
                <w:b/>
                <w:sz w:val="20"/>
                <w:szCs w:val="20"/>
              </w:rPr>
              <w:t xml:space="preserve">Restriction type: </w:t>
            </w:r>
            <w:r w:rsidRPr="008E6588">
              <w:rPr>
                <w:rFonts w:ascii="Arial Narrow" w:eastAsia="Calibri" w:hAnsi="Arial Narrow" w:cs="Arial"/>
                <w:sz w:val="20"/>
                <w:szCs w:val="20"/>
              </w:rPr>
              <w:fldChar w:fldCharType="begin" w:fldLock="1">
                <w:ffData>
                  <w:name w:val=""/>
                  <w:enabled/>
                  <w:calcOnExit w:val="0"/>
                  <w:checkBox>
                    <w:sizeAuto/>
                    <w:default w:val="1"/>
                  </w:checkBox>
                </w:ffData>
              </w:fldChar>
            </w:r>
            <w:r w:rsidRPr="008E6588">
              <w:rPr>
                <w:rFonts w:ascii="Arial Narrow" w:eastAsia="Calibri" w:hAnsi="Arial Narrow" w:cs="Arial"/>
                <w:sz w:val="20"/>
                <w:szCs w:val="20"/>
              </w:rPr>
              <w:instrText xml:space="preserve"> FORMCHECKBOX </w:instrText>
            </w:r>
            <w:r w:rsidRPr="008E6588">
              <w:rPr>
                <w:rFonts w:ascii="Arial Narrow" w:eastAsia="Calibri" w:hAnsi="Arial Narrow" w:cs="Arial"/>
                <w:sz w:val="20"/>
                <w:szCs w:val="20"/>
              </w:rPr>
            </w:r>
            <w:r w:rsidRPr="008E6588">
              <w:rPr>
                <w:rFonts w:ascii="Arial Narrow" w:eastAsia="Calibri" w:hAnsi="Arial Narrow" w:cs="Arial"/>
                <w:sz w:val="20"/>
                <w:szCs w:val="20"/>
              </w:rPr>
              <w:fldChar w:fldCharType="separate"/>
            </w:r>
            <w:r w:rsidRPr="008E6588">
              <w:rPr>
                <w:rFonts w:ascii="Arial Narrow" w:eastAsia="Calibri" w:hAnsi="Arial Narrow" w:cs="Arial"/>
                <w:sz w:val="20"/>
                <w:szCs w:val="20"/>
              </w:rPr>
              <w:fldChar w:fldCharType="end"/>
            </w:r>
            <w:r w:rsidRPr="008E6588">
              <w:rPr>
                <w:rFonts w:ascii="Arial Narrow" w:eastAsia="Calibri" w:hAnsi="Arial Narrow" w:cs="Arial"/>
                <w:sz w:val="20"/>
                <w:szCs w:val="20"/>
              </w:rPr>
              <w:t>Authority Required (telephone/online PBS Authorities system)</w:t>
            </w:r>
          </w:p>
        </w:tc>
      </w:tr>
      <w:tr w:rsidR="00B174FD" w:rsidRPr="008E6588" w14:paraId="524A8AAE" w14:textId="77777777">
        <w:tblPrEx>
          <w:tblCellMar>
            <w:top w:w="15" w:type="dxa"/>
            <w:bottom w:w="15" w:type="dxa"/>
          </w:tblCellMar>
          <w:tblLook w:val="04A0" w:firstRow="1" w:lastRow="0" w:firstColumn="1" w:lastColumn="0" w:noHBand="0" w:noVBand="1"/>
        </w:tblPrEx>
        <w:trPr>
          <w:trHeight w:val="300"/>
        </w:trPr>
        <w:tc>
          <w:tcPr>
            <w:tcW w:w="776" w:type="pct"/>
            <w:gridSpan w:val="4"/>
            <w:vMerge/>
            <w:tcBorders>
              <w:left w:val="single" w:sz="4" w:space="0" w:color="auto"/>
              <w:right w:val="single" w:sz="4" w:space="0" w:color="auto"/>
            </w:tcBorders>
          </w:tcPr>
          <w:p w14:paraId="16D4D4D5" w14:textId="77777777" w:rsidR="00B174FD" w:rsidRPr="008E6588" w:rsidRDefault="00B174FD">
            <w:pPr>
              <w:rPr>
                <w:rFonts w:ascii="Arial Narrow" w:hAnsi="Arial Narrow" w:cs="Arial"/>
                <w:sz w:val="20"/>
                <w:szCs w:val="20"/>
              </w:rPr>
            </w:pPr>
          </w:p>
        </w:tc>
        <w:tc>
          <w:tcPr>
            <w:tcW w:w="4224" w:type="pct"/>
            <w:gridSpan w:val="6"/>
            <w:tcBorders>
              <w:top w:val="single" w:sz="4" w:space="0" w:color="auto"/>
              <w:left w:val="single" w:sz="4" w:space="0" w:color="auto"/>
              <w:bottom w:val="single" w:sz="4" w:space="0" w:color="auto"/>
              <w:right w:val="single" w:sz="4" w:space="0" w:color="auto"/>
            </w:tcBorders>
            <w:vAlign w:val="center"/>
          </w:tcPr>
          <w:p w14:paraId="7DF59B0F" w14:textId="10B71559" w:rsidR="00B174FD" w:rsidRPr="008E6588" w:rsidRDefault="00B174FD">
            <w:pPr>
              <w:keepLines/>
              <w:rPr>
                <w:rFonts w:ascii="Arial Narrow" w:hAnsi="Arial Narrow" w:cs="Arial"/>
                <w:b/>
                <w:sz w:val="20"/>
                <w:szCs w:val="20"/>
              </w:rPr>
            </w:pPr>
            <w:r w:rsidRPr="008E6588">
              <w:rPr>
                <w:rFonts w:ascii="Arial Narrow" w:hAnsi="Arial Narrow"/>
                <w:b/>
                <w:sz w:val="20"/>
                <w:szCs w:val="20"/>
              </w:rPr>
              <w:t xml:space="preserve">Authority type: </w:t>
            </w:r>
            <w:r w:rsidRPr="008E6588">
              <w:rPr>
                <w:rFonts w:ascii="Arial Narrow" w:eastAsia="Calibri" w:hAnsi="Arial Narrow"/>
                <w:sz w:val="20"/>
                <w:szCs w:val="20"/>
              </w:rPr>
              <w:fldChar w:fldCharType="begin" w:fldLock="1">
                <w:ffData>
                  <w:name w:val=""/>
                  <w:enabled/>
                  <w:calcOnExit w:val="0"/>
                  <w:checkBox>
                    <w:sizeAuto/>
                    <w:default w:val="1"/>
                  </w:checkBox>
                </w:ffData>
              </w:fldChar>
            </w:r>
            <w:r w:rsidRPr="008E6588">
              <w:rPr>
                <w:rFonts w:ascii="Arial Narrow" w:eastAsia="Calibri" w:hAnsi="Arial Narrow"/>
                <w:sz w:val="20"/>
                <w:szCs w:val="20"/>
              </w:rPr>
              <w:instrText xml:space="preserve"> FORMCHECKBOX </w:instrText>
            </w:r>
            <w:r w:rsidRPr="008E6588">
              <w:rPr>
                <w:rFonts w:ascii="Arial Narrow" w:eastAsia="Calibri" w:hAnsi="Arial Narrow"/>
                <w:sz w:val="20"/>
                <w:szCs w:val="20"/>
              </w:rPr>
            </w:r>
            <w:r w:rsidRPr="008E6588">
              <w:rPr>
                <w:rFonts w:ascii="Arial Narrow" w:eastAsia="Calibri" w:hAnsi="Arial Narrow"/>
                <w:sz w:val="20"/>
                <w:szCs w:val="20"/>
              </w:rPr>
              <w:fldChar w:fldCharType="separate"/>
            </w:r>
            <w:r w:rsidRPr="008E6588">
              <w:rPr>
                <w:rFonts w:ascii="Arial Narrow" w:eastAsia="Calibri" w:hAnsi="Arial Narrow"/>
                <w:sz w:val="20"/>
                <w:szCs w:val="20"/>
              </w:rPr>
              <w:fldChar w:fldCharType="end"/>
            </w:r>
            <w:r w:rsidRPr="008E6588">
              <w:rPr>
                <w:rFonts w:ascii="Arial Narrow" w:eastAsia="Calibri" w:hAnsi="Arial Narrow"/>
                <w:sz w:val="20"/>
                <w:szCs w:val="20"/>
              </w:rPr>
              <w:t xml:space="preserve"> Complex Authority Required (CAR)</w:t>
            </w:r>
          </w:p>
        </w:tc>
      </w:tr>
      <w:tr w:rsidR="0057576E" w:rsidRPr="008E6588" w14:paraId="34310A3A" w14:textId="77777777" w:rsidTr="00F4072D">
        <w:tblPrEx>
          <w:tblCellMar>
            <w:top w:w="15" w:type="dxa"/>
            <w:bottom w:w="15" w:type="dxa"/>
          </w:tblCellMar>
        </w:tblPrEx>
        <w:trPr>
          <w:trHeight w:val="20"/>
        </w:trPr>
        <w:tc>
          <w:tcPr>
            <w:tcW w:w="313" w:type="pct"/>
            <w:gridSpan w:val="2"/>
            <w:vMerge w:val="restart"/>
            <w:tcBorders>
              <w:left w:val="single" w:sz="4" w:space="0" w:color="auto"/>
              <w:right w:val="single" w:sz="4" w:space="0" w:color="auto"/>
            </w:tcBorders>
            <w:textDirection w:val="btLr"/>
          </w:tcPr>
          <w:p w14:paraId="67D9163B" w14:textId="77777777" w:rsidR="0057576E" w:rsidRPr="008E6588" w:rsidRDefault="0057576E" w:rsidP="00836DB5">
            <w:pPr>
              <w:ind w:left="113" w:right="113"/>
              <w:jc w:val="center"/>
              <w:rPr>
                <w:rFonts w:ascii="Arial Narrow" w:hAnsi="Arial Narrow" w:cs="Arial"/>
                <w:sz w:val="20"/>
                <w:szCs w:val="20"/>
              </w:rPr>
            </w:pPr>
            <w:r w:rsidRPr="008E6588">
              <w:rPr>
                <w:rFonts w:ascii="Arial Narrow" w:hAnsi="Arial Narrow" w:cs="Arial"/>
                <w:sz w:val="20"/>
                <w:szCs w:val="20"/>
              </w:rPr>
              <w:t>Prescribing rule level</w:t>
            </w:r>
          </w:p>
        </w:tc>
        <w:tc>
          <w:tcPr>
            <w:tcW w:w="463" w:type="pct"/>
            <w:gridSpan w:val="2"/>
            <w:tcBorders>
              <w:left w:val="single" w:sz="4" w:space="0" w:color="auto"/>
              <w:right w:val="single" w:sz="4" w:space="0" w:color="auto"/>
            </w:tcBorders>
          </w:tcPr>
          <w:p w14:paraId="0E36CBAC" w14:textId="25E7AC9D" w:rsidR="0057576E" w:rsidRPr="008E6588" w:rsidRDefault="0057576E" w:rsidP="00836DB5">
            <w:pPr>
              <w:jc w:val="left"/>
              <w:rPr>
                <w:rFonts w:ascii="Arial Narrow" w:hAnsi="Arial Narrow" w:cs="Arial"/>
                <w:sz w:val="20"/>
                <w:szCs w:val="20"/>
              </w:rPr>
            </w:pPr>
          </w:p>
        </w:tc>
        <w:tc>
          <w:tcPr>
            <w:tcW w:w="4224" w:type="pct"/>
            <w:gridSpan w:val="6"/>
            <w:tcBorders>
              <w:top w:val="single" w:sz="4" w:space="0" w:color="auto"/>
              <w:left w:val="single" w:sz="4" w:space="0" w:color="auto"/>
              <w:bottom w:val="single" w:sz="4" w:space="0" w:color="auto"/>
              <w:right w:val="single" w:sz="4" w:space="0" w:color="auto"/>
            </w:tcBorders>
          </w:tcPr>
          <w:p w14:paraId="4C003117" w14:textId="77777777" w:rsidR="0057576E" w:rsidRPr="008E6588" w:rsidRDefault="008F5212" w:rsidP="00836DB5">
            <w:pPr>
              <w:keepLines/>
              <w:jc w:val="left"/>
              <w:rPr>
                <w:rFonts w:ascii="Arial Narrow" w:hAnsi="Arial Narrow" w:cs="Arial"/>
                <w:sz w:val="20"/>
                <w:szCs w:val="20"/>
              </w:rPr>
            </w:pPr>
            <w:r w:rsidRPr="008E6588">
              <w:rPr>
                <w:rFonts w:ascii="Arial Narrow" w:hAnsi="Arial Narrow" w:cs="Arial"/>
                <w:b/>
                <w:sz w:val="20"/>
                <w:szCs w:val="20"/>
              </w:rPr>
              <w:t>Administrative Advice</w:t>
            </w:r>
            <w:r w:rsidRPr="008E6588">
              <w:rPr>
                <w:rFonts w:ascii="Arial Narrow" w:hAnsi="Arial Narrow" w:cs="Arial"/>
                <w:sz w:val="20"/>
                <w:szCs w:val="20"/>
              </w:rPr>
              <w:t>:</w:t>
            </w:r>
          </w:p>
          <w:p w14:paraId="06DFF3ED" w14:textId="77777777" w:rsidR="008F5212" w:rsidRPr="008E6588" w:rsidRDefault="008F5212" w:rsidP="008F5212">
            <w:pPr>
              <w:keepLines/>
              <w:jc w:val="left"/>
              <w:rPr>
                <w:rFonts w:ascii="Arial Narrow" w:hAnsi="Arial Narrow" w:cs="Arial"/>
                <w:bCs/>
                <w:sz w:val="20"/>
                <w:szCs w:val="20"/>
              </w:rPr>
            </w:pPr>
            <w:r w:rsidRPr="008E6588">
              <w:rPr>
                <w:rFonts w:ascii="Arial Narrow" w:hAnsi="Arial Narrow" w:cs="Arial"/>
                <w:b/>
                <w:bCs/>
                <w:sz w:val="20"/>
                <w:szCs w:val="20"/>
              </w:rPr>
              <w:t>TREATMENT OF PAEDIATRIC PATIENTS WITH UNCONTROLLED SEVERE ALLERGIC ASTHMA</w:t>
            </w:r>
          </w:p>
          <w:p w14:paraId="589D82B1" w14:textId="77777777" w:rsidR="008F5212" w:rsidRPr="008E6588" w:rsidRDefault="008F5212" w:rsidP="008F5212">
            <w:pPr>
              <w:keepLines/>
              <w:jc w:val="left"/>
              <w:rPr>
                <w:rFonts w:ascii="Arial Narrow" w:hAnsi="Arial Narrow" w:cs="Arial"/>
                <w:bCs/>
                <w:sz w:val="20"/>
                <w:szCs w:val="20"/>
              </w:rPr>
            </w:pPr>
            <w:r w:rsidRPr="008E6588">
              <w:rPr>
                <w:rFonts w:ascii="Arial Narrow" w:hAnsi="Arial Narrow" w:cs="Arial"/>
                <w:bCs/>
                <w:sz w:val="20"/>
                <w:szCs w:val="20"/>
              </w:rPr>
              <w:t>Patients are eligible to commence an 'omalizumab treatment cycle' (initial treatment course with or without continuing treatment course/s) if they satisfy the eligibility criteria as detailed under the initial treatment restriction.</w:t>
            </w:r>
          </w:p>
          <w:p w14:paraId="2DABB7F6" w14:textId="77777777" w:rsidR="008F5212" w:rsidRPr="008E6588" w:rsidRDefault="008F5212" w:rsidP="008F5212">
            <w:pPr>
              <w:keepLines/>
              <w:jc w:val="left"/>
              <w:rPr>
                <w:rFonts w:ascii="Arial Narrow" w:hAnsi="Arial Narrow" w:cs="Arial"/>
                <w:bCs/>
                <w:sz w:val="20"/>
                <w:szCs w:val="20"/>
              </w:rPr>
            </w:pPr>
            <w:r w:rsidRPr="008E6588">
              <w:rPr>
                <w:rFonts w:ascii="Arial Narrow" w:hAnsi="Arial Narrow" w:cs="Arial"/>
                <w:bCs/>
                <w:sz w:val="20"/>
                <w:szCs w:val="20"/>
              </w:rPr>
              <w:t xml:space="preserve">Once a patient has either failed to achieve or maintain a response to omalizumab, they are deemed to have completed a treatment cycle and they </w:t>
            </w:r>
            <w:proofErr w:type="gramStart"/>
            <w:r w:rsidRPr="008E6588">
              <w:rPr>
                <w:rFonts w:ascii="Arial Narrow" w:hAnsi="Arial Narrow" w:cs="Arial"/>
                <w:bCs/>
                <w:sz w:val="20"/>
                <w:szCs w:val="20"/>
              </w:rPr>
              <w:t>must have,</w:t>
            </w:r>
            <w:proofErr w:type="gramEnd"/>
            <w:r w:rsidRPr="008E6588">
              <w:rPr>
                <w:rFonts w:ascii="Arial Narrow" w:hAnsi="Arial Narrow" w:cs="Arial"/>
                <w:bCs/>
                <w:sz w:val="20"/>
                <w:szCs w:val="20"/>
              </w:rPr>
              <w:t xml:space="preserve"> at a minimum, a </w:t>
            </w:r>
            <w:proofErr w:type="gramStart"/>
            <w:r w:rsidRPr="008E6588">
              <w:rPr>
                <w:rFonts w:ascii="Arial Narrow" w:hAnsi="Arial Narrow" w:cs="Arial"/>
                <w:bCs/>
                <w:sz w:val="20"/>
                <w:szCs w:val="20"/>
              </w:rPr>
              <w:t>6 month</w:t>
            </w:r>
            <w:proofErr w:type="gramEnd"/>
            <w:r w:rsidRPr="008E6588">
              <w:rPr>
                <w:rFonts w:ascii="Arial Narrow" w:hAnsi="Arial Narrow" w:cs="Arial"/>
                <w:bCs/>
                <w:sz w:val="20"/>
                <w:szCs w:val="20"/>
              </w:rPr>
              <w:t xml:space="preserve"> break in PBS-subsidised omalizumab therapy before they are eligible to commence the next cycle. The length of a treatment break is measured from the date the most recent treatment with PBS-subsidised omalizumab treatment is stopped to the date of the first application for initial treatment with omalizumab under the new treatment cycle.</w:t>
            </w:r>
          </w:p>
          <w:p w14:paraId="2FBD3548" w14:textId="77777777" w:rsidR="008F5212" w:rsidRPr="008E6588" w:rsidRDefault="008F5212" w:rsidP="008F5212">
            <w:pPr>
              <w:keepLines/>
              <w:jc w:val="left"/>
              <w:rPr>
                <w:rFonts w:ascii="Arial Narrow" w:hAnsi="Arial Narrow" w:cs="Arial"/>
                <w:bCs/>
                <w:sz w:val="20"/>
                <w:szCs w:val="20"/>
              </w:rPr>
            </w:pPr>
            <w:r w:rsidRPr="008E6588">
              <w:rPr>
                <w:rFonts w:ascii="Arial Narrow" w:hAnsi="Arial Narrow" w:cs="Arial"/>
                <w:bCs/>
                <w:sz w:val="20"/>
                <w:szCs w:val="20"/>
              </w:rPr>
              <w:t xml:space="preserve">There is no limit to the number of </w:t>
            </w:r>
            <w:proofErr w:type="gramStart"/>
            <w:r w:rsidRPr="008E6588">
              <w:rPr>
                <w:rFonts w:ascii="Arial Narrow" w:hAnsi="Arial Narrow" w:cs="Arial"/>
                <w:bCs/>
                <w:sz w:val="20"/>
                <w:szCs w:val="20"/>
              </w:rPr>
              <w:t>treatment</w:t>
            </w:r>
            <w:proofErr w:type="gramEnd"/>
            <w:r w:rsidRPr="008E6588">
              <w:rPr>
                <w:rFonts w:ascii="Arial Narrow" w:hAnsi="Arial Narrow" w:cs="Arial"/>
                <w:bCs/>
                <w:sz w:val="20"/>
                <w:szCs w:val="20"/>
              </w:rPr>
              <w:t xml:space="preserve"> cycles a patient may undertake in their lifetime.</w:t>
            </w:r>
          </w:p>
          <w:p w14:paraId="08B1C7A1" w14:textId="77777777" w:rsidR="008F5212" w:rsidRPr="008E6588" w:rsidRDefault="008F5212" w:rsidP="008F5212">
            <w:pPr>
              <w:keepLines/>
              <w:jc w:val="left"/>
              <w:rPr>
                <w:rFonts w:ascii="Arial Narrow" w:hAnsi="Arial Narrow" w:cs="Arial"/>
                <w:bCs/>
                <w:sz w:val="20"/>
                <w:szCs w:val="20"/>
              </w:rPr>
            </w:pPr>
            <w:r w:rsidRPr="008E6588">
              <w:rPr>
                <w:rFonts w:ascii="Arial Narrow" w:hAnsi="Arial Narrow" w:cs="Arial"/>
                <w:bCs/>
                <w:sz w:val="20"/>
                <w:szCs w:val="20"/>
              </w:rPr>
              <w:t>(1) How to prescribe PBS-subsidised omalizumab therapy.</w:t>
            </w:r>
          </w:p>
          <w:p w14:paraId="27440F02" w14:textId="77777777" w:rsidR="008F5212" w:rsidRPr="008E6588" w:rsidRDefault="008F5212" w:rsidP="008F5212">
            <w:pPr>
              <w:keepLines/>
              <w:jc w:val="left"/>
              <w:rPr>
                <w:rFonts w:ascii="Arial Narrow" w:hAnsi="Arial Narrow" w:cs="Arial"/>
                <w:bCs/>
                <w:sz w:val="20"/>
                <w:szCs w:val="20"/>
              </w:rPr>
            </w:pPr>
            <w:r w:rsidRPr="008E6588">
              <w:rPr>
                <w:rFonts w:ascii="Arial Narrow" w:hAnsi="Arial Narrow" w:cs="Arial"/>
                <w:bCs/>
                <w:sz w:val="20"/>
                <w:szCs w:val="20"/>
              </w:rPr>
              <w:t>(a) Initial treatment:</w:t>
            </w:r>
          </w:p>
          <w:p w14:paraId="790076F2" w14:textId="77777777" w:rsidR="008F5212" w:rsidRPr="008E6588" w:rsidRDefault="008F5212" w:rsidP="008F5212">
            <w:pPr>
              <w:keepLines/>
              <w:jc w:val="left"/>
              <w:rPr>
                <w:rFonts w:ascii="Arial Narrow" w:hAnsi="Arial Narrow" w:cs="Arial"/>
                <w:bCs/>
                <w:sz w:val="20"/>
                <w:szCs w:val="20"/>
              </w:rPr>
            </w:pPr>
            <w:r w:rsidRPr="008E6588">
              <w:rPr>
                <w:rFonts w:ascii="Arial Narrow" w:hAnsi="Arial Narrow" w:cs="Arial"/>
                <w:bCs/>
                <w:sz w:val="20"/>
                <w:szCs w:val="20"/>
              </w:rPr>
              <w:t>Applications for initial treatment should be made where a patient has received no prior PBS-subsidised omalizumab treatment in this treatment cycle and wishes to commence such therapy.</w:t>
            </w:r>
          </w:p>
          <w:p w14:paraId="21E01D19" w14:textId="77777777" w:rsidR="008F5212" w:rsidRPr="008E6588" w:rsidRDefault="008F5212" w:rsidP="008F5212">
            <w:pPr>
              <w:keepLines/>
              <w:jc w:val="left"/>
              <w:rPr>
                <w:rFonts w:ascii="Arial Narrow" w:hAnsi="Arial Narrow" w:cs="Arial"/>
                <w:bCs/>
                <w:sz w:val="20"/>
                <w:szCs w:val="20"/>
              </w:rPr>
            </w:pPr>
            <w:r w:rsidRPr="008E6588">
              <w:rPr>
                <w:rFonts w:ascii="Arial Narrow" w:hAnsi="Arial Narrow" w:cs="Arial"/>
                <w:bCs/>
                <w:sz w:val="20"/>
                <w:szCs w:val="20"/>
              </w:rPr>
              <w:t>All applications for initial treatment will be limited to provide for a maximum of 28 weeks of therapy for omalizumab.</w:t>
            </w:r>
          </w:p>
          <w:p w14:paraId="2DC9133D" w14:textId="77777777" w:rsidR="008F5212" w:rsidRPr="008E6588" w:rsidRDefault="008F5212" w:rsidP="008F5212">
            <w:pPr>
              <w:keepLines/>
              <w:jc w:val="left"/>
              <w:rPr>
                <w:rFonts w:ascii="Arial Narrow" w:hAnsi="Arial Narrow" w:cs="Arial"/>
                <w:bCs/>
                <w:sz w:val="20"/>
                <w:szCs w:val="20"/>
              </w:rPr>
            </w:pPr>
            <w:r w:rsidRPr="008E6588">
              <w:rPr>
                <w:rFonts w:ascii="Arial Narrow" w:hAnsi="Arial Narrow" w:cs="Arial"/>
                <w:bCs/>
                <w:sz w:val="20"/>
                <w:szCs w:val="20"/>
              </w:rPr>
              <w:t>(b) Continuing treatment:</w:t>
            </w:r>
          </w:p>
          <w:p w14:paraId="15F3C5C2" w14:textId="77777777" w:rsidR="008F5212" w:rsidRPr="008E6588" w:rsidRDefault="008F5212" w:rsidP="008F5212">
            <w:pPr>
              <w:keepLines/>
              <w:jc w:val="left"/>
              <w:rPr>
                <w:rFonts w:ascii="Arial Narrow" w:hAnsi="Arial Narrow" w:cs="Arial"/>
                <w:bCs/>
                <w:sz w:val="20"/>
                <w:szCs w:val="20"/>
              </w:rPr>
            </w:pPr>
            <w:r w:rsidRPr="008E6588">
              <w:rPr>
                <w:rFonts w:ascii="Arial Narrow" w:hAnsi="Arial Narrow" w:cs="Arial"/>
                <w:bCs/>
                <w:sz w:val="20"/>
                <w:szCs w:val="20"/>
              </w:rPr>
              <w:t>Following the completion of the initial treatment course with omalizumab, a patient may qualify to receive up to a further 24 weeks of continuing treatment with omalizumab providing they have demonstrated an adequate response to treatment. The patient remains eligible to receive continuing omalizumab treatment in courses of up to 24 weeks providing they continue to sustain the response.</w:t>
            </w:r>
          </w:p>
          <w:p w14:paraId="43F6589A" w14:textId="77777777" w:rsidR="008F5212" w:rsidRPr="008E6588" w:rsidRDefault="008F5212" w:rsidP="008F5212">
            <w:pPr>
              <w:keepLines/>
              <w:jc w:val="left"/>
              <w:rPr>
                <w:rFonts w:ascii="Arial Narrow" w:hAnsi="Arial Narrow" w:cs="Arial"/>
                <w:bCs/>
                <w:sz w:val="20"/>
                <w:szCs w:val="20"/>
              </w:rPr>
            </w:pPr>
            <w:r w:rsidRPr="008E6588">
              <w:rPr>
                <w:rFonts w:ascii="Arial Narrow" w:hAnsi="Arial Narrow" w:cs="Arial"/>
                <w:bCs/>
                <w:sz w:val="20"/>
                <w:szCs w:val="20"/>
              </w:rPr>
              <w:t>(2) Baseline measurements to determine response:</w:t>
            </w:r>
          </w:p>
          <w:p w14:paraId="5CB1DD77" w14:textId="77777777" w:rsidR="008F5212" w:rsidRPr="008E6588" w:rsidRDefault="008F5212" w:rsidP="008F5212">
            <w:pPr>
              <w:keepLines/>
              <w:jc w:val="left"/>
              <w:rPr>
                <w:rFonts w:ascii="Arial Narrow" w:hAnsi="Arial Narrow" w:cs="Arial"/>
                <w:bCs/>
                <w:sz w:val="20"/>
                <w:szCs w:val="20"/>
              </w:rPr>
            </w:pPr>
            <w:r w:rsidRPr="008E6588">
              <w:rPr>
                <w:rFonts w:ascii="Arial Narrow" w:hAnsi="Arial Narrow" w:cs="Arial"/>
                <w:bCs/>
                <w:sz w:val="20"/>
                <w:szCs w:val="20"/>
              </w:rPr>
              <w:lastRenderedPageBreak/>
              <w:t xml:space="preserve">Services Australia will determine whether a response to treatment has been demonstrated based on the baseline measurements of the Asthma Control Questionnaire (ACQ; 5 item version) or ACQ-IA, systemic corticosteroid dose and time-adjusted exacerbation rate, submitted with the Initial authority application for omalizumab. However, prescribers may provide new baseline measurements when a new Initial treatment authority application is </w:t>
            </w:r>
            <w:proofErr w:type="gramStart"/>
            <w:r w:rsidRPr="008E6588">
              <w:rPr>
                <w:rFonts w:ascii="Arial Narrow" w:hAnsi="Arial Narrow" w:cs="Arial"/>
                <w:bCs/>
                <w:sz w:val="20"/>
                <w:szCs w:val="20"/>
              </w:rPr>
              <w:t>submitted</w:t>
            </w:r>
            <w:proofErr w:type="gramEnd"/>
            <w:r w:rsidRPr="008E6588">
              <w:rPr>
                <w:rFonts w:ascii="Arial Narrow" w:hAnsi="Arial Narrow" w:cs="Arial"/>
                <w:bCs/>
                <w:sz w:val="20"/>
                <w:szCs w:val="20"/>
              </w:rPr>
              <w:t xml:space="preserve"> and Services Australia will assess response according to these revised baseline measurements.</w:t>
            </w:r>
          </w:p>
          <w:p w14:paraId="2E8A100C" w14:textId="77777777" w:rsidR="008F5212" w:rsidRPr="008E6588" w:rsidRDefault="008F5212" w:rsidP="008F5212">
            <w:pPr>
              <w:keepLines/>
              <w:jc w:val="left"/>
              <w:rPr>
                <w:rFonts w:ascii="Arial Narrow" w:hAnsi="Arial Narrow" w:cs="Arial"/>
                <w:bCs/>
                <w:sz w:val="20"/>
                <w:szCs w:val="20"/>
              </w:rPr>
            </w:pPr>
            <w:r w:rsidRPr="008E6588">
              <w:rPr>
                <w:rFonts w:ascii="Arial Narrow" w:hAnsi="Arial Narrow" w:cs="Arial"/>
                <w:bCs/>
                <w:sz w:val="20"/>
                <w:szCs w:val="20"/>
              </w:rPr>
              <w:t xml:space="preserve">(3) Re-commencement of treatment after a </w:t>
            </w:r>
            <w:proofErr w:type="gramStart"/>
            <w:r w:rsidRPr="008E6588">
              <w:rPr>
                <w:rFonts w:ascii="Arial Narrow" w:hAnsi="Arial Narrow" w:cs="Arial"/>
                <w:bCs/>
                <w:sz w:val="20"/>
                <w:szCs w:val="20"/>
              </w:rPr>
              <w:t>6 month</w:t>
            </w:r>
            <w:proofErr w:type="gramEnd"/>
            <w:r w:rsidRPr="008E6588">
              <w:rPr>
                <w:rFonts w:ascii="Arial Narrow" w:hAnsi="Arial Narrow" w:cs="Arial"/>
                <w:bCs/>
                <w:sz w:val="20"/>
                <w:szCs w:val="20"/>
              </w:rPr>
              <w:t xml:space="preserve"> break in PBS-subsidised therapy:</w:t>
            </w:r>
          </w:p>
          <w:p w14:paraId="019672D5" w14:textId="77777777" w:rsidR="008F5212" w:rsidRPr="008E6588" w:rsidRDefault="008F5212" w:rsidP="008F5212">
            <w:pPr>
              <w:keepLines/>
              <w:jc w:val="left"/>
              <w:rPr>
                <w:rFonts w:ascii="Arial Narrow" w:hAnsi="Arial Narrow" w:cs="Arial"/>
                <w:bCs/>
                <w:sz w:val="20"/>
                <w:szCs w:val="20"/>
              </w:rPr>
            </w:pPr>
            <w:r w:rsidRPr="008E6588">
              <w:rPr>
                <w:rFonts w:ascii="Arial Narrow" w:hAnsi="Arial Narrow" w:cs="Arial"/>
                <w:bCs/>
                <w:sz w:val="20"/>
                <w:szCs w:val="20"/>
              </w:rPr>
              <w:t>A patient who wishes to trial a second or subsequent treatment cycle following a break in PBS-subsidised omalizumab therapy of at least 6 months, must re-qualify for initial treatment with respect to the indices of disease severity (systemic corticosteroid dose, Asthma Control Questionnaire (ACQ-5) score or ACQ-IA, and relevant exacerbation history). Patients must have received optimised standard therapy, at adequate doses and for the minimum period specified, immediately prior to the time the new baseline assessments are performed.</w:t>
            </w:r>
          </w:p>
          <w:p w14:paraId="03BFFA06" w14:textId="77777777" w:rsidR="008F5212" w:rsidRPr="008E6588" w:rsidRDefault="008F5212" w:rsidP="008F5212">
            <w:pPr>
              <w:keepLines/>
              <w:jc w:val="left"/>
              <w:rPr>
                <w:rFonts w:ascii="Arial Narrow" w:hAnsi="Arial Narrow" w:cs="Arial"/>
                <w:bCs/>
                <w:sz w:val="20"/>
                <w:szCs w:val="20"/>
              </w:rPr>
            </w:pPr>
            <w:r w:rsidRPr="008E6588">
              <w:rPr>
                <w:rFonts w:ascii="Arial Narrow" w:hAnsi="Arial Narrow" w:cs="Arial"/>
                <w:bCs/>
                <w:sz w:val="20"/>
                <w:szCs w:val="20"/>
              </w:rPr>
              <w:t>(4) Monitoring of patients:</w:t>
            </w:r>
          </w:p>
          <w:p w14:paraId="731CD555" w14:textId="20070CCE" w:rsidR="008F5212" w:rsidRPr="008E6588" w:rsidRDefault="008F5212" w:rsidP="00836DB5">
            <w:pPr>
              <w:keepLines/>
              <w:jc w:val="left"/>
              <w:rPr>
                <w:rFonts w:ascii="Arial Narrow" w:hAnsi="Arial Narrow" w:cs="Arial"/>
                <w:bCs/>
                <w:sz w:val="20"/>
                <w:szCs w:val="20"/>
              </w:rPr>
            </w:pPr>
            <w:r w:rsidRPr="008E6588">
              <w:rPr>
                <w:rFonts w:ascii="Arial Narrow" w:hAnsi="Arial Narrow" w:cs="Arial"/>
                <w:bCs/>
                <w:sz w:val="20"/>
                <w:szCs w:val="20"/>
              </w:rPr>
              <w:t xml:space="preserve">Anaphylaxis and anaphylactoid reactions have been reported following first or subsequent administration of omalizumab (see Product Information). Patients should be monitored post-injection, and medications for the treatment of anaphylactic reactions should be available for immediate use following administration of omalizumab. Patients should be informed that such reactions are </w:t>
            </w:r>
            <w:proofErr w:type="gramStart"/>
            <w:r w:rsidRPr="008E6588">
              <w:rPr>
                <w:rFonts w:ascii="Arial Narrow" w:hAnsi="Arial Narrow" w:cs="Arial"/>
                <w:bCs/>
                <w:sz w:val="20"/>
                <w:szCs w:val="20"/>
              </w:rPr>
              <w:t>possible</w:t>
            </w:r>
            <w:proofErr w:type="gramEnd"/>
            <w:r w:rsidRPr="008E6588">
              <w:rPr>
                <w:rFonts w:ascii="Arial Narrow" w:hAnsi="Arial Narrow" w:cs="Arial"/>
                <w:bCs/>
                <w:sz w:val="20"/>
                <w:szCs w:val="20"/>
              </w:rPr>
              <w:t xml:space="preserve"> and prompt medical attention should be sought if allergic reactions occur.</w:t>
            </w:r>
          </w:p>
        </w:tc>
      </w:tr>
      <w:tr w:rsidR="0072485B" w:rsidRPr="008E6588" w14:paraId="76410D51" w14:textId="77777777" w:rsidTr="00F4072D">
        <w:tblPrEx>
          <w:tblCellMar>
            <w:top w:w="15" w:type="dxa"/>
            <w:bottom w:w="15" w:type="dxa"/>
          </w:tblCellMar>
        </w:tblPrEx>
        <w:trPr>
          <w:trHeight w:val="20"/>
        </w:trPr>
        <w:tc>
          <w:tcPr>
            <w:tcW w:w="313" w:type="pct"/>
            <w:gridSpan w:val="2"/>
            <w:vMerge/>
            <w:tcBorders>
              <w:left w:val="single" w:sz="4" w:space="0" w:color="auto"/>
              <w:right w:val="single" w:sz="4" w:space="0" w:color="auto"/>
            </w:tcBorders>
            <w:textDirection w:val="btLr"/>
          </w:tcPr>
          <w:p w14:paraId="4796EF88" w14:textId="77777777" w:rsidR="0072485B" w:rsidRPr="008E6588" w:rsidRDefault="0072485B" w:rsidP="00836DB5">
            <w:pPr>
              <w:ind w:left="113" w:right="113"/>
              <w:jc w:val="center"/>
              <w:rPr>
                <w:rFonts w:ascii="Arial Narrow" w:hAnsi="Arial Narrow" w:cs="Arial"/>
                <w:sz w:val="20"/>
                <w:szCs w:val="20"/>
              </w:rPr>
            </w:pPr>
          </w:p>
        </w:tc>
        <w:tc>
          <w:tcPr>
            <w:tcW w:w="463" w:type="pct"/>
            <w:gridSpan w:val="2"/>
            <w:tcBorders>
              <w:left w:val="single" w:sz="4" w:space="0" w:color="auto"/>
              <w:right w:val="single" w:sz="4" w:space="0" w:color="auto"/>
            </w:tcBorders>
          </w:tcPr>
          <w:p w14:paraId="047008C8" w14:textId="43D5DA67" w:rsidR="0072485B" w:rsidRPr="008E6588" w:rsidRDefault="0072485B" w:rsidP="00836DB5">
            <w:pPr>
              <w:jc w:val="left"/>
              <w:rPr>
                <w:rFonts w:ascii="Arial Narrow" w:hAnsi="Arial Narrow" w:cs="Arial"/>
                <w:sz w:val="20"/>
                <w:szCs w:val="20"/>
              </w:rPr>
            </w:pPr>
          </w:p>
        </w:tc>
        <w:tc>
          <w:tcPr>
            <w:tcW w:w="4224" w:type="pct"/>
            <w:gridSpan w:val="6"/>
            <w:tcBorders>
              <w:top w:val="single" w:sz="4" w:space="0" w:color="auto"/>
              <w:left w:val="single" w:sz="4" w:space="0" w:color="auto"/>
              <w:bottom w:val="single" w:sz="4" w:space="0" w:color="auto"/>
              <w:right w:val="single" w:sz="4" w:space="0" w:color="auto"/>
            </w:tcBorders>
          </w:tcPr>
          <w:p w14:paraId="590D8200" w14:textId="38AA005E" w:rsidR="0072485B" w:rsidRPr="008E6588" w:rsidRDefault="0072485B" w:rsidP="00836DB5">
            <w:pPr>
              <w:keepLines/>
              <w:jc w:val="left"/>
              <w:rPr>
                <w:rFonts w:ascii="Arial Narrow" w:hAnsi="Arial Narrow" w:cs="Arial"/>
                <w:b/>
                <w:sz w:val="20"/>
                <w:szCs w:val="20"/>
              </w:rPr>
            </w:pPr>
            <w:r w:rsidRPr="008E6588">
              <w:rPr>
                <w:rFonts w:ascii="Arial Narrow" w:hAnsi="Arial Narrow" w:cs="Arial"/>
                <w:b/>
                <w:sz w:val="20"/>
                <w:szCs w:val="20"/>
              </w:rPr>
              <w:t>Administrative Advice</w:t>
            </w:r>
            <w:r w:rsidRPr="008E6588">
              <w:rPr>
                <w:rFonts w:ascii="Arial Narrow" w:hAnsi="Arial Narrow" w:cs="Arial"/>
                <w:sz w:val="20"/>
                <w:szCs w:val="20"/>
              </w:rPr>
              <w:t>:</w:t>
            </w:r>
            <w:r w:rsidR="0024409B" w:rsidRPr="008E6588">
              <w:rPr>
                <w:rFonts w:ascii="Arial Narrow" w:hAnsi="Arial Narrow" w:cs="Arial"/>
                <w:sz w:val="20"/>
                <w:szCs w:val="20"/>
              </w:rPr>
              <w:t xml:space="preserve"> The Services Australia website (www.servicesaustralia.gov.au) has details of the accepted toxicities, including severity, which will be accepted for the purposes of exempting a patient from the requirement of treatment with optimised asthma therapy.</w:t>
            </w:r>
          </w:p>
        </w:tc>
      </w:tr>
      <w:tr w:rsidR="0072485B" w:rsidRPr="008E6588" w14:paraId="42F8A5A4" w14:textId="77777777" w:rsidTr="00F4072D">
        <w:tblPrEx>
          <w:tblCellMar>
            <w:top w:w="15" w:type="dxa"/>
            <w:bottom w:w="15" w:type="dxa"/>
          </w:tblCellMar>
        </w:tblPrEx>
        <w:trPr>
          <w:trHeight w:val="20"/>
        </w:trPr>
        <w:tc>
          <w:tcPr>
            <w:tcW w:w="313" w:type="pct"/>
            <w:gridSpan w:val="2"/>
            <w:vMerge/>
            <w:tcBorders>
              <w:left w:val="single" w:sz="4" w:space="0" w:color="auto"/>
              <w:right w:val="single" w:sz="4" w:space="0" w:color="auto"/>
            </w:tcBorders>
            <w:textDirection w:val="btLr"/>
          </w:tcPr>
          <w:p w14:paraId="166E3B04" w14:textId="77777777" w:rsidR="0072485B" w:rsidRPr="008E6588" w:rsidRDefault="0072485B" w:rsidP="00836DB5">
            <w:pPr>
              <w:ind w:left="113" w:right="113"/>
              <w:jc w:val="center"/>
              <w:rPr>
                <w:rFonts w:ascii="Arial Narrow" w:hAnsi="Arial Narrow" w:cs="Arial"/>
                <w:sz w:val="20"/>
                <w:szCs w:val="20"/>
              </w:rPr>
            </w:pPr>
          </w:p>
        </w:tc>
        <w:tc>
          <w:tcPr>
            <w:tcW w:w="463" w:type="pct"/>
            <w:gridSpan w:val="2"/>
            <w:tcBorders>
              <w:left w:val="single" w:sz="4" w:space="0" w:color="auto"/>
              <w:right w:val="single" w:sz="4" w:space="0" w:color="auto"/>
            </w:tcBorders>
          </w:tcPr>
          <w:p w14:paraId="1DDACA64" w14:textId="7E287350" w:rsidR="0072485B" w:rsidRPr="008E6588" w:rsidRDefault="0072485B" w:rsidP="00836DB5">
            <w:pPr>
              <w:jc w:val="left"/>
              <w:rPr>
                <w:rFonts w:ascii="Arial Narrow" w:hAnsi="Arial Narrow" w:cs="Arial"/>
                <w:sz w:val="20"/>
                <w:szCs w:val="20"/>
              </w:rPr>
            </w:pPr>
          </w:p>
        </w:tc>
        <w:tc>
          <w:tcPr>
            <w:tcW w:w="4224" w:type="pct"/>
            <w:gridSpan w:val="6"/>
            <w:tcBorders>
              <w:top w:val="single" w:sz="4" w:space="0" w:color="auto"/>
              <w:left w:val="single" w:sz="4" w:space="0" w:color="auto"/>
              <w:bottom w:val="single" w:sz="4" w:space="0" w:color="auto"/>
              <w:right w:val="single" w:sz="4" w:space="0" w:color="auto"/>
            </w:tcBorders>
          </w:tcPr>
          <w:p w14:paraId="6D93322C" w14:textId="3C617DCB" w:rsidR="0072485B" w:rsidRPr="008E6588" w:rsidRDefault="0024409B" w:rsidP="00836DB5">
            <w:pPr>
              <w:keepLines/>
              <w:jc w:val="left"/>
              <w:rPr>
                <w:rFonts w:ascii="Arial Narrow" w:hAnsi="Arial Narrow" w:cs="Arial"/>
                <w:b/>
                <w:sz w:val="20"/>
                <w:szCs w:val="20"/>
              </w:rPr>
            </w:pPr>
            <w:r w:rsidRPr="008E6588">
              <w:rPr>
                <w:rFonts w:ascii="Arial Narrow" w:hAnsi="Arial Narrow" w:cs="Arial"/>
                <w:b/>
                <w:sz w:val="20"/>
                <w:szCs w:val="20"/>
              </w:rPr>
              <w:t>Administrative Advice</w:t>
            </w:r>
            <w:r w:rsidRPr="008E6588">
              <w:rPr>
                <w:rFonts w:ascii="Arial Narrow" w:hAnsi="Arial Narrow" w:cs="Arial"/>
                <w:sz w:val="20"/>
                <w:szCs w:val="20"/>
              </w:rPr>
              <w:t>:</w:t>
            </w:r>
            <w:r w:rsidRPr="008E6588">
              <w:rPr>
                <w:rFonts w:ascii="Arial Narrow" w:hAnsi="Arial Narrow" w:cs="Open Sans"/>
                <w:color w:val="333333"/>
                <w:sz w:val="20"/>
                <w:szCs w:val="20"/>
                <w:shd w:val="clear" w:color="auto" w:fill="FFFFFF"/>
              </w:rPr>
              <w:t xml:space="preserve"> </w:t>
            </w:r>
            <w:r w:rsidRPr="008E6588">
              <w:rPr>
                <w:rFonts w:ascii="Arial Narrow" w:hAnsi="Arial Narrow" w:cs="Arial"/>
                <w:sz w:val="20"/>
                <w:szCs w:val="20"/>
              </w:rPr>
              <w:t>For copies of the ACQ please contact Novartis Medical Information on 1800 671 203 or medinfo.phauno@novartis.com</w:t>
            </w:r>
          </w:p>
        </w:tc>
      </w:tr>
      <w:tr w:rsidR="0024409B" w:rsidRPr="008E6588" w14:paraId="79398217" w14:textId="77777777" w:rsidTr="00F4072D">
        <w:tblPrEx>
          <w:tblCellMar>
            <w:top w:w="15" w:type="dxa"/>
            <w:bottom w:w="15" w:type="dxa"/>
          </w:tblCellMar>
        </w:tblPrEx>
        <w:trPr>
          <w:trHeight w:val="20"/>
        </w:trPr>
        <w:tc>
          <w:tcPr>
            <w:tcW w:w="313" w:type="pct"/>
            <w:gridSpan w:val="2"/>
            <w:vMerge/>
            <w:tcBorders>
              <w:left w:val="single" w:sz="4" w:space="0" w:color="auto"/>
              <w:right w:val="single" w:sz="4" w:space="0" w:color="auto"/>
            </w:tcBorders>
            <w:textDirection w:val="btLr"/>
          </w:tcPr>
          <w:p w14:paraId="665EBC42" w14:textId="77777777" w:rsidR="0024409B" w:rsidRPr="008E6588" w:rsidRDefault="0024409B" w:rsidP="00836DB5">
            <w:pPr>
              <w:ind w:left="113" w:right="113"/>
              <w:jc w:val="center"/>
              <w:rPr>
                <w:rFonts w:ascii="Arial Narrow" w:hAnsi="Arial Narrow" w:cs="Arial"/>
                <w:sz w:val="20"/>
                <w:szCs w:val="20"/>
              </w:rPr>
            </w:pPr>
          </w:p>
        </w:tc>
        <w:tc>
          <w:tcPr>
            <w:tcW w:w="463" w:type="pct"/>
            <w:gridSpan w:val="2"/>
            <w:tcBorders>
              <w:left w:val="single" w:sz="4" w:space="0" w:color="auto"/>
              <w:right w:val="single" w:sz="4" w:space="0" w:color="auto"/>
            </w:tcBorders>
          </w:tcPr>
          <w:p w14:paraId="5B6921B7" w14:textId="70DCB25B" w:rsidR="0024409B" w:rsidRPr="008E6588" w:rsidRDefault="0024409B" w:rsidP="00836DB5">
            <w:pPr>
              <w:jc w:val="left"/>
              <w:rPr>
                <w:rFonts w:ascii="Arial Narrow" w:hAnsi="Arial Narrow" w:cs="Arial"/>
                <w:sz w:val="20"/>
                <w:szCs w:val="20"/>
              </w:rPr>
            </w:pPr>
          </w:p>
        </w:tc>
        <w:tc>
          <w:tcPr>
            <w:tcW w:w="4224" w:type="pct"/>
            <w:gridSpan w:val="6"/>
            <w:tcBorders>
              <w:top w:val="single" w:sz="4" w:space="0" w:color="auto"/>
              <w:left w:val="single" w:sz="4" w:space="0" w:color="auto"/>
              <w:bottom w:val="single" w:sz="4" w:space="0" w:color="auto"/>
              <w:right w:val="single" w:sz="4" w:space="0" w:color="auto"/>
            </w:tcBorders>
          </w:tcPr>
          <w:p w14:paraId="6B3F5F57" w14:textId="5B3C1F41" w:rsidR="0024409B" w:rsidRPr="008E6588" w:rsidRDefault="005A1050" w:rsidP="00836DB5">
            <w:pPr>
              <w:keepLines/>
              <w:jc w:val="left"/>
              <w:rPr>
                <w:rFonts w:ascii="Arial Narrow" w:hAnsi="Arial Narrow" w:cs="Arial"/>
                <w:b/>
                <w:sz w:val="20"/>
                <w:szCs w:val="20"/>
              </w:rPr>
            </w:pPr>
            <w:r w:rsidRPr="008E6588">
              <w:rPr>
                <w:rFonts w:ascii="Arial Narrow" w:hAnsi="Arial Narrow" w:cs="Arial"/>
                <w:b/>
                <w:sz w:val="20"/>
                <w:szCs w:val="20"/>
              </w:rPr>
              <w:t>Administrative Advice</w:t>
            </w:r>
            <w:r w:rsidRPr="008E6588">
              <w:rPr>
                <w:rFonts w:ascii="Arial Narrow" w:hAnsi="Arial Narrow" w:cs="Arial"/>
                <w:sz w:val="20"/>
                <w:szCs w:val="20"/>
              </w:rPr>
              <w:t>:</w:t>
            </w:r>
            <w:r w:rsidRPr="008E6588">
              <w:rPr>
                <w:rFonts w:ascii="Arial Narrow" w:hAnsi="Arial Narrow" w:cs="Open Sans"/>
                <w:color w:val="333333"/>
                <w:sz w:val="20"/>
                <w:szCs w:val="20"/>
                <w:shd w:val="clear" w:color="auto" w:fill="F4F4F4"/>
              </w:rPr>
              <w:t xml:space="preserve"> </w:t>
            </w:r>
            <w:r w:rsidRPr="008E6588">
              <w:rPr>
                <w:rFonts w:ascii="Arial Narrow" w:hAnsi="Arial Narrow" w:cs="Arial"/>
                <w:sz w:val="20"/>
                <w:szCs w:val="20"/>
              </w:rPr>
              <w:t>Formal assessment and correction of inhaler technique should be performed in accordance with the National Asthma Council (NAC) Information Paper for Health Professionals on Inhaler Technique (available at www.nationalasthma.org.au); the assessment and adherence to correct technique should be documented in the patient's medical records. Patients can obtain support with inhaler technique through their local Asthma Foundation (1800 645 130).</w:t>
            </w:r>
          </w:p>
        </w:tc>
      </w:tr>
      <w:tr w:rsidR="0057576E" w:rsidRPr="008E6588" w14:paraId="2398A6FB" w14:textId="77777777" w:rsidTr="00F4072D">
        <w:tblPrEx>
          <w:tblCellMar>
            <w:top w:w="15" w:type="dxa"/>
            <w:bottom w:w="15" w:type="dxa"/>
          </w:tblCellMar>
        </w:tblPrEx>
        <w:trPr>
          <w:trHeight w:val="20"/>
        </w:trPr>
        <w:tc>
          <w:tcPr>
            <w:tcW w:w="313" w:type="pct"/>
            <w:gridSpan w:val="2"/>
            <w:vMerge/>
            <w:tcBorders>
              <w:left w:val="single" w:sz="4" w:space="0" w:color="auto"/>
              <w:right w:val="single" w:sz="4" w:space="0" w:color="auto"/>
            </w:tcBorders>
          </w:tcPr>
          <w:p w14:paraId="58621FB9" w14:textId="77777777" w:rsidR="0057576E" w:rsidRPr="008E6588" w:rsidRDefault="0057576E" w:rsidP="00836DB5">
            <w:pPr>
              <w:jc w:val="left"/>
              <w:rPr>
                <w:rFonts w:ascii="Arial Narrow" w:hAnsi="Arial Narrow" w:cs="Arial"/>
                <w:sz w:val="20"/>
                <w:szCs w:val="20"/>
              </w:rPr>
            </w:pPr>
          </w:p>
        </w:tc>
        <w:tc>
          <w:tcPr>
            <w:tcW w:w="463" w:type="pct"/>
            <w:gridSpan w:val="2"/>
            <w:tcBorders>
              <w:left w:val="single" w:sz="4" w:space="0" w:color="auto"/>
              <w:right w:val="single" w:sz="4" w:space="0" w:color="auto"/>
            </w:tcBorders>
          </w:tcPr>
          <w:p w14:paraId="7480080E" w14:textId="0FEB7186" w:rsidR="0057576E" w:rsidRPr="008E6588" w:rsidRDefault="0057576E" w:rsidP="00836DB5">
            <w:pPr>
              <w:jc w:val="left"/>
              <w:textAlignment w:val="baseline"/>
              <w:rPr>
                <w:rFonts w:ascii="Arial Narrow" w:hAnsi="Arial Narrow" w:cs="Open Sans"/>
                <w:color w:val="333333"/>
                <w:sz w:val="20"/>
                <w:szCs w:val="20"/>
              </w:rPr>
            </w:pPr>
          </w:p>
        </w:tc>
        <w:tc>
          <w:tcPr>
            <w:tcW w:w="4224" w:type="pct"/>
            <w:gridSpan w:val="6"/>
            <w:tcBorders>
              <w:top w:val="single" w:sz="4" w:space="0" w:color="auto"/>
              <w:left w:val="single" w:sz="4" w:space="0" w:color="auto"/>
              <w:bottom w:val="single" w:sz="4" w:space="0" w:color="auto"/>
              <w:right w:val="single" w:sz="4" w:space="0" w:color="auto"/>
            </w:tcBorders>
          </w:tcPr>
          <w:p w14:paraId="2F4668B7" w14:textId="77777777" w:rsidR="00965730" w:rsidRPr="008E6588" w:rsidRDefault="0057576E" w:rsidP="00965730">
            <w:pPr>
              <w:keepLines/>
              <w:rPr>
                <w:rFonts w:ascii="Arial Narrow" w:hAnsi="Arial Narrow" w:cs="Arial"/>
                <w:sz w:val="20"/>
                <w:szCs w:val="20"/>
              </w:rPr>
            </w:pPr>
            <w:r w:rsidRPr="008E6588">
              <w:rPr>
                <w:rFonts w:ascii="Arial Narrow" w:hAnsi="Arial Narrow" w:cs="Arial"/>
                <w:b/>
                <w:sz w:val="20"/>
                <w:szCs w:val="20"/>
              </w:rPr>
              <w:t>Administrative Advice</w:t>
            </w:r>
            <w:r w:rsidRPr="008E6588">
              <w:rPr>
                <w:rFonts w:ascii="Arial Narrow" w:hAnsi="Arial Narrow" w:cs="Arial"/>
                <w:sz w:val="20"/>
                <w:szCs w:val="20"/>
              </w:rPr>
              <w:t xml:space="preserve">: </w:t>
            </w:r>
            <w:r w:rsidR="00965730" w:rsidRPr="008E6588">
              <w:rPr>
                <w:rFonts w:ascii="Arial Narrow" w:hAnsi="Arial Narrow" w:cs="Arial"/>
                <w:sz w:val="20"/>
                <w:szCs w:val="20"/>
              </w:rPr>
              <w:t>Any queries concerning the arrangements to prescribe may be directed to Services Australia on 1800 700 270 (hours of operation 8 a.m. to 5 p.m. Monday to Friday).</w:t>
            </w:r>
          </w:p>
          <w:p w14:paraId="3B2C069A" w14:textId="77777777" w:rsidR="00965730" w:rsidRPr="008E6588" w:rsidRDefault="00965730" w:rsidP="00965730">
            <w:pPr>
              <w:keepLines/>
              <w:jc w:val="left"/>
              <w:rPr>
                <w:rFonts w:ascii="Arial Narrow" w:hAnsi="Arial Narrow" w:cs="Arial"/>
                <w:sz w:val="20"/>
                <w:szCs w:val="20"/>
              </w:rPr>
            </w:pPr>
            <w:r w:rsidRPr="008E6588">
              <w:rPr>
                <w:rFonts w:ascii="Arial Narrow" w:hAnsi="Arial Narrow" w:cs="Arial"/>
                <w:sz w:val="20"/>
                <w:szCs w:val="20"/>
              </w:rPr>
              <w:t>Prescribing information (including Authority Application forms and other relevant documentation as applicable) is available on the Services Australia website at www.servicesaustralia.gov.au</w:t>
            </w:r>
          </w:p>
          <w:p w14:paraId="23061EC9" w14:textId="77777777" w:rsidR="00965730" w:rsidRPr="008E6588" w:rsidRDefault="00965730" w:rsidP="00965730">
            <w:pPr>
              <w:keepLines/>
              <w:jc w:val="left"/>
              <w:rPr>
                <w:rFonts w:ascii="Arial Narrow" w:hAnsi="Arial Narrow" w:cs="Arial"/>
                <w:sz w:val="20"/>
                <w:szCs w:val="20"/>
              </w:rPr>
            </w:pPr>
            <w:r w:rsidRPr="008E6588">
              <w:rPr>
                <w:rFonts w:ascii="Arial Narrow" w:hAnsi="Arial Narrow" w:cs="Arial"/>
                <w:sz w:val="20"/>
                <w:szCs w:val="20"/>
              </w:rPr>
              <w:t>Applications for authority to prescribe should be submitted online using the form upload facility in Health Professional Online Services (HPOS) at www.servicesaustralia.gov.au/hpos</w:t>
            </w:r>
          </w:p>
          <w:p w14:paraId="3CD7BA85" w14:textId="77777777" w:rsidR="00965730" w:rsidRPr="008E6588" w:rsidRDefault="00965730" w:rsidP="00965730">
            <w:pPr>
              <w:keepLines/>
              <w:jc w:val="left"/>
              <w:rPr>
                <w:rFonts w:ascii="Arial Narrow" w:hAnsi="Arial Narrow" w:cs="Arial"/>
                <w:sz w:val="20"/>
                <w:szCs w:val="20"/>
              </w:rPr>
            </w:pPr>
            <w:r w:rsidRPr="008E6588">
              <w:rPr>
                <w:rFonts w:ascii="Arial Narrow" w:hAnsi="Arial Narrow" w:cs="Arial"/>
                <w:sz w:val="20"/>
                <w:szCs w:val="20"/>
              </w:rPr>
              <w:t>Or mailed to:</w:t>
            </w:r>
          </w:p>
          <w:p w14:paraId="3B1B4E51" w14:textId="77777777" w:rsidR="00965730" w:rsidRPr="008E6588" w:rsidRDefault="00965730" w:rsidP="00965730">
            <w:pPr>
              <w:keepLines/>
              <w:jc w:val="left"/>
              <w:rPr>
                <w:rFonts w:ascii="Arial Narrow" w:hAnsi="Arial Narrow" w:cs="Arial"/>
                <w:sz w:val="20"/>
                <w:szCs w:val="20"/>
              </w:rPr>
            </w:pPr>
            <w:r w:rsidRPr="008E6588">
              <w:rPr>
                <w:rFonts w:ascii="Arial Narrow" w:hAnsi="Arial Narrow" w:cs="Arial"/>
                <w:sz w:val="20"/>
                <w:szCs w:val="20"/>
              </w:rPr>
              <w:t>Services Australia</w:t>
            </w:r>
          </w:p>
          <w:p w14:paraId="219856A4" w14:textId="77777777" w:rsidR="00965730" w:rsidRPr="008E6588" w:rsidRDefault="00965730" w:rsidP="00965730">
            <w:pPr>
              <w:keepLines/>
              <w:jc w:val="left"/>
              <w:rPr>
                <w:rFonts w:ascii="Arial Narrow" w:hAnsi="Arial Narrow" w:cs="Arial"/>
                <w:sz w:val="20"/>
                <w:szCs w:val="20"/>
              </w:rPr>
            </w:pPr>
            <w:r w:rsidRPr="008E6588">
              <w:rPr>
                <w:rFonts w:ascii="Arial Narrow" w:hAnsi="Arial Narrow" w:cs="Arial"/>
                <w:sz w:val="20"/>
                <w:szCs w:val="20"/>
              </w:rPr>
              <w:t>Complex Drugs</w:t>
            </w:r>
          </w:p>
          <w:p w14:paraId="6C40838E" w14:textId="77777777" w:rsidR="00965730" w:rsidRPr="008E6588" w:rsidRDefault="00965730" w:rsidP="00965730">
            <w:pPr>
              <w:keepLines/>
              <w:jc w:val="left"/>
              <w:rPr>
                <w:rFonts w:ascii="Arial Narrow" w:hAnsi="Arial Narrow" w:cs="Arial"/>
                <w:sz w:val="20"/>
                <w:szCs w:val="20"/>
              </w:rPr>
            </w:pPr>
            <w:r w:rsidRPr="008E6588">
              <w:rPr>
                <w:rFonts w:ascii="Arial Narrow" w:hAnsi="Arial Narrow" w:cs="Arial"/>
                <w:sz w:val="20"/>
                <w:szCs w:val="20"/>
              </w:rPr>
              <w:t>Reply Paid 9826</w:t>
            </w:r>
          </w:p>
          <w:p w14:paraId="6EC20076" w14:textId="17585E60" w:rsidR="0057576E" w:rsidRPr="008E6588" w:rsidRDefault="00965730" w:rsidP="00836DB5">
            <w:pPr>
              <w:keepLines/>
              <w:jc w:val="left"/>
              <w:rPr>
                <w:rFonts w:ascii="Arial Narrow" w:hAnsi="Arial Narrow" w:cs="Arial"/>
                <w:sz w:val="20"/>
                <w:szCs w:val="20"/>
              </w:rPr>
            </w:pPr>
            <w:r w:rsidRPr="008E6588">
              <w:rPr>
                <w:rFonts w:ascii="Arial Narrow" w:hAnsi="Arial Narrow" w:cs="Arial"/>
                <w:sz w:val="20"/>
                <w:szCs w:val="20"/>
              </w:rPr>
              <w:t>HOBART TAS 7001</w:t>
            </w:r>
          </w:p>
        </w:tc>
      </w:tr>
      <w:tr w:rsidR="0037239F" w:rsidRPr="008E6588" w14:paraId="6F060E36" w14:textId="77777777" w:rsidTr="00F4072D">
        <w:tblPrEx>
          <w:tblCellMar>
            <w:top w:w="15" w:type="dxa"/>
            <w:bottom w:w="15" w:type="dxa"/>
          </w:tblCellMar>
        </w:tblPrEx>
        <w:trPr>
          <w:trHeight w:val="20"/>
        </w:trPr>
        <w:tc>
          <w:tcPr>
            <w:tcW w:w="313" w:type="pct"/>
            <w:gridSpan w:val="2"/>
            <w:vMerge/>
            <w:tcBorders>
              <w:left w:val="single" w:sz="4" w:space="0" w:color="auto"/>
              <w:right w:val="single" w:sz="4" w:space="0" w:color="auto"/>
            </w:tcBorders>
          </w:tcPr>
          <w:p w14:paraId="75CF40DD" w14:textId="77777777" w:rsidR="0037239F" w:rsidRPr="008E6588" w:rsidRDefault="0037239F" w:rsidP="00836DB5">
            <w:pPr>
              <w:jc w:val="left"/>
              <w:rPr>
                <w:rFonts w:ascii="Arial Narrow" w:hAnsi="Arial Narrow" w:cs="Arial"/>
                <w:sz w:val="20"/>
                <w:szCs w:val="20"/>
              </w:rPr>
            </w:pPr>
          </w:p>
        </w:tc>
        <w:tc>
          <w:tcPr>
            <w:tcW w:w="463" w:type="pct"/>
            <w:gridSpan w:val="2"/>
            <w:tcBorders>
              <w:left w:val="single" w:sz="4" w:space="0" w:color="auto"/>
              <w:right w:val="single" w:sz="4" w:space="0" w:color="auto"/>
            </w:tcBorders>
          </w:tcPr>
          <w:p w14:paraId="2AF84F47" w14:textId="1BF64F11" w:rsidR="0037239F" w:rsidRPr="008E6588" w:rsidRDefault="0037239F" w:rsidP="00836DB5">
            <w:pPr>
              <w:jc w:val="left"/>
              <w:outlineLvl w:val="4"/>
              <w:rPr>
                <w:rFonts w:ascii="Arial Narrow" w:hAnsi="Arial Narrow"/>
                <w:sz w:val="20"/>
                <w:szCs w:val="20"/>
              </w:rPr>
            </w:pPr>
          </w:p>
        </w:tc>
        <w:tc>
          <w:tcPr>
            <w:tcW w:w="4224" w:type="pct"/>
            <w:gridSpan w:val="6"/>
            <w:tcBorders>
              <w:top w:val="single" w:sz="4" w:space="0" w:color="auto"/>
              <w:left w:val="single" w:sz="4" w:space="0" w:color="auto"/>
              <w:bottom w:val="single" w:sz="4" w:space="0" w:color="auto"/>
              <w:right w:val="single" w:sz="4" w:space="0" w:color="auto"/>
            </w:tcBorders>
          </w:tcPr>
          <w:p w14:paraId="13062D57" w14:textId="037169F7" w:rsidR="0037239F" w:rsidRPr="008E6588" w:rsidRDefault="00CA21A5" w:rsidP="00965730">
            <w:pPr>
              <w:keepLines/>
              <w:rPr>
                <w:rFonts w:ascii="Arial Narrow" w:hAnsi="Arial Narrow" w:cs="Arial"/>
                <w:b/>
                <w:sz w:val="20"/>
                <w:szCs w:val="20"/>
              </w:rPr>
            </w:pPr>
            <w:r w:rsidRPr="008E6588">
              <w:rPr>
                <w:rFonts w:ascii="Arial Narrow" w:hAnsi="Arial Narrow"/>
                <w:b/>
                <w:bCs/>
                <w:sz w:val="20"/>
                <w:szCs w:val="20"/>
              </w:rPr>
              <w:t xml:space="preserve">Administrative Advice: </w:t>
            </w:r>
            <w:r w:rsidRPr="008E6588">
              <w:rPr>
                <w:rFonts w:ascii="Arial Narrow" w:hAnsi="Arial Narrow"/>
                <w:sz w:val="20"/>
                <w:szCs w:val="20"/>
              </w:rPr>
              <w:t>No increase in the maximum number of repeats may be authorised</w:t>
            </w:r>
            <w:r w:rsidRPr="008E6588">
              <w:rPr>
                <w:rFonts w:ascii="Arial Narrow" w:hAnsi="Arial Narrow"/>
                <w:b/>
                <w:bCs/>
                <w:sz w:val="20"/>
                <w:szCs w:val="20"/>
              </w:rPr>
              <w:t>.</w:t>
            </w:r>
          </w:p>
        </w:tc>
      </w:tr>
      <w:tr w:rsidR="004164CF" w:rsidRPr="008E6588" w14:paraId="1F47DB37" w14:textId="77777777" w:rsidTr="00F4072D">
        <w:tblPrEx>
          <w:tblCellMar>
            <w:top w:w="15" w:type="dxa"/>
            <w:bottom w:w="15" w:type="dxa"/>
          </w:tblCellMar>
          <w:tblLook w:val="04A0" w:firstRow="1" w:lastRow="0" w:firstColumn="1" w:lastColumn="0" w:noHBand="0" w:noVBand="1"/>
        </w:tblPrEx>
        <w:trPr>
          <w:gridBefore w:val="1"/>
          <w:wBefore w:w="4" w:type="pct"/>
          <w:trHeight w:val="20"/>
        </w:trPr>
        <w:tc>
          <w:tcPr>
            <w:tcW w:w="4996" w:type="pct"/>
            <w:gridSpan w:val="9"/>
            <w:tcBorders>
              <w:top w:val="single" w:sz="4" w:space="0" w:color="auto"/>
              <w:left w:val="single" w:sz="4" w:space="0" w:color="auto"/>
              <w:right w:val="single" w:sz="4" w:space="0" w:color="auto"/>
            </w:tcBorders>
            <w:vAlign w:val="center"/>
          </w:tcPr>
          <w:p w14:paraId="7F3B415F" w14:textId="6A3376CF" w:rsidR="004164CF" w:rsidRPr="008E6588" w:rsidRDefault="004164CF" w:rsidP="00836DB5">
            <w:pPr>
              <w:keepLines/>
              <w:rPr>
                <w:rFonts w:ascii="Arial Narrow" w:hAnsi="Arial Narrow" w:cs="Arial"/>
                <w:b/>
                <w:sz w:val="20"/>
                <w:szCs w:val="20"/>
              </w:rPr>
            </w:pPr>
            <w:r w:rsidRPr="008E6588">
              <w:rPr>
                <w:rFonts w:ascii="Arial Narrow" w:hAnsi="Arial Narrow"/>
                <w:b/>
                <w:sz w:val="20"/>
                <w:szCs w:val="20"/>
              </w:rPr>
              <w:t xml:space="preserve">Restriction Summary 15351/ Treatment of Concept: </w:t>
            </w:r>
            <w:proofErr w:type="gramStart"/>
            <w:r w:rsidRPr="008E6588">
              <w:rPr>
                <w:rFonts w:ascii="Arial Narrow" w:hAnsi="Arial Narrow"/>
                <w:b/>
                <w:sz w:val="20"/>
                <w:szCs w:val="20"/>
              </w:rPr>
              <w:t>15350</w:t>
            </w:r>
            <w:r w:rsidR="00F92F46" w:rsidRPr="008E6588">
              <w:rPr>
                <w:rFonts w:ascii="Arial Narrow" w:hAnsi="Arial Narrow"/>
                <w:b/>
                <w:sz w:val="20"/>
                <w:szCs w:val="20"/>
              </w:rPr>
              <w:t xml:space="preserve"> :</w:t>
            </w:r>
            <w:proofErr w:type="gramEnd"/>
            <w:r w:rsidR="00F92F46" w:rsidRPr="008E6588">
              <w:rPr>
                <w:rFonts w:ascii="Arial Narrow" w:hAnsi="Arial Narrow"/>
                <w:b/>
                <w:sz w:val="20"/>
                <w:szCs w:val="20"/>
              </w:rPr>
              <w:t xml:space="preserve"> Authority Required</w:t>
            </w:r>
          </w:p>
        </w:tc>
      </w:tr>
      <w:tr w:rsidR="004164CF" w:rsidRPr="008E6588" w14:paraId="68913728" w14:textId="77777777" w:rsidTr="00B923E6">
        <w:tblPrEx>
          <w:tblCellMar>
            <w:top w:w="15" w:type="dxa"/>
            <w:bottom w:w="15" w:type="dxa"/>
          </w:tblCellMar>
        </w:tblPrEx>
        <w:trPr>
          <w:gridBefore w:val="1"/>
          <w:wBefore w:w="4" w:type="pct"/>
          <w:cantSplit/>
          <w:trHeight w:val="20"/>
        </w:trPr>
        <w:tc>
          <w:tcPr>
            <w:tcW w:w="693" w:type="pct"/>
            <w:gridSpan w:val="2"/>
            <w:vAlign w:val="center"/>
          </w:tcPr>
          <w:p w14:paraId="1C917663" w14:textId="53440CCD" w:rsidR="004164CF" w:rsidRPr="008E6588" w:rsidRDefault="004164CF" w:rsidP="00836DB5">
            <w:pPr>
              <w:keepLines/>
              <w:jc w:val="center"/>
              <w:rPr>
                <w:rFonts w:ascii="Arial Narrow" w:hAnsi="Arial Narrow"/>
                <w:sz w:val="20"/>
                <w:szCs w:val="20"/>
              </w:rPr>
            </w:pPr>
          </w:p>
        </w:tc>
        <w:tc>
          <w:tcPr>
            <w:tcW w:w="4303" w:type="pct"/>
            <w:gridSpan w:val="7"/>
            <w:vAlign w:val="center"/>
            <w:hideMark/>
          </w:tcPr>
          <w:p w14:paraId="1377735B" w14:textId="77777777" w:rsidR="004164CF" w:rsidRPr="008E6588" w:rsidRDefault="004164CF" w:rsidP="00836DB5">
            <w:pPr>
              <w:keepLines/>
              <w:rPr>
                <w:rFonts w:ascii="Arial Narrow" w:hAnsi="Arial Narrow"/>
                <w:color w:val="333333"/>
                <w:sz w:val="20"/>
                <w:szCs w:val="20"/>
              </w:rPr>
            </w:pPr>
            <w:r w:rsidRPr="008E6588">
              <w:rPr>
                <w:rFonts w:ascii="Arial Narrow" w:hAnsi="Arial Narrow"/>
                <w:b/>
                <w:bCs/>
                <w:sz w:val="20"/>
                <w:szCs w:val="20"/>
              </w:rPr>
              <w:t>Indication:</w:t>
            </w:r>
            <w:r w:rsidRPr="008E6588">
              <w:rPr>
                <w:rFonts w:ascii="Arial Narrow" w:hAnsi="Arial Narrow"/>
                <w:sz w:val="20"/>
                <w:szCs w:val="20"/>
              </w:rPr>
              <w:t xml:space="preserve"> Uncontrolled severe allergic asthma</w:t>
            </w:r>
          </w:p>
        </w:tc>
      </w:tr>
      <w:tr w:rsidR="004164CF" w:rsidRPr="008E6588" w14:paraId="6BF3FC9F" w14:textId="77777777" w:rsidTr="00B923E6">
        <w:tblPrEx>
          <w:tblCellMar>
            <w:top w:w="15" w:type="dxa"/>
            <w:bottom w:w="15" w:type="dxa"/>
          </w:tblCellMar>
        </w:tblPrEx>
        <w:trPr>
          <w:gridBefore w:val="1"/>
          <w:wBefore w:w="4" w:type="pct"/>
          <w:cantSplit/>
          <w:trHeight w:val="20"/>
        </w:trPr>
        <w:tc>
          <w:tcPr>
            <w:tcW w:w="693" w:type="pct"/>
            <w:gridSpan w:val="2"/>
            <w:vAlign w:val="center"/>
          </w:tcPr>
          <w:p w14:paraId="25FDF637" w14:textId="77777777" w:rsidR="004164CF" w:rsidRPr="008E6588" w:rsidRDefault="004164CF" w:rsidP="00836DB5">
            <w:pPr>
              <w:jc w:val="center"/>
              <w:rPr>
                <w:rFonts w:ascii="Arial Narrow" w:hAnsi="Arial Narrow"/>
                <w:sz w:val="20"/>
                <w:szCs w:val="20"/>
              </w:rPr>
            </w:pPr>
          </w:p>
        </w:tc>
        <w:tc>
          <w:tcPr>
            <w:tcW w:w="4303" w:type="pct"/>
            <w:gridSpan w:val="7"/>
            <w:vAlign w:val="center"/>
            <w:hideMark/>
          </w:tcPr>
          <w:p w14:paraId="1ADB590D" w14:textId="77777777" w:rsidR="004164CF" w:rsidRPr="008E6588" w:rsidRDefault="004164CF" w:rsidP="00836DB5">
            <w:pPr>
              <w:rPr>
                <w:rFonts w:ascii="Arial Narrow" w:hAnsi="Arial Narrow"/>
                <w:sz w:val="20"/>
                <w:szCs w:val="20"/>
              </w:rPr>
            </w:pPr>
            <w:r w:rsidRPr="008E6588">
              <w:rPr>
                <w:rFonts w:ascii="Arial Narrow" w:hAnsi="Arial Narrow"/>
                <w:b/>
                <w:bCs/>
                <w:sz w:val="20"/>
                <w:szCs w:val="20"/>
              </w:rPr>
              <w:t>Treatment Phase:</w:t>
            </w:r>
            <w:r w:rsidRPr="008E6588">
              <w:rPr>
                <w:rFonts w:ascii="Arial Narrow" w:hAnsi="Arial Narrow"/>
                <w:sz w:val="20"/>
                <w:szCs w:val="20"/>
              </w:rPr>
              <w:t xml:space="preserve"> Initial treatment</w:t>
            </w:r>
          </w:p>
        </w:tc>
      </w:tr>
      <w:tr w:rsidR="001D1727" w:rsidRPr="008E6588" w14:paraId="52F0C4EB"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7D134" w14:textId="74ABF534" w:rsidR="001D1727" w:rsidRPr="008E6588" w:rsidRDefault="001D1727" w:rsidP="001D1727">
            <w:pPr>
              <w:jc w:val="center"/>
              <w:rPr>
                <w:rFonts w:ascii="Arial Narrow" w:hAnsi="Arial Narrow"/>
                <w:sz w:val="20"/>
                <w:szCs w:val="20"/>
              </w:rPr>
            </w:pPr>
          </w:p>
        </w:tc>
        <w:tc>
          <w:tcPr>
            <w:tcW w:w="43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B1A416" w14:textId="77777777" w:rsidR="001D1727" w:rsidRPr="008E6588" w:rsidRDefault="001D1727" w:rsidP="001D1727">
            <w:pPr>
              <w:rPr>
                <w:rFonts w:ascii="Arial Narrow" w:hAnsi="Arial Narrow"/>
                <w:b/>
                <w:bCs/>
                <w:sz w:val="20"/>
                <w:szCs w:val="20"/>
              </w:rPr>
            </w:pPr>
            <w:r w:rsidRPr="008E6588">
              <w:rPr>
                <w:rFonts w:ascii="Arial Narrow" w:hAnsi="Arial Narrow"/>
                <w:b/>
                <w:bCs/>
                <w:sz w:val="20"/>
                <w:szCs w:val="20"/>
              </w:rPr>
              <w:t>Clinical criteria:</w:t>
            </w:r>
          </w:p>
        </w:tc>
      </w:tr>
      <w:tr w:rsidR="001D1727" w:rsidRPr="008E6588" w14:paraId="03030CD0"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F5EFB" w14:textId="03EAB8D7" w:rsidR="001D1727" w:rsidRPr="008E6588" w:rsidRDefault="001D1727" w:rsidP="001D1727">
            <w:pPr>
              <w:jc w:val="center"/>
              <w:rPr>
                <w:rFonts w:ascii="Arial Narrow" w:hAnsi="Arial Narrow"/>
                <w:sz w:val="20"/>
                <w:szCs w:val="20"/>
              </w:rPr>
            </w:pPr>
          </w:p>
        </w:tc>
        <w:tc>
          <w:tcPr>
            <w:tcW w:w="43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ABCDCD" w14:textId="00DD623D" w:rsidR="001D1727" w:rsidRPr="008E6588" w:rsidRDefault="001D1727" w:rsidP="001D1727">
            <w:pPr>
              <w:rPr>
                <w:rFonts w:ascii="Arial Narrow" w:hAnsi="Arial Narrow"/>
                <w:sz w:val="20"/>
                <w:szCs w:val="20"/>
              </w:rPr>
            </w:pPr>
            <w:r w:rsidRPr="008E6588">
              <w:rPr>
                <w:rFonts w:ascii="Arial Narrow" w:hAnsi="Arial Narrow"/>
                <w:sz w:val="20"/>
                <w:szCs w:val="20"/>
              </w:rPr>
              <w:t xml:space="preserve">Patient must have a diagnosis of asthma confirmed and documented in the </w:t>
            </w:r>
            <w:r w:rsidR="00742775" w:rsidRPr="008E6588">
              <w:rPr>
                <w:rFonts w:ascii="Arial Narrow" w:hAnsi="Arial Narrow"/>
                <w:sz w:val="20"/>
                <w:szCs w:val="20"/>
              </w:rPr>
              <w:t>patient’s</w:t>
            </w:r>
            <w:r w:rsidRPr="008E6588">
              <w:rPr>
                <w:rFonts w:ascii="Arial Narrow" w:hAnsi="Arial Narrow"/>
                <w:sz w:val="20"/>
                <w:szCs w:val="20"/>
              </w:rPr>
              <w:t xml:space="preserve"> medical records by either: a (</w:t>
            </w:r>
            <w:proofErr w:type="spellStart"/>
            <w:r w:rsidRPr="008E6588">
              <w:rPr>
                <w:rFonts w:ascii="Arial Narrow" w:hAnsi="Arial Narrow"/>
                <w:sz w:val="20"/>
                <w:szCs w:val="20"/>
              </w:rPr>
              <w:t>i</w:t>
            </w:r>
            <w:proofErr w:type="spellEnd"/>
            <w:r w:rsidRPr="008E6588">
              <w:rPr>
                <w:rFonts w:ascii="Arial Narrow" w:hAnsi="Arial Narrow"/>
                <w:sz w:val="20"/>
                <w:szCs w:val="20"/>
              </w:rPr>
              <w:t>) paediatric respiratory physician, (ii) clinical immunologist, (iii) allergist, (iv) paediatrician or general physician experienced in the management of patients with severe asthma in consultation with a respiratory physician, defined by at least one of the following standard clinical features: (a) forced expiratory volume (FEV1) reversibility, (b) airway hyperresponsiveness, (c) peak expiratory flow (PEF) variability</w:t>
            </w:r>
          </w:p>
        </w:tc>
      </w:tr>
      <w:tr w:rsidR="001D1727" w:rsidRPr="008E6588" w14:paraId="1AF94F39"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F4B26" w14:textId="77777777" w:rsidR="001D1727" w:rsidRPr="008E6588" w:rsidRDefault="001D1727" w:rsidP="001D1727">
            <w:pPr>
              <w:jc w:val="center"/>
              <w:rPr>
                <w:rFonts w:ascii="Arial Narrow" w:hAnsi="Arial Narrow"/>
                <w:sz w:val="20"/>
                <w:szCs w:val="20"/>
              </w:rPr>
            </w:pPr>
          </w:p>
        </w:tc>
        <w:tc>
          <w:tcPr>
            <w:tcW w:w="43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C2C481" w14:textId="77777777" w:rsidR="001D1727" w:rsidRPr="008E6588" w:rsidRDefault="001D1727" w:rsidP="001D1727">
            <w:pPr>
              <w:rPr>
                <w:rFonts w:ascii="Arial Narrow" w:hAnsi="Arial Narrow"/>
                <w:b/>
                <w:bCs/>
                <w:sz w:val="20"/>
                <w:szCs w:val="20"/>
              </w:rPr>
            </w:pPr>
            <w:r w:rsidRPr="008E6588">
              <w:rPr>
                <w:rFonts w:ascii="Arial Narrow" w:hAnsi="Arial Narrow"/>
                <w:b/>
                <w:bCs/>
                <w:sz w:val="20"/>
                <w:szCs w:val="20"/>
              </w:rPr>
              <w:t>AND</w:t>
            </w:r>
          </w:p>
        </w:tc>
      </w:tr>
      <w:tr w:rsidR="001D1727" w:rsidRPr="008E6588" w14:paraId="23035466"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106AF" w14:textId="5EC1C7C7" w:rsidR="001D1727" w:rsidRPr="008E6588" w:rsidRDefault="001D1727" w:rsidP="001D1727">
            <w:pPr>
              <w:jc w:val="center"/>
              <w:rPr>
                <w:rFonts w:ascii="Arial Narrow" w:hAnsi="Arial Narrow"/>
                <w:sz w:val="20"/>
                <w:szCs w:val="20"/>
              </w:rPr>
            </w:pPr>
          </w:p>
        </w:tc>
        <w:tc>
          <w:tcPr>
            <w:tcW w:w="43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4A64A1" w14:textId="77777777" w:rsidR="001D1727" w:rsidRPr="008E6588" w:rsidRDefault="001D1727" w:rsidP="001D1727">
            <w:pPr>
              <w:rPr>
                <w:rFonts w:ascii="Arial Narrow" w:hAnsi="Arial Narrow"/>
                <w:b/>
                <w:bCs/>
                <w:sz w:val="20"/>
                <w:szCs w:val="20"/>
              </w:rPr>
            </w:pPr>
            <w:r w:rsidRPr="008E6588">
              <w:rPr>
                <w:rFonts w:ascii="Arial Narrow" w:hAnsi="Arial Narrow"/>
                <w:b/>
                <w:bCs/>
                <w:sz w:val="20"/>
                <w:szCs w:val="20"/>
              </w:rPr>
              <w:t>Clinical criteria:</w:t>
            </w:r>
          </w:p>
        </w:tc>
      </w:tr>
      <w:tr w:rsidR="001D1727" w:rsidRPr="008E6588" w14:paraId="24D0C3AB"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993B6" w14:textId="4B19F58F" w:rsidR="001D1727" w:rsidRPr="008E6588" w:rsidRDefault="001D1727" w:rsidP="001D1727">
            <w:pPr>
              <w:jc w:val="center"/>
              <w:rPr>
                <w:rFonts w:ascii="Arial Narrow" w:hAnsi="Arial Narrow"/>
                <w:sz w:val="20"/>
                <w:szCs w:val="20"/>
              </w:rPr>
            </w:pPr>
          </w:p>
        </w:tc>
        <w:tc>
          <w:tcPr>
            <w:tcW w:w="43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3491F9" w14:textId="5C22C477" w:rsidR="001D1727" w:rsidRPr="008E6588" w:rsidRDefault="001D1727" w:rsidP="001D1727">
            <w:pPr>
              <w:rPr>
                <w:rFonts w:ascii="Arial Narrow" w:hAnsi="Arial Narrow"/>
                <w:sz w:val="20"/>
                <w:szCs w:val="20"/>
              </w:rPr>
            </w:pPr>
            <w:r w:rsidRPr="008E6588">
              <w:rPr>
                <w:rFonts w:ascii="Arial Narrow" w:hAnsi="Arial Narrow"/>
                <w:sz w:val="20"/>
                <w:szCs w:val="20"/>
              </w:rPr>
              <w:t>Patient must have a duration of asthma of at least 1 year</w:t>
            </w:r>
          </w:p>
        </w:tc>
      </w:tr>
      <w:tr w:rsidR="001D1727" w:rsidRPr="008E6588" w14:paraId="59FEBB09"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F3229" w14:textId="77777777" w:rsidR="001D1727" w:rsidRPr="008E6588" w:rsidRDefault="001D1727" w:rsidP="001D1727">
            <w:pPr>
              <w:jc w:val="center"/>
              <w:rPr>
                <w:rFonts w:ascii="Arial Narrow" w:hAnsi="Arial Narrow"/>
                <w:sz w:val="20"/>
                <w:szCs w:val="20"/>
              </w:rPr>
            </w:pPr>
          </w:p>
        </w:tc>
        <w:tc>
          <w:tcPr>
            <w:tcW w:w="43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645432" w14:textId="77777777" w:rsidR="001D1727" w:rsidRPr="008E6588" w:rsidRDefault="001D1727" w:rsidP="001D1727">
            <w:pPr>
              <w:rPr>
                <w:rFonts w:ascii="Arial Narrow" w:hAnsi="Arial Narrow"/>
                <w:b/>
                <w:bCs/>
                <w:sz w:val="20"/>
                <w:szCs w:val="20"/>
              </w:rPr>
            </w:pPr>
            <w:r w:rsidRPr="008E6588">
              <w:rPr>
                <w:rFonts w:ascii="Arial Narrow" w:hAnsi="Arial Narrow"/>
                <w:b/>
                <w:bCs/>
                <w:sz w:val="20"/>
                <w:szCs w:val="20"/>
              </w:rPr>
              <w:t>AND</w:t>
            </w:r>
          </w:p>
        </w:tc>
      </w:tr>
      <w:tr w:rsidR="001D1727" w:rsidRPr="008E6588" w14:paraId="69B17666"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A1CF1" w14:textId="3DEE47BD" w:rsidR="001D1727" w:rsidRPr="008E6588" w:rsidRDefault="001D1727" w:rsidP="001D1727">
            <w:pPr>
              <w:jc w:val="center"/>
              <w:rPr>
                <w:rFonts w:ascii="Arial Narrow" w:hAnsi="Arial Narrow"/>
                <w:sz w:val="20"/>
                <w:szCs w:val="20"/>
              </w:rPr>
            </w:pPr>
          </w:p>
        </w:tc>
        <w:tc>
          <w:tcPr>
            <w:tcW w:w="43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1506C4" w14:textId="77777777" w:rsidR="001D1727" w:rsidRPr="008E6588" w:rsidRDefault="001D1727" w:rsidP="001D1727">
            <w:pPr>
              <w:rPr>
                <w:rFonts w:ascii="Arial Narrow" w:hAnsi="Arial Narrow"/>
                <w:b/>
                <w:bCs/>
                <w:sz w:val="20"/>
                <w:szCs w:val="20"/>
              </w:rPr>
            </w:pPr>
            <w:r w:rsidRPr="008E6588">
              <w:rPr>
                <w:rFonts w:ascii="Arial Narrow" w:hAnsi="Arial Narrow"/>
                <w:b/>
                <w:bCs/>
                <w:sz w:val="20"/>
                <w:szCs w:val="20"/>
              </w:rPr>
              <w:t>Clinical criteria:</w:t>
            </w:r>
          </w:p>
        </w:tc>
      </w:tr>
      <w:tr w:rsidR="001D1727" w:rsidRPr="008E6588" w14:paraId="15521063"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82828" w14:textId="794300DD" w:rsidR="001D1727" w:rsidRPr="008E6588" w:rsidRDefault="001D1727" w:rsidP="001D1727">
            <w:pPr>
              <w:jc w:val="center"/>
              <w:rPr>
                <w:rFonts w:ascii="Arial Narrow" w:hAnsi="Arial Narrow"/>
                <w:sz w:val="20"/>
                <w:szCs w:val="20"/>
              </w:rPr>
            </w:pPr>
          </w:p>
        </w:tc>
        <w:tc>
          <w:tcPr>
            <w:tcW w:w="43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C95F19" w14:textId="6A657887" w:rsidR="001D1727" w:rsidRPr="008E6588" w:rsidRDefault="001D1727" w:rsidP="001D1727">
            <w:pPr>
              <w:rPr>
                <w:rFonts w:ascii="Arial Narrow" w:hAnsi="Arial Narrow"/>
                <w:sz w:val="20"/>
                <w:szCs w:val="20"/>
              </w:rPr>
            </w:pPr>
            <w:r w:rsidRPr="008E6588">
              <w:rPr>
                <w:rFonts w:ascii="Arial Narrow" w:hAnsi="Arial Narrow"/>
                <w:sz w:val="20"/>
                <w:szCs w:val="20"/>
              </w:rPr>
              <w:t>Patient must have past or current evidence of atopy, documented by either: (</w:t>
            </w:r>
            <w:proofErr w:type="spellStart"/>
            <w:r w:rsidRPr="008E6588">
              <w:rPr>
                <w:rFonts w:ascii="Arial Narrow" w:hAnsi="Arial Narrow"/>
                <w:sz w:val="20"/>
                <w:szCs w:val="20"/>
              </w:rPr>
              <w:t>i</w:t>
            </w:r>
            <w:proofErr w:type="spellEnd"/>
            <w:r w:rsidRPr="008E6588">
              <w:rPr>
                <w:rFonts w:ascii="Arial Narrow" w:hAnsi="Arial Narrow"/>
                <w:sz w:val="20"/>
                <w:szCs w:val="20"/>
              </w:rPr>
              <w:t>) skin prick testing, (ii) an in vitro measure of specific IgE</w:t>
            </w:r>
          </w:p>
        </w:tc>
      </w:tr>
      <w:tr w:rsidR="001D1727" w:rsidRPr="008E6588" w14:paraId="7E33E7FB"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B5253" w14:textId="77777777" w:rsidR="001D1727" w:rsidRPr="008E6588" w:rsidRDefault="001D1727" w:rsidP="001D1727">
            <w:pPr>
              <w:jc w:val="center"/>
              <w:rPr>
                <w:rFonts w:ascii="Arial Narrow" w:hAnsi="Arial Narrow"/>
                <w:sz w:val="20"/>
                <w:szCs w:val="20"/>
              </w:rPr>
            </w:pPr>
          </w:p>
        </w:tc>
        <w:tc>
          <w:tcPr>
            <w:tcW w:w="43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A20202" w14:textId="77777777" w:rsidR="001D1727" w:rsidRPr="008E6588" w:rsidRDefault="001D1727" w:rsidP="001D1727">
            <w:pPr>
              <w:rPr>
                <w:rFonts w:ascii="Arial Narrow" w:hAnsi="Arial Narrow"/>
                <w:b/>
                <w:bCs/>
                <w:sz w:val="20"/>
                <w:szCs w:val="20"/>
              </w:rPr>
            </w:pPr>
            <w:r w:rsidRPr="008E6588">
              <w:rPr>
                <w:rFonts w:ascii="Arial Narrow" w:hAnsi="Arial Narrow"/>
                <w:b/>
                <w:bCs/>
                <w:sz w:val="20"/>
                <w:szCs w:val="20"/>
              </w:rPr>
              <w:t>AND</w:t>
            </w:r>
          </w:p>
        </w:tc>
      </w:tr>
      <w:tr w:rsidR="001D1727" w:rsidRPr="008E6588" w14:paraId="7EAACA60"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77F8C" w14:textId="1A850B02" w:rsidR="001D1727" w:rsidRPr="008E6588" w:rsidRDefault="001D1727" w:rsidP="001D1727">
            <w:pPr>
              <w:jc w:val="center"/>
              <w:rPr>
                <w:rFonts w:ascii="Arial Narrow" w:hAnsi="Arial Narrow"/>
                <w:sz w:val="20"/>
                <w:szCs w:val="20"/>
              </w:rPr>
            </w:pPr>
          </w:p>
        </w:tc>
        <w:tc>
          <w:tcPr>
            <w:tcW w:w="43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C4DEF9" w14:textId="77777777" w:rsidR="001D1727" w:rsidRPr="008E6588" w:rsidRDefault="001D1727" w:rsidP="001D1727">
            <w:pPr>
              <w:rPr>
                <w:rFonts w:ascii="Arial Narrow" w:hAnsi="Arial Narrow"/>
                <w:b/>
                <w:bCs/>
                <w:sz w:val="20"/>
                <w:szCs w:val="20"/>
              </w:rPr>
            </w:pPr>
            <w:r w:rsidRPr="008E6588">
              <w:rPr>
                <w:rFonts w:ascii="Arial Narrow" w:hAnsi="Arial Narrow"/>
                <w:b/>
                <w:bCs/>
                <w:sz w:val="20"/>
                <w:szCs w:val="20"/>
              </w:rPr>
              <w:t>Clinical criteria:</w:t>
            </w:r>
          </w:p>
        </w:tc>
      </w:tr>
      <w:tr w:rsidR="001D1727" w:rsidRPr="008E6588" w14:paraId="7C58CD02"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2AF7F" w14:textId="7D0414C7" w:rsidR="001D1727" w:rsidRPr="008E6588" w:rsidRDefault="001D1727" w:rsidP="001D1727">
            <w:pPr>
              <w:jc w:val="center"/>
              <w:rPr>
                <w:rFonts w:ascii="Arial Narrow" w:hAnsi="Arial Narrow"/>
                <w:sz w:val="20"/>
                <w:szCs w:val="20"/>
              </w:rPr>
            </w:pPr>
          </w:p>
        </w:tc>
        <w:tc>
          <w:tcPr>
            <w:tcW w:w="43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B38742" w14:textId="1DD68817" w:rsidR="001D1727" w:rsidRPr="008E6588" w:rsidRDefault="001D1727" w:rsidP="001D1727">
            <w:pPr>
              <w:rPr>
                <w:rFonts w:ascii="Arial Narrow" w:hAnsi="Arial Narrow"/>
                <w:sz w:val="20"/>
                <w:szCs w:val="20"/>
              </w:rPr>
            </w:pPr>
            <w:r w:rsidRPr="008E6588">
              <w:rPr>
                <w:rFonts w:ascii="Arial Narrow" w:hAnsi="Arial Narrow"/>
                <w:sz w:val="20"/>
                <w:szCs w:val="20"/>
              </w:rPr>
              <w:t>Patient must have total serum human immunoglobulin E of at least 30 IU/mL, measured no more than 12 months prior to the time of application</w:t>
            </w:r>
          </w:p>
        </w:tc>
      </w:tr>
      <w:tr w:rsidR="001D1727" w:rsidRPr="008E6588" w14:paraId="29C6BADB"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DC45A" w14:textId="77777777" w:rsidR="001D1727" w:rsidRPr="008E6588" w:rsidRDefault="001D1727" w:rsidP="001D1727">
            <w:pPr>
              <w:jc w:val="center"/>
              <w:rPr>
                <w:rFonts w:ascii="Arial Narrow" w:hAnsi="Arial Narrow"/>
                <w:sz w:val="20"/>
                <w:szCs w:val="20"/>
              </w:rPr>
            </w:pPr>
          </w:p>
        </w:tc>
        <w:tc>
          <w:tcPr>
            <w:tcW w:w="43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22B001" w14:textId="77777777" w:rsidR="001D1727" w:rsidRPr="008E6588" w:rsidRDefault="001D1727" w:rsidP="001D1727">
            <w:pPr>
              <w:rPr>
                <w:rFonts w:ascii="Arial Narrow" w:hAnsi="Arial Narrow"/>
                <w:b/>
                <w:bCs/>
                <w:sz w:val="20"/>
                <w:szCs w:val="20"/>
              </w:rPr>
            </w:pPr>
            <w:r w:rsidRPr="008E6588">
              <w:rPr>
                <w:rFonts w:ascii="Arial Narrow" w:hAnsi="Arial Narrow"/>
                <w:b/>
                <w:bCs/>
                <w:sz w:val="20"/>
                <w:szCs w:val="20"/>
              </w:rPr>
              <w:t>AND</w:t>
            </w:r>
          </w:p>
        </w:tc>
      </w:tr>
      <w:tr w:rsidR="001D1727" w:rsidRPr="008E6588" w14:paraId="51557C3F"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B28A4" w14:textId="209E1A52" w:rsidR="001D1727" w:rsidRPr="008E6588" w:rsidRDefault="001D1727" w:rsidP="001D1727">
            <w:pPr>
              <w:jc w:val="center"/>
              <w:rPr>
                <w:rFonts w:ascii="Arial Narrow" w:hAnsi="Arial Narrow"/>
                <w:sz w:val="20"/>
                <w:szCs w:val="20"/>
              </w:rPr>
            </w:pPr>
          </w:p>
        </w:tc>
        <w:tc>
          <w:tcPr>
            <w:tcW w:w="43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53078E" w14:textId="77777777" w:rsidR="001D1727" w:rsidRPr="008E6588" w:rsidRDefault="001D1727" w:rsidP="001D1727">
            <w:pPr>
              <w:rPr>
                <w:rFonts w:ascii="Arial Narrow" w:hAnsi="Arial Narrow"/>
                <w:b/>
                <w:bCs/>
                <w:sz w:val="20"/>
                <w:szCs w:val="20"/>
              </w:rPr>
            </w:pPr>
            <w:r w:rsidRPr="008E6588">
              <w:rPr>
                <w:rFonts w:ascii="Arial Narrow" w:hAnsi="Arial Narrow"/>
                <w:b/>
                <w:bCs/>
                <w:sz w:val="20"/>
                <w:szCs w:val="20"/>
              </w:rPr>
              <w:t>Clinical criteria:</w:t>
            </w:r>
          </w:p>
        </w:tc>
      </w:tr>
      <w:tr w:rsidR="001D1727" w:rsidRPr="008E6588" w14:paraId="4CB84F5A"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C566D" w14:textId="6C64715C" w:rsidR="001D1727" w:rsidRPr="008E6588" w:rsidRDefault="001D1727" w:rsidP="001D1727">
            <w:pPr>
              <w:jc w:val="center"/>
              <w:rPr>
                <w:rFonts w:ascii="Arial Narrow" w:hAnsi="Arial Narrow"/>
                <w:sz w:val="20"/>
                <w:szCs w:val="20"/>
              </w:rPr>
            </w:pPr>
          </w:p>
        </w:tc>
        <w:tc>
          <w:tcPr>
            <w:tcW w:w="43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DC6FC3" w14:textId="480E6F8A" w:rsidR="001D1727" w:rsidRPr="008E6588" w:rsidRDefault="001D1727" w:rsidP="001D1727">
            <w:pPr>
              <w:rPr>
                <w:rFonts w:ascii="Arial Narrow" w:hAnsi="Arial Narrow"/>
                <w:sz w:val="20"/>
                <w:szCs w:val="20"/>
              </w:rPr>
            </w:pPr>
            <w:r w:rsidRPr="008E6588">
              <w:rPr>
                <w:rFonts w:ascii="Arial Narrow" w:hAnsi="Arial Narrow"/>
                <w:sz w:val="20"/>
                <w:szCs w:val="20"/>
              </w:rPr>
              <w:t xml:space="preserve">Patient must have failed to achieve adequate control with optimised asthma therapy, despite formal assessment of and adherence to correct inhaler technique, which has been documented in the </w:t>
            </w:r>
            <w:r w:rsidR="00742775" w:rsidRPr="008E6588">
              <w:rPr>
                <w:rFonts w:ascii="Arial Narrow" w:hAnsi="Arial Narrow"/>
                <w:sz w:val="20"/>
                <w:szCs w:val="20"/>
              </w:rPr>
              <w:t>patient’s</w:t>
            </w:r>
            <w:r w:rsidRPr="008E6588">
              <w:rPr>
                <w:rFonts w:ascii="Arial Narrow" w:hAnsi="Arial Narrow"/>
                <w:sz w:val="20"/>
                <w:szCs w:val="20"/>
              </w:rPr>
              <w:t xml:space="preserve"> medical records</w:t>
            </w:r>
          </w:p>
        </w:tc>
      </w:tr>
      <w:tr w:rsidR="001D1727" w:rsidRPr="008E6588" w14:paraId="04CBCB94"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8FC6C" w14:textId="77777777" w:rsidR="001D1727" w:rsidRPr="008E6588" w:rsidRDefault="001D1727" w:rsidP="001D1727">
            <w:pPr>
              <w:jc w:val="center"/>
              <w:rPr>
                <w:rFonts w:ascii="Arial Narrow" w:hAnsi="Arial Narrow"/>
                <w:sz w:val="20"/>
                <w:szCs w:val="20"/>
              </w:rPr>
            </w:pPr>
          </w:p>
        </w:tc>
        <w:tc>
          <w:tcPr>
            <w:tcW w:w="43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889513" w14:textId="77777777" w:rsidR="001D1727" w:rsidRPr="008E6588" w:rsidRDefault="001D1727" w:rsidP="001D1727">
            <w:pPr>
              <w:rPr>
                <w:rFonts w:ascii="Arial Narrow" w:hAnsi="Arial Narrow"/>
                <w:b/>
                <w:bCs/>
                <w:sz w:val="20"/>
                <w:szCs w:val="20"/>
              </w:rPr>
            </w:pPr>
            <w:r w:rsidRPr="008E6588">
              <w:rPr>
                <w:rFonts w:ascii="Arial Narrow" w:hAnsi="Arial Narrow"/>
                <w:b/>
                <w:bCs/>
                <w:sz w:val="20"/>
                <w:szCs w:val="20"/>
              </w:rPr>
              <w:t>AND</w:t>
            </w:r>
          </w:p>
        </w:tc>
      </w:tr>
      <w:tr w:rsidR="001D1727" w:rsidRPr="008E6588" w14:paraId="31B0A836"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D9FCB" w14:textId="645DD1C1" w:rsidR="001D1727" w:rsidRPr="008E6588" w:rsidRDefault="001D1727" w:rsidP="001D1727">
            <w:pPr>
              <w:jc w:val="center"/>
              <w:rPr>
                <w:rFonts w:ascii="Arial Narrow" w:hAnsi="Arial Narrow"/>
                <w:sz w:val="20"/>
                <w:szCs w:val="20"/>
              </w:rPr>
            </w:pPr>
          </w:p>
        </w:tc>
        <w:tc>
          <w:tcPr>
            <w:tcW w:w="43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F7FCF8" w14:textId="77777777" w:rsidR="001D1727" w:rsidRPr="008E6588" w:rsidRDefault="001D1727" w:rsidP="001D1727">
            <w:pPr>
              <w:rPr>
                <w:rFonts w:ascii="Arial Narrow" w:hAnsi="Arial Narrow"/>
                <w:b/>
                <w:bCs/>
                <w:sz w:val="20"/>
                <w:szCs w:val="20"/>
              </w:rPr>
            </w:pPr>
            <w:r w:rsidRPr="008E6588">
              <w:rPr>
                <w:rFonts w:ascii="Arial Narrow" w:hAnsi="Arial Narrow"/>
                <w:b/>
                <w:bCs/>
                <w:sz w:val="20"/>
                <w:szCs w:val="20"/>
              </w:rPr>
              <w:t>Clinical criteria:</w:t>
            </w:r>
          </w:p>
        </w:tc>
      </w:tr>
      <w:tr w:rsidR="001D1727" w:rsidRPr="008E6588" w14:paraId="41A544F7"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1EB98" w14:textId="7E44B259" w:rsidR="001D1727" w:rsidRPr="008E6588" w:rsidRDefault="001D1727" w:rsidP="001D1727">
            <w:pPr>
              <w:jc w:val="center"/>
              <w:rPr>
                <w:rFonts w:ascii="Arial Narrow" w:hAnsi="Arial Narrow"/>
                <w:sz w:val="20"/>
                <w:szCs w:val="20"/>
              </w:rPr>
            </w:pPr>
          </w:p>
        </w:tc>
        <w:tc>
          <w:tcPr>
            <w:tcW w:w="43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28071A" w14:textId="3B64B440" w:rsidR="001D1727" w:rsidRPr="008E6588" w:rsidRDefault="001D1727" w:rsidP="001D1727">
            <w:pPr>
              <w:rPr>
                <w:rFonts w:ascii="Arial Narrow" w:hAnsi="Arial Narrow"/>
                <w:sz w:val="20"/>
                <w:szCs w:val="20"/>
              </w:rPr>
            </w:pPr>
            <w:r w:rsidRPr="008E6588">
              <w:rPr>
                <w:rFonts w:ascii="Arial Narrow" w:hAnsi="Arial Narrow"/>
                <w:sz w:val="20"/>
                <w:szCs w:val="20"/>
              </w:rPr>
              <w:t>Patient must not receive more than 28 weeks of treatment under this restriction</w:t>
            </w:r>
          </w:p>
        </w:tc>
      </w:tr>
      <w:tr w:rsidR="001D1727" w:rsidRPr="008E6588" w14:paraId="7C7178C7"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38D5F" w14:textId="2C7B0D59" w:rsidR="001D1727" w:rsidRPr="008E6588" w:rsidRDefault="001D1727" w:rsidP="001D1727">
            <w:pPr>
              <w:jc w:val="center"/>
              <w:rPr>
                <w:rFonts w:ascii="Arial Narrow" w:hAnsi="Arial Narrow"/>
                <w:sz w:val="20"/>
                <w:szCs w:val="20"/>
              </w:rPr>
            </w:pPr>
          </w:p>
        </w:tc>
        <w:tc>
          <w:tcPr>
            <w:tcW w:w="43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6366F4" w14:textId="77777777" w:rsidR="001D1727" w:rsidRPr="008E6588" w:rsidRDefault="001D1727" w:rsidP="001D1727">
            <w:pPr>
              <w:rPr>
                <w:rFonts w:ascii="Arial Narrow" w:hAnsi="Arial Narrow"/>
                <w:b/>
                <w:bCs/>
                <w:sz w:val="20"/>
                <w:szCs w:val="20"/>
              </w:rPr>
            </w:pPr>
            <w:r w:rsidRPr="008E6588">
              <w:rPr>
                <w:rFonts w:ascii="Arial Narrow" w:hAnsi="Arial Narrow"/>
                <w:b/>
                <w:bCs/>
                <w:sz w:val="20"/>
                <w:szCs w:val="20"/>
              </w:rPr>
              <w:t>Population criteria:</w:t>
            </w:r>
          </w:p>
        </w:tc>
      </w:tr>
      <w:tr w:rsidR="001D1727" w:rsidRPr="008E6588" w14:paraId="091CAE8F"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357D7" w14:textId="07BBE37B" w:rsidR="001D1727" w:rsidRPr="008E6588" w:rsidRDefault="001D1727" w:rsidP="001D1727">
            <w:pPr>
              <w:jc w:val="center"/>
              <w:rPr>
                <w:rFonts w:ascii="Arial Narrow" w:hAnsi="Arial Narrow"/>
                <w:sz w:val="20"/>
                <w:szCs w:val="20"/>
              </w:rPr>
            </w:pPr>
          </w:p>
        </w:tc>
        <w:tc>
          <w:tcPr>
            <w:tcW w:w="43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BD9C29" w14:textId="0DDA3C40" w:rsidR="001D1727" w:rsidRPr="008E6588" w:rsidRDefault="001D1727" w:rsidP="001D1727">
            <w:pPr>
              <w:rPr>
                <w:rFonts w:ascii="Arial Narrow" w:hAnsi="Arial Narrow"/>
                <w:sz w:val="20"/>
                <w:szCs w:val="20"/>
              </w:rPr>
            </w:pPr>
            <w:r w:rsidRPr="008E6588">
              <w:rPr>
                <w:rFonts w:ascii="Arial Narrow" w:hAnsi="Arial Narrow"/>
                <w:sz w:val="20"/>
                <w:szCs w:val="20"/>
              </w:rPr>
              <w:t>Patient must be aged 6 to less than 12 years</w:t>
            </w:r>
          </w:p>
        </w:tc>
      </w:tr>
      <w:tr w:rsidR="001D1727" w:rsidRPr="008E6588" w14:paraId="1A476B9E"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15960" w14:textId="4E12987C" w:rsidR="001D1727" w:rsidRPr="008E6588" w:rsidRDefault="001D1727" w:rsidP="001D1727">
            <w:pPr>
              <w:jc w:val="center"/>
              <w:rPr>
                <w:rFonts w:ascii="Arial Narrow" w:hAnsi="Arial Narrow"/>
                <w:sz w:val="20"/>
                <w:szCs w:val="20"/>
              </w:rPr>
            </w:pPr>
          </w:p>
        </w:tc>
        <w:tc>
          <w:tcPr>
            <w:tcW w:w="43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AE7EE9" w14:textId="77777777" w:rsidR="001D1727" w:rsidRPr="008E6588" w:rsidRDefault="001D1727" w:rsidP="001D1727">
            <w:pPr>
              <w:rPr>
                <w:rFonts w:ascii="Arial Narrow" w:hAnsi="Arial Narrow"/>
                <w:b/>
                <w:bCs/>
                <w:sz w:val="20"/>
                <w:szCs w:val="20"/>
              </w:rPr>
            </w:pPr>
            <w:r w:rsidRPr="008E6588">
              <w:rPr>
                <w:rFonts w:ascii="Arial Narrow" w:hAnsi="Arial Narrow"/>
                <w:b/>
                <w:bCs/>
                <w:sz w:val="20"/>
                <w:szCs w:val="20"/>
              </w:rPr>
              <w:t>Treatment criteria:</w:t>
            </w:r>
          </w:p>
        </w:tc>
      </w:tr>
      <w:tr w:rsidR="001D1727" w:rsidRPr="008E6588" w14:paraId="6326BC7B"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83E00" w14:textId="3A70ACBB" w:rsidR="001D1727" w:rsidRPr="008E6588" w:rsidRDefault="001D1727" w:rsidP="001D1727">
            <w:pPr>
              <w:jc w:val="center"/>
              <w:rPr>
                <w:rFonts w:ascii="Arial Narrow" w:hAnsi="Arial Narrow"/>
                <w:sz w:val="20"/>
                <w:szCs w:val="20"/>
              </w:rPr>
            </w:pPr>
          </w:p>
        </w:tc>
        <w:tc>
          <w:tcPr>
            <w:tcW w:w="43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6F6949" w14:textId="6AE0B484" w:rsidR="001D1727" w:rsidRPr="008E6588" w:rsidRDefault="001D1727" w:rsidP="001D1727">
            <w:pPr>
              <w:rPr>
                <w:rFonts w:ascii="Arial Narrow" w:hAnsi="Arial Narrow"/>
                <w:sz w:val="20"/>
                <w:szCs w:val="20"/>
              </w:rPr>
            </w:pPr>
            <w:r w:rsidRPr="008E6588">
              <w:rPr>
                <w:rFonts w:ascii="Arial Narrow" w:hAnsi="Arial Narrow"/>
                <w:sz w:val="20"/>
                <w:szCs w:val="20"/>
              </w:rPr>
              <w:t>Must be treated by a medical practitioner who is either a: (</w:t>
            </w:r>
            <w:proofErr w:type="spellStart"/>
            <w:r w:rsidRPr="008E6588">
              <w:rPr>
                <w:rFonts w:ascii="Arial Narrow" w:hAnsi="Arial Narrow"/>
                <w:sz w:val="20"/>
                <w:szCs w:val="20"/>
              </w:rPr>
              <w:t>i</w:t>
            </w:r>
            <w:proofErr w:type="spellEnd"/>
            <w:r w:rsidRPr="008E6588">
              <w:rPr>
                <w:rFonts w:ascii="Arial Narrow" w:hAnsi="Arial Narrow"/>
                <w:sz w:val="20"/>
                <w:szCs w:val="20"/>
              </w:rPr>
              <w:t>) paediatric respiratory physician, (ii) clinical immunologist, (iii) allergist, (iv) paediatrician or general physician experienced in the management of patients with severe asthma, in consultation with a respiratory physician</w:t>
            </w:r>
          </w:p>
        </w:tc>
      </w:tr>
      <w:tr w:rsidR="001D1727" w:rsidRPr="008E6588" w14:paraId="0A5B0EB9"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9A5E8" w14:textId="0F9F5A0D" w:rsidR="001D1727" w:rsidRPr="008E6588" w:rsidRDefault="001D1727" w:rsidP="001D1727">
            <w:pPr>
              <w:jc w:val="center"/>
              <w:rPr>
                <w:rFonts w:ascii="Arial Narrow" w:hAnsi="Arial Narrow"/>
                <w:sz w:val="20"/>
                <w:szCs w:val="20"/>
              </w:rPr>
            </w:pPr>
          </w:p>
        </w:tc>
        <w:tc>
          <w:tcPr>
            <w:tcW w:w="43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FE8C59" w14:textId="77777777" w:rsidR="001D1727" w:rsidRPr="008E6588" w:rsidRDefault="001D1727" w:rsidP="001D1727">
            <w:pPr>
              <w:rPr>
                <w:rFonts w:ascii="Arial Narrow" w:hAnsi="Arial Narrow"/>
                <w:b/>
                <w:bCs/>
                <w:sz w:val="20"/>
                <w:szCs w:val="20"/>
              </w:rPr>
            </w:pPr>
            <w:r w:rsidRPr="008E6588">
              <w:rPr>
                <w:rFonts w:ascii="Arial Narrow" w:hAnsi="Arial Narrow"/>
                <w:b/>
                <w:bCs/>
                <w:sz w:val="20"/>
                <w:szCs w:val="20"/>
              </w:rPr>
              <w:t>Clinical criteria:</w:t>
            </w:r>
          </w:p>
        </w:tc>
      </w:tr>
      <w:tr w:rsidR="001D1727" w:rsidRPr="008E6588" w14:paraId="33DD7F5B"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08142" w14:textId="6F4E6F93" w:rsidR="001D1727" w:rsidRPr="008E6588" w:rsidRDefault="001D1727" w:rsidP="001D1727">
            <w:pPr>
              <w:jc w:val="center"/>
              <w:rPr>
                <w:rFonts w:ascii="Arial Narrow" w:hAnsi="Arial Narrow"/>
                <w:sz w:val="20"/>
                <w:szCs w:val="20"/>
              </w:rPr>
            </w:pPr>
          </w:p>
        </w:tc>
        <w:tc>
          <w:tcPr>
            <w:tcW w:w="43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7BA7B4" w14:textId="4A6DFEEE" w:rsidR="001D1727" w:rsidRPr="008E6588" w:rsidRDefault="001D1727" w:rsidP="001D1727">
            <w:pPr>
              <w:rPr>
                <w:rFonts w:ascii="Arial Narrow" w:hAnsi="Arial Narrow"/>
                <w:sz w:val="20"/>
                <w:szCs w:val="20"/>
              </w:rPr>
            </w:pPr>
            <w:r w:rsidRPr="008E6588">
              <w:rPr>
                <w:rFonts w:ascii="Arial Narrow" w:hAnsi="Arial Narrow"/>
                <w:sz w:val="20"/>
                <w:szCs w:val="20"/>
              </w:rPr>
              <w:t>Patient must be under the care of the same physician for at least 6 months</w:t>
            </w:r>
          </w:p>
        </w:tc>
      </w:tr>
      <w:tr w:rsidR="001D1727" w:rsidRPr="008E6588" w14:paraId="63CD667F"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6B8D2A" w14:textId="2F1B45DA" w:rsidR="001D1727" w:rsidRPr="008E6588" w:rsidRDefault="001D1727" w:rsidP="001D1727">
            <w:pPr>
              <w:jc w:val="center"/>
              <w:rPr>
                <w:rFonts w:ascii="Arial Narrow" w:hAnsi="Arial Narrow"/>
                <w:sz w:val="20"/>
                <w:szCs w:val="20"/>
              </w:rPr>
            </w:pPr>
          </w:p>
        </w:tc>
        <w:tc>
          <w:tcPr>
            <w:tcW w:w="43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136C8E" w14:textId="77777777" w:rsidR="001D1727" w:rsidRPr="008E6588" w:rsidRDefault="001D1727" w:rsidP="001D1727">
            <w:pPr>
              <w:rPr>
                <w:rFonts w:ascii="Arial Narrow" w:hAnsi="Arial Narrow"/>
                <w:b/>
                <w:bCs/>
                <w:sz w:val="20"/>
                <w:szCs w:val="20"/>
              </w:rPr>
            </w:pPr>
            <w:r w:rsidRPr="008E6588">
              <w:rPr>
                <w:rFonts w:ascii="Arial Narrow" w:hAnsi="Arial Narrow"/>
                <w:b/>
                <w:bCs/>
                <w:sz w:val="20"/>
                <w:szCs w:val="20"/>
              </w:rPr>
              <w:t>Prescribing Instructions:</w:t>
            </w:r>
          </w:p>
          <w:p w14:paraId="64387DCB" w14:textId="77777777" w:rsidR="001D1727" w:rsidRPr="008E6588" w:rsidRDefault="001D1727" w:rsidP="001D1727">
            <w:pPr>
              <w:rPr>
                <w:rFonts w:ascii="Arial Narrow" w:hAnsi="Arial Narrow"/>
                <w:sz w:val="20"/>
                <w:szCs w:val="20"/>
              </w:rPr>
            </w:pPr>
            <w:r w:rsidRPr="008E6588">
              <w:rPr>
                <w:rFonts w:ascii="Arial Narrow" w:hAnsi="Arial Narrow"/>
                <w:sz w:val="20"/>
                <w:szCs w:val="20"/>
              </w:rPr>
              <w:t>Optimised asthma therapy includes:</w:t>
            </w:r>
          </w:p>
          <w:p w14:paraId="663EB866" w14:textId="77777777" w:rsidR="001D1727" w:rsidRPr="008E6588" w:rsidRDefault="001D1727" w:rsidP="001D1727">
            <w:pPr>
              <w:rPr>
                <w:rFonts w:ascii="Arial Narrow" w:hAnsi="Arial Narrow"/>
                <w:sz w:val="20"/>
                <w:szCs w:val="20"/>
              </w:rPr>
            </w:pPr>
            <w:r w:rsidRPr="008E6588">
              <w:rPr>
                <w:rFonts w:ascii="Arial Narrow" w:hAnsi="Arial Narrow"/>
                <w:sz w:val="20"/>
                <w:szCs w:val="20"/>
              </w:rPr>
              <w:t>(</w:t>
            </w:r>
            <w:proofErr w:type="spellStart"/>
            <w:r w:rsidRPr="008E6588">
              <w:rPr>
                <w:rFonts w:ascii="Arial Narrow" w:hAnsi="Arial Narrow"/>
                <w:sz w:val="20"/>
                <w:szCs w:val="20"/>
              </w:rPr>
              <w:t>i</w:t>
            </w:r>
            <w:proofErr w:type="spellEnd"/>
            <w:r w:rsidRPr="008E6588">
              <w:rPr>
                <w:rFonts w:ascii="Arial Narrow" w:hAnsi="Arial Narrow"/>
                <w:sz w:val="20"/>
                <w:szCs w:val="20"/>
              </w:rPr>
              <w:t xml:space="preserve">) Adherence to optimal inhaled therapy, including high dose inhaled corticosteroid (ICS) and long-acting beta-2 agonist (LABA) therapy for at least six months. If LABA therapy is contraindicated, not tolerated or not effective, montelukast, cromoglycate or nedocromil may be used as an </w:t>
            </w:r>
            <w:proofErr w:type="gramStart"/>
            <w:r w:rsidRPr="008E6588">
              <w:rPr>
                <w:rFonts w:ascii="Arial Narrow" w:hAnsi="Arial Narrow"/>
                <w:sz w:val="20"/>
                <w:szCs w:val="20"/>
              </w:rPr>
              <w:t>alternative;</w:t>
            </w:r>
            <w:proofErr w:type="gramEnd"/>
          </w:p>
          <w:p w14:paraId="0F35113A" w14:textId="77777777" w:rsidR="001D1727" w:rsidRPr="008E6588" w:rsidRDefault="001D1727" w:rsidP="001D1727">
            <w:pPr>
              <w:rPr>
                <w:rFonts w:ascii="Arial Narrow" w:hAnsi="Arial Narrow"/>
                <w:sz w:val="20"/>
                <w:szCs w:val="20"/>
              </w:rPr>
            </w:pPr>
            <w:r w:rsidRPr="008E6588">
              <w:rPr>
                <w:rFonts w:ascii="Arial Narrow" w:hAnsi="Arial Narrow"/>
                <w:sz w:val="20"/>
                <w:szCs w:val="20"/>
              </w:rPr>
              <w:t>AND</w:t>
            </w:r>
          </w:p>
          <w:p w14:paraId="01E28E54" w14:textId="77777777" w:rsidR="001D1727" w:rsidRPr="008E6588" w:rsidRDefault="001D1727" w:rsidP="001D1727">
            <w:pPr>
              <w:rPr>
                <w:rFonts w:ascii="Arial Narrow" w:hAnsi="Arial Narrow"/>
                <w:sz w:val="20"/>
                <w:szCs w:val="20"/>
              </w:rPr>
            </w:pPr>
            <w:r w:rsidRPr="008E6588">
              <w:rPr>
                <w:rFonts w:ascii="Arial Narrow" w:hAnsi="Arial Narrow"/>
                <w:sz w:val="20"/>
                <w:szCs w:val="20"/>
              </w:rPr>
              <w:t xml:space="preserve">(ii) treatment with at least 2 courses of oral or IV corticosteroids (daily or alternate day maintenance treatment courses, or </w:t>
            </w:r>
            <w:proofErr w:type="gramStart"/>
            <w:r w:rsidRPr="008E6588">
              <w:rPr>
                <w:rFonts w:ascii="Arial Narrow" w:hAnsi="Arial Narrow"/>
                <w:sz w:val="20"/>
                <w:szCs w:val="20"/>
              </w:rPr>
              <w:t>3-5 day</w:t>
            </w:r>
            <w:proofErr w:type="gramEnd"/>
            <w:r w:rsidRPr="008E6588">
              <w:rPr>
                <w:rFonts w:ascii="Arial Narrow" w:hAnsi="Arial Narrow"/>
                <w:sz w:val="20"/>
                <w:szCs w:val="20"/>
              </w:rPr>
              <w:t xml:space="preserve"> exacerbation treatment courses), in the previous 12 months, unless contraindicated or not tolerated.</w:t>
            </w:r>
          </w:p>
          <w:p w14:paraId="6B7ADF17" w14:textId="77777777" w:rsidR="001D1727" w:rsidRPr="008E6588" w:rsidRDefault="001D1727" w:rsidP="001D1727">
            <w:pPr>
              <w:rPr>
                <w:rFonts w:ascii="Arial Narrow" w:hAnsi="Arial Narrow"/>
                <w:b/>
                <w:bCs/>
                <w:sz w:val="20"/>
                <w:szCs w:val="20"/>
              </w:rPr>
            </w:pPr>
            <w:r w:rsidRPr="008E6588">
              <w:rPr>
                <w:rFonts w:ascii="Arial Narrow" w:hAnsi="Arial Narrow"/>
                <w:sz w:val="20"/>
                <w:szCs w:val="20"/>
              </w:rPr>
              <w:t>If the requirement for treatment with optimised asthma therapy cannot be met because of contraindications (including those specified in the relevant TGA-approved Product Information) and/or intolerances of a severity necessitating permanent treatment withdrawal, details of the contraindication and/or intolerance must be provided in the Authority application.</w:t>
            </w:r>
          </w:p>
        </w:tc>
      </w:tr>
      <w:tr w:rsidR="001D1727" w:rsidRPr="008E6588" w14:paraId="4F398A0E"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211B1" w14:textId="445381F4" w:rsidR="001D1727" w:rsidRPr="008E6588" w:rsidRDefault="001D1727" w:rsidP="001D1727">
            <w:pPr>
              <w:jc w:val="center"/>
              <w:rPr>
                <w:rFonts w:ascii="Arial Narrow" w:hAnsi="Arial Narrow"/>
                <w:sz w:val="20"/>
                <w:szCs w:val="20"/>
              </w:rPr>
            </w:pPr>
          </w:p>
        </w:tc>
        <w:tc>
          <w:tcPr>
            <w:tcW w:w="43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CDA14B" w14:textId="77777777" w:rsidR="001D1727" w:rsidRPr="008E6588" w:rsidRDefault="001D1727" w:rsidP="001D1727">
            <w:pPr>
              <w:rPr>
                <w:rFonts w:ascii="Arial Narrow" w:hAnsi="Arial Narrow"/>
                <w:b/>
                <w:bCs/>
                <w:sz w:val="20"/>
                <w:szCs w:val="20"/>
              </w:rPr>
            </w:pPr>
            <w:r w:rsidRPr="008E6588">
              <w:rPr>
                <w:rFonts w:ascii="Arial Narrow" w:hAnsi="Arial Narrow"/>
                <w:b/>
                <w:bCs/>
                <w:sz w:val="20"/>
                <w:szCs w:val="20"/>
              </w:rPr>
              <w:t>Prescribing Instructions:</w:t>
            </w:r>
          </w:p>
          <w:p w14:paraId="7BB1ACF5" w14:textId="77777777" w:rsidR="001D1727" w:rsidRPr="008E6588" w:rsidRDefault="001D1727" w:rsidP="001D1727">
            <w:pPr>
              <w:rPr>
                <w:rFonts w:ascii="Arial Narrow" w:hAnsi="Arial Narrow"/>
                <w:sz w:val="20"/>
                <w:szCs w:val="20"/>
              </w:rPr>
            </w:pPr>
            <w:r w:rsidRPr="008E6588">
              <w:rPr>
                <w:rFonts w:ascii="Arial Narrow" w:hAnsi="Arial Narrow"/>
                <w:sz w:val="20"/>
                <w:szCs w:val="20"/>
              </w:rPr>
              <w:t>The following initiation criteria indicate failure to achieve adequate control and must be demonstrated in all patients at the time of the application:</w:t>
            </w:r>
          </w:p>
          <w:p w14:paraId="6A4536BA" w14:textId="77777777" w:rsidR="001D1727" w:rsidRPr="008E6588" w:rsidRDefault="001D1727" w:rsidP="001D1727">
            <w:pPr>
              <w:rPr>
                <w:rFonts w:ascii="Arial Narrow" w:hAnsi="Arial Narrow"/>
                <w:sz w:val="20"/>
                <w:szCs w:val="20"/>
              </w:rPr>
            </w:pPr>
            <w:r w:rsidRPr="008E6588">
              <w:rPr>
                <w:rFonts w:ascii="Arial Narrow" w:hAnsi="Arial Narrow"/>
                <w:sz w:val="20"/>
                <w:szCs w:val="20"/>
              </w:rPr>
              <w:t>(a) An Asthma Control Questionnaire (ACQ-5) score of at least 2.0, as assessed in the previous month (for children aged 6 to 10 years it is recommended that the Interviewer Administered version - the ACQ-IA be used),</w:t>
            </w:r>
          </w:p>
          <w:p w14:paraId="7C5163FE" w14:textId="77777777" w:rsidR="001D1727" w:rsidRPr="008E6588" w:rsidRDefault="001D1727" w:rsidP="001D1727">
            <w:pPr>
              <w:rPr>
                <w:rFonts w:ascii="Arial Narrow" w:hAnsi="Arial Narrow"/>
                <w:sz w:val="20"/>
                <w:szCs w:val="20"/>
              </w:rPr>
            </w:pPr>
            <w:r w:rsidRPr="008E6588">
              <w:rPr>
                <w:rFonts w:ascii="Arial Narrow" w:hAnsi="Arial Narrow"/>
                <w:sz w:val="20"/>
                <w:szCs w:val="20"/>
              </w:rPr>
              <w:t>AND</w:t>
            </w:r>
          </w:p>
          <w:p w14:paraId="59761317" w14:textId="77777777" w:rsidR="001D1727" w:rsidRPr="008E6588" w:rsidRDefault="001D1727" w:rsidP="001D1727">
            <w:pPr>
              <w:rPr>
                <w:rFonts w:ascii="Arial Narrow" w:hAnsi="Arial Narrow"/>
                <w:sz w:val="20"/>
                <w:szCs w:val="20"/>
              </w:rPr>
            </w:pPr>
            <w:r w:rsidRPr="008E6588">
              <w:rPr>
                <w:rFonts w:ascii="Arial Narrow" w:hAnsi="Arial Narrow"/>
                <w:sz w:val="20"/>
                <w:szCs w:val="20"/>
              </w:rPr>
              <w:t>(b) while receiving optimised asthma therapy in the previous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21C73119" w14:textId="77777777" w:rsidR="001D1727" w:rsidRPr="008E6588" w:rsidRDefault="001D1727" w:rsidP="001D1727">
            <w:pPr>
              <w:rPr>
                <w:rFonts w:ascii="Arial Narrow" w:hAnsi="Arial Narrow"/>
                <w:sz w:val="20"/>
                <w:szCs w:val="20"/>
              </w:rPr>
            </w:pPr>
            <w:r w:rsidRPr="008E6588">
              <w:rPr>
                <w:rFonts w:ascii="Arial Narrow" w:hAnsi="Arial Narrow"/>
                <w:sz w:val="20"/>
                <w:szCs w:val="20"/>
              </w:rPr>
              <w:t>The Asthma Control Questionnaire (5 item version) or ACQ-IA assessment of the patient's response to this initial course of treatment, the assessment of oral corticosteroid dose, and the assessment of exacerbation rate should be made at around 24 weeks after the first dose so that there is adequate time for a response to be demonstrated and for the application for continuing therapy to be processed.</w:t>
            </w:r>
          </w:p>
          <w:p w14:paraId="71B35A74" w14:textId="77777777" w:rsidR="001D1727" w:rsidRPr="008E6588" w:rsidRDefault="001D1727" w:rsidP="001D1727">
            <w:pPr>
              <w:rPr>
                <w:rFonts w:ascii="Arial Narrow" w:hAnsi="Arial Narrow"/>
                <w:sz w:val="20"/>
                <w:szCs w:val="20"/>
              </w:rPr>
            </w:pPr>
            <w:r w:rsidRPr="008E6588">
              <w:rPr>
                <w:rFonts w:ascii="Arial Narrow" w:hAnsi="Arial Narrow"/>
                <w:sz w:val="20"/>
                <w:szCs w:val="20"/>
              </w:rPr>
              <w:t>This assessment, which will be used to determine eligibility for continuing treatment, should be conducted within 4 weeks of the last dose of biological medicine. Where a response assessment is not undertaken and provided, the patient will be deemed to have failed to respond to treatment with omalizumab.</w:t>
            </w:r>
          </w:p>
          <w:p w14:paraId="08A21432" w14:textId="77777777" w:rsidR="001D1727" w:rsidRPr="008E6588" w:rsidRDefault="001D1727" w:rsidP="001D1727">
            <w:pPr>
              <w:rPr>
                <w:rFonts w:ascii="Arial Narrow" w:hAnsi="Arial Narrow"/>
                <w:sz w:val="20"/>
                <w:szCs w:val="20"/>
              </w:rPr>
            </w:pPr>
            <w:r w:rsidRPr="008E6588">
              <w:rPr>
                <w:rFonts w:ascii="Arial Narrow" w:hAnsi="Arial Narrow"/>
                <w:sz w:val="20"/>
                <w:szCs w:val="20"/>
              </w:rPr>
              <w:t>A patient who fails to respond to a course of PBS-subsidised omalizumab for the treatment of uncontrolled severe allergic asthma will not be eligible to receive further PBS-subsidised treatment with omalizumab for this condition within 6 months of the date on which treatment was ceased.</w:t>
            </w:r>
          </w:p>
          <w:p w14:paraId="4CED85F9" w14:textId="77777777" w:rsidR="001D1727" w:rsidRPr="008E6588" w:rsidRDefault="001D1727" w:rsidP="001D1727">
            <w:pPr>
              <w:rPr>
                <w:rFonts w:ascii="Arial Narrow" w:hAnsi="Arial Narrow"/>
                <w:b/>
                <w:bCs/>
                <w:sz w:val="20"/>
                <w:szCs w:val="20"/>
              </w:rPr>
            </w:pPr>
            <w:r w:rsidRPr="008E6588">
              <w:rPr>
                <w:rFonts w:ascii="Arial Narrow" w:hAnsi="Arial Narrow"/>
                <w:sz w:val="20"/>
                <w:szCs w:val="20"/>
              </w:rPr>
              <w:t>At the time of the authority application, medical practitioners should request the appropriate maximum quantity and number of repeats to provide for an initial course of omalizumab of up to 28 weeks, consisting of the recommended number of doses for the baseline IgE level and body weight of the patient (refer to the TGA-approved Product Information) to be administered every 2 or 4 weeks.</w:t>
            </w:r>
          </w:p>
        </w:tc>
      </w:tr>
      <w:tr w:rsidR="001D1727" w:rsidRPr="008E6588" w14:paraId="22EECB49"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DBC2F" w14:textId="082BA2CF" w:rsidR="001D1727" w:rsidRPr="008E6588" w:rsidRDefault="001D1727" w:rsidP="001D1727">
            <w:pPr>
              <w:jc w:val="center"/>
              <w:rPr>
                <w:rFonts w:ascii="Arial Narrow" w:hAnsi="Arial Narrow"/>
                <w:sz w:val="20"/>
                <w:szCs w:val="20"/>
              </w:rPr>
            </w:pPr>
          </w:p>
        </w:tc>
        <w:tc>
          <w:tcPr>
            <w:tcW w:w="43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29072E" w14:textId="77777777" w:rsidR="001D1727" w:rsidRPr="008E6588" w:rsidRDefault="001D1727" w:rsidP="001D1727">
            <w:pPr>
              <w:rPr>
                <w:rFonts w:ascii="Arial Narrow" w:hAnsi="Arial Narrow"/>
                <w:b/>
                <w:bCs/>
                <w:sz w:val="20"/>
                <w:szCs w:val="20"/>
              </w:rPr>
            </w:pPr>
            <w:r w:rsidRPr="008E6588">
              <w:rPr>
                <w:rFonts w:ascii="Arial Narrow" w:hAnsi="Arial Narrow"/>
                <w:b/>
                <w:bCs/>
                <w:sz w:val="20"/>
                <w:szCs w:val="20"/>
              </w:rPr>
              <w:t>Prescribing Instructions:</w:t>
            </w:r>
          </w:p>
          <w:p w14:paraId="19053AB8" w14:textId="77777777" w:rsidR="001D1727" w:rsidRPr="008E6588" w:rsidRDefault="001D1727" w:rsidP="001D1727">
            <w:pPr>
              <w:rPr>
                <w:rFonts w:ascii="Arial Narrow" w:hAnsi="Arial Narrow"/>
                <w:sz w:val="20"/>
                <w:szCs w:val="20"/>
              </w:rPr>
            </w:pPr>
            <w:r w:rsidRPr="008E6588">
              <w:rPr>
                <w:rFonts w:ascii="Arial Narrow" w:hAnsi="Arial Narrow"/>
                <w:sz w:val="20"/>
                <w:szCs w:val="20"/>
              </w:rPr>
              <w:t>The authority application must be made in writing and must include:</w:t>
            </w:r>
          </w:p>
          <w:p w14:paraId="78AA517F" w14:textId="77777777" w:rsidR="001D1727" w:rsidRPr="008E6588" w:rsidRDefault="001D1727" w:rsidP="001D1727">
            <w:pPr>
              <w:rPr>
                <w:rFonts w:ascii="Arial Narrow" w:hAnsi="Arial Narrow"/>
                <w:sz w:val="20"/>
                <w:szCs w:val="20"/>
              </w:rPr>
            </w:pPr>
            <w:r w:rsidRPr="008E6588">
              <w:rPr>
                <w:rFonts w:ascii="Arial Narrow" w:hAnsi="Arial Narrow"/>
                <w:sz w:val="20"/>
                <w:szCs w:val="20"/>
              </w:rPr>
              <w:t>(1) a completed authority prescription form; and</w:t>
            </w:r>
          </w:p>
          <w:p w14:paraId="39057F3B" w14:textId="77777777" w:rsidR="001D1727" w:rsidRPr="008E6588" w:rsidRDefault="001D1727" w:rsidP="001D1727">
            <w:pPr>
              <w:rPr>
                <w:rFonts w:ascii="Arial Narrow" w:hAnsi="Arial Narrow"/>
                <w:b/>
                <w:bCs/>
                <w:sz w:val="20"/>
                <w:szCs w:val="20"/>
              </w:rPr>
            </w:pPr>
            <w:r w:rsidRPr="008E6588">
              <w:rPr>
                <w:rFonts w:ascii="Arial Narrow" w:hAnsi="Arial Narrow"/>
                <w:sz w:val="20"/>
                <w:szCs w:val="20"/>
              </w:rPr>
              <w:t>(2) a completed authority application form relevant to the indication and treatment phase (the latest version is located on the website specified in the Administrative Advice).</w:t>
            </w:r>
          </w:p>
        </w:tc>
      </w:tr>
      <w:tr w:rsidR="001D1727" w:rsidRPr="008E6588" w14:paraId="253FC02D"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9629F" w14:textId="2A73936D" w:rsidR="001D1727" w:rsidRPr="008E6588" w:rsidRDefault="001D1727" w:rsidP="001D1727">
            <w:pPr>
              <w:jc w:val="center"/>
              <w:rPr>
                <w:rFonts w:ascii="Arial Narrow" w:hAnsi="Arial Narrow"/>
                <w:sz w:val="20"/>
                <w:szCs w:val="20"/>
              </w:rPr>
            </w:pPr>
          </w:p>
        </w:tc>
        <w:tc>
          <w:tcPr>
            <w:tcW w:w="43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4942F5" w14:textId="77777777" w:rsidR="001D1727" w:rsidRPr="008E6588" w:rsidRDefault="001D1727" w:rsidP="001D1727">
            <w:pPr>
              <w:rPr>
                <w:rFonts w:ascii="Arial Narrow" w:hAnsi="Arial Narrow"/>
                <w:b/>
                <w:bCs/>
                <w:sz w:val="20"/>
                <w:szCs w:val="20"/>
              </w:rPr>
            </w:pPr>
            <w:r w:rsidRPr="008E6588">
              <w:rPr>
                <w:rFonts w:ascii="Arial Narrow" w:hAnsi="Arial Narrow"/>
                <w:b/>
                <w:bCs/>
                <w:sz w:val="20"/>
                <w:szCs w:val="20"/>
              </w:rPr>
              <w:t>Prescribing Instructions:</w:t>
            </w:r>
          </w:p>
          <w:p w14:paraId="4C9A78A3" w14:textId="77777777" w:rsidR="001D1727" w:rsidRPr="008E6588" w:rsidRDefault="001D1727" w:rsidP="001D1727">
            <w:pPr>
              <w:rPr>
                <w:rFonts w:ascii="Arial Narrow" w:hAnsi="Arial Narrow"/>
                <w:sz w:val="20"/>
                <w:szCs w:val="20"/>
              </w:rPr>
            </w:pPr>
            <w:r w:rsidRPr="008E6588">
              <w:rPr>
                <w:rFonts w:ascii="Arial Narrow" w:hAnsi="Arial Narrow"/>
                <w:sz w:val="20"/>
                <w:szCs w:val="20"/>
              </w:rPr>
              <w:t>The following must be provided at the time of application and documented in the patient's medical records:</w:t>
            </w:r>
          </w:p>
          <w:p w14:paraId="5D12D191" w14:textId="77777777" w:rsidR="001D1727" w:rsidRPr="008E6588" w:rsidRDefault="001D1727" w:rsidP="001D1727">
            <w:pPr>
              <w:rPr>
                <w:rFonts w:ascii="Arial Narrow" w:hAnsi="Arial Narrow"/>
                <w:sz w:val="20"/>
                <w:szCs w:val="20"/>
              </w:rPr>
            </w:pPr>
            <w:r w:rsidRPr="008E6588">
              <w:rPr>
                <w:rFonts w:ascii="Arial Narrow" w:hAnsi="Arial Narrow"/>
                <w:sz w:val="20"/>
                <w:szCs w:val="20"/>
              </w:rPr>
              <w:t>(a) details of prior optimised asthma drug therapy (dosage, date of commencement and duration of therapy); and</w:t>
            </w:r>
          </w:p>
          <w:p w14:paraId="35FE850A" w14:textId="77777777" w:rsidR="001D1727" w:rsidRPr="008E6588" w:rsidRDefault="001D1727" w:rsidP="001D1727">
            <w:pPr>
              <w:rPr>
                <w:rFonts w:ascii="Arial Narrow" w:hAnsi="Arial Narrow"/>
                <w:sz w:val="20"/>
                <w:szCs w:val="20"/>
              </w:rPr>
            </w:pPr>
            <w:r w:rsidRPr="008E6588">
              <w:rPr>
                <w:rFonts w:ascii="Arial Narrow" w:hAnsi="Arial Narrow"/>
                <w:sz w:val="20"/>
                <w:szCs w:val="20"/>
              </w:rPr>
              <w:t>(b) details of severe exacerbation/s experienced in the past 12 months while receiving optimised asthma therapy (date and treatment); and</w:t>
            </w:r>
          </w:p>
          <w:p w14:paraId="0042908D" w14:textId="77777777" w:rsidR="001D1727" w:rsidRPr="008E6588" w:rsidRDefault="001D1727" w:rsidP="001D1727">
            <w:pPr>
              <w:rPr>
                <w:rFonts w:ascii="Arial Narrow" w:hAnsi="Arial Narrow"/>
                <w:sz w:val="20"/>
                <w:szCs w:val="20"/>
              </w:rPr>
            </w:pPr>
            <w:r w:rsidRPr="008E6588">
              <w:rPr>
                <w:rFonts w:ascii="Arial Narrow" w:hAnsi="Arial Narrow"/>
                <w:sz w:val="20"/>
                <w:szCs w:val="20"/>
              </w:rPr>
              <w:t>(c) the IgE result and date; and</w:t>
            </w:r>
          </w:p>
          <w:p w14:paraId="14B02261" w14:textId="77777777" w:rsidR="001D1727" w:rsidRPr="008E6588" w:rsidRDefault="001D1727" w:rsidP="001D1727">
            <w:pPr>
              <w:rPr>
                <w:rFonts w:ascii="Arial Narrow" w:hAnsi="Arial Narrow"/>
                <w:sz w:val="20"/>
                <w:szCs w:val="20"/>
              </w:rPr>
            </w:pPr>
            <w:r w:rsidRPr="008E6588">
              <w:rPr>
                <w:rFonts w:ascii="Arial Narrow" w:hAnsi="Arial Narrow"/>
                <w:sz w:val="20"/>
                <w:szCs w:val="20"/>
              </w:rPr>
              <w:t>(d) Asthma Control Questionnaire (ACQ-5) score; or</w:t>
            </w:r>
          </w:p>
          <w:p w14:paraId="44239CB6" w14:textId="77777777" w:rsidR="001D1727" w:rsidRPr="008E6588" w:rsidRDefault="001D1727" w:rsidP="001D1727">
            <w:pPr>
              <w:rPr>
                <w:rFonts w:ascii="Arial Narrow" w:hAnsi="Arial Narrow"/>
                <w:b/>
                <w:bCs/>
                <w:sz w:val="20"/>
                <w:szCs w:val="20"/>
              </w:rPr>
            </w:pPr>
            <w:r w:rsidRPr="008E6588">
              <w:rPr>
                <w:rFonts w:ascii="Arial Narrow" w:hAnsi="Arial Narrow"/>
                <w:sz w:val="20"/>
                <w:szCs w:val="20"/>
              </w:rPr>
              <w:t>(e) Asthma Control Questionnaire interviewer administered version (ACQ-IA) score.</w:t>
            </w:r>
          </w:p>
        </w:tc>
      </w:tr>
      <w:tr w:rsidR="004164CF" w:rsidRPr="008E6588" w14:paraId="3BE6CF52"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vAlign w:val="center"/>
          </w:tcPr>
          <w:p w14:paraId="0A2F42BF" w14:textId="42AC5372" w:rsidR="004164CF" w:rsidRPr="008E6588" w:rsidRDefault="004164CF" w:rsidP="00836DB5">
            <w:pPr>
              <w:jc w:val="center"/>
              <w:rPr>
                <w:rFonts w:ascii="Arial Narrow" w:hAnsi="Arial Narrow"/>
                <w:iCs/>
                <w:sz w:val="20"/>
                <w:szCs w:val="20"/>
              </w:rPr>
            </w:pPr>
            <w:r w:rsidRPr="008E6588">
              <w:rPr>
                <w:rFonts w:ascii="Arial Narrow" w:hAnsi="Arial Narrow"/>
                <w:iCs/>
                <w:sz w:val="20"/>
                <w:szCs w:val="20"/>
              </w:rPr>
              <w:t>Caution</w:t>
            </w:r>
            <w:r w:rsidR="00141B80" w:rsidRPr="008E6588">
              <w:rPr>
                <w:rFonts w:ascii="Arial Narrow" w:hAnsi="Arial Narrow"/>
                <w:iCs/>
                <w:sz w:val="20"/>
                <w:szCs w:val="20"/>
                <w:vertAlign w:val="superscript"/>
              </w:rPr>
              <w:t>1</w:t>
            </w:r>
            <w:r w:rsidRPr="008E6588">
              <w:rPr>
                <w:rFonts w:ascii="Arial Narrow" w:hAnsi="Arial Narrow"/>
                <w:iCs/>
                <w:sz w:val="20"/>
                <w:szCs w:val="20"/>
              </w:rPr>
              <w:t>[New]</w:t>
            </w:r>
          </w:p>
        </w:tc>
        <w:tc>
          <w:tcPr>
            <w:tcW w:w="4303" w:type="pct"/>
            <w:gridSpan w:val="7"/>
            <w:vAlign w:val="center"/>
          </w:tcPr>
          <w:p w14:paraId="52204AEA" w14:textId="6925457B" w:rsidR="004164CF" w:rsidRPr="008E6588" w:rsidRDefault="004164CF" w:rsidP="00836DB5">
            <w:pPr>
              <w:rPr>
                <w:rFonts w:ascii="Arial Narrow" w:hAnsi="Arial Narrow"/>
                <w:iCs/>
                <w:sz w:val="20"/>
                <w:szCs w:val="20"/>
              </w:rPr>
            </w:pPr>
            <w:r w:rsidRPr="008E6588">
              <w:rPr>
                <w:rFonts w:ascii="Arial Narrow" w:hAnsi="Arial Narrow"/>
                <w:iCs/>
                <w:sz w:val="20"/>
                <w:szCs w:val="20"/>
              </w:rPr>
              <w:t>The omalizumab pen device is not intended for use in children below 12 years of age. For children below 12 years of age with uncontrolled severe allergic asthma, the omalizumab syringe is the appropriate form for this population.</w:t>
            </w:r>
            <w:r w:rsidR="00DC083F" w:rsidRPr="008E6588">
              <w:rPr>
                <w:rFonts w:ascii="Arial Narrow" w:hAnsi="Arial Narrow"/>
                <w:iCs/>
                <w:sz w:val="20"/>
                <w:szCs w:val="20"/>
              </w:rPr>
              <w:t xml:space="preserve"> </w:t>
            </w:r>
          </w:p>
        </w:tc>
      </w:tr>
      <w:tr w:rsidR="00141B80" w:rsidRPr="008E6588" w14:paraId="7A2AF90F" w14:textId="77777777" w:rsidTr="00B174FD">
        <w:tblPrEx>
          <w:tblCellMar>
            <w:top w:w="15" w:type="dxa"/>
            <w:bottom w:w="15" w:type="dxa"/>
          </w:tblCellMar>
          <w:tblLook w:val="04A0" w:firstRow="1" w:lastRow="0" w:firstColumn="1" w:lastColumn="0" w:noHBand="0" w:noVBand="1"/>
        </w:tblPrEx>
        <w:trPr>
          <w:gridBefore w:val="1"/>
          <w:wBefore w:w="4" w:type="pct"/>
          <w:cantSplit/>
          <w:trHeight w:val="20"/>
        </w:trPr>
        <w:tc>
          <w:tcPr>
            <w:tcW w:w="693" w:type="pct"/>
            <w:gridSpan w:val="2"/>
            <w:vAlign w:val="center"/>
          </w:tcPr>
          <w:p w14:paraId="19E466A0" w14:textId="01C37E85" w:rsidR="00141B80" w:rsidRPr="008E6588" w:rsidRDefault="00141B80" w:rsidP="00836DB5">
            <w:pPr>
              <w:jc w:val="center"/>
              <w:rPr>
                <w:rFonts w:ascii="Arial Narrow" w:hAnsi="Arial Narrow"/>
                <w:iCs/>
                <w:sz w:val="20"/>
                <w:szCs w:val="20"/>
              </w:rPr>
            </w:pPr>
            <w:r w:rsidRPr="008E6588">
              <w:rPr>
                <w:rFonts w:ascii="Arial Narrow" w:hAnsi="Arial Narrow"/>
                <w:iCs/>
                <w:sz w:val="20"/>
                <w:szCs w:val="20"/>
              </w:rPr>
              <w:t>Caution</w:t>
            </w:r>
            <w:r w:rsidRPr="008E6588">
              <w:rPr>
                <w:rFonts w:ascii="Arial Narrow" w:hAnsi="Arial Narrow"/>
                <w:iCs/>
                <w:sz w:val="20"/>
                <w:szCs w:val="20"/>
                <w:vertAlign w:val="superscript"/>
              </w:rPr>
              <w:t>2</w:t>
            </w:r>
            <w:r w:rsidRPr="008E6588">
              <w:rPr>
                <w:rFonts w:ascii="Arial Narrow" w:hAnsi="Arial Narrow"/>
                <w:iCs/>
                <w:sz w:val="20"/>
                <w:szCs w:val="20"/>
              </w:rPr>
              <w:t>[New]</w:t>
            </w:r>
          </w:p>
        </w:tc>
        <w:tc>
          <w:tcPr>
            <w:tcW w:w="4303" w:type="pct"/>
            <w:gridSpan w:val="7"/>
            <w:vAlign w:val="center"/>
          </w:tcPr>
          <w:p w14:paraId="6A41D23A" w14:textId="1D992165" w:rsidR="00141B80" w:rsidRPr="008E6588" w:rsidRDefault="0072088F" w:rsidP="00836DB5">
            <w:pPr>
              <w:rPr>
                <w:rFonts w:ascii="Arial Narrow" w:hAnsi="Arial Narrow"/>
                <w:iCs/>
                <w:sz w:val="20"/>
                <w:szCs w:val="20"/>
              </w:rPr>
            </w:pPr>
            <w:r w:rsidRPr="008E6588">
              <w:rPr>
                <w:rFonts w:ascii="Arial Narrow" w:hAnsi="Arial Narrow"/>
                <w:iCs/>
                <w:sz w:val="20"/>
                <w:szCs w:val="20"/>
              </w:rPr>
              <w:t>The 300mg/2mL omalizumab syringe device is not intended for use in children under 12 years of age</w:t>
            </w:r>
            <w:r w:rsidR="001A3589" w:rsidRPr="008E6588">
              <w:rPr>
                <w:rFonts w:ascii="Arial Narrow" w:hAnsi="Arial Narrow"/>
                <w:iCs/>
                <w:sz w:val="20"/>
                <w:szCs w:val="20"/>
              </w:rPr>
              <w:t xml:space="preserve"> for this indication</w:t>
            </w:r>
            <w:r w:rsidRPr="008E6588">
              <w:rPr>
                <w:rFonts w:ascii="Arial Narrow" w:hAnsi="Arial Narrow"/>
                <w:iCs/>
                <w:sz w:val="20"/>
                <w:szCs w:val="20"/>
              </w:rPr>
              <w:t>.</w:t>
            </w:r>
          </w:p>
        </w:tc>
      </w:tr>
    </w:tbl>
    <w:p w14:paraId="1A023D88" w14:textId="633B3C9F" w:rsidR="00B91BC7" w:rsidRDefault="00B91BC7" w:rsidP="004164CF">
      <w:pPr>
        <w:rPr>
          <w:rFonts w:ascii="Arial Narrow" w:hAnsi="Arial Narrow"/>
          <w:sz w:val="20"/>
          <w:szCs w:val="20"/>
        </w:rPr>
      </w:pPr>
    </w:p>
    <w:p w14:paraId="729183F0" w14:textId="77777777" w:rsidR="00B91BC7" w:rsidRDefault="00B91BC7">
      <w:pPr>
        <w:jc w:val="left"/>
        <w:rPr>
          <w:rFonts w:ascii="Arial Narrow" w:hAnsi="Arial Narrow"/>
          <w:sz w:val="20"/>
          <w:szCs w:val="20"/>
        </w:rPr>
      </w:pPr>
      <w:r>
        <w:rPr>
          <w:rFonts w:ascii="Arial Narrow" w:hAnsi="Arial Narrow"/>
          <w:sz w:val="20"/>
          <w:szCs w:val="20"/>
        </w:rPr>
        <w:br w:type="page"/>
      </w:r>
    </w:p>
    <w:p w14:paraId="1FC199A9" w14:textId="68820E29" w:rsidR="00934824" w:rsidRPr="00B91BC7" w:rsidRDefault="00934824" w:rsidP="00B91BC7">
      <w:pPr>
        <w:pStyle w:val="4-SubsectionHeading"/>
      </w:pPr>
      <w:r w:rsidRPr="00B91BC7">
        <w:lastRenderedPageBreak/>
        <w:t>Uncontrolled severe allergic asthma - Continuing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commended listing"/>
        <w:tblDescription w:val="Uncontrolled severe allergic asthma - continuing treatment &#10;omalizumab 75 mg/0.5 mL injection, 0.5 mL syringe - item code 11946R/ Public&#10;omalizumab 75 mg/0.5 mL injection, 0.5 mL syringe - item code 11952C/ Private&#10;omalizumab 150 mg/mL injection, 1 mL syringe - item code 11945Q/ Public&#10;omalizumab 150 mg/mL injection, 1 mL syringe - item code 11953D/ Private "/>
      </w:tblPr>
      <w:tblGrid>
        <w:gridCol w:w="8"/>
        <w:gridCol w:w="563"/>
        <w:gridCol w:w="698"/>
        <w:gridCol w:w="134"/>
        <w:gridCol w:w="2696"/>
        <w:gridCol w:w="1125"/>
        <w:gridCol w:w="982"/>
        <w:gridCol w:w="984"/>
        <w:gridCol w:w="840"/>
        <w:gridCol w:w="986"/>
      </w:tblGrid>
      <w:tr w:rsidR="00F4072D" w:rsidRPr="008E6588" w14:paraId="52C80E53" w14:textId="77777777" w:rsidTr="003D4AB5">
        <w:trPr>
          <w:cantSplit/>
          <w:trHeight w:val="20"/>
        </w:trPr>
        <w:tc>
          <w:tcPr>
            <w:tcW w:w="2262" w:type="pct"/>
            <w:gridSpan w:val="5"/>
            <w:tcBorders>
              <w:top w:val="single" w:sz="4" w:space="0" w:color="auto"/>
              <w:left w:val="single" w:sz="4" w:space="0" w:color="auto"/>
              <w:bottom w:val="single" w:sz="4" w:space="0" w:color="auto"/>
              <w:right w:val="single" w:sz="4" w:space="0" w:color="auto"/>
            </w:tcBorders>
            <w:vAlign w:val="center"/>
          </w:tcPr>
          <w:p w14:paraId="74CAA071" w14:textId="77777777" w:rsidR="00934824" w:rsidRPr="008E6588" w:rsidRDefault="00934824" w:rsidP="00836DB5">
            <w:pPr>
              <w:keepLines/>
              <w:rPr>
                <w:rFonts w:ascii="Arial Narrow" w:hAnsi="Arial Narrow" w:cs="Arial"/>
                <w:b/>
                <w:bCs/>
                <w:sz w:val="20"/>
                <w:szCs w:val="20"/>
              </w:rPr>
            </w:pPr>
            <w:r w:rsidRPr="008E6588">
              <w:rPr>
                <w:rFonts w:ascii="Arial Narrow" w:hAnsi="Arial Narrow" w:cs="Arial"/>
                <w:b/>
                <w:bCs/>
                <w:sz w:val="20"/>
                <w:szCs w:val="20"/>
              </w:rPr>
              <w:t>MEDICINAL PRODUCT</w:t>
            </w:r>
          </w:p>
          <w:p w14:paraId="1C7A0836" w14:textId="77777777" w:rsidR="00934824" w:rsidRPr="008E6588" w:rsidRDefault="00934824" w:rsidP="00836DB5">
            <w:pPr>
              <w:keepLines/>
              <w:rPr>
                <w:rFonts w:ascii="Arial Narrow" w:hAnsi="Arial Narrow" w:cs="Arial"/>
                <w:b/>
                <w:bCs/>
                <w:sz w:val="20"/>
                <w:szCs w:val="20"/>
              </w:rPr>
            </w:pPr>
            <w:r w:rsidRPr="008E6588">
              <w:rPr>
                <w:rFonts w:ascii="Arial Narrow" w:hAnsi="Arial Narrow" w:cs="Arial"/>
                <w:b/>
                <w:bCs/>
                <w:sz w:val="20"/>
                <w:szCs w:val="20"/>
              </w:rPr>
              <w:t>medicinal product pack</w:t>
            </w:r>
          </w:p>
        </w:tc>
        <w:tc>
          <w:tcPr>
            <w:tcW w:w="626" w:type="pct"/>
            <w:tcBorders>
              <w:top w:val="single" w:sz="4" w:space="0" w:color="auto"/>
              <w:left w:val="single" w:sz="4" w:space="0" w:color="auto"/>
              <w:bottom w:val="single" w:sz="4" w:space="0" w:color="auto"/>
              <w:right w:val="single" w:sz="4" w:space="0" w:color="auto"/>
            </w:tcBorders>
            <w:vAlign w:val="center"/>
          </w:tcPr>
          <w:p w14:paraId="1099CE85" w14:textId="77777777" w:rsidR="00934824" w:rsidRPr="008E6588" w:rsidRDefault="00934824" w:rsidP="00836DB5">
            <w:pPr>
              <w:keepLines/>
              <w:jc w:val="center"/>
              <w:rPr>
                <w:rFonts w:ascii="Arial Narrow" w:hAnsi="Arial Narrow" w:cs="Arial"/>
                <w:b/>
                <w:sz w:val="20"/>
                <w:szCs w:val="20"/>
              </w:rPr>
            </w:pPr>
            <w:r w:rsidRPr="008E6588">
              <w:rPr>
                <w:rFonts w:ascii="Arial Narrow" w:hAnsi="Arial Narrow" w:cs="Arial"/>
                <w:b/>
                <w:sz w:val="20"/>
                <w:szCs w:val="20"/>
              </w:rPr>
              <w:t>PBS item code</w:t>
            </w:r>
          </w:p>
        </w:tc>
        <w:tc>
          <w:tcPr>
            <w:tcW w:w="547" w:type="pct"/>
            <w:tcBorders>
              <w:top w:val="single" w:sz="4" w:space="0" w:color="auto"/>
              <w:left w:val="single" w:sz="4" w:space="0" w:color="auto"/>
              <w:bottom w:val="single" w:sz="4" w:space="0" w:color="auto"/>
              <w:right w:val="single" w:sz="4" w:space="0" w:color="auto"/>
            </w:tcBorders>
            <w:vAlign w:val="center"/>
          </w:tcPr>
          <w:p w14:paraId="7794820E" w14:textId="77777777" w:rsidR="00934824" w:rsidRPr="008E6588" w:rsidRDefault="00934824" w:rsidP="00836DB5">
            <w:pPr>
              <w:keepLines/>
              <w:jc w:val="center"/>
              <w:rPr>
                <w:rFonts w:ascii="Arial Narrow" w:hAnsi="Arial Narrow" w:cs="Arial"/>
                <w:b/>
                <w:sz w:val="20"/>
                <w:szCs w:val="20"/>
              </w:rPr>
            </w:pPr>
            <w:r w:rsidRPr="008E6588">
              <w:rPr>
                <w:rFonts w:ascii="Arial Narrow" w:hAnsi="Arial Narrow" w:cs="Arial"/>
                <w:b/>
                <w:sz w:val="20"/>
                <w:szCs w:val="20"/>
              </w:rPr>
              <w:t>Max. qty packs</w:t>
            </w:r>
          </w:p>
        </w:tc>
        <w:tc>
          <w:tcPr>
            <w:tcW w:w="548" w:type="pct"/>
            <w:tcBorders>
              <w:top w:val="single" w:sz="4" w:space="0" w:color="auto"/>
              <w:left w:val="single" w:sz="4" w:space="0" w:color="auto"/>
              <w:bottom w:val="single" w:sz="4" w:space="0" w:color="auto"/>
              <w:right w:val="single" w:sz="4" w:space="0" w:color="auto"/>
            </w:tcBorders>
            <w:vAlign w:val="center"/>
          </w:tcPr>
          <w:p w14:paraId="174E46B4" w14:textId="77777777" w:rsidR="00934824" w:rsidRPr="008E6588" w:rsidRDefault="00934824" w:rsidP="00836DB5">
            <w:pPr>
              <w:keepLines/>
              <w:jc w:val="center"/>
              <w:rPr>
                <w:rFonts w:ascii="Arial Narrow" w:hAnsi="Arial Narrow" w:cs="Arial"/>
                <w:b/>
                <w:sz w:val="20"/>
                <w:szCs w:val="20"/>
              </w:rPr>
            </w:pPr>
            <w:r w:rsidRPr="008E6588">
              <w:rPr>
                <w:rFonts w:ascii="Arial Narrow" w:hAnsi="Arial Narrow" w:cs="Arial"/>
                <w:b/>
                <w:sz w:val="20"/>
                <w:szCs w:val="20"/>
              </w:rPr>
              <w:t>Max. qty units</w:t>
            </w:r>
          </w:p>
        </w:tc>
        <w:tc>
          <w:tcPr>
            <w:tcW w:w="468" w:type="pct"/>
            <w:tcBorders>
              <w:top w:val="single" w:sz="4" w:space="0" w:color="auto"/>
              <w:left w:val="single" w:sz="4" w:space="0" w:color="auto"/>
              <w:bottom w:val="single" w:sz="4" w:space="0" w:color="auto"/>
              <w:right w:val="single" w:sz="4" w:space="0" w:color="auto"/>
            </w:tcBorders>
            <w:vAlign w:val="center"/>
          </w:tcPr>
          <w:p w14:paraId="30FB255C" w14:textId="77777777" w:rsidR="00934824" w:rsidRPr="008E6588" w:rsidRDefault="00934824" w:rsidP="00836DB5">
            <w:pPr>
              <w:keepLines/>
              <w:jc w:val="center"/>
              <w:rPr>
                <w:rFonts w:ascii="Arial Narrow" w:hAnsi="Arial Narrow" w:cs="Arial"/>
                <w:b/>
                <w:bCs/>
                <w:sz w:val="20"/>
                <w:szCs w:val="20"/>
              </w:rPr>
            </w:pPr>
            <w:proofErr w:type="gramStart"/>
            <w:r w:rsidRPr="008E6588">
              <w:rPr>
                <w:rFonts w:ascii="Arial Narrow" w:hAnsi="Arial Narrow" w:cs="Arial"/>
                <w:b/>
                <w:bCs/>
                <w:sz w:val="20"/>
                <w:szCs w:val="20"/>
              </w:rPr>
              <w:t>№.of</w:t>
            </w:r>
            <w:proofErr w:type="gramEnd"/>
          </w:p>
          <w:p w14:paraId="2DD4F637" w14:textId="77777777" w:rsidR="00934824" w:rsidRPr="008E6588" w:rsidRDefault="00934824" w:rsidP="00836DB5">
            <w:pPr>
              <w:keepLines/>
              <w:jc w:val="center"/>
              <w:rPr>
                <w:rFonts w:ascii="Arial Narrow" w:hAnsi="Arial Narrow" w:cs="Arial"/>
                <w:b/>
                <w:bCs/>
                <w:sz w:val="20"/>
                <w:szCs w:val="20"/>
              </w:rPr>
            </w:pPr>
            <w:r w:rsidRPr="008E6588">
              <w:rPr>
                <w:rFonts w:ascii="Arial Narrow" w:hAnsi="Arial Narrow" w:cs="Arial"/>
                <w:b/>
                <w:bCs/>
                <w:sz w:val="20"/>
                <w:szCs w:val="20"/>
              </w:rPr>
              <w:t>Rpts</w:t>
            </w:r>
          </w:p>
        </w:tc>
        <w:tc>
          <w:tcPr>
            <w:tcW w:w="550" w:type="pct"/>
            <w:tcBorders>
              <w:top w:val="single" w:sz="4" w:space="0" w:color="auto"/>
              <w:left w:val="single" w:sz="4" w:space="0" w:color="auto"/>
              <w:bottom w:val="single" w:sz="4" w:space="0" w:color="auto"/>
              <w:right w:val="single" w:sz="4" w:space="0" w:color="auto"/>
            </w:tcBorders>
            <w:vAlign w:val="center"/>
          </w:tcPr>
          <w:p w14:paraId="5DF673DF" w14:textId="77777777" w:rsidR="00934824" w:rsidRPr="008E6588" w:rsidRDefault="00934824" w:rsidP="00836DB5">
            <w:pPr>
              <w:keepLines/>
              <w:rPr>
                <w:rFonts w:ascii="Arial Narrow" w:hAnsi="Arial Narrow" w:cs="Arial"/>
                <w:b/>
                <w:sz w:val="20"/>
                <w:szCs w:val="20"/>
              </w:rPr>
            </w:pPr>
            <w:r w:rsidRPr="008E6588">
              <w:rPr>
                <w:rFonts w:ascii="Arial Narrow" w:hAnsi="Arial Narrow" w:cs="Arial"/>
                <w:b/>
                <w:sz w:val="20"/>
                <w:szCs w:val="20"/>
              </w:rPr>
              <w:t>Available brands</w:t>
            </w:r>
          </w:p>
        </w:tc>
      </w:tr>
      <w:tr w:rsidR="00934824" w:rsidRPr="008E6588" w14:paraId="565F736E" w14:textId="77777777" w:rsidTr="00F4072D">
        <w:trPr>
          <w:cantSplit/>
          <w:trHeight w:val="20"/>
        </w:trPr>
        <w:tc>
          <w:tcPr>
            <w:tcW w:w="5000" w:type="pct"/>
            <w:gridSpan w:val="10"/>
            <w:vAlign w:val="center"/>
          </w:tcPr>
          <w:p w14:paraId="5FDA5799" w14:textId="77777777" w:rsidR="00934824" w:rsidRPr="008E6588" w:rsidRDefault="00934824" w:rsidP="00836DB5">
            <w:pPr>
              <w:keepLines/>
              <w:rPr>
                <w:rFonts w:ascii="Arial Narrow" w:hAnsi="Arial Narrow" w:cs="Arial"/>
                <w:sz w:val="20"/>
                <w:szCs w:val="20"/>
              </w:rPr>
            </w:pPr>
            <w:r w:rsidRPr="008E6588">
              <w:rPr>
                <w:rFonts w:ascii="Arial Narrow" w:hAnsi="Arial Narrow" w:cs="Arial"/>
                <w:sz w:val="20"/>
                <w:szCs w:val="20"/>
              </w:rPr>
              <w:t>OMALIZUMAB</w:t>
            </w:r>
          </w:p>
        </w:tc>
      </w:tr>
      <w:tr w:rsidR="008F0947" w:rsidRPr="008E6588" w14:paraId="7008E9CF" w14:textId="77777777" w:rsidTr="003D4AB5">
        <w:trPr>
          <w:cantSplit/>
          <w:trHeight w:val="20"/>
        </w:trPr>
        <w:tc>
          <w:tcPr>
            <w:tcW w:w="2262" w:type="pct"/>
            <w:gridSpan w:val="5"/>
            <w:vAlign w:val="center"/>
          </w:tcPr>
          <w:p w14:paraId="26DC1D8D" w14:textId="56CC31AB" w:rsidR="00027C16" w:rsidRPr="008E6588" w:rsidRDefault="00027C16" w:rsidP="00027C16">
            <w:pPr>
              <w:keepLines/>
              <w:rPr>
                <w:rFonts w:ascii="Arial Narrow" w:hAnsi="Arial Narrow" w:cs="Arial"/>
                <w:sz w:val="20"/>
                <w:szCs w:val="20"/>
              </w:rPr>
            </w:pPr>
            <w:r w:rsidRPr="008E6588">
              <w:rPr>
                <w:rFonts w:ascii="Arial Narrow" w:hAnsi="Arial Narrow" w:cs="Arial"/>
                <w:sz w:val="20"/>
                <w:szCs w:val="20"/>
              </w:rPr>
              <w:t>omalizumab 75 mg/0.5 mL injection, 0.5 mL syringe</w:t>
            </w:r>
          </w:p>
        </w:tc>
        <w:tc>
          <w:tcPr>
            <w:tcW w:w="626" w:type="pct"/>
          </w:tcPr>
          <w:p w14:paraId="656674D9" w14:textId="24D78F13" w:rsidR="00027C16" w:rsidRPr="008E6588" w:rsidRDefault="00027C16" w:rsidP="00027C16">
            <w:pPr>
              <w:keepLines/>
              <w:jc w:val="center"/>
              <w:rPr>
                <w:rFonts w:ascii="Arial Narrow" w:hAnsi="Arial Narrow" w:cs="Arial"/>
                <w:sz w:val="20"/>
                <w:szCs w:val="20"/>
              </w:rPr>
            </w:pPr>
            <w:r w:rsidRPr="008E6588">
              <w:rPr>
                <w:rFonts w:ascii="Arial Narrow" w:hAnsi="Arial Narrow" w:cs="Arial"/>
                <w:sz w:val="20"/>
                <w:szCs w:val="20"/>
              </w:rPr>
              <w:t>11946R/ Public</w:t>
            </w:r>
          </w:p>
        </w:tc>
        <w:tc>
          <w:tcPr>
            <w:tcW w:w="547" w:type="pct"/>
          </w:tcPr>
          <w:p w14:paraId="269DA5BD" w14:textId="039A640D" w:rsidR="00027C16" w:rsidRPr="008E6588" w:rsidRDefault="00027C16" w:rsidP="00027C16">
            <w:pPr>
              <w:keepLines/>
              <w:jc w:val="center"/>
              <w:rPr>
                <w:rFonts w:ascii="Arial Narrow" w:hAnsi="Arial Narrow" w:cs="Arial"/>
                <w:sz w:val="20"/>
                <w:szCs w:val="20"/>
              </w:rPr>
            </w:pPr>
            <w:r w:rsidRPr="008E6588">
              <w:rPr>
                <w:rFonts w:ascii="Arial Narrow" w:hAnsi="Arial Narrow" w:cs="Arial"/>
                <w:sz w:val="20"/>
                <w:szCs w:val="20"/>
              </w:rPr>
              <w:t>1</w:t>
            </w:r>
          </w:p>
        </w:tc>
        <w:tc>
          <w:tcPr>
            <w:tcW w:w="548" w:type="pct"/>
          </w:tcPr>
          <w:p w14:paraId="08EC15A3" w14:textId="0542E8CB" w:rsidR="00027C16" w:rsidRPr="008E6588" w:rsidRDefault="00027C16" w:rsidP="00027C16">
            <w:pPr>
              <w:keepLines/>
              <w:jc w:val="center"/>
              <w:rPr>
                <w:rFonts w:ascii="Arial Narrow" w:hAnsi="Arial Narrow" w:cs="Arial"/>
                <w:sz w:val="20"/>
                <w:szCs w:val="20"/>
              </w:rPr>
            </w:pPr>
            <w:r w:rsidRPr="008E6588">
              <w:rPr>
                <w:rFonts w:ascii="Arial Narrow" w:hAnsi="Arial Narrow" w:cs="Arial"/>
                <w:sz w:val="20"/>
                <w:szCs w:val="20"/>
              </w:rPr>
              <w:t>1</w:t>
            </w:r>
          </w:p>
        </w:tc>
        <w:tc>
          <w:tcPr>
            <w:tcW w:w="468" w:type="pct"/>
          </w:tcPr>
          <w:p w14:paraId="6406B6C0" w14:textId="7F80037F" w:rsidR="00027C16" w:rsidRPr="008E6588" w:rsidRDefault="00027C16" w:rsidP="00027C16">
            <w:pPr>
              <w:keepLines/>
              <w:jc w:val="center"/>
              <w:rPr>
                <w:rFonts w:ascii="Arial Narrow" w:hAnsi="Arial Narrow" w:cs="Arial"/>
                <w:sz w:val="20"/>
                <w:szCs w:val="20"/>
              </w:rPr>
            </w:pPr>
            <w:r w:rsidRPr="008E6588">
              <w:rPr>
                <w:rFonts w:ascii="Arial Narrow" w:hAnsi="Arial Narrow" w:cs="Arial"/>
                <w:sz w:val="20"/>
                <w:szCs w:val="20"/>
              </w:rPr>
              <w:t>5</w:t>
            </w:r>
          </w:p>
        </w:tc>
        <w:tc>
          <w:tcPr>
            <w:tcW w:w="550" w:type="pct"/>
            <w:vMerge w:val="restart"/>
          </w:tcPr>
          <w:p w14:paraId="709DC7DA" w14:textId="77777777" w:rsidR="00027C16" w:rsidRPr="008E6588" w:rsidRDefault="00027C16" w:rsidP="00027C16">
            <w:pPr>
              <w:keepLines/>
              <w:jc w:val="center"/>
              <w:rPr>
                <w:rFonts w:ascii="Arial Narrow" w:hAnsi="Arial Narrow" w:cs="Arial"/>
                <w:sz w:val="20"/>
                <w:szCs w:val="20"/>
              </w:rPr>
            </w:pPr>
            <w:r w:rsidRPr="008E6588">
              <w:rPr>
                <w:rFonts w:ascii="Arial Narrow" w:hAnsi="Arial Narrow" w:cs="Arial"/>
                <w:sz w:val="20"/>
                <w:szCs w:val="20"/>
              </w:rPr>
              <w:t>Xolair</w:t>
            </w:r>
          </w:p>
        </w:tc>
      </w:tr>
      <w:tr w:rsidR="008F0947" w:rsidRPr="008E6588" w14:paraId="58E765C0" w14:textId="77777777" w:rsidTr="003D4AB5">
        <w:trPr>
          <w:cantSplit/>
          <w:trHeight w:val="20"/>
        </w:trPr>
        <w:tc>
          <w:tcPr>
            <w:tcW w:w="2262" w:type="pct"/>
            <w:gridSpan w:val="5"/>
            <w:vAlign w:val="center"/>
          </w:tcPr>
          <w:p w14:paraId="20FE8E88" w14:textId="104D2DE0" w:rsidR="00027C16" w:rsidRPr="008E6588" w:rsidRDefault="00027C16" w:rsidP="00027C16">
            <w:pPr>
              <w:keepLines/>
              <w:rPr>
                <w:rFonts w:ascii="Arial Narrow" w:hAnsi="Arial Narrow" w:cs="Arial"/>
                <w:sz w:val="20"/>
                <w:szCs w:val="20"/>
              </w:rPr>
            </w:pPr>
            <w:r w:rsidRPr="008E6588">
              <w:rPr>
                <w:rFonts w:ascii="Arial Narrow" w:hAnsi="Arial Narrow" w:cs="Arial"/>
                <w:sz w:val="20"/>
                <w:szCs w:val="20"/>
              </w:rPr>
              <w:t>omalizumab 75 mg/0.5 mL injection, 0.5 mL syringe</w:t>
            </w:r>
          </w:p>
        </w:tc>
        <w:tc>
          <w:tcPr>
            <w:tcW w:w="626" w:type="pct"/>
          </w:tcPr>
          <w:p w14:paraId="60AEB346" w14:textId="334181BB" w:rsidR="00027C16" w:rsidRPr="008E6588" w:rsidRDefault="00027C16" w:rsidP="00027C16">
            <w:pPr>
              <w:keepLines/>
              <w:jc w:val="center"/>
              <w:rPr>
                <w:rFonts w:ascii="Arial Narrow" w:hAnsi="Arial Narrow" w:cs="Arial"/>
                <w:sz w:val="20"/>
                <w:szCs w:val="20"/>
              </w:rPr>
            </w:pPr>
            <w:r w:rsidRPr="008E6588">
              <w:rPr>
                <w:rFonts w:ascii="Arial Narrow" w:hAnsi="Arial Narrow" w:cs="Arial"/>
                <w:sz w:val="20"/>
                <w:szCs w:val="20"/>
              </w:rPr>
              <w:t>11952C/ Private</w:t>
            </w:r>
          </w:p>
        </w:tc>
        <w:tc>
          <w:tcPr>
            <w:tcW w:w="547" w:type="pct"/>
          </w:tcPr>
          <w:p w14:paraId="2920634A" w14:textId="61396716" w:rsidR="00027C16" w:rsidRPr="008E6588" w:rsidRDefault="00027C16" w:rsidP="00027C16">
            <w:pPr>
              <w:keepLines/>
              <w:jc w:val="center"/>
              <w:rPr>
                <w:rFonts w:ascii="Arial Narrow" w:hAnsi="Arial Narrow" w:cs="Arial"/>
                <w:sz w:val="20"/>
                <w:szCs w:val="20"/>
              </w:rPr>
            </w:pPr>
            <w:r w:rsidRPr="008E6588">
              <w:rPr>
                <w:rFonts w:ascii="Arial Narrow" w:hAnsi="Arial Narrow" w:cs="Arial"/>
                <w:sz w:val="20"/>
                <w:szCs w:val="20"/>
              </w:rPr>
              <w:t>1</w:t>
            </w:r>
          </w:p>
        </w:tc>
        <w:tc>
          <w:tcPr>
            <w:tcW w:w="548" w:type="pct"/>
          </w:tcPr>
          <w:p w14:paraId="5A8DE612" w14:textId="686DECFA" w:rsidR="00027C16" w:rsidRPr="008E6588" w:rsidRDefault="00027C16" w:rsidP="00027C16">
            <w:pPr>
              <w:keepLines/>
              <w:jc w:val="center"/>
              <w:rPr>
                <w:rFonts w:ascii="Arial Narrow" w:hAnsi="Arial Narrow" w:cs="Arial"/>
                <w:sz w:val="20"/>
                <w:szCs w:val="20"/>
              </w:rPr>
            </w:pPr>
            <w:r w:rsidRPr="008E6588">
              <w:rPr>
                <w:rFonts w:ascii="Arial Narrow" w:hAnsi="Arial Narrow" w:cs="Arial"/>
                <w:sz w:val="20"/>
                <w:szCs w:val="20"/>
              </w:rPr>
              <w:t>1</w:t>
            </w:r>
          </w:p>
        </w:tc>
        <w:tc>
          <w:tcPr>
            <w:tcW w:w="468" w:type="pct"/>
          </w:tcPr>
          <w:p w14:paraId="10C038BA" w14:textId="2FDCE9CA" w:rsidR="00027C16" w:rsidRPr="008E6588" w:rsidRDefault="00027C16" w:rsidP="00027C16">
            <w:pPr>
              <w:keepLines/>
              <w:jc w:val="center"/>
              <w:rPr>
                <w:rFonts w:ascii="Arial Narrow" w:hAnsi="Arial Narrow" w:cs="Arial"/>
                <w:sz w:val="20"/>
                <w:szCs w:val="20"/>
              </w:rPr>
            </w:pPr>
            <w:r w:rsidRPr="008E6588">
              <w:rPr>
                <w:rFonts w:ascii="Arial Narrow" w:hAnsi="Arial Narrow" w:cs="Arial"/>
                <w:sz w:val="20"/>
                <w:szCs w:val="20"/>
              </w:rPr>
              <w:t>5</w:t>
            </w:r>
          </w:p>
        </w:tc>
        <w:tc>
          <w:tcPr>
            <w:tcW w:w="550" w:type="pct"/>
            <w:vMerge/>
            <w:vAlign w:val="center"/>
          </w:tcPr>
          <w:p w14:paraId="394CF889" w14:textId="77777777" w:rsidR="00027C16" w:rsidRPr="008E6588" w:rsidRDefault="00027C16" w:rsidP="00027C16">
            <w:pPr>
              <w:keepLines/>
              <w:rPr>
                <w:rFonts w:ascii="Arial Narrow" w:hAnsi="Arial Narrow" w:cs="Arial"/>
                <w:sz w:val="20"/>
                <w:szCs w:val="20"/>
              </w:rPr>
            </w:pPr>
          </w:p>
        </w:tc>
      </w:tr>
      <w:tr w:rsidR="008F0947" w:rsidRPr="008E6588" w14:paraId="2A3A4A95" w14:textId="77777777" w:rsidTr="003D4AB5">
        <w:trPr>
          <w:cantSplit/>
          <w:trHeight w:val="20"/>
        </w:trPr>
        <w:tc>
          <w:tcPr>
            <w:tcW w:w="2262" w:type="pct"/>
            <w:gridSpan w:val="5"/>
            <w:vAlign w:val="center"/>
          </w:tcPr>
          <w:p w14:paraId="4037699E" w14:textId="61D1E766" w:rsidR="00027C16" w:rsidRPr="008E6588" w:rsidRDefault="00027C16" w:rsidP="00027C16">
            <w:pPr>
              <w:keepLines/>
              <w:rPr>
                <w:rFonts w:ascii="Arial Narrow" w:hAnsi="Arial Narrow" w:cs="Arial"/>
                <w:sz w:val="20"/>
                <w:szCs w:val="20"/>
              </w:rPr>
            </w:pPr>
            <w:r w:rsidRPr="008E6588">
              <w:rPr>
                <w:rFonts w:ascii="Arial Narrow" w:hAnsi="Arial Narrow" w:cs="Arial"/>
                <w:sz w:val="20"/>
                <w:szCs w:val="20"/>
              </w:rPr>
              <w:t>omalizumab 150 mg/mL injection, 1 mL syringe</w:t>
            </w:r>
          </w:p>
        </w:tc>
        <w:tc>
          <w:tcPr>
            <w:tcW w:w="626" w:type="pct"/>
            <w:vAlign w:val="center"/>
          </w:tcPr>
          <w:p w14:paraId="28DB9756" w14:textId="406DD49F" w:rsidR="00027C16" w:rsidRPr="008E6588" w:rsidRDefault="00027C16" w:rsidP="00027C16">
            <w:pPr>
              <w:keepLines/>
              <w:jc w:val="center"/>
              <w:rPr>
                <w:rFonts w:ascii="Arial Narrow" w:hAnsi="Arial Narrow" w:cs="Arial"/>
                <w:sz w:val="20"/>
                <w:szCs w:val="20"/>
              </w:rPr>
            </w:pPr>
            <w:r w:rsidRPr="008E6588">
              <w:rPr>
                <w:rFonts w:ascii="Arial Narrow" w:hAnsi="Arial Narrow" w:cs="Arial"/>
                <w:sz w:val="20"/>
                <w:szCs w:val="20"/>
              </w:rPr>
              <w:t>11945Q/ Public</w:t>
            </w:r>
          </w:p>
        </w:tc>
        <w:tc>
          <w:tcPr>
            <w:tcW w:w="547" w:type="pct"/>
          </w:tcPr>
          <w:p w14:paraId="0B4975EB" w14:textId="40BBF46E" w:rsidR="00027C16" w:rsidRPr="008E6588" w:rsidRDefault="00027C16" w:rsidP="00027C16">
            <w:pPr>
              <w:keepLines/>
              <w:jc w:val="center"/>
              <w:rPr>
                <w:rFonts w:ascii="Arial Narrow" w:hAnsi="Arial Narrow" w:cs="Arial"/>
                <w:sz w:val="20"/>
                <w:szCs w:val="20"/>
              </w:rPr>
            </w:pPr>
            <w:r w:rsidRPr="008E6588">
              <w:rPr>
                <w:rFonts w:ascii="Arial Narrow" w:hAnsi="Arial Narrow" w:cs="Arial"/>
                <w:sz w:val="20"/>
                <w:szCs w:val="20"/>
              </w:rPr>
              <w:t>1</w:t>
            </w:r>
          </w:p>
        </w:tc>
        <w:tc>
          <w:tcPr>
            <w:tcW w:w="548" w:type="pct"/>
          </w:tcPr>
          <w:p w14:paraId="1C3D6A47" w14:textId="6F3CA0C4" w:rsidR="00027C16" w:rsidRPr="008E6588" w:rsidRDefault="00027C16" w:rsidP="00027C16">
            <w:pPr>
              <w:keepLines/>
              <w:jc w:val="center"/>
              <w:rPr>
                <w:rFonts w:ascii="Arial Narrow" w:hAnsi="Arial Narrow" w:cs="Arial"/>
                <w:sz w:val="20"/>
                <w:szCs w:val="20"/>
              </w:rPr>
            </w:pPr>
            <w:r w:rsidRPr="008E6588">
              <w:rPr>
                <w:rFonts w:ascii="Arial Narrow" w:hAnsi="Arial Narrow" w:cs="Arial"/>
                <w:sz w:val="20"/>
                <w:szCs w:val="20"/>
              </w:rPr>
              <w:t>1</w:t>
            </w:r>
          </w:p>
        </w:tc>
        <w:tc>
          <w:tcPr>
            <w:tcW w:w="468" w:type="pct"/>
          </w:tcPr>
          <w:p w14:paraId="7B22D837" w14:textId="3BDBCFF6" w:rsidR="00027C16" w:rsidRPr="008E6588" w:rsidRDefault="00027C16" w:rsidP="00027C16">
            <w:pPr>
              <w:keepLines/>
              <w:jc w:val="center"/>
              <w:rPr>
                <w:rFonts w:ascii="Arial Narrow" w:hAnsi="Arial Narrow" w:cs="Arial"/>
                <w:sz w:val="20"/>
                <w:szCs w:val="20"/>
              </w:rPr>
            </w:pPr>
            <w:r w:rsidRPr="008E6588">
              <w:rPr>
                <w:rFonts w:ascii="Arial Narrow" w:hAnsi="Arial Narrow" w:cs="Arial"/>
                <w:sz w:val="20"/>
                <w:szCs w:val="20"/>
              </w:rPr>
              <w:t>5</w:t>
            </w:r>
          </w:p>
        </w:tc>
        <w:tc>
          <w:tcPr>
            <w:tcW w:w="550" w:type="pct"/>
            <w:vMerge/>
            <w:vAlign w:val="center"/>
          </w:tcPr>
          <w:p w14:paraId="02CDBF8E" w14:textId="77777777" w:rsidR="00027C16" w:rsidRPr="008E6588" w:rsidRDefault="00027C16" w:rsidP="00027C16">
            <w:pPr>
              <w:keepLines/>
              <w:rPr>
                <w:rFonts w:ascii="Arial Narrow" w:hAnsi="Arial Narrow" w:cs="Arial"/>
                <w:sz w:val="20"/>
                <w:szCs w:val="20"/>
              </w:rPr>
            </w:pPr>
          </w:p>
        </w:tc>
      </w:tr>
      <w:tr w:rsidR="008F0947" w:rsidRPr="008E6588" w14:paraId="027770FE" w14:textId="77777777" w:rsidTr="003D4AB5">
        <w:trPr>
          <w:cantSplit/>
          <w:trHeight w:val="20"/>
        </w:trPr>
        <w:tc>
          <w:tcPr>
            <w:tcW w:w="2262" w:type="pct"/>
            <w:gridSpan w:val="5"/>
            <w:vAlign w:val="center"/>
          </w:tcPr>
          <w:p w14:paraId="194BFF1D" w14:textId="13E23A02" w:rsidR="00027C16" w:rsidRPr="008E6588" w:rsidRDefault="00027C16" w:rsidP="00027C16">
            <w:pPr>
              <w:keepLines/>
              <w:rPr>
                <w:rFonts w:ascii="Arial Narrow" w:hAnsi="Arial Narrow" w:cs="Arial"/>
                <w:sz w:val="20"/>
                <w:szCs w:val="20"/>
              </w:rPr>
            </w:pPr>
            <w:r w:rsidRPr="008E6588">
              <w:rPr>
                <w:rFonts w:ascii="Arial Narrow" w:hAnsi="Arial Narrow" w:cs="Arial"/>
                <w:sz w:val="20"/>
                <w:szCs w:val="20"/>
              </w:rPr>
              <w:t>omalizumab 150 mg/mL injection, 1 mL syringe</w:t>
            </w:r>
          </w:p>
        </w:tc>
        <w:tc>
          <w:tcPr>
            <w:tcW w:w="626" w:type="pct"/>
            <w:vAlign w:val="center"/>
          </w:tcPr>
          <w:p w14:paraId="1386C2DF" w14:textId="471F0574" w:rsidR="00027C16" w:rsidRPr="008E6588" w:rsidRDefault="00027C16" w:rsidP="00027C16">
            <w:pPr>
              <w:keepLines/>
              <w:jc w:val="center"/>
              <w:rPr>
                <w:rFonts w:ascii="Arial Narrow" w:hAnsi="Arial Narrow" w:cs="Arial"/>
                <w:sz w:val="20"/>
                <w:szCs w:val="20"/>
              </w:rPr>
            </w:pPr>
            <w:r w:rsidRPr="008E6588">
              <w:rPr>
                <w:rFonts w:ascii="Arial Narrow" w:hAnsi="Arial Narrow" w:cs="Arial"/>
                <w:sz w:val="20"/>
                <w:szCs w:val="20"/>
              </w:rPr>
              <w:t>11953D/ Private</w:t>
            </w:r>
          </w:p>
        </w:tc>
        <w:tc>
          <w:tcPr>
            <w:tcW w:w="547" w:type="pct"/>
          </w:tcPr>
          <w:p w14:paraId="33EE957E" w14:textId="6DCA6A86" w:rsidR="00027C16" w:rsidRPr="008E6588" w:rsidRDefault="00027C16" w:rsidP="00027C16">
            <w:pPr>
              <w:keepLines/>
              <w:jc w:val="center"/>
              <w:rPr>
                <w:rFonts w:ascii="Arial Narrow" w:hAnsi="Arial Narrow" w:cs="Arial"/>
                <w:sz w:val="20"/>
                <w:szCs w:val="20"/>
              </w:rPr>
            </w:pPr>
            <w:r w:rsidRPr="008E6588">
              <w:rPr>
                <w:rFonts w:ascii="Arial Narrow" w:hAnsi="Arial Narrow" w:cs="Arial"/>
                <w:sz w:val="20"/>
                <w:szCs w:val="20"/>
              </w:rPr>
              <w:t>1</w:t>
            </w:r>
          </w:p>
        </w:tc>
        <w:tc>
          <w:tcPr>
            <w:tcW w:w="548" w:type="pct"/>
          </w:tcPr>
          <w:p w14:paraId="62E9CA41" w14:textId="145DE746" w:rsidR="00027C16" w:rsidRPr="008E6588" w:rsidRDefault="00027C16" w:rsidP="00027C16">
            <w:pPr>
              <w:keepLines/>
              <w:jc w:val="center"/>
              <w:rPr>
                <w:rFonts w:ascii="Arial Narrow" w:hAnsi="Arial Narrow" w:cs="Arial"/>
                <w:sz w:val="20"/>
                <w:szCs w:val="20"/>
              </w:rPr>
            </w:pPr>
            <w:r w:rsidRPr="008E6588">
              <w:rPr>
                <w:rFonts w:ascii="Arial Narrow" w:hAnsi="Arial Narrow" w:cs="Arial"/>
                <w:sz w:val="20"/>
                <w:szCs w:val="20"/>
              </w:rPr>
              <w:t>1</w:t>
            </w:r>
          </w:p>
        </w:tc>
        <w:tc>
          <w:tcPr>
            <w:tcW w:w="468" w:type="pct"/>
          </w:tcPr>
          <w:p w14:paraId="3E010464" w14:textId="0D3B0DE1" w:rsidR="00027C16" w:rsidRPr="008E6588" w:rsidRDefault="00027C16" w:rsidP="00027C16">
            <w:pPr>
              <w:keepLines/>
              <w:jc w:val="center"/>
              <w:rPr>
                <w:rFonts w:ascii="Arial Narrow" w:hAnsi="Arial Narrow" w:cs="Arial"/>
                <w:sz w:val="20"/>
                <w:szCs w:val="20"/>
              </w:rPr>
            </w:pPr>
            <w:r w:rsidRPr="008E6588">
              <w:rPr>
                <w:rFonts w:ascii="Arial Narrow" w:hAnsi="Arial Narrow" w:cs="Arial"/>
                <w:sz w:val="20"/>
                <w:szCs w:val="20"/>
              </w:rPr>
              <w:t>5</w:t>
            </w:r>
          </w:p>
        </w:tc>
        <w:tc>
          <w:tcPr>
            <w:tcW w:w="550" w:type="pct"/>
            <w:vMerge/>
            <w:vAlign w:val="center"/>
          </w:tcPr>
          <w:p w14:paraId="481255EE" w14:textId="77777777" w:rsidR="00027C16" w:rsidRPr="008E6588" w:rsidRDefault="00027C16" w:rsidP="00027C16">
            <w:pPr>
              <w:keepLines/>
              <w:rPr>
                <w:rFonts w:ascii="Arial Narrow" w:hAnsi="Arial Narrow" w:cs="Arial"/>
                <w:sz w:val="20"/>
                <w:szCs w:val="20"/>
              </w:rPr>
            </w:pPr>
          </w:p>
        </w:tc>
      </w:tr>
      <w:tr w:rsidR="00934824" w:rsidRPr="008E6588" w14:paraId="33B87647" w14:textId="77777777" w:rsidTr="00F4072D">
        <w:trPr>
          <w:cantSplit/>
          <w:trHeight w:val="20"/>
        </w:trPr>
        <w:tc>
          <w:tcPr>
            <w:tcW w:w="5000" w:type="pct"/>
            <w:gridSpan w:val="10"/>
            <w:vAlign w:val="center"/>
          </w:tcPr>
          <w:p w14:paraId="3B367878" w14:textId="77777777" w:rsidR="00934824" w:rsidRPr="008E6588" w:rsidRDefault="00934824" w:rsidP="00836DB5">
            <w:pPr>
              <w:keepLines/>
              <w:rPr>
                <w:rFonts w:ascii="Arial Narrow" w:hAnsi="Arial Narrow" w:cs="Arial"/>
                <w:sz w:val="20"/>
                <w:szCs w:val="20"/>
              </w:rPr>
            </w:pPr>
          </w:p>
        </w:tc>
      </w:tr>
      <w:tr w:rsidR="00934824" w:rsidRPr="008E6588" w14:paraId="5DF4C31C" w14:textId="77777777" w:rsidTr="003D4AB5">
        <w:tblPrEx>
          <w:tblCellMar>
            <w:top w:w="15" w:type="dxa"/>
            <w:bottom w:w="15" w:type="dxa"/>
          </w:tblCellMar>
          <w:tblLook w:val="04A0" w:firstRow="1" w:lastRow="0" w:firstColumn="1" w:lastColumn="0" w:noHBand="0" w:noVBand="1"/>
        </w:tblPrEx>
        <w:trPr>
          <w:trHeight w:val="300"/>
        </w:trPr>
        <w:tc>
          <w:tcPr>
            <w:tcW w:w="764" w:type="pct"/>
            <w:gridSpan w:val="4"/>
            <w:vMerge w:val="restart"/>
            <w:tcBorders>
              <w:top w:val="single" w:sz="4" w:space="0" w:color="auto"/>
              <w:left w:val="single" w:sz="4" w:space="0" w:color="auto"/>
              <w:right w:val="single" w:sz="4" w:space="0" w:color="auto"/>
            </w:tcBorders>
          </w:tcPr>
          <w:p w14:paraId="469E54BD" w14:textId="77777777" w:rsidR="00934824" w:rsidRPr="008E6588" w:rsidRDefault="00934824" w:rsidP="00836DB5">
            <w:pPr>
              <w:jc w:val="center"/>
              <w:rPr>
                <w:rFonts w:ascii="Arial Narrow" w:hAnsi="Arial Narrow" w:cs="Arial"/>
                <w:b/>
                <w:sz w:val="20"/>
                <w:szCs w:val="20"/>
              </w:rPr>
            </w:pPr>
            <w:r w:rsidRPr="008E6588">
              <w:rPr>
                <w:rFonts w:ascii="Arial Narrow" w:hAnsi="Arial Narrow" w:cs="Arial"/>
                <w:b/>
                <w:sz w:val="20"/>
                <w:szCs w:val="20"/>
              </w:rPr>
              <w:t xml:space="preserve">Concept ID </w:t>
            </w:r>
          </w:p>
          <w:p w14:paraId="4325B36C" w14:textId="77777777" w:rsidR="00934824" w:rsidRPr="008E6588" w:rsidRDefault="00934824" w:rsidP="00836DB5">
            <w:pPr>
              <w:jc w:val="center"/>
              <w:rPr>
                <w:rFonts w:ascii="Arial Narrow" w:hAnsi="Arial Narrow" w:cs="Arial"/>
                <w:b/>
                <w:sz w:val="20"/>
                <w:szCs w:val="20"/>
              </w:rPr>
            </w:pPr>
            <w:r w:rsidRPr="008E6588">
              <w:rPr>
                <w:rFonts w:ascii="Arial Narrow" w:hAnsi="Arial Narrow" w:cs="Arial"/>
                <w:sz w:val="20"/>
                <w:szCs w:val="20"/>
              </w:rPr>
              <w:t>(for internal Dept. use)</w:t>
            </w:r>
          </w:p>
        </w:tc>
        <w:tc>
          <w:tcPr>
            <w:tcW w:w="4236" w:type="pct"/>
            <w:gridSpan w:val="6"/>
            <w:tcBorders>
              <w:top w:val="single" w:sz="4" w:space="0" w:color="auto"/>
              <w:left w:val="single" w:sz="4" w:space="0" w:color="auto"/>
              <w:bottom w:val="single" w:sz="4" w:space="0" w:color="auto"/>
              <w:right w:val="single" w:sz="4" w:space="0" w:color="auto"/>
            </w:tcBorders>
            <w:vAlign w:val="center"/>
          </w:tcPr>
          <w:p w14:paraId="18610B22" w14:textId="77777777" w:rsidR="00934824" w:rsidRPr="008E6588" w:rsidRDefault="00934824" w:rsidP="00836DB5">
            <w:pPr>
              <w:keepLines/>
              <w:rPr>
                <w:rFonts w:ascii="Arial Narrow" w:hAnsi="Arial Narrow" w:cs="Arial"/>
                <w:sz w:val="20"/>
                <w:szCs w:val="20"/>
              </w:rPr>
            </w:pPr>
            <w:r w:rsidRPr="008E6588">
              <w:rPr>
                <w:rFonts w:ascii="Arial Narrow" w:hAnsi="Arial Narrow" w:cs="Arial"/>
                <w:b/>
                <w:sz w:val="20"/>
                <w:szCs w:val="20"/>
              </w:rPr>
              <w:t>Category / Program:</w:t>
            </w:r>
            <w:r w:rsidRPr="008E6588">
              <w:rPr>
                <w:rFonts w:ascii="Arial Narrow" w:hAnsi="Arial Narrow" w:cs="Arial"/>
                <w:sz w:val="20"/>
                <w:szCs w:val="20"/>
              </w:rPr>
              <w:t xml:space="preserve"> </w:t>
            </w:r>
            <w:r w:rsidRPr="008E6588">
              <w:rPr>
                <w:rFonts w:ascii="Arial Narrow" w:eastAsia="Calibri" w:hAnsi="Arial Narrow" w:cs="Arial"/>
                <w:sz w:val="20"/>
                <w:szCs w:val="20"/>
              </w:rPr>
              <w:t>Section 100 – Highly Specialised Drugs Program – Public (Code HB)</w:t>
            </w:r>
            <w:r w:rsidRPr="008E6588">
              <w:rPr>
                <w:rFonts w:ascii="Arial Narrow" w:eastAsia="Calibri" w:hAnsi="Arial Narrow" w:cs="Arial"/>
                <w:color w:val="FF0000"/>
                <w:sz w:val="20"/>
                <w:szCs w:val="20"/>
              </w:rPr>
              <w:t xml:space="preserve"> </w:t>
            </w:r>
            <w:r w:rsidRPr="008E6588">
              <w:rPr>
                <w:rFonts w:ascii="Arial Narrow" w:eastAsia="Calibri" w:hAnsi="Arial Narrow" w:cs="Arial"/>
                <w:sz w:val="20"/>
                <w:szCs w:val="20"/>
              </w:rPr>
              <w:t>/ Private (Code HS)</w:t>
            </w:r>
          </w:p>
        </w:tc>
      </w:tr>
      <w:tr w:rsidR="00934824" w:rsidRPr="008E6588" w14:paraId="33728CDB" w14:textId="77777777" w:rsidTr="003D4AB5">
        <w:tblPrEx>
          <w:tblCellMar>
            <w:top w:w="15" w:type="dxa"/>
            <w:bottom w:w="15" w:type="dxa"/>
          </w:tblCellMar>
          <w:tblLook w:val="04A0" w:firstRow="1" w:lastRow="0" w:firstColumn="1" w:lastColumn="0" w:noHBand="0" w:noVBand="1"/>
        </w:tblPrEx>
        <w:trPr>
          <w:trHeight w:val="300"/>
        </w:trPr>
        <w:tc>
          <w:tcPr>
            <w:tcW w:w="764" w:type="pct"/>
            <w:gridSpan w:val="4"/>
            <w:vMerge/>
            <w:tcBorders>
              <w:left w:val="single" w:sz="4" w:space="0" w:color="auto"/>
              <w:right w:val="single" w:sz="4" w:space="0" w:color="auto"/>
            </w:tcBorders>
          </w:tcPr>
          <w:p w14:paraId="11EDE603" w14:textId="77777777" w:rsidR="00934824" w:rsidRPr="008E6588" w:rsidRDefault="00934824" w:rsidP="00836DB5">
            <w:pPr>
              <w:rPr>
                <w:rFonts w:ascii="Arial Narrow" w:hAnsi="Arial Narrow" w:cs="Arial"/>
                <w:sz w:val="20"/>
                <w:szCs w:val="20"/>
              </w:rPr>
            </w:pPr>
          </w:p>
        </w:tc>
        <w:tc>
          <w:tcPr>
            <w:tcW w:w="4236" w:type="pct"/>
            <w:gridSpan w:val="6"/>
            <w:tcBorders>
              <w:top w:val="single" w:sz="4" w:space="0" w:color="auto"/>
              <w:left w:val="single" w:sz="4" w:space="0" w:color="auto"/>
              <w:bottom w:val="single" w:sz="4" w:space="0" w:color="auto"/>
              <w:right w:val="single" w:sz="4" w:space="0" w:color="auto"/>
            </w:tcBorders>
            <w:vAlign w:val="center"/>
          </w:tcPr>
          <w:p w14:paraId="6E9DB696" w14:textId="77777777" w:rsidR="00934824" w:rsidRPr="008E6588" w:rsidRDefault="00934824" w:rsidP="00836DB5">
            <w:pPr>
              <w:keepLines/>
              <w:rPr>
                <w:rFonts w:ascii="Arial Narrow" w:hAnsi="Arial Narrow" w:cs="Arial"/>
                <w:b/>
                <w:sz w:val="20"/>
                <w:szCs w:val="20"/>
              </w:rPr>
            </w:pPr>
            <w:r w:rsidRPr="008E6588">
              <w:rPr>
                <w:rFonts w:ascii="Arial Narrow" w:hAnsi="Arial Narrow" w:cs="Arial"/>
                <w:b/>
                <w:sz w:val="20"/>
                <w:szCs w:val="20"/>
              </w:rPr>
              <w:t xml:space="preserve">Prescriber type: </w:t>
            </w:r>
            <w:r w:rsidRPr="008E6588">
              <w:rPr>
                <w:rFonts w:ascii="Arial Narrow" w:hAnsi="Arial Narrow" w:cs="Arial"/>
                <w:sz w:val="20"/>
                <w:szCs w:val="20"/>
              </w:rPr>
              <w:fldChar w:fldCharType="begin" w:fldLock="1">
                <w:ffData>
                  <w:name w:val=""/>
                  <w:enabled/>
                  <w:calcOnExit w:val="0"/>
                  <w:checkBox>
                    <w:sizeAuto/>
                    <w:default w:val="1"/>
                  </w:checkBox>
                </w:ffData>
              </w:fldChar>
            </w:r>
            <w:r w:rsidRPr="008E6588">
              <w:rPr>
                <w:rFonts w:ascii="Arial Narrow" w:hAnsi="Arial Narrow" w:cs="Arial"/>
                <w:sz w:val="20"/>
                <w:szCs w:val="20"/>
              </w:rPr>
              <w:instrText xml:space="preserve"> FORMCHECKBOX </w:instrText>
            </w:r>
            <w:r w:rsidRPr="008E6588">
              <w:rPr>
                <w:rFonts w:ascii="Arial Narrow" w:hAnsi="Arial Narrow" w:cs="Arial"/>
                <w:sz w:val="20"/>
                <w:szCs w:val="20"/>
              </w:rPr>
            </w:r>
            <w:r w:rsidRPr="008E6588">
              <w:rPr>
                <w:rFonts w:ascii="Arial Narrow" w:hAnsi="Arial Narrow" w:cs="Arial"/>
                <w:sz w:val="20"/>
                <w:szCs w:val="20"/>
              </w:rPr>
              <w:fldChar w:fldCharType="separate"/>
            </w:r>
            <w:r w:rsidRPr="008E6588">
              <w:rPr>
                <w:rFonts w:ascii="Arial Narrow" w:hAnsi="Arial Narrow" w:cs="Arial"/>
                <w:sz w:val="20"/>
                <w:szCs w:val="20"/>
              </w:rPr>
              <w:fldChar w:fldCharType="end"/>
            </w:r>
            <w:r w:rsidRPr="008E6588">
              <w:rPr>
                <w:rFonts w:ascii="Arial Narrow" w:hAnsi="Arial Narrow" w:cs="Arial"/>
                <w:sz w:val="20"/>
                <w:szCs w:val="20"/>
              </w:rPr>
              <w:t xml:space="preserve">Medical Practitioners </w:t>
            </w:r>
          </w:p>
        </w:tc>
      </w:tr>
      <w:tr w:rsidR="00934824" w:rsidRPr="008E6588" w14:paraId="769830ED" w14:textId="77777777" w:rsidTr="003D4AB5">
        <w:tblPrEx>
          <w:tblCellMar>
            <w:top w:w="15" w:type="dxa"/>
            <w:bottom w:w="15" w:type="dxa"/>
          </w:tblCellMar>
          <w:tblLook w:val="04A0" w:firstRow="1" w:lastRow="0" w:firstColumn="1" w:lastColumn="0" w:noHBand="0" w:noVBand="1"/>
        </w:tblPrEx>
        <w:trPr>
          <w:trHeight w:val="300"/>
        </w:trPr>
        <w:tc>
          <w:tcPr>
            <w:tcW w:w="764" w:type="pct"/>
            <w:gridSpan w:val="4"/>
            <w:vMerge/>
            <w:tcBorders>
              <w:left w:val="single" w:sz="4" w:space="0" w:color="auto"/>
              <w:right w:val="single" w:sz="4" w:space="0" w:color="auto"/>
            </w:tcBorders>
          </w:tcPr>
          <w:p w14:paraId="4C928AD8" w14:textId="77777777" w:rsidR="00934824" w:rsidRPr="008E6588" w:rsidRDefault="00934824" w:rsidP="00836DB5">
            <w:pPr>
              <w:rPr>
                <w:rFonts w:ascii="Arial Narrow" w:hAnsi="Arial Narrow" w:cs="Arial"/>
                <w:sz w:val="20"/>
                <w:szCs w:val="20"/>
              </w:rPr>
            </w:pPr>
          </w:p>
        </w:tc>
        <w:tc>
          <w:tcPr>
            <w:tcW w:w="4236" w:type="pct"/>
            <w:gridSpan w:val="6"/>
            <w:tcBorders>
              <w:top w:val="single" w:sz="4" w:space="0" w:color="auto"/>
              <w:left w:val="single" w:sz="4" w:space="0" w:color="auto"/>
              <w:bottom w:val="single" w:sz="4" w:space="0" w:color="auto"/>
              <w:right w:val="single" w:sz="4" w:space="0" w:color="auto"/>
            </w:tcBorders>
            <w:vAlign w:val="center"/>
          </w:tcPr>
          <w:p w14:paraId="2CE55FC7" w14:textId="4567D46E" w:rsidR="00934824" w:rsidRPr="008E6588" w:rsidRDefault="00934824" w:rsidP="00836DB5">
            <w:pPr>
              <w:keepLines/>
              <w:rPr>
                <w:rFonts w:ascii="Arial Narrow" w:eastAsia="Calibri" w:hAnsi="Arial Narrow" w:cs="Arial"/>
                <w:color w:val="FF0000"/>
                <w:sz w:val="20"/>
                <w:szCs w:val="20"/>
              </w:rPr>
            </w:pPr>
            <w:r w:rsidRPr="008E6588">
              <w:rPr>
                <w:rFonts w:ascii="Arial Narrow" w:hAnsi="Arial Narrow" w:cs="Arial"/>
                <w:b/>
                <w:sz w:val="20"/>
                <w:szCs w:val="20"/>
              </w:rPr>
              <w:t xml:space="preserve">Restriction type: </w:t>
            </w:r>
            <w:r w:rsidRPr="008E6588">
              <w:rPr>
                <w:rFonts w:ascii="Arial Narrow" w:eastAsia="Calibri" w:hAnsi="Arial Narrow" w:cs="Arial"/>
                <w:sz w:val="20"/>
                <w:szCs w:val="20"/>
              </w:rPr>
              <w:fldChar w:fldCharType="begin" w:fldLock="1">
                <w:ffData>
                  <w:name w:val=""/>
                  <w:enabled/>
                  <w:calcOnExit w:val="0"/>
                  <w:checkBox>
                    <w:sizeAuto/>
                    <w:default w:val="1"/>
                  </w:checkBox>
                </w:ffData>
              </w:fldChar>
            </w:r>
            <w:r w:rsidRPr="008E6588">
              <w:rPr>
                <w:rFonts w:ascii="Arial Narrow" w:eastAsia="Calibri" w:hAnsi="Arial Narrow" w:cs="Arial"/>
                <w:sz w:val="20"/>
                <w:szCs w:val="20"/>
              </w:rPr>
              <w:instrText xml:space="preserve"> FORMCHECKBOX </w:instrText>
            </w:r>
            <w:r w:rsidRPr="008E6588">
              <w:rPr>
                <w:rFonts w:ascii="Arial Narrow" w:eastAsia="Calibri" w:hAnsi="Arial Narrow" w:cs="Arial"/>
                <w:sz w:val="20"/>
                <w:szCs w:val="20"/>
              </w:rPr>
            </w:r>
            <w:r w:rsidRPr="008E6588">
              <w:rPr>
                <w:rFonts w:ascii="Arial Narrow" w:eastAsia="Calibri" w:hAnsi="Arial Narrow" w:cs="Arial"/>
                <w:sz w:val="20"/>
                <w:szCs w:val="20"/>
              </w:rPr>
              <w:fldChar w:fldCharType="separate"/>
            </w:r>
            <w:r w:rsidRPr="008E6588">
              <w:rPr>
                <w:rFonts w:ascii="Arial Narrow" w:eastAsia="Calibri" w:hAnsi="Arial Narrow" w:cs="Arial"/>
                <w:sz w:val="20"/>
                <w:szCs w:val="20"/>
              </w:rPr>
              <w:fldChar w:fldCharType="end"/>
            </w:r>
            <w:r w:rsidR="002B2AAC" w:rsidRPr="008E6588">
              <w:rPr>
                <w:rFonts w:ascii="Arial Narrow" w:eastAsia="Calibri" w:hAnsi="Arial Narrow" w:cs="Arial"/>
                <w:sz w:val="20"/>
                <w:szCs w:val="20"/>
              </w:rPr>
              <w:t xml:space="preserve"> Authority Required (telephone/online PBS Authorities system)</w:t>
            </w:r>
          </w:p>
        </w:tc>
      </w:tr>
      <w:tr w:rsidR="003D4AB5" w:rsidRPr="008E6588" w14:paraId="68881DE7" w14:textId="77777777" w:rsidTr="003D4AB5">
        <w:tblPrEx>
          <w:tblCellMar>
            <w:top w:w="15" w:type="dxa"/>
            <w:bottom w:w="15" w:type="dxa"/>
          </w:tblCellMar>
          <w:tblLook w:val="04A0" w:firstRow="1" w:lastRow="0" w:firstColumn="1" w:lastColumn="0" w:noHBand="0" w:noVBand="1"/>
        </w:tblPrEx>
        <w:trPr>
          <w:trHeight w:val="300"/>
        </w:trPr>
        <w:tc>
          <w:tcPr>
            <w:tcW w:w="764" w:type="pct"/>
            <w:gridSpan w:val="4"/>
            <w:vMerge/>
            <w:tcBorders>
              <w:left w:val="single" w:sz="4" w:space="0" w:color="auto"/>
              <w:right w:val="single" w:sz="4" w:space="0" w:color="auto"/>
            </w:tcBorders>
          </w:tcPr>
          <w:p w14:paraId="410D9C02" w14:textId="77777777" w:rsidR="003D4AB5" w:rsidRPr="008E6588" w:rsidRDefault="003D4AB5">
            <w:pPr>
              <w:rPr>
                <w:rFonts w:ascii="Arial Narrow" w:hAnsi="Arial Narrow" w:cs="Arial"/>
                <w:sz w:val="20"/>
                <w:szCs w:val="20"/>
              </w:rPr>
            </w:pPr>
          </w:p>
        </w:tc>
        <w:tc>
          <w:tcPr>
            <w:tcW w:w="4236" w:type="pct"/>
            <w:gridSpan w:val="6"/>
            <w:tcBorders>
              <w:top w:val="single" w:sz="4" w:space="0" w:color="auto"/>
              <w:left w:val="single" w:sz="4" w:space="0" w:color="auto"/>
              <w:bottom w:val="single" w:sz="4" w:space="0" w:color="auto"/>
              <w:right w:val="single" w:sz="4" w:space="0" w:color="auto"/>
            </w:tcBorders>
            <w:vAlign w:val="center"/>
          </w:tcPr>
          <w:p w14:paraId="4226E0BA" w14:textId="4129CDB3" w:rsidR="003D4AB5" w:rsidRPr="008E6588" w:rsidRDefault="003D4AB5">
            <w:pPr>
              <w:keepLines/>
              <w:rPr>
                <w:rFonts w:ascii="Arial Narrow" w:hAnsi="Arial Narrow" w:cs="Arial"/>
                <w:b/>
                <w:sz w:val="20"/>
                <w:szCs w:val="20"/>
              </w:rPr>
            </w:pPr>
            <w:r w:rsidRPr="008E6588">
              <w:rPr>
                <w:rFonts w:ascii="Arial Narrow" w:hAnsi="Arial Narrow"/>
                <w:b/>
                <w:sz w:val="20"/>
                <w:szCs w:val="20"/>
              </w:rPr>
              <w:t xml:space="preserve">Authority type: </w:t>
            </w:r>
            <w:r w:rsidRPr="008E6588">
              <w:rPr>
                <w:rFonts w:ascii="Arial Narrow" w:eastAsia="Calibri" w:hAnsi="Arial Narrow"/>
                <w:sz w:val="20"/>
                <w:szCs w:val="20"/>
              </w:rPr>
              <w:fldChar w:fldCharType="begin" w:fldLock="1">
                <w:ffData>
                  <w:name w:val=""/>
                  <w:enabled/>
                  <w:calcOnExit w:val="0"/>
                  <w:checkBox>
                    <w:sizeAuto/>
                    <w:default w:val="1"/>
                  </w:checkBox>
                </w:ffData>
              </w:fldChar>
            </w:r>
            <w:r w:rsidRPr="008E6588">
              <w:rPr>
                <w:rFonts w:ascii="Arial Narrow" w:eastAsia="Calibri" w:hAnsi="Arial Narrow"/>
                <w:sz w:val="20"/>
                <w:szCs w:val="20"/>
              </w:rPr>
              <w:instrText xml:space="preserve"> FORMCHECKBOX </w:instrText>
            </w:r>
            <w:r w:rsidRPr="008E6588">
              <w:rPr>
                <w:rFonts w:ascii="Arial Narrow" w:eastAsia="Calibri" w:hAnsi="Arial Narrow"/>
                <w:sz w:val="20"/>
                <w:szCs w:val="20"/>
              </w:rPr>
            </w:r>
            <w:r w:rsidRPr="008E6588">
              <w:rPr>
                <w:rFonts w:ascii="Arial Narrow" w:eastAsia="Calibri" w:hAnsi="Arial Narrow"/>
                <w:sz w:val="20"/>
                <w:szCs w:val="20"/>
              </w:rPr>
              <w:fldChar w:fldCharType="separate"/>
            </w:r>
            <w:r w:rsidRPr="008E6588">
              <w:rPr>
                <w:rFonts w:ascii="Arial Narrow" w:eastAsia="Calibri" w:hAnsi="Arial Narrow"/>
                <w:sz w:val="20"/>
                <w:szCs w:val="20"/>
              </w:rPr>
              <w:fldChar w:fldCharType="end"/>
            </w:r>
            <w:r w:rsidRPr="008E6588">
              <w:rPr>
                <w:rFonts w:ascii="Arial Narrow" w:eastAsia="Calibri" w:hAnsi="Arial Narrow"/>
                <w:sz w:val="20"/>
                <w:szCs w:val="20"/>
              </w:rPr>
              <w:t xml:space="preserve"> Complex Authority Required (CAR)</w:t>
            </w:r>
          </w:p>
        </w:tc>
      </w:tr>
      <w:tr w:rsidR="00934824" w:rsidRPr="008E6588" w14:paraId="10932CCB" w14:textId="77777777" w:rsidTr="003D4AB5">
        <w:tblPrEx>
          <w:tblCellMar>
            <w:top w:w="15" w:type="dxa"/>
            <w:bottom w:w="15" w:type="dxa"/>
          </w:tblCellMar>
        </w:tblPrEx>
        <w:trPr>
          <w:trHeight w:val="20"/>
        </w:trPr>
        <w:tc>
          <w:tcPr>
            <w:tcW w:w="309" w:type="pct"/>
            <w:gridSpan w:val="2"/>
            <w:vMerge w:val="restart"/>
            <w:tcBorders>
              <w:left w:val="single" w:sz="4" w:space="0" w:color="auto"/>
              <w:right w:val="single" w:sz="4" w:space="0" w:color="auto"/>
            </w:tcBorders>
            <w:textDirection w:val="btLr"/>
          </w:tcPr>
          <w:p w14:paraId="4799F9EB" w14:textId="77777777" w:rsidR="00934824" w:rsidRPr="008E6588" w:rsidRDefault="00934824" w:rsidP="00836DB5">
            <w:pPr>
              <w:ind w:left="113" w:right="113"/>
              <w:jc w:val="center"/>
              <w:rPr>
                <w:rFonts w:ascii="Arial Narrow" w:hAnsi="Arial Narrow" w:cs="Arial"/>
                <w:sz w:val="20"/>
                <w:szCs w:val="20"/>
              </w:rPr>
            </w:pPr>
            <w:bookmarkStart w:id="13" w:name="_Hlk193900236"/>
            <w:r w:rsidRPr="008E6588">
              <w:rPr>
                <w:rFonts w:ascii="Arial Narrow" w:hAnsi="Arial Narrow" w:cs="Arial"/>
                <w:sz w:val="20"/>
                <w:szCs w:val="20"/>
              </w:rPr>
              <w:t>Prescribing rule level</w:t>
            </w:r>
          </w:p>
        </w:tc>
        <w:tc>
          <w:tcPr>
            <w:tcW w:w="455" w:type="pct"/>
            <w:gridSpan w:val="2"/>
            <w:tcBorders>
              <w:left w:val="single" w:sz="4" w:space="0" w:color="auto"/>
              <w:right w:val="single" w:sz="4" w:space="0" w:color="auto"/>
            </w:tcBorders>
          </w:tcPr>
          <w:p w14:paraId="79159617" w14:textId="2EEB82BC" w:rsidR="00934824" w:rsidRPr="008E6588" w:rsidRDefault="00934824" w:rsidP="00836DB5">
            <w:pPr>
              <w:jc w:val="left"/>
              <w:rPr>
                <w:rFonts w:ascii="Arial Narrow" w:hAnsi="Arial Narrow" w:cs="Arial"/>
                <w:sz w:val="20"/>
                <w:szCs w:val="20"/>
              </w:rPr>
            </w:pPr>
          </w:p>
        </w:tc>
        <w:tc>
          <w:tcPr>
            <w:tcW w:w="4236" w:type="pct"/>
            <w:gridSpan w:val="6"/>
            <w:tcBorders>
              <w:top w:val="single" w:sz="4" w:space="0" w:color="auto"/>
              <w:left w:val="single" w:sz="4" w:space="0" w:color="auto"/>
              <w:bottom w:val="single" w:sz="4" w:space="0" w:color="auto"/>
              <w:right w:val="single" w:sz="4" w:space="0" w:color="auto"/>
            </w:tcBorders>
          </w:tcPr>
          <w:p w14:paraId="4C2BFBDF" w14:textId="77777777" w:rsidR="00934824" w:rsidRPr="008E6588" w:rsidRDefault="00934824" w:rsidP="00836DB5">
            <w:pPr>
              <w:keepLines/>
              <w:jc w:val="left"/>
              <w:rPr>
                <w:rFonts w:ascii="Arial Narrow" w:hAnsi="Arial Narrow" w:cs="Arial"/>
                <w:sz w:val="20"/>
                <w:szCs w:val="20"/>
              </w:rPr>
            </w:pPr>
            <w:r w:rsidRPr="008E6588">
              <w:rPr>
                <w:rFonts w:ascii="Arial Narrow" w:hAnsi="Arial Narrow" w:cs="Arial"/>
                <w:b/>
                <w:sz w:val="20"/>
                <w:szCs w:val="20"/>
              </w:rPr>
              <w:t>Administrative Advice</w:t>
            </w:r>
            <w:r w:rsidRPr="008E6588">
              <w:rPr>
                <w:rFonts w:ascii="Arial Narrow" w:hAnsi="Arial Narrow" w:cs="Arial"/>
                <w:sz w:val="20"/>
                <w:szCs w:val="20"/>
              </w:rPr>
              <w:t>:</w:t>
            </w:r>
          </w:p>
          <w:p w14:paraId="4E6A7C3E" w14:textId="77777777" w:rsidR="00934824" w:rsidRPr="008E6588" w:rsidRDefault="00934824" w:rsidP="00836DB5">
            <w:pPr>
              <w:keepLines/>
              <w:jc w:val="left"/>
              <w:rPr>
                <w:rFonts w:ascii="Arial Narrow" w:hAnsi="Arial Narrow" w:cs="Arial"/>
                <w:bCs/>
                <w:sz w:val="20"/>
                <w:szCs w:val="20"/>
              </w:rPr>
            </w:pPr>
            <w:r w:rsidRPr="008E6588">
              <w:rPr>
                <w:rFonts w:ascii="Arial Narrow" w:hAnsi="Arial Narrow" w:cs="Arial"/>
                <w:b/>
                <w:bCs/>
                <w:sz w:val="20"/>
                <w:szCs w:val="20"/>
              </w:rPr>
              <w:t>TREATMENT OF PAEDIATRIC PATIENTS WITH UNCONTROLLED SEVERE ALLERGIC ASTHMA</w:t>
            </w:r>
          </w:p>
          <w:p w14:paraId="662D3561" w14:textId="77777777" w:rsidR="00934824" w:rsidRPr="008E6588" w:rsidRDefault="00934824" w:rsidP="00836DB5">
            <w:pPr>
              <w:keepLines/>
              <w:jc w:val="left"/>
              <w:rPr>
                <w:rFonts w:ascii="Arial Narrow" w:hAnsi="Arial Narrow" w:cs="Arial"/>
                <w:bCs/>
                <w:sz w:val="20"/>
                <w:szCs w:val="20"/>
              </w:rPr>
            </w:pPr>
            <w:r w:rsidRPr="008E6588">
              <w:rPr>
                <w:rFonts w:ascii="Arial Narrow" w:hAnsi="Arial Narrow" w:cs="Arial"/>
                <w:bCs/>
                <w:sz w:val="20"/>
                <w:szCs w:val="20"/>
              </w:rPr>
              <w:t>Patients are eligible to commence an 'omalizumab treatment cycle' (initial treatment course with or without continuing treatment course/s) if they satisfy the eligibility criteria as detailed under the initial treatment restriction.</w:t>
            </w:r>
          </w:p>
          <w:p w14:paraId="6F65C8CA" w14:textId="77777777" w:rsidR="00934824" w:rsidRPr="008E6588" w:rsidRDefault="00934824" w:rsidP="00836DB5">
            <w:pPr>
              <w:keepLines/>
              <w:jc w:val="left"/>
              <w:rPr>
                <w:rFonts w:ascii="Arial Narrow" w:hAnsi="Arial Narrow" w:cs="Arial"/>
                <w:bCs/>
                <w:sz w:val="20"/>
                <w:szCs w:val="20"/>
              </w:rPr>
            </w:pPr>
            <w:r w:rsidRPr="008E6588">
              <w:rPr>
                <w:rFonts w:ascii="Arial Narrow" w:hAnsi="Arial Narrow" w:cs="Arial"/>
                <w:bCs/>
                <w:sz w:val="20"/>
                <w:szCs w:val="20"/>
              </w:rPr>
              <w:t xml:space="preserve">Once a patient has either failed to achieve or maintain a response to omalizumab, they are deemed to have completed a treatment cycle and they </w:t>
            </w:r>
            <w:proofErr w:type="gramStart"/>
            <w:r w:rsidRPr="008E6588">
              <w:rPr>
                <w:rFonts w:ascii="Arial Narrow" w:hAnsi="Arial Narrow" w:cs="Arial"/>
                <w:bCs/>
                <w:sz w:val="20"/>
                <w:szCs w:val="20"/>
              </w:rPr>
              <w:t>must have,</w:t>
            </w:r>
            <w:proofErr w:type="gramEnd"/>
            <w:r w:rsidRPr="008E6588">
              <w:rPr>
                <w:rFonts w:ascii="Arial Narrow" w:hAnsi="Arial Narrow" w:cs="Arial"/>
                <w:bCs/>
                <w:sz w:val="20"/>
                <w:szCs w:val="20"/>
              </w:rPr>
              <w:t xml:space="preserve"> at a minimum, a </w:t>
            </w:r>
            <w:proofErr w:type="gramStart"/>
            <w:r w:rsidRPr="008E6588">
              <w:rPr>
                <w:rFonts w:ascii="Arial Narrow" w:hAnsi="Arial Narrow" w:cs="Arial"/>
                <w:bCs/>
                <w:sz w:val="20"/>
                <w:szCs w:val="20"/>
              </w:rPr>
              <w:t>6 month</w:t>
            </w:r>
            <w:proofErr w:type="gramEnd"/>
            <w:r w:rsidRPr="008E6588">
              <w:rPr>
                <w:rFonts w:ascii="Arial Narrow" w:hAnsi="Arial Narrow" w:cs="Arial"/>
                <w:bCs/>
                <w:sz w:val="20"/>
                <w:szCs w:val="20"/>
              </w:rPr>
              <w:t xml:space="preserve"> break in PBS-subsidised omalizumab therapy before they are eligible to commence the next cycle. The length of a treatment break is measured from the date the most recent treatment with PBS-subsidised omalizumab treatment is stopped to the date of the first application for initial treatment with omalizumab under the new treatment cycle.</w:t>
            </w:r>
          </w:p>
          <w:p w14:paraId="2ED4E592" w14:textId="77777777" w:rsidR="00934824" w:rsidRPr="008E6588" w:rsidRDefault="00934824" w:rsidP="00836DB5">
            <w:pPr>
              <w:keepLines/>
              <w:jc w:val="left"/>
              <w:rPr>
                <w:rFonts w:ascii="Arial Narrow" w:hAnsi="Arial Narrow" w:cs="Arial"/>
                <w:bCs/>
                <w:sz w:val="20"/>
                <w:szCs w:val="20"/>
              </w:rPr>
            </w:pPr>
            <w:r w:rsidRPr="008E6588">
              <w:rPr>
                <w:rFonts w:ascii="Arial Narrow" w:hAnsi="Arial Narrow" w:cs="Arial"/>
                <w:bCs/>
                <w:sz w:val="20"/>
                <w:szCs w:val="20"/>
              </w:rPr>
              <w:t xml:space="preserve">There is no limit to the number of </w:t>
            </w:r>
            <w:proofErr w:type="gramStart"/>
            <w:r w:rsidRPr="008E6588">
              <w:rPr>
                <w:rFonts w:ascii="Arial Narrow" w:hAnsi="Arial Narrow" w:cs="Arial"/>
                <w:bCs/>
                <w:sz w:val="20"/>
                <w:szCs w:val="20"/>
              </w:rPr>
              <w:t>treatment</w:t>
            </w:r>
            <w:proofErr w:type="gramEnd"/>
            <w:r w:rsidRPr="008E6588">
              <w:rPr>
                <w:rFonts w:ascii="Arial Narrow" w:hAnsi="Arial Narrow" w:cs="Arial"/>
                <w:bCs/>
                <w:sz w:val="20"/>
                <w:szCs w:val="20"/>
              </w:rPr>
              <w:t xml:space="preserve"> cycles a patient may undertake in their lifetime.</w:t>
            </w:r>
          </w:p>
          <w:p w14:paraId="3877D301" w14:textId="77777777" w:rsidR="00934824" w:rsidRPr="008E6588" w:rsidRDefault="00934824" w:rsidP="00836DB5">
            <w:pPr>
              <w:keepLines/>
              <w:jc w:val="left"/>
              <w:rPr>
                <w:rFonts w:ascii="Arial Narrow" w:hAnsi="Arial Narrow" w:cs="Arial"/>
                <w:bCs/>
                <w:sz w:val="20"/>
                <w:szCs w:val="20"/>
              </w:rPr>
            </w:pPr>
            <w:r w:rsidRPr="008E6588">
              <w:rPr>
                <w:rFonts w:ascii="Arial Narrow" w:hAnsi="Arial Narrow" w:cs="Arial"/>
                <w:bCs/>
                <w:sz w:val="20"/>
                <w:szCs w:val="20"/>
              </w:rPr>
              <w:t>(1) How to prescribe PBS-subsidised omalizumab therapy.</w:t>
            </w:r>
          </w:p>
          <w:p w14:paraId="67E69358" w14:textId="77777777" w:rsidR="00934824" w:rsidRPr="008E6588" w:rsidRDefault="00934824" w:rsidP="00836DB5">
            <w:pPr>
              <w:keepLines/>
              <w:jc w:val="left"/>
              <w:rPr>
                <w:rFonts w:ascii="Arial Narrow" w:hAnsi="Arial Narrow" w:cs="Arial"/>
                <w:bCs/>
                <w:sz w:val="20"/>
                <w:szCs w:val="20"/>
              </w:rPr>
            </w:pPr>
            <w:r w:rsidRPr="008E6588">
              <w:rPr>
                <w:rFonts w:ascii="Arial Narrow" w:hAnsi="Arial Narrow" w:cs="Arial"/>
                <w:bCs/>
                <w:sz w:val="20"/>
                <w:szCs w:val="20"/>
              </w:rPr>
              <w:t>(a) Initial treatment:</w:t>
            </w:r>
          </w:p>
          <w:p w14:paraId="13AF89D6" w14:textId="77777777" w:rsidR="00934824" w:rsidRPr="008E6588" w:rsidRDefault="00934824" w:rsidP="00836DB5">
            <w:pPr>
              <w:keepLines/>
              <w:jc w:val="left"/>
              <w:rPr>
                <w:rFonts w:ascii="Arial Narrow" w:hAnsi="Arial Narrow" w:cs="Arial"/>
                <w:bCs/>
                <w:sz w:val="20"/>
                <w:szCs w:val="20"/>
              </w:rPr>
            </w:pPr>
            <w:r w:rsidRPr="008E6588">
              <w:rPr>
                <w:rFonts w:ascii="Arial Narrow" w:hAnsi="Arial Narrow" w:cs="Arial"/>
                <w:bCs/>
                <w:sz w:val="20"/>
                <w:szCs w:val="20"/>
              </w:rPr>
              <w:t>Applications for initial treatment should be made where a patient has received no prior PBS-subsidised omalizumab treatment in this treatment cycle and wishes to commence such therapy.</w:t>
            </w:r>
          </w:p>
          <w:p w14:paraId="50479BAD" w14:textId="77777777" w:rsidR="00934824" w:rsidRPr="008E6588" w:rsidRDefault="00934824" w:rsidP="00836DB5">
            <w:pPr>
              <w:keepLines/>
              <w:jc w:val="left"/>
              <w:rPr>
                <w:rFonts w:ascii="Arial Narrow" w:hAnsi="Arial Narrow" w:cs="Arial"/>
                <w:bCs/>
                <w:sz w:val="20"/>
                <w:szCs w:val="20"/>
              </w:rPr>
            </w:pPr>
            <w:r w:rsidRPr="008E6588">
              <w:rPr>
                <w:rFonts w:ascii="Arial Narrow" w:hAnsi="Arial Narrow" w:cs="Arial"/>
                <w:bCs/>
                <w:sz w:val="20"/>
                <w:szCs w:val="20"/>
              </w:rPr>
              <w:t>All applications for initial treatment will be limited to provide for a maximum of 28 weeks of therapy for omalizumab.</w:t>
            </w:r>
          </w:p>
          <w:p w14:paraId="662C19E1" w14:textId="77777777" w:rsidR="00934824" w:rsidRPr="008E6588" w:rsidRDefault="00934824" w:rsidP="00836DB5">
            <w:pPr>
              <w:keepLines/>
              <w:jc w:val="left"/>
              <w:rPr>
                <w:rFonts w:ascii="Arial Narrow" w:hAnsi="Arial Narrow" w:cs="Arial"/>
                <w:bCs/>
                <w:sz w:val="20"/>
                <w:szCs w:val="20"/>
              </w:rPr>
            </w:pPr>
            <w:r w:rsidRPr="008E6588">
              <w:rPr>
                <w:rFonts w:ascii="Arial Narrow" w:hAnsi="Arial Narrow" w:cs="Arial"/>
                <w:bCs/>
                <w:sz w:val="20"/>
                <w:szCs w:val="20"/>
              </w:rPr>
              <w:t>(b) Continuing treatment:</w:t>
            </w:r>
          </w:p>
          <w:p w14:paraId="44E9CB5E" w14:textId="77777777" w:rsidR="00934824" w:rsidRPr="008E6588" w:rsidRDefault="00934824" w:rsidP="00836DB5">
            <w:pPr>
              <w:keepLines/>
              <w:jc w:val="left"/>
              <w:rPr>
                <w:rFonts w:ascii="Arial Narrow" w:hAnsi="Arial Narrow" w:cs="Arial"/>
                <w:bCs/>
                <w:sz w:val="20"/>
                <w:szCs w:val="20"/>
              </w:rPr>
            </w:pPr>
            <w:r w:rsidRPr="008E6588">
              <w:rPr>
                <w:rFonts w:ascii="Arial Narrow" w:hAnsi="Arial Narrow" w:cs="Arial"/>
                <w:bCs/>
                <w:sz w:val="20"/>
                <w:szCs w:val="20"/>
              </w:rPr>
              <w:t>Following the completion of the initial treatment course with omalizumab, a patient may qualify to receive up to a further 24 weeks of continuing treatment with omalizumab providing they have demonstrated an adequate response to treatment. The patient remains eligible to receive continuing omalizumab treatment in courses of up to 24 weeks providing they continue to sustain the response.</w:t>
            </w:r>
          </w:p>
          <w:p w14:paraId="582BADF0" w14:textId="77777777" w:rsidR="00934824" w:rsidRPr="008E6588" w:rsidRDefault="00934824" w:rsidP="00836DB5">
            <w:pPr>
              <w:keepLines/>
              <w:jc w:val="left"/>
              <w:rPr>
                <w:rFonts w:ascii="Arial Narrow" w:hAnsi="Arial Narrow" w:cs="Arial"/>
                <w:bCs/>
                <w:sz w:val="20"/>
                <w:szCs w:val="20"/>
              </w:rPr>
            </w:pPr>
            <w:r w:rsidRPr="008E6588">
              <w:rPr>
                <w:rFonts w:ascii="Arial Narrow" w:hAnsi="Arial Narrow" w:cs="Arial"/>
                <w:bCs/>
                <w:sz w:val="20"/>
                <w:szCs w:val="20"/>
              </w:rPr>
              <w:t>(2) Baseline measurements to determine response:</w:t>
            </w:r>
          </w:p>
          <w:p w14:paraId="1EBCB365" w14:textId="77777777" w:rsidR="00934824" w:rsidRPr="008E6588" w:rsidRDefault="00934824" w:rsidP="00836DB5">
            <w:pPr>
              <w:keepLines/>
              <w:jc w:val="left"/>
              <w:rPr>
                <w:rFonts w:ascii="Arial Narrow" w:hAnsi="Arial Narrow" w:cs="Arial"/>
                <w:bCs/>
                <w:sz w:val="20"/>
                <w:szCs w:val="20"/>
              </w:rPr>
            </w:pPr>
            <w:r w:rsidRPr="008E6588">
              <w:rPr>
                <w:rFonts w:ascii="Arial Narrow" w:hAnsi="Arial Narrow" w:cs="Arial"/>
                <w:bCs/>
                <w:sz w:val="20"/>
                <w:szCs w:val="20"/>
              </w:rPr>
              <w:t xml:space="preserve">Services Australia will determine whether a response to treatment has been demonstrated based on the baseline measurements of the Asthma Control Questionnaire (ACQ; 5 item version) or ACQ-IA, systemic corticosteroid dose and time-adjusted exacerbation rate, submitted with the Initial authority application for omalizumab. However, prescribers may provide new baseline measurements when a new Initial treatment authority application is </w:t>
            </w:r>
            <w:proofErr w:type="gramStart"/>
            <w:r w:rsidRPr="008E6588">
              <w:rPr>
                <w:rFonts w:ascii="Arial Narrow" w:hAnsi="Arial Narrow" w:cs="Arial"/>
                <w:bCs/>
                <w:sz w:val="20"/>
                <w:szCs w:val="20"/>
              </w:rPr>
              <w:t>submitted</w:t>
            </w:r>
            <w:proofErr w:type="gramEnd"/>
            <w:r w:rsidRPr="008E6588">
              <w:rPr>
                <w:rFonts w:ascii="Arial Narrow" w:hAnsi="Arial Narrow" w:cs="Arial"/>
                <w:bCs/>
                <w:sz w:val="20"/>
                <w:szCs w:val="20"/>
              </w:rPr>
              <w:t xml:space="preserve"> and Services Australia will assess response according to these revised baseline measurements.</w:t>
            </w:r>
          </w:p>
          <w:p w14:paraId="483AF00D" w14:textId="77777777" w:rsidR="00934824" w:rsidRPr="008E6588" w:rsidRDefault="00934824" w:rsidP="00836DB5">
            <w:pPr>
              <w:keepLines/>
              <w:jc w:val="left"/>
              <w:rPr>
                <w:rFonts w:ascii="Arial Narrow" w:hAnsi="Arial Narrow" w:cs="Arial"/>
                <w:bCs/>
                <w:sz w:val="20"/>
                <w:szCs w:val="20"/>
              </w:rPr>
            </w:pPr>
            <w:r w:rsidRPr="008E6588">
              <w:rPr>
                <w:rFonts w:ascii="Arial Narrow" w:hAnsi="Arial Narrow" w:cs="Arial"/>
                <w:bCs/>
                <w:sz w:val="20"/>
                <w:szCs w:val="20"/>
              </w:rPr>
              <w:t xml:space="preserve">(3) Re-commencement of treatment after a </w:t>
            </w:r>
            <w:proofErr w:type="gramStart"/>
            <w:r w:rsidRPr="008E6588">
              <w:rPr>
                <w:rFonts w:ascii="Arial Narrow" w:hAnsi="Arial Narrow" w:cs="Arial"/>
                <w:bCs/>
                <w:sz w:val="20"/>
                <w:szCs w:val="20"/>
              </w:rPr>
              <w:t>6 month</w:t>
            </w:r>
            <w:proofErr w:type="gramEnd"/>
            <w:r w:rsidRPr="008E6588">
              <w:rPr>
                <w:rFonts w:ascii="Arial Narrow" w:hAnsi="Arial Narrow" w:cs="Arial"/>
                <w:bCs/>
                <w:sz w:val="20"/>
                <w:szCs w:val="20"/>
              </w:rPr>
              <w:t xml:space="preserve"> break in PBS-subsidised therapy:</w:t>
            </w:r>
          </w:p>
          <w:p w14:paraId="1817EBB5" w14:textId="77777777" w:rsidR="00934824" w:rsidRPr="008E6588" w:rsidRDefault="00934824" w:rsidP="00836DB5">
            <w:pPr>
              <w:keepLines/>
              <w:jc w:val="left"/>
              <w:rPr>
                <w:rFonts w:ascii="Arial Narrow" w:hAnsi="Arial Narrow" w:cs="Arial"/>
                <w:bCs/>
                <w:sz w:val="20"/>
                <w:szCs w:val="20"/>
              </w:rPr>
            </w:pPr>
            <w:r w:rsidRPr="008E6588">
              <w:rPr>
                <w:rFonts w:ascii="Arial Narrow" w:hAnsi="Arial Narrow" w:cs="Arial"/>
                <w:bCs/>
                <w:sz w:val="20"/>
                <w:szCs w:val="20"/>
              </w:rPr>
              <w:lastRenderedPageBreak/>
              <w:t>A patient who wishes to trial a second or subsequent treatment cycle following a break in PBS-subsidised omalizumab therapy of at least 6 months, must re-qualify for initial treatment with respect to the indices of disease severity (systemic corticosteroid dose, Asthma Control Questionnaire (ACQ-5) score or ACQ-IA, and relevant exacerbation history). Patients must have received optimised standard therapy, at adequate doses and for the minimum period specified, immediately prior to the time the new baseline assessments are performed.</w:t>
            </w:r>
          </w:p>
          <w:p w14:paraId="68BA2F15" w14:textId="77777777" w:rsidR="00934824" w:rsidRPr="008E6588" w:rsidRDefault="00934824" w:rsidP="00836DB5">
            <w:pPr>
              <w:keepLines/>
              <w:jc w:val="left"/>
              <w:rPr>
                <w:rFonts w:ascii="Arial Narrow" w:hAnsi="Arial Narrow" w:cs="Arial"/>
                <w:bCs/>
                <w:sz w:val="20"/>
                <w:szCs w:val="20"/>
              </w:rPr>
            </w:pPr>
            <w:r w:rsidRPr="008E6588">
              <w:rPr>
                <w:rFonts w:ascii="Arial Narrow" w:hAnsi="Arial Narrow" w:cs="Arial"/>
                <w:bCs/>
                <w:sz w:val="20"/>
                <w:szCs w:val="20"/>
              </w:rPr>
              <w:t>(4) Monitoring of patients:</w:t>
            </w:r>
          </w:p>
          <w:p w14:paraId="49AD1889" w14:textId="77777777" w:rsidR="00934824" w:rsidRPr="008E6588" w:rsidRDefault="00934824" w:rsidP="00836DB5">
            <w:pPr>
              <w:keepLines/>
              <w:jc w:val="left"/>
              <w:rPr>
                <w:rFonts w:ascii="Arial Narrow" w:hAnsi="Arial Narrow" w:cs="Arial"/>
                <w:bCs/>
                <w:sz w:val="20"/>
                <w:szCs w:val="20"/>
              </w:rPr>
            </w:pPr>
            <w:r w:rsidRPr="008E6588">
              <w:rPr>
                <w:rFonts w:ascii="Arial Narrow" w:hAnsi="Arial Narrow" w:cs="Arial"/>
                <w:bCs/>
                <w:sz w:val="20"/>
                <w:szCs w:val="20"/>
              </w:rPr>
              <w:t xml:space="preserve">Anaphylaxis and anaphylactoid reactions have been reported following first or subsequent administration of omalizumab (see Product Information). Patients should be monitored post-injection, and medications for the treatment of anaphylactic reactions should be available for immediate use following administration of omalizumab. Patients should be informed that such reactions are </w:t>
            </w:r>
            <w:proofErr w:type="gramStart"/>
            <w:r w:rsidRPr="008E6588">
              <w:rPr>
                <w:rFonts w:ascii="Arial Narrow" w:hAnsi="Arial Narrow" w:cs="Arial"/>
                <w:bCs/>
                <w:sz w:val="20"/>
                <w:szCs w:val="20"/>
              </w:rPr>
              <w:t>possible</w:t>
            </w:r>
            <w:proofErr w:type="gramEnd"/>
            <w:r w:rsidRPr="008E6588">
              <w:rPr>
                <w:rFonts w:ascii="Arial Narrow" w:hAnsi="Arial Narrow" w:cs="Arial"/>
                <w:bCs/>
                <w:sz w:val="20"/>
                <w:szCs w:val="20"/>
              </w:rPr>
              <w:t xml:space="preserve"> and prompt medical attention should be sought if allergic reactions occur.</w:t>
            </w:r>
          </w:p>
        </w:tc>
      </w:tr>
      <w:tr w:rsidR="00934824" w:rsidRPr="008E6588" w14:paraId="68B18EAF" w14:textId="77777777" w:rsidTr="003D4AB5">
        <w:tblPrEx>
          <w:tblCellMar>
            <w:top w:w="15" w:type="dxa"/>
            <w:bottom w:w="15" w:type="dxa"/>
          </w:tblCellMar>
        </w:tblPrEx>
        <w:trPr>
          <w:trHeight w:val="20"/>
        </w:trPr>
        <w:tc>
          <w:tcPr>
            <w:tcW w:w="309" w:type="pct"/>
            <w:gridSpan w:val="2"/>
            <w:vMerge/>
            <w:tcBorders>
              <w:left w:val="single" w:sz="4" w:space="0" w:color="auto"/>
              <w:right w:val="single" w:sz="4" w:space="0" w:color="auto"/>
            </w:tcBorders>
            <w:textDirection w:val="btLr"/>
          </w:tcPr>
          <w:p w14:paraId="14EA8C5E" w14:textId="77777777" w:rsidR="00934824" w:rsidRPr="008E6588" w:rsidRDefault="00934824" w:rsidP="00836DB5">
            <w:pPr>
              <w:ind w:left="113" w:right="113"/>
              <w:jc w:val="center"/>
              <w:rPr>
                <w:rFonts w:ascii="Arial Narrow" w:hAnsi="Arial Narrow" w:cs="Arial"/>
                <w:sz w:val="20"/>
                <w:szCs w:val="20"/>
              </w:rPr>
            </w:pPr>
          </w:p>
        </w:tc>
        <w:tc>
          <w:tcPr>
            <w:tcW w:w="455" w:type="pct"/>
            <w:gridSpan w:val="2"/>
            <w:tcBorders>
              <w:left w:val="single" w:sz="4" w:space="0" w:color="auto"/>
              <w:right w:val="single" w:sz="4" w:space="0" w:color="auto"/>
            </w:tcBorders>
          </w:tcPr>
          <w:p w14:paraId="0517C03A" w14:textId="1C033161" w:rsidR="00934824" w:rsidRPr="008E6588" w:rsidRDefault="00934824" w:rsidP="00836DB5">
            <w:pPr>
              <w:jc w:val="left"/>
              <w:rPr>
                <w:rFonts w:ascii="Arial Narrow" w:hAnsi="Arial Narrow" w:cs="Arial"/>
                <w:sz w:val="20"/>
                <w:szCs w:val="20"/>
              </w:rPr>
            </w:pPr>
          </w:p>
        </w:tc>
        <w:tc>
          <w:tcPr>
            <w:tcW w:w="4236" w:type="pct"/>
            <w:gridSpan w:val="6"/>
            <w:tcBorders>
              <w:top w:val="single" w:sz="4" w:space="0" w:color="auto"/>
              <w:left w:val="single" w:sz="4" w:space="0" w:color="auto"/>
              <w:bottom w:val="single" w:sz="4" w:space="0" w:color="auto"/>
              <w:right w:val="single" w:sz="4" w:space="0" w:color="auto"/>
            </w:tcBorders>
          </w:tcPr>
          <w:p w14:paraId="7B362EE2" w14:textId="77777777" w:rsidR="00934824" w:rsidRPr="008E6588" w:rsidRDefault="00934824" w:rsidP="00836DB5">
            <w:pPr>
              <w:keepLines/>
              <w:jc w:val="left"/>
              <w:rPr>
                <w:rFonts w:ascii="Arial Narrow" w:hAnsi="Arial Narrow" w:cs="Arial"/>
                <w:b/>
                <w:sz w:val="20"/>
                <w:szCs w:val="20"/>
              </w:rPr>
            </w:pPr>
            <w:r w:rsidRPr="008E6588">
              <w:rPr>
                <w:rFonts w:ascii="Arial Narrow" w:hAnsi="Arial Narrow" w:cs="Arial"/>
                <w:b/>
                <w:sz w:val="20"/>
                <w:szCs w:val="20"/>
              </w:rPr>
              <w:t>Administrative Advice</w:t>
            </w:r>
            <w:r w:rsidRPr="008E6588">
              <w:rPr>
                <w:rFonts w:ascii="Arial Narrow" w:hAnsi="Arial Narrow" w:cs="Arial"/>
                <w:sz w:val="20"/>
                <w:szCs w:val="20"/>
              </w:rPr>
              <w:t>:</w:t>
            </w:r>
            <w:r w:rsidRPr="008E6588">
              <w:rPr>
                <w:rFonts w:ascii="Arial Narrow" w:hAnsi="Arial Narrow" w:cs="Open Sans"/>
                <w:color w:val="333333"/>
                <w:sz w:val="20"/>
                <w:szCs w:val="20"/>
                <w:shd w:val="clear" w:color="auto" w:fill="FFFFFF"/>
              </w:rPr>
              <w:t xml:space="preserve"> </w:t>
            </w:r>
            <w:r w:rsidRPr="008E6588">
              <w:rPr>
                <w:rFonts w:ascii="Arial Narrow" w:hAnsi="Arial Narrow" w:cs="Arial"/>
                <w:sz w:val="20"/>
                <w:szCs w:val="20"/>
              </w:rPr>
              <w:t>For copies of the ACQ please contact Novartis Medical Information on 1800 671 203 or medinfo.phauno@novartis.com</w:t>
            </w:r>
          </w:p>
        </w:tc>
      </w:tr>
      <w:tr w:rsidR="00934824" w:rsidRPr="008E6588" w14:paraId="1BA06B73" w14:textId="77777777" w:rsidTr="003D4AB5">
        <w:tblPrEx>
          <w:tblCellMar>
            <w:top w:w="15" w:type="dxa"/>
            <w:bottom w:w="15" w:type="dxa"/>
          </w:tblCellMar>
        </w:tblPrEx>
        <w:trPr>
          <w:trHeight w:val="20"/>
        </w:trPr>
        <w:tc>
          <w:tcPr>
            <w:tcW w:w="309" w:type="pct"/>
            <w:gridSpan w:val="2"/>
            <w:vMerge/>
            <w:tcBorders>
              <w:left w:val="single" w:sz="4" w:space="0" w:color="auto"/>
              <w:right w:val="single" w:sz="4" w:space="0" w:color="auto"/>
            </w:tcBorders>
            <w:textDirection w:val="btLr"/>
          </w:tcPr>
          <w:p w14:paraId="7EBBAFB4" w14:textId="77777777" w:rsidR="00934824" w:rsidRPr="008E6588" w:rsidRDefault="00934824" w:rsidP="00836DB5">
            <w:pPr>
              <w:ind w:left="113" w:right="113"/>
              <w:jc w:val="center"/>
              <w:rPr>
                <w:rFonts w:ascii="Arial Narrow" w:hAnsi="Arial Narrow" w:cs="Arial"/>
                <w:sz w:val="20"/>
                <w:szCs w:val="20"/>
              </w:rPr>
            </w:pPr>
          </w:p>
        </w:tc>
        <w:tc>
          <w:tcPr>
            <w:tcW w:w="455" w:type="pct"/>
            <w:gridSpan w:val="2"/>
            <w:tcBorders>
              <w:left w:val="single" w:sz="4" w:space="0" w:color="auto"/>
              <w:right w:val="single" w:sz="4" w:space="0" w:color="auto"/>
            </w:tcBorders>
          </w:tcPr>
          <w:p w14:paraId="01508E52" w14:textId="418A09DD" w:rsidR="00934824" w:rsidRPr="008E6588" w:rsidRDefault="00934824" w:rsidP="00836DB5">
            <w:pPr>
              <w:jc w:val="left"/>
              <w:rPr>
                <w:rFonts w:ascii="Arial Narrow" w:hAnsi="Arial Narrow" w:cs="Arial"/>
                <w:sz w:val="20"/>
                <w:szCs w:val="20"/>
              </w:rPr>
            </w:pPr>
          </w:p>
        </w:tc>
        <w:tc>
          <w:tcPr>
            <w:tcW w:w="4236" w:type="pct"/>
            <w:gridSpan w:val="6"/>
            <w:tcBorders>
              <w:top w:val="single" w:sz="4" w:space="0" w:color="auto"/>
              <w:left w:val="single" w:sz="4" w:space="0" w:color="auto"/>
              <w:bottom w:val="single" w:sz="4" w:space="0" w:color="auto"/>
              <w:right w:val="single" w:sz="4" w:space="0" w:color="auto"/>
            </w:tcBorders>
          </w:tcPr>
          <w:p w14:paraId="0A709212" w14:textId="77777777" w:rsidR="00934824" w:rsidRPr="008E6588" w:rsidRDefault="00934824" w:rsidP="00836DB5">
            <w:pPr>
              <w:keepLines/>
              <w:jc w:val="left"/>
              <w:rPr>
                <w:rFonts w:ascii="Arial Narrow" w:hAnsi="Arial Narrow" w:cs="Arial"/>
                <w:b/>
                <w:sz w:val="20"/>
                <w:szCs w:val="20"/>
              </w:rPr>
            </w:pPr>
            <w:r w:rsidRPr="008E6588">
              <w:rPr>
                <w:rFonts w:ascii="Arial Narrow" w:hAnsi="Arial Narrow" w:cs="Arial"/>
                <w:b/>
                <w:sz w:val="20"/>
                <w:szCs w:val="20"/>
              </w:rPr>
              <w:t>Administrative Advice</w:t>
            </w:r>
            <w:r w:rsidRPr="008E6588">
              <w:rPr>
                <w:rFonts w:ascii="Arial Narrow" w:hAnsi="Arial Narrow" w:cs="Arial"/>
                <w:sz w:val="20"/>
                <w:szCs w:val="20"/>
              </w:rPr>
              <w:t>:</w:t>
            </w:r>
            <w:r w:rsidRPr="008E6588">
              <w:rPr>
                <w:rFonts w:ascii="Arial Narrow" w:hAnsi="Arial Narrow" w:cs="Open Sans"/>
                <w:color w:val="333333"/>
                <w:sz w:val="20"/>
                <w:szCs w:val="20"/>
                <w:shd w:val="clear" w:color="auto" w:fill="F4F4F4"/>
              </w:rPr>
              <w:t xml:space="preserve"> </w:t>
            </w:r>
            <w:r w:rsidRPr="008E6588">
              <w:rPr>
                <w:rFonts w:ascii="Arial Narrow" w:hAnsi="Arial Narrow" w:cs="Arial"/>
                <w:sz w:val="20"/>
                <w:szCs w:val="20"/>
              </w:rPr>
              <w:t>Formal assessment and correction of inhaler technique should be performed in accordance with the National Asthma Council (NAC) Information Paper for Health Professionals on Inhaler Technique (available at www.nationalasthma.org.au); the assessment and adherence to correct technique should be documented in the patient's medical records. Patients can obtain support with inhaler technique through their local Asthma Foundation (1800 645 130).</w:t>
            </w:r>
          </w:p>
        </w:tc>
      </w:tr>
      <w:tr w:rsidR="00934824" w:rsidRPr="008E6588" w14:paraId="4EEC7FD5" w14:textId="77777777" w:rsidTr="003D4AB5">
        <w:tblPrEx>
          <w:tblCellMar>
            <w:top w:w="15" w:type="dxa"/>
            <w:bottom w:w="15" w:type="dxa"/>
          </w:tblCellMar>
        </w:tblPrEx>
        <w:trPr>
          <w:trHeight w:val="20"/>
        </w:trPr>
        <w:tc>
          <w:tcPr>
            <w:tcW w:w="309" w:type="pct"/>
            <w:gridSpan w:val="2"/>
            <w:vMerge/>
            <w:tcBorders>
              <w:left w:val="single" w:sz="4" w:space="0" w:color="auto"/>
              <w:right w:val="single" w:sz="4" w:space="0" w:color="auto"/>
            </w:tcBorders>
          </w:tcPr>
          <w:p w14:paraId="7446CE83" w14:textId="77777777" w:rsidR="00934824" w:rsidRPr="008E6588" w:rsidRDefault="00934824" w:rsidP="00836DB5">
            <w:pPr>
              <w:jc w:val="left"/>
              <w:rPr>
                <w:rFonts w:ascii="Arial Narrow" w:hAnsi="Arial Narrow" w:cs="Arial"/>
                <w:sz w:val="20"/>
                <w:szCs w:val="20"/>
              </w:rPr>
            </w:pPr>
          </w:p>
        </w:tc>
        <w:tc>
          <w:tcPr>
            <w:tcW w:w="455" w:type="pct"/>
            <w:gridSpan w:val="2"/>
            <w:tcBorders>
              <w:left w:val="single" w:sz="4" w:space="0" w:color="auto"/>
              <w:right w:val="single" w:sz="4" w:space="0" w:color="auto"/>
            </w:tcBorders>
          </w:tcPr>
          <w:p w14:paraId="1127ED91" w14:textId="0B77DD3D" w:rsidR="00934824" w:rsidRPr="008E6588" w:rsidRDefault="00934824" w:rsidP="00836DB5">
            <w:pPr>
              <w:jc w:val="left"/>
              <w:textAlignment w:val="baseline"/>
              <w:rPr>
                <w:rFonts w:ascii="Arial Narrow" w:hAnsi="Arial Narrow" w:cs="Open Sans"/>
                <w:color w:val="333333"/>
                <w:sz w:val="20"/>
                <w:szCs w:val="20"/>
              </w:rPr>
            </w:pPr>
          </w:p>
        </w:tc>
        <w:tc>
          <w:tcPr>
            <w:tcW w:w="4236" w:type="pct"/>
            <w:gridSpan w:val="6"/>
            <w:tcBorders>
              <w:top w:val="single" w:sz="4" w:space="0" w:color="auto"/>
              <w:left w:val="single" w:sz="4" w:space="0" w:color="auto"/>
              <w:bottom w:val="single" w:sz="4" w:space="0" w:color="auto"/>
              <w:right w:val="single" w:sz="4" w:space="0" w:color="auto"/>
            </w:tcBorders>
          </w:tcPr>
          <w:p w14:paraId="49BC1132" w14:textId="1CC55B19" w:rsidR="00934824" w:rsidRPr="008E6588" w:rsidRDefault="00934824" w:rsidP="0083065F">
            <w:pPr>
              <w:keepLines/>
              <w:rPr>
                <w:rFonts w:ascii="Arial Narrow" w:hAnsi="Arial Narrow" w:cs="Arial"/>
                <w:sz w:val="20"/>
                <w:szCs w:val="20"/>
              </w:rPr>
            </w:pPr>
            <w:r w:rsidRPr="008E6588">
              <w:rPr>
                <w:rFonts w:ascii="Arial Narrow" w:hAnsi="Arial Narrow" w:cs="Arial"/>
                <w:b/>
                <w:sz w:val="20"/>
                <w:szCs w:val="20"/>
              </w:rPr>
              <w:t>Administrative Advice</w:t>
            </w:r>
            <w:r w:rsidRPr="008E6588">
              <w:rPr>
                <w:rFonts w:ascii="Arial Narrow" w:hAnsi="Arial Narrow" w:cs="Arial"/>
                <w:sz w:val="20"/>
                <w:szCs w:val="20"/>
              </w:rPr>
              <w:t xml:space="preserve">: </w:t>
            </w:r>
            <w:r w:rsidR="0083065F" w:rsidRPr="008E6588">
              <w:rPr>
                <w:rFonts w:ascii="Arial Narrow" w:hAnsi="Arial Narrow" w:cs="Arial"/>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934824" w:rsidRPr="008E6588" w14:paraId="28363F21" w14:textId="77777777" w:rsidTr="003D4AB5">
        <w:tblPrEx>
          <w:tblCellMar>
            <w:top w:w="15" w:type="dxa"/>
            <w:bottom w:w="15" w:type="dxa"/>
          </w:tblCellMar>
        </w:tblPrEx>
        <w:trPr>
          <w:trHeight w:val="20"/>
        </w:trPr>
        <w:tc>
          <w:tcPr>
            <w:tcW w:w="309" w:type="pct"/>
            <w:gridSpan w:val="2"/>
            <w:vMerge/>
            <w:tcBorders>
              <w:left w:val="single" w:sz="4" w:space="0" w:color="auto"/>
              <w:right w:val="single" w:sz="4" w:space="0" w:color="auto"/>
            </w:tcBorders>
          </w:tcPr>
          <w:p w14:paraId="61F0F1F5" w14:textId="77777777" w:rsidR="00934824" w:rsidRPr="008E6588" w:rsidRDefault="00934824" w:rsidP="00836DB5">
            <w:pPr>
              <w:jc w:val="left"/>
              <w:rPr>
                <w:rFonts w:ascii="Arial Narrow" w:hAnsi="Arial Narrow" w:cs="Arial"/>
                <w:sz w:val="20"/>
                <w:szCs w:val="20"/>
              </w:rPr>
            </w:pPr>
          </w:p>
        </w:tc>
        <w:tc>
          <w:tcPr>
            <w:tcW w:w="455" w:type="pct"/>
            <w:gridSpan w:val="2"/>
            <w:tcBorders>
              <w:left w:val="single" w:sz="4" w:space="0" w:color="auto"/>
              <w:right w:val="single" w:sz="4" w:space="0" w:color="auto"/>
            </w:tcBorders>
          </w:tcPr>
          <w:p w14:paraId="737F2D33" w14:textId="106F2B6E" w:rsidR="00934824" w:rsidRPr="008E6588" w:rsidRDefault="00934824" w:rsidP="00836DB5">
            <w:pPr>
              <w:jc w:val="left"/>
              <w:outlineLvl w:val="4"/>
              <w:rPr>
                <w:rFonts w:ascii="Arial Narrow" w:hAnsi="Arial Narrow"/>
                <w:sz w:val="20"/>
                <w:szCs w:val="20"/>
              </w:rPr>
            </w:pPr>
          </w:p>
        </w:tc>
        <w:tc>
          <w:tcPr>
            <w:tcW w:w="4236" w:type="pct"/>
            <w:gridSpan w:val="6"/>
            <w:tcBorders>
              <w:top w:val="single" w:sz="4" w:space="0" w:color="auto"/>
              <w:left w:val="single" w:sz="4" w:space="0" w:color="auto"/>
              <w:bottom w:val="single" w:sz="4" w:space="0" w:color="auto"/>
              <w:right w:val="single" w:sz="4" w:space="0" w:color="auto"/>
            </w:tcBorders>
          </w:tcPr>
          <w:p w14:paraId="70F5FEA0" w14:textId="77777777" w:rsidR="00934824" w:rsidRPr="008E6588" w:rsidRDefault="00934824" w:rsidP="00836DB5">
            <w:pPr>
              <w:keepLines/>
              <w:rPr>
                <w:rFonts w:ascii="Arial Narrow" w:hAnsi="Arial Narrow" w:cs="Arial"/>
                <w:b/>
                <w:sz w:val="20"/>
                <w:szCs w:val="20"/>
              </w:rPr>
            </w:pPr>
            <w:r w:rsidRPr="008E6588">
              <w:rPr>
                <w:rFonts w:ascii="Arial Narrow" w:hAnsi="Arial Narrow"/>
                <w:b/>
                <w:bCs/>
                <w:sz w:val="20"/>
                <w:szCs w:val="20"/>
              </w:rPr>
              <w:t xml:space="preserve">Administrative Advice: </w:t>
            </w:r>
            <w:r w:rsidRPr="008E6588">
              <w:rPr>
                <w:rFonts w:ascii="Arial Narrow" w:hAnsi="Arial Narrow"/>
                <w:sz w:val="20"/>
                <w:szCs w:val="20"/>
              </w:rPr>
              <w:t>No increase in the maximum number of repeats may be authorised</w:t>
            </w:r>
            <w:r w:rsidRPr="008E6588">
              <w:rPr>
                <w:rFonts w:ascii="Arial Narrow" w:hAnsi="Arial Narrow"/>
                <w:b/>
                <w:bCs/>
                <w:sz w:val="20"/>
                <w:szCs w:val="20"/>
              </w:rPr>
              <w:t>.</w:t>
            </w:r>
          </w:p>
        </w:tc>
      </w:tr>
      <w:bookmarkEnd w:id="13"/>
      <w:tr w:rsidR="0056747E" w:rsidRPr="008E6588" w14:paraId="14D49AE9" w14:textId="77777777" w:rsidTr="00F4072D">
        <w:tblPrEx>
          <w:tblCellMar>
            <w:top w:w="15" w:type="dxa"/>
            <w:bottom w:w="15" w:type="dxa"/>
          </w:tblCellMar>
        </w:tblPrEx>
        <w:trPr>
          <w:trHeight w:val="20"/>
        </w:trPr>
        <w:tc>
          <w:tcPr>
            <w:tcW w:w="5000" w:type="pct"/>
            <w:gridSpan w:val="10"/>
            <w:tcBorders>
              <w:left w:val="single" w:sz="4" w:space="0" w:color="auto"/>
              <w:right w:val="single" w:sz="4" w:space="0" w:color="auto"/>
            </w:tcBorders>
          </w:tcPr>
          <w:p w14:paraId="5AA20632" w14:textId="77777777" w:rsidR="0056747E" w:rsidRPr="008E6588" w:rsidRDefault="0056747E" w:rsidP="00836DB5">
            <w:pPr>
              <w:keepLines/>
              <w:rPr>
                <w:rFonts w:ascii="Arial Narrow" w:hAnsi="Arial Narrow"/>
                <w:b/>
                <w:bCs/>
                <w:sz w:val="20"/>
                <w:szCs w:val="20"/>
              </w:rPr>
            </w:pPr>
          </w:p>
        </w:tc>
      </w:tr>
      <w:tr w:rsidR="00934824" w:rsidRPr="008E6588" w14:paraId="34335473" w14:textId="77777777" w:rsidTr="00F4072D">
        <w:tblPrEx>
          <w:tblCellMar>
            <w:top w:w="15" w:type="dxa"/>
            <w:bottom w:w="15" w:type="dxa"/>
          </w:tblCellMar>
          <w:tblLook w:val="04A0" w:firstRow="1" w:lastRow="0" w:firstColumn="1" w:lastColumn="0" w:noHBand="0" w:noVBand="1"/>
        </w:tblPrEx>
        <w:trPr>
          <w:gridBefore w:val="1"/>
          <w:wBefore w:w="4" w:type="pct"/>
          <w:trHeight w:val="20"/>
        </w:trPr>
        <w:tc>
          <w:tcPr>
            <w:tcW w:w="4996" w:type="pct"/>
            <w:gridSpan w:val="9"/>
            <w:tcBorders>
              <w:top w:val="single" w:sz="4" w:space="0" w:color="auto"/>
              <w:left w:val="single" w:sz="4" w:space="0" w:color="auto"/>
              <w:right w:val="single" w:sz="4" w:space="0" w:color="auto"/>
            </w:tcBorders>
            <w:vAlign w:val="center"/>
          </w:tcPr>
          <w:p w14:paraId="4420AA55" w14:textId="7A06277C" w:rsidR="00934824" w:rsidRPr="008E6588" w:rsidRDefault="00934824" w:rsidP="00836DB5">
            <w:pPr>
              <w:keepLines/>
              <w:rPr>
                <w:rFonts w:ascii="Arial Narrow" w:hAnsi="Arial Narrow" w:cs="Arial"/>
                <w:b/>
                <w:sz w:val="20"/>
                <w:szCs w:val="20"/>
              </w:rPr>
            </w:pPr>
            <w:r w:rsidRPr="008E6588">
              <w:rPr>
                <w:rFonts w:ascii="Arial Narrow" w:hAnsi="Arial Narrow"/>
                <w:b/>
                <w:sz w:val="20"/>
                <w:szCs w:val="20"/>
              </w:rPr>
              <w:t xml:space="preserve">Restriction Summary </w:t>
            </w:r>
            <w:r w:rsidR="0056747E" w:rsidRPr="008E6588">
              <w:rPr>
                <w:rFonts w:ascii="Arial Narrow" w:hAnsi="Arial Narrow"/>
                <w:b/>
                <w:sz w:val="20"/>
                <w:szCs w:val="20"/>
              </w:rPr>
              <w:t>15382</w:t>
            </w:r>
            <w:r w:rsidRPr="008E6588">
              <w:rPr>
                <w:rFonts w:ascii="Arial Narrow" w:hAnsi="Arial Narrow"/>
                <w:b/>
                <w:sz w:val="20"/>
                <w:szCs w:val="20"/>
              </w:rPr>
              <w:t xml:space="preserve">/ Treatment of Concept: </w:t>
            </w:r>
            <w:proofErr w:type="gramStart"/>
            <w:r w:rsidRPr="008E6588">
              <w:rPr>
                <w:rFonts w:ascii="Arial Narrow" w:hAnsi="Arial Narrow"/>
                <w:b/>
                <w:sz w:val="20"/>
                <w:szCs w:val="20"/>
              </w:rPr>
              <w:t>1535</w:t>
            </w:r>
            <w:r w:rsidR="0056747E" w:rsidRPr="008E6588">
              <w:rPr>
                <w:rFonts w:ascii="Arial Narrow" w:hAnsi="Arial Narrow"/>
                <w:b/>
                <w:sz w:val="20"/>
                <w:szCs w:val="20"/>
              </w:rPr>
              <w:t>2</w:t>
            </w:r>
            <w:r w:rsidRPr="008E6588">
              <w:rPr>
                <w:rFonts w:ascii="Arial Narrow" w:hAnsi="Arial Narrow"/>
                <w:b/>
                <w:sz w:val="20"/>
                <w:szCs w:val="20"/>
              </w:rPr>
              <w:t xml:space="preserve"> :</w:t>
            </w:r>
            <w:proofErr w:type="gramEnd"/>
            <w:r w:rsidRPr="008E6588">
              <w:rPr>
                <w:rFonts w:ascii="Arial Narrow" w:hAnsi="Arial Narrow"/>
                <w:b/>
                <w:sz w:val="20"/>
                <w:szCs w:val="20"/>
              </w:rPr>
              <w:t xml:space="preserve"> Authority Required</w:t>
            </w:r>
          </w:p>
        </w:tc>
      </w:tr>
      <w:tr w:rsidR="00934824" w:rsidRPr="008E6588" w14:paraId="7C27DBA2" w14:textId="77777777" w:rsidTr="00B923E6">
        <w:tblPrEx>
          <w:tblCellMar>
            <w:top w:w="15" w:type="dxa"/>
            <w:bottom w:w="15" w:type="dxa"/>
          </w:tblCellMar>
        </w:tblPrEx>
        <w:trPr>
          <w:gridBefore w:val="1"/>
          <w:wBefore w:w="4" w:type="pct"/>
          <w:cantSplit/>
          <w:trHeight w:val="20"/>
        </w:trPr>
        <w:tc>
          <w:tcPr>
            <w:tcW w:w="683" w:type="pct"/>
            <w:gridSpan w:val="2"/>
            <w:vAlign w:val="center"/>
          </w:tcPr>
          <w:p w14:paraId="303B83E3" w14:textId="2053A60C" w:rsidR="00934824" w:rsidRPr="008E6588" w:rsidRDefault="00934824" w:rsidP="00836DB5">
            <w:pPr>
              <w:keepLines/>
              <w:jc w:val="center"/>
              <w:rPr>
                <w:rFonts w:ascii="Arial Narrow" w:hAnsi="Arial Narrow"/>
                <w:sz w:val="20"/>
                <w:szCs w:val="20"/>
              </w:rPr>
            </w:pPr>
          </w:p>
        </w:tc>
        <w:tc>
          <w:tcPr>
            <w:tcW w:w="4312" w:type="pct"/>
            <w:gridSpan w:val="7"/>
            <w:vAlign w:val="center"/>
            <w:hideMark/>
          </w:tcPr>
          <w:p w14:paraId="763F7992" w14:textId="77777777" w:rsidR="00934824" w:rsidRPr="008E6588" w:rsidRDefault="00934824" w:rsidP="00836DB5">
            <w:pPr>
              <w:keepLines/>
              <w:rPr>
                <w:rFonts w:ascii="Arial Narrow" w:hAnsi="Arial Narrow"/>
                <w:color w:val="333333"/>
                <w:sz w:val="20"/>
                <w:szCs w:val="20"/>
              </w:rPr>
            </w:pPr>
            <w:r w:rsidRPr="008E6588">
              <w:rPr>
                <w:rFonts w:ascii="Arial Narrow" w:hAnsi="Arial Narrow"/>
                <w:b/>
                <w:bCs/>
                <w:sz w:val="20"/>
                <w:szCs w:val="20"/>
              </w:rPr>
              <w:t>Indication:</w:t>
            </w:r>
            <w:r w:rsidRPr="008E6588">
              <w:rPr>
                <w:rFonts w:ascii="Arial Narrow" w:hAnsi="Arial Narrow"/>
                <w:sz w:val="20"/>
                <w:szCs w:val="20"/>
              </w:rPr>
              <w:t xml:space="preserve"> Uncontrolled severe allergic asthma</w:t>
            </w:r>
          </w:p>
        </w:tc>
      </w:tr>
      <w:tr w:rsidR="00934824" w:rsidRPr="008E6588" w14:paraId="3B2EB32C" w14:textId="77777777" w:rsidTr="00B923E6">
        <w:tblPrEx>
          <w:tblCellMar>
            <w:top w:w="15" w:type="dxa"/>
            <w:bottom w:w="15" w:type="dxa"/>
          </w:tblCellMar>
        </w:tblPrEx>
        <w:trPr>
          <w:gridBefore w:val="1"/>
          <w:wBefore w:w="4" w:type="pct"/>
          <w:cantSplit/>
          <w:trHeight w:val="20"/>
        </w:trPr>
        <w:tc>
          <w:tcPr>
            <w:tcW w:w="683" w:type="pct"/>
            <w:gridSpan w:val="2"/>
            <w:vAlign w:val="center"/>
          </w:tcPr>
          <w:p w14:paraId="2021D0F6" w14:textId="77777777" w:rsidR="00934824" w:rsidRPr="008E6588" w:rsidRDefault="00934824" w:rsidP="00836DB5">
            <w:pPr>
              <w:jc w:val="center"/>
              <w:rPr>
                <w:rFonts w:ascii="Arial Narrow" w:hAnsi="Arial Narrow"/>
                <w:sz w:val="20"/>
                <w:szCs w:val="20"/>
              </w:rPr>
            </w:pPr>
          </w:p>
        </w:tc>
        <w:tc>
          <w:tcPr>
            <w:tcW w:w="4312" w:type="pct"/>
            <w:gridSpan w:val="7"/>
            <w:vAlign w:val="center"/>
            <w:hideMark/>
          </w:tcPr>
          <w:p w14:paraId="4C5A31A0" w14:textId="0395D551" w:rsidR="00934824" w:rsidRPr="008E6588" w:rsidRDefault="00934824" w:rsidP="00836DB5">
            <w:pPr>
              <w:rPr>
                <w:rFonts w:ascii="Arial Narrow" w:hAnsi="Arial Narrow"/>
                <w:sz w:val="20"/>
                <w:szCs w:val="20"/>
              </w:rPr>
            </w:pPr>
            <w:r w:rsidRPr="008E6588">
              <w:rPr>
                <w:rFonts w:ascii="Arial Narrow" w:hAnsi="Arial Narrow"/>
                <w:b/>
                <w:bCs/>
                <w:sz w:val="20"/>
                <w:szCs w:val="20"/>
              </w:rPr>
              <w:t>Treatment Phase:</w:t>
            </w:r>
            <w:r w:rsidRPr="008E6588">
              <w:rPr>
                <w:rFonts w:ascii="Arial Narrow" w:hAnsi="Arial Narrow"/>
                <w:sz w:val="20"/>
                <w:szCs w:val="20"/>
              </w:rPr>
              <w:t xml:space="preserve"> </w:t>
            </w:r>
            <w:r w:rsidR="00A13679" w:rsidRPr="008E6588">
              <w:rPr>
                <w:rFonts w:ascii="Arial Narrow" w:hAnsi="Arial Narrow"/>
                <w:sz w:val="20"/>
                <w:szCs w:val="20"/>
              </w:rPr>
              <w:t>Continuing treatment</w:t>
            </w:r>
          </w:p>
        </w:tc>
      </w:tr>
      <w:tr w:rsidR="00555510" w:rsidRPr="008E6588" w14:paraId="6B4A3147" w14:textId="77777777" w:rsidTr="00427F3D">
        <w:tblPrEx>
          <w:tblCellMar>
            <w:top w:w="15" w:type="dxa"/>
            <w:bottom w:w="15" w:type="dxa"/>
          </w:tblCellMar>
          <w:tblLook w:val="04A0" w:firstRow="1" w:lastRow="0" w:firstColumn="1" w:lastColumn="0" w:noHBand="0" w:noVBand="1"/>
        </w:tblPrEx>
        <w:trPr>
          <w:gridBefore w:val="1"/>
          <w:wBefore w:w="4" w:type="pct"/>
          <w:cantSplit/>
          <w:trHeight w:val="20"/>
        </w:trPr>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749D6" w14:textId="4415CFA2" w:rsidR="00555510" w:rsidRPr="008E6588" w:rsidRDefault="00555510" w:rsidP="00555510">
            <w:pPr>
              <w:jc w:val="center"/>
              <w:rPr>
                <w:rFonts w:ascii="Arial Narrow" w:hAnsi="Arial Narrow"/>
                <w:sz w:val="20"/>
                <w:szCs w:val="20"/>
              </w:rPr>
            </w:pPr>
          </w:p>
        </w:tc>
        <w:tc>
          <w:tcPr>
            <w:tcW w:w="431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88985E" w14:textId="77777777" w:rsidR="00555510" w:rsidRPr="008E6588" w:rsidRDefault="00555510" w:rsidP="00555510">
            <w:pPr>
              <w:rPr>
                <w:rFonts w:ascii="Arial Narrow" w:hAnsi="Arial Narrow"/>
                <w:b/>
                <w:bCs/>
                <w:sz w:val="20"/>
                <w:szCs w:val="20"/>
              </w:rPr>
            </w:pPr>
            <w:r w:rsidRPr="008E6588">
              <w:rPr>
                <w:rFonts w:ascii="Arial Narrow" w:hAnsi="Arial Narrow"/>
                <w:b/>
                <w:bCs/>
                <w:sz w:val="20"/>
                <w:szCs w:val="20"/>
              </w:rPr>
              <w:t>Clinical criteria:</w:t>
            </w:r>
          </w:p>
        </w:tc>
      </w:tr>
      <w:tr w:rsidR="00555510" w:rsidRPr="008E6588" w14:paraId="4861446D" w14:textId="77777777" w:rsidTr="00427F3D">
        <w:tblPrEx>
          <w:tblCellMar>
            <w:top w:w="15" w:type="dxa"/>
            <w:bottom w:w="15" w:type="dxa"/>
          </w:tblCellMar>
          <w:tblLook w:val="04A0" w:firstRow="1" w:lastRow="0" w:firstColumn="1" w:lastColumn="0" w:noHBand="0" w:noVBand="1"/>
        </w:tblPrEx>
        <w:trPr>
          <w:gridBefore w:val="1"/>
          <w:wBefore w:w="4" w:type="pct"/>
          <w:cantSplit/>
          <w:trHeight w:val="20"/>
        </w:trPr>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51568C" w14:textId="13CB5950" w:rsidR="00555510" w:rsidRPr="008E6588" w:rsidRDefault="00555510" w:rsidP="00555510">
            <w:pPr>
              <w:jc w:val="center"/>
              <w:rPr>
                <w:rFonts w:ascii="Arial Narrow" w:hAnsi="Arial Narrow"/>
                <w:sz w:val="20"/>
                <w:szCs w:val="20"/>
              </w:rPr>
            </w:pPr>
          </w:p>
        </w:tc>
        <w:tc>
          <w:tcPr>
            <w:tcW w:w="431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72061D" w14:textId="12A65D67" w:rsidR="00555510" w:rsidRPr="008E6588" w:rsidRDefault="00555510" w:rsidP="00555510">
            <w:pPr>
              <w:rPr>
                <w:rFonts w:ascii="Arial Narrow" w:hAnsi="Arial Narrow"/>
                <w:sz w:val="20"/>
                <w:szCs w:val="20"/>
              </w:rPr>
            </w:pPr>
            <w:r w:rsidRPr="008E6588">
              <w:rPr>
                <w:rFonts w:ascii="Arial Narrow" w:hAnsi="Arial Narrow"/>
                <w:sz w:val="20"/>
                <w:szCs w:val="20"/>
              </w:rPr>
              <w:t>Patient must have a documented history of severe allergic asthma</w:t>
            </w:r>
          </w:p>
        </w:tc>
      </w:tr>
      <w:tr w:rsidR="00555510" w:rsidRPr="008E6588" w14:paraId="744E41D7" w14:textId="77777777" w:rsidTr="00427F3D">
        <w:tblPrEx>
          <w:tblCellMar>
            <w:top w:w="15" w:type="dxa"/>
            <w:bottom w:w="15" w:type="dxa"/>
          </w:tblCellMar>
          <w:tblLook w:val="04A0" w:firstRow="1" w:lastRow="0" w:firstColumn="1" w:lastColumn="0" w:noHBand="0" w:noVBand="1"/>
        </w:tblPrEx>
        <w:trPr>
          <w:gridBefore w:val="1"/>
          <w:wBefore w:w="4" w:type="pct"/>
          <w:cantSplit/>
          <w:trHeight w:val="20"/>
        </w:trPr>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AE4C9" w14:textId="77777777" w:rsidR="00555510" w:rsidRPr="008E6588" w:rsidRDefault="00555510" w:rsidP="00555510">
            <w:pPr>
              <w:jc w:val="center"/>
              <w:rPr>
                <w:rFonts w:ascii="Arial Narrow" w:hAnsi="Arial Narrow"/>
                <w:sz w:val="20"/>
                <w:szCs w:val="20"/>
              </w:rPr>
            </w:pPr>
          </w:p>
        </w:tc>
        <w:tc>
          <w:tcPr>
            <w:tcW w:w="431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77CF08" w14:textId="77777777" w:rsidR="00555510" w:rsidRPr="008E6588" w:rsidRDefault="00555510" w:rsidP="00555510">
            <w:pPr>
              <w:rPr>
                <w:rFonts w:ascii="Arial Narrow" w:hAnsi="Arial Narrow"/>
                <w:b/>
                <w:bCs/>
                <w:sz w:val="20"/>
                <w:szCs w:val="20"/>
              </w:rPr>
            </w:pPr>
            <w:r w:rsidRPr="008E6588">
              <w:rPr>
                <w:rFonts w:ascii="Arial Narrow" w:hAnsi="Arial Narrow"/>
                <w:b/>
                <w:bCs/>
                <w:sz w:val="20"/>
                <w:szCs w:val="20"/>
              </w:rPr>
              <w:t>AND</w:t>
            </w:r>
          </w:p>
        </w:tc>
      </w:tr>
      <w:tr w:rsidR="00555510" w:rsidRPr="008E6588" w14:paraId="184D37D4" w14:textId="77777777" w:rsidTr="00427F3D">
        <w:tblPrEx>
          <w:tblCellMar>
            <w:top w:w="15" w:type="dxa"/>
            <w:bottom w:w="15" w:type="dxa"/>
          </w:tblCellMar>
          <w:tblLook w:val="04A0" w:firstRow="1" w:lastRow="0" w:firstColumn="1" w:lastColumn="0" w:noHBand="0" w:noVBand="1"/>
        </w:tblPrEx>
        <w:trPr>
          <w:gridBefore w:val="1"/>
          <w:wBefore w:w="4" w:type="pct"/>
          <w:cantSplit/>
          <w:trHeight w:val="20"/>
        </w:trPr>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0D06F" w14:textId="7B2E1545" w:rsidR="00555510" w:rsidRPr="008E6588" w:rsidRDefault="00555510" w:rsidP="00555510">
            <w:pPr>
              <w:jc w:val="center"/>
              <w:rPr>
                <w:rFonts w:ascii="Arial Narrow" w:hAnsi="Arial Narrow"/>
                <w:sz w:val="20"/>
                <w:szCs w:val="20"/>
              </w:rPr>
            </w:pPr>
          </w:p>
        </w:tc>
        <w:tc>
          <w:tcPr>
            <w:tcW w:w="431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8931ED" w14:textId="77777777" w:rsidR="00555510" w:rsidRPr="008E6588" w:rsidRDefault="00555510" w:rsidP="00555510">
            <w:pPr>
              <w:rPr>
                <w:rFonts w:ascii="Arial Narrow" w:hAnsi="Arial Narrow"/>
                <w:b/>
                <w:bCs/>
                <w:sz w:val="20"/>
                <w:szCs w:val="20"/>
              </w:rPr>
            </w:pPr>
            <w:r w:rsidRPr="008E6588">
              <w:rPr>
                <w:rFonts w:ascii="Arial Narrow" w:hAnsi="Arial Narrow"/>
                <w:b/>
                <w:bCs/>
                <w:sz w:val="20"/>
                <w:szCs w:val="20"/>
              </w:rPr>
              <w:t>Clinical criteria:</w:t>
            </w:r>
          </w:p>
        </w:tc>
      </w:tr>
      <w:tr w:rsidR="00555510" w:rsidRPr="008E6588" w14:paraId="74507529" w14:textId="77777777" w:rsidTr="00427F3D">
        <w:tblPrEx>
          <w:tblCellMar>
            <w:top w:w="15" w:type="dxa"/>
            <w:bottom w:w="15" w:type="dxa"/>
          </w:tblCellMar>
          <w:tblLook w:val="04A0" w:firstRow="1" w:lastRow="0" w:firstColumn="1" w:lastColumn="0" w:noHBand="0" w:noVBand="1"/>
        </w:tblPrEx>
        <w:trPr>
          <w:gridBefore w:val="1"/>
          <w:wBefore w:w="4" w:type="pct"/>
          <w:cantSplit/>
          <w:trHeight w:val="20"/>
        </w:trPr>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3749D" w14:textId="31F2F5A6" w:rsidR="00555510" w:rsidRPr="008E6588" w:rsidRDefault="00555510" w:rsidP="00555510">
            <w:pPr>
              <w:jc w:val="center"/>
              <w:rPr>
                <w:rFonts w:ascii="Arial Narrow" w:hAnsi="Arial Narrow"/>
                <w:sz w:val="20"/>
                <w:szCs w:val="20"/>
              </w:rPr>
            </w:pPr>
          </w:p>
        </w:tc>
        <w:tc>
          <w:tcPr>
            <w:tcW w:w="431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7D9882" w14:textId="2FEDBC33" w:rsidR="00555510" w:rsidRPr="008E6588" w:rsidRDefault="00555510" w:rsidP="00555510">
            <w:pPr>
              <w:rPr>
                <w:rFonts w:ascii="Arial Narrow" w:hAnsi="Arial Narrow"/>
                <w:sz w:val="20"/>
                <w:szCs w:val="20"/>
              </w:rPr>
            </w:pPr>
            <w:r w:rsidRPr="008E6588">
              <w:rPr>
                <w:rFonts w:ascii="Arial Narrow" w:hAnsi="Arial Narrow"/>
                <w:sz w:val="20"/>
                <w:szCs w:val="20"/>
              </w:rPr>
              <w:t>Patient must have demonstrated or sustained an adequate response to PBS-subsidised treatment with this drug for this condition</w:t>
            </w:r>
          </w:p>
        </w:tc>
      </w:tr>
      <w:tr w:rsidR="00555510" w:rsidRPr="008E6588" w14:paraId="7EE3341E" w14:textId="77777777" w:rsidTr="00427F3D">
        <w:tblPrEx>
          <w:tblCellMar>
            <w:top w:w="15" w:type="dxa"/>
            <w:bottom w:w="15" w:type="dxa"/>
          </w:tblCellMar>
          <w:tblLook w:val="04A0" w:firstRow="1" w:lastRow="0" w:firstColumn="1" w:lastColumn="0" w:noHBand="0" w:noVBand="1"/>
        </w:tblPrEx>
        <w:trPr>
          <w:gridBefore w:val="1"/>
          <w:wBefore w:w="4" w:type="pct"/>
          <w:cantSplit/>
          <w:trHeight w:val="20"/>
        </w:trPr>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BA01A" w14:textId="77777777" w:rsidR="00555510" w:rsidRPr="008E6588" w:rsidRDefault="00555510" w:rsidP="00555510">
            <w:pPr>
              <w:jc w:val="center"/>
              <w:rPr>
                <w:rFonts w:ascii="Arial Narrow" w:hAnsi="Arial Narrow"/>
                <w:sz w:val="20"/>
                <w:szCs w:val="20"/>
              </w:rPr>
            </w:pPr>
          </w:p>
        </w:tc>
        <w:tc>
          <w:tcPr>
            <w:tcW w:w="431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29E92D" w14:textId="77777777" w:rsidR="00555510" w:rsidRPr="008E6588" w:rsidRDefault="00555510" w:rsidP="00555510">
            <w:pPr>
              <w:rPr>
                <w:rFonts w:ascii="Arial Narrow" w:hAnsi="Arial Narrow"/>
                <w:b/>
                <w:bCs/>
                <w:sz w:val="20"/>
                <w:szCs w:val="20"/>
              </w:rPr>
            </w:pPr>
            <w:r w:rsidRPr="008E6588">
              <w:rPr>
                <w:rFonts w:ascii="Arial Narrow" w:hAnsi="Arial Narrow"/>
                <w:b/>
                <w:bCs/>
                <w:sz w:val="20"/>
                <w:szCs w:val="20"/>
              </w:rPr>
              <w:t>AND</w:t>
            </w:r>
          </w:p>
        </w:tc>
      </w:tr>
      <w:tr w:rsidR="00555510" w:rsidRPr="008E6588" w14:paraId="77EBE4F2" w14:textId="77777777" w:rsidTr="00427F3D">
        <w:tblPrEx>
          <w:tblCellMar>
            <w:top w:w="15" w:type="dxa"/>
            <w:bottom w:w="15" w:type="dxa"/>
          </w:tblCellMar>
          <w:tblLook w:val="04A0" w:firstRow="1" w:lastRow="0" w:firstColumn="1" w:lastColumn="0" w:noHBand="0" w:noVBand="1"/>
        </w:tblPrEx>
        <w:trPr>
          <w:gridBefore w:val="1"/>
          <w:wBefore w:w="4" w:type="pct"/>
          <w:cantSplit/>
          <w:trHeight w:val="20"/>
        </w:trPr>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35BC1" w14:textId="50C6A544" w:rsidR="00555510" w:rsidRPr="008E6588" w:rsidRDefault="00555510" w:rsidP="00555510">
            <w:pPr>
              <w:jc w:val="center"/>
              <w:rPr>
                <w:rFonts w:ascii="Arial Narrow" w:hAnsi="Arial Narrow"/>
                <w:sz w:val="20"/>
                <w:szCs w:val="20"/>
              </w:rPr>
            </w:pPr>
          </w:p>
        </w:tc>
        <w:tc>
          <w:tcPr>
            <w:tcW w:w="431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F3FADE" w14:textId="77777777" w:rsidR="00555510" w:rsidRPr="008E6588" w:rsidRDefault="00555510" w:rsidP="00555510">
            <w:pPr>
              <w:rPr>
                <w:rFonts w:ascii="Arial Narrow" w:hAnsi="Arial Narrow"/>
                <w:b/>
                <w:bCs/>
                <w:sz w:val="20"/>
                <w:szCs w:val="20"/>
              </w:rPr>
            </w:pPr>
            <w:r w:rsidRPr="008E6588">
              <w:rPr>
                <w:rFonts w:ascii="Arial Narrow" w:hAnsi="Arial Narrow"/>
                <w:b/>
                <w:bCs/>
                <w:sz w:val="20"/>
                <w:szCs w:val="20"/>
              </w:rPr>
              <w:t>Clinical criteria:</w:t>
            </w:r>
          </w:p>
        </w:tc>
      </w:tr>
      <w:tr w:rsidR="00555510" w:rsidRPr="008E6588" w14:paraId="18C956D1" w14:textId="77777777" w:rsidTr="00427F3D">
        <w:tblPrEx>
          <w:tblCellMar>
            <w:top w:w="15" w:type="dxa"/>
            <w:bottom w:w="15" w:type="dxa"/>
          </w:tblCellMar>
          <w:tblLook w:val="04A0" w:firstRow="1" w:lastRow="0" w:firstColumn="1" w:lastColumn="0" w:noHBand="0" w:noVBand="1"/>
        </w:tblPrEx>
        <w:trPr>
          <w:gridBefore w:val="1"/>
          <w:wBefore w:w="4" w:type="pct"/>
          <w:cantSplit/>
          <w:trHeight w:val="20"/>
        </w:trPr>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B1100" w14:textId="6FBEF1E0" w:rsidR="00555510" w:rsidRPr="008E6588" w:rsidRDefault="00555510" w:rsidP="00555510">
            <w:pPr>
              <w:jc w:val="center"/>
              <w:rPr>
                <w:rFonts w:ascii="Arial Narrow" w:hAnsi="Arial Narrow"/>
                <w:sz w:val="20"/>
                <w:szCs w:val="20"/>
              </w:rPr>
            </w:pPr>
          </w:p>
        </w:tc>
        <w:tc>
          <w:tcPr>
            <w:tcW w:w="431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87F4DB" w14:textId="738C82FA" w:rsidR="00555510" w:rsidRPr="008E6588" w:rsidRDefault="00555510" w:rsidP="00555510">
            <w:pPr>
              <w:rPr>
                <w:rFonts w:ascii="Arial Narrow" w:hAnsi="Arial Narrow"/>
                <w:sz w:val="20"/>
                <w:szCs w:val="20"/>
              </w:rPr>
            </w:pPr>
            <w:r w:rsidRPr="008E6588">
              <w:rPr>
                <w:rFonts w:ascii="Arial Narrow" w:hAnsi="Arial Narrow"/>
                <w:sz w:val="20"/>
                <w:szCs w:val="20"/>
              </w:rPr>
              <w:t>Patient must not receive more than 24 weeks of treatment under this restriction</w:t>
            </w:r>
          </w:p>
        </w:tc>
      </w:tr>
      <w:tr w:rsidR="00555510" w:rsidRPr="008E6588" w14:paraId="17B87CAB" w14:textId="77777777" w:rsidTr="00427F3D">
        <w:tblPrEx>
          <w:tblCellMar>
            <w:top w:w="15" w:type="dxa"/>
            <w:bottom w:w="15" w:type="dxa"/>
          </w:tblCellMar>
          <w:tblLook w:val="04A0" w:firstRow="1" w:lastRow="0" w:firstColumn="1" w:lastColumn="0" w:noHBand="0" w:noVBand="1"/>
        </w:tblPrEx>
        <w:trPr>
          <w:gridBefore w:val="1"/>
          <w:wBefore w:w="4" w:type="pct"/>
          <w:cantSplit/>
          <w:trHeight w:val="20"/>
        </w:trPr>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460EB" w14:textId="0B5205DB" w:rsidR="00555510" w:rsidRPr="008E6588" w:rsidRDefault="00555510" w:rsidP="00555510">
            <w:pPr>
              <w:jc w:val="center"/>
              <w:rPr>
                <w:rFonts w:ascii="Arial Narrow" w:hAnsi="Arial Narrow"/>
                <w:sz w:val="20"/>
                <w:szCs w:val="20"/>
              </w:rPr>
            </w:pPr>
          </w:p>
        </w:tc>
        <w:tc>
          <w:tcPr>
            <w:tcW w:w="431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D72523" w14:textId="77777777" w:rsidR="00555510" w:rsidRPr="008E6588" w:rsidRDefault="00555510" w:rsidP="00555510">
            <w:pPr>
              <w:rPr>
                <w:rFonts w:ascii="Arial Narrow" w:hAnsi="Arial Narrow"/>
                <w:b/>
                <w:bCs/>
                <w:sz w:val="20"/>
                <w:szCs w:val="20"/>
              </w:rPr>
            </w:pPr>
            <w:r w:rsidRPr="008E6588">
              <w:rPr>
                <w:rFonts w:ascii="Arial Narrow" w:hAnsi="Arial Narrow"/>
                <w:b/>
                <w:bCs/>
                <w:sz w:val="20"/>
                <w:szCs w:val="20"/>
              </w:rPr>
              <w:t>Treatment criteria:</w:t>
            </w:r>
          </w:p>
        </w:tc>
      </w:tr>
      <w:tr w:rsidR="00555510" w:rsidRPr="008E6588" w14:paraId="4902F87F" w14:textId="77777777" w:rsidTr="00427F3D">
        <w:tblPrEx>
          <w:tblCellMar>
            <w:top w:w="15" w:type="dxa"/>
            <w:bottom w:w="15" w:type="dxa"/>
          </w:tblCellMar>
          <w:tblLook w:val="04A0" w:firstRow="1" w:lastRow="0" w:firstColumn="1" w:lastColumn="0" w:noHBand="0" w:noVBand="1"/>
        </w:tblPrEx>
        <w:trPr>
          <w:gridBefore w:val="1"/>
          <w:wBefore w:w="4" w:type="pct"/>
          <w:cantSplit/>
          <w:trHeight w:val="20"/>
        </w:trPr>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37481" w14:textId="64B75030" w:rsidR="00555510" w:rsidRPr="008E6588" w:rsidRDefault="00555510" w:rsidP="00555510">
            <w:pPr>
              <w:jc w:val="center"/>
              <w:rPr>
                <w:rFonts w:ascii="Arial Narrow" w:hAnsi="Arial Narrow"/>
                <w:sz w:val="20"/>
                <w:szCs w:val="20"/>
              </w:rPr>
            </w:pPr>
          </w:p>
        </w:tc>
        <w:tc>
          <w:tcPr>
            <w:tcW w:w="431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E93E2D" w14:textId="5C5E912A" w:rsidR="00555510" w:rsidRPr="008E6588" w:rsidRDefault="00555510" w:rsidP="00555510">
            <w:pPr>
              <w:rPr>
                <w:rFonts w:ascii="Arial Narrow" w:hAnsi="Arial Narrow"/>
                <w:sz w:val="20"/>
                <w:szCs w:val="20"/>
              </w:rPr>
            </w:pPr>
            <w:r w:rsidRPr="008E6588">
              <w:rPr>
                <w:rFonts w:ascii="Arial Narrow" w:hAnsi="Arial Narrow"/>
                <w:sz w:val="20"/>
                <w:szCs w:val="20"/>
              </w:rPr>
              <w:t>Must be treated by a medical practitioner who is either a: (</w:t>
            </w:r>
            <w:proofErr w:type="spellStart"/>
            <w:r w:rsidRPr="008E6588">
              <w:rPr>
                <w:rFonts w:ascii="Arial Narrow" w:hAnsi="Arial Narrow"/>
                <w:sz w:val="20"/>
                <w:szCs w:val="20"/>
              </w:rPr>
              <w:t>i</w:t>
            </w:r>
            <w:proofErr w:type="spellEnd"/>
            <w:r w:rsidRPr="008E6588">
              <w:rPr>
                <w:rFonts w:ascii="Arial Narrow" w:hAnsi="Arial Narrow"/>
                <w:sz w:val="20"/>
                <w:szCs w:val="20"/>
              </w:rPr>
              <w:t>) paediatric respiratory physician, (ii) clinical immunologist, (iii) allergist, (iv) paediatrician or general physician experienced in the management of patients with severe asthma, in consultation with a respiratory physician</w:t>
            </w:r>
          </w:p>
        </w:tc>
      </w:tr>
      <w:tr w:rsidR="00555510" w:rsidRPr="008E6588" w14:paraId="6C57EF4C" w14:textId="77777777" w:rsidTr="00427F3D">
        <w:tblPrEx>
          <w:tblCellMar>
            <w:top w:w="15" w:type="dxa"/>
            <w:bottom w:w="15" w:type="dxa"/>
          </w:tblCellMar>
          <w:tblLook w:val="04A0" w:firstRow="1" w:lastRow="0" w:firstColumn="1" w:lastColumn="0" w:noHBand="0" w:noVBand="1"/>
        </w:tblPrEx>
        <w:trPr>
          <w:gridBefore w:val="1"/>
          <w:wBefore w:w="4" w:type="pct"/>
          <w:cantSplit/>
          <w:trHeight w:val="20"/>
        </w:trPr>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40A2A" w14:textId="678C3307" w:rsidR="00555510" w:rsidRPr="008E6588" w:rsidRDefault="00555510" w:rsidP="00555510">
            <w:pPr>
              <w:jc w:val="center"/>
              <w:rPr>
                <w:rFonts w:ascii="Arial Narrow" w:hAnsi="Arial Narrow"/>
                <w:sz w:val="20"/>
                <w:szCs w:val="20"/>
              </w:rPr>
            </w:pPr>
          </w:p>
        </w:tc>
        <w:tc>
          <w:tcPr>
            <w:tcW w:w="431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06B890" w14:textId="77777777" w:rsidR="00555510" w:rsidRPr="008E6588" w:rsidRDefault="00555510" w:rsidP="00555510">
            <w:pPr>
              <w:rPr>
                <w:rFonts w:ascii="Arial Narrow" w:hAnsi="Arial Narrow"/>
                <w:b/>
                <w:bCs/>
                <w:sz w:val="20"/>
                <w:szCs w:val="20"/>
              </w:rPr>
            </w:pPr>
            <w:r w:rsidRPr="008E6588">
              <w:rPr>
                <w:rFonts w:ascii="Arial Narrow" w:hAnsi="Arial Narrow"/>
                <w:b/>
                <w:bCs/>
                <w:sz w:val="20"/>
                <w:szCs w:val="20"/>
              </w:rPr>
              <w:t>Prescribing Instructions:</w:t>
            </w:r>
          </w:p>
          <w:p w14:paraId="5CE334D7" w14:textId="77777777" w:rsidR="00555510" w:rsidRPr="008E6588" w:rsidRDefault="00555510" w:rsidP="00555510">
            <w:pPr>
              <w:rPr>
                <w:rFonts w:ascii="Arial Narrow" w:hAnsi="Arial Narrow"/>
                <w:sz w:val="20"/>
                <w:szCs w:val="20"/>
              </w:rPr>
            </w:pPr>
            <w:r w:rsidRPr="008E6588">
              <w:rPr>
                <w:rFonts w:ascii="Arial Narrow" w:hAnsi="Arial Narrow"/>
                <w:sz w:val="20"/>
                <w:szCs w:val="20"/>
              </w:rPr>
              <w:t>An adequate response to omalizumab treatment is defined as:</w:t>
            </w:r>
          </w:p>
          <w:p w14:paraId="136F15B8" w14:textId="77777777" w:rsidR="00555510" w:rsidRPr="008E6588" w:rsidRDefault="00555510" w:rsidP="00555510">
            <w:pPr>
              <w:rPr>
                <w:rFonts w:ascii="Arial Narrow" w:hAnsi="Arial Narrow"/>
                <w:sz w:val="20"/>
                <w:szCs w:val="20"/>
              </w:rPr>
            </w:pPr>
            <w:r w:rsidRPr="008E6588">
              <w:rPr>
                <w:rFonts w:ascii="Arial Narrow" w:hAnsi="Arial Narrow"/>
                <w:sz w:val="20"/>
                <w:szCs w:val="20"/>
              </w:rPr>
              <w:t>(a) a reduction in the Asthma Control Questionnaire (ACQ-5) or ACQ-IA score of at least 0.5 from baseline, OR</w:t>
            </w:r>
          </w:p>
          <w:p w14:paraId="27A0DFC1" w14:textId="77777777" w:rsidR="00555510" w:rsidRPr="008E6588" w:rsidRDefault="00555510" w:rsidP="00555510">
            <w:pPr>
              <w:rPr>
                <w:rFonts w:ascii="Arial Narrow" w:hAnsi="Arial Narrow"/>
                <w:sz w:val="20"/>
                <w:szCs w:val="20"/>
              </w:rPr>
            </w:pPr>
            <w:r w:rsidRPr="008E6588">
              <w:rPr>
                <w:rFonts w:ascii="Arial Narrow" w:hAnsi="Arial Narrow"/>
                <w:sz w:val="20"/>
                <w:szCs w:val="20"/>
              </w:rPr>
              <w:t>(b) maintenance oral corticosteroid dose reduced by at least 25% from baseline, and no deterioration in ACQ-5 or ACQ-IA score from baseline, OR</w:t>
            </w:r>
          </w:p>
          <w:p w14:paraId="61B4B385" w14:textId="77777777" w:rsidR="00555510" w:rsidRPr="008E6588" w:rsidRDefault="00555510" w:rsidP="00555510">
            <w:pPr>
              <w:rPr>
                <w:rFonts w:ascii="Arial Narrow" w:hAnsi="Arial Narrow"/>
                <w:b/>
                <w:bCs/>
                <w:sz w:val="20"/>
                <w:szCs w:val="20"/>
              </w:rPr>
            </w:pPr>
            <w:r w:rsidRPr="008E6588">
              <w:rPr>
                <w:rFonts w:ascii="Arial Narrow" w:hAnsi="Arial Narrow"/>
                <w:sz w:val="20"/>
                <w:szCs w:val="20"/>
              </w:rPr>
              <w:t>(c) a reduction in the time-adjusted exacerbation rates compared to the 12 months prior to baseline</w:t>
            </w:r>
            <w:r w:rsidRPr="008E6588">
              <w:rPr>
                <w:rFonts w:ascii="Arial Narrow" w:hAnsi="Arial Narrow"/>
                <w:b/>
                <w:bCs/>
                <w:sz w:val="20"/>
                <w:szCs w:val="20"/>
              </w:rPr>
              <w:t>.</w:t>
            </w:r>
          </w:p>
        </w:tc>
      </w:tr>
      <w:tr w:rsidR="00555510" w:rsidRPr="008E6588" w14:paraId="63BC8EAE" w14:textId="77777777" w:rsidTr="00427F3D">
        <w:tblPrEx>
          <w:tblCellMar>
            <w:top w:w="15" w:type="dxa"/>
            <w:bottom w:w="15" w:type="dxa"/>
          </w:tblCellMar>
          <w:tblLook w:val="04A0" w:firstRow="1" w:lastRow="0" w:firstColumn="1" w:lastColumn="0" w:noHBand="0" w:noVBand="1"/>
        </w:tblPrEx>
        <w:trPr>
          <w:gridBefore w:val="1"/>
          <w:wBefore w:w="4" w:type="pct"/>
          <w:cantSplit/>
          <w:trHeight w:val="20"/>
        </w:trPr>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42BBA" w14:textId="088E7B79" w:rsidR="00555510" w:rsidRPr="008E6588" w:rsidRDefault="00555510" w:rsidP="00555510">
            <w:pPr>
              <w:jc w:val="center"/>
              <w:rPr>
                <w:rFonts w:ascii="Arial Narrow" w:hAnsi="Arial Narrow"/>
                <w:sz w:val="20"/>
                <w:szCs w:val="20"/>
              </w:rPr>
            </w:pPr>
          </w:p>
        </w:tc>
        <w:tc>
          <w:tcPr>
            <w:tcW w:w="431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8E2E73" w14:textId="77777777" w:rsidR="00555510" w:rsidRPr="008E6588" w:rsidRDefault="00555510" w:rsidP="00555510">
            <w:pPr>
              <w:rPr>
                <w:rFonts w:ascii="Arial Narrow" w:hAnsi="Arial Narrow"/>
                <w:b/>
                <w:bCs/>
                <w:sz w:val="20"/>
                <w:szCs w:val="20"/>
              </w:rPr>
            </w:pPr>
            <w:r w:rsidRPr="008E6588">
              <w:rPr>
                <w:rFonts w:ascii="Arial Narrow" w:hAnsi="Arial Narrow"/>
                <w:b/>
                <w:bCs/>
                <w:sz w:val="20"/>
                <w:szCs w:val="20"/>
              </w:rPr>
              <w:t>Prescribing Instructions:</w:t>
            </w:r>
          </w:p>
          <w:p w14:paraId="3298CE3D" w14:textId="77777777" w:rsidR="00555510" w:rsidRPr="008E6588" w:rsidRDefault="00555510" w:rsidP="00555510">
            <w:pPr>
              <w:rPr>
                <w:rFonts w:ascii="Arial Narrow" w:hAnsi="Arial Narrow"/>
                <w:sz w:val="20"/>
                <w:szCs w:val="20"/>
              </w:rPr>
            </w:pPr>
            <w:r w:rsidRPr="008E6588">
              <w:rPr>
                <w:rFonts w:ascii="Arial Narrow" w:hAnsi="Arial Narrow"/>
                <w:sz w:val="20"/>
                <w:szCs w:val="20"/>
              </w:rPr>
              <w:t>A measurement of response to the prior course of therapy must be provided at the time of application and should be used to determine eligibility for continuing treatment. The Asthma Control Questionnaire (5 item version) or Asthma Control Questionnaire interviewer administered version (ACQ-IA) assessment of the patient's response to the prior course of treatment, the assessment of systemic corticosteroid dose, and the assessment of time-adjusted exacerbation rate should be made from 20 weeks after the first dose of PBS-subsidised omalizumab so that there is adequate time for a response to be demonstrated. The first assessment should, where possible, be completed by the same physician who initiated treatment with omalizumab.</w:t>
            </w:r>
          </w:p>
          <w:p w14:paraId="2B2CD98C" w14:textId="77777777" w:rsidR="00555510" w:rsidRPr="008E6588" w:rsidRDefault="00555510" w:rsidP="00555510">
            <w:pPr>
              <w:rPr>
                <w:rFonts w:ascii="Arial Narrow" w:hAnsi="Arial Narrow"/>
                <w:sz w:val="20"/>
                <w:szCs w:val="20"/>
              </w:rPr>
            </w:pPr>
            <w:r w:rsidRPr="008E6588">
              <w:rPr>
                <w:rFonts w:ascii="Arial Narrow" w:hAnsi="Arial Narrow"/>
                <w:sz w:val="20"/>
                <w:szCs w:val="20"/>
              </w:rPr>
              <w:t>Where a response assessment is not undertaken and provided at the time of application, the patient will be deemed to have failed to respond to treatment with omalizumab.</w:t>
            </w:r>
          </w:p>
          <w:p w14:paraId="72A28C19" w14:textId="77777777" w:rsidR="00555510" w:rsidRPr="008E6588" w:rsidRDefault="00555510" w:rsidP="00555510">
            <w:pPr>
              <w:rPr>
                <w:rFonts w:ascii="Arial Narrow" w:hAnsi="Arial Narrow"/>
                <w:sz w:val="20"/>
                <w:szCs w:val="20"/>
              </w:rPr>
            </w:pPr>
            <w:r w:rsidRPr="008E6588">
              <w:rPr>
                <w:rFonts w:ascii="Arial Narrow" w:hAnsi="Arial Narrow"/>
                <w:sz w:val="20"/>
                <w:szCs w:val="20"/>
              </w:rPr>
              <w:t>A patient who fails to respond to a course of PBS-subsidised omalizumab for the treatment of uncontrolled severe allergic asthma will not be eligible to receive further PBS-subsidised treatment with omalizumab for this condition within 6 months of the date on which treatment was ceased.</w:t>
            </w:r>
          </w:p>
          <w:p w14:paraId="60E59CC8" w14:textId="77777777" w:rsidR="00555510" w:rsidRPr="008E6588" w:rsidRDefault="00555510" w:rsidP="00555510">
            <w:pPr>
              <w:rPr>
                <w:rFonts w:ascii="Arial Narrow" w:hAnsi="Arial Narrow"/>
                <w:b/>
                <w:bCs/>
                <w:sz w:val="20"/>
                <w:szCs w:val="20"/>
              </w:rPr>
            </w:pPr>
            <w:r w:rsidRPr="008E6588">
              <w:rPr>
                <w:rFonts w:ascii="Arial Narrow" w:hAnsi="Arial Narrow"/>
                <w:sz w:val="20"/>
                <w:szCs w:val="20"/>
              </w:rPr>
              <w:t>At the time of the authority application, medical practitioners should request the appropriate quantity and number of repeats to provide for a continuing course of omalizumab consisting of the recommended number of doses for the baseline IgE level and body weight of the patient (refer to the TGA-approved Product Information), sufficient for 24 weeks of therapy.</w:t>
            </w:r>
          </w:p>
        </w:tc>
      </w:tr>
      <w:tr w:rsidR="00555510" w:rsidRPr="008E6588" w14:paraId="184C11AD" w14:textId="77777777" w:rsidTr="00427F3D">
        <w:tblPrEx>
          <w:tblCellMar>
            <w:top w:w="15" w:type="dxa"/>
            <w:bottom w:w="15" w:type="dxa"/>
          </w:tblCellMar>
          <w:tblLook w:val="04A0" w:firstRow="1" w:lastRow="0" w:firstColumn="1" w:lastColumn="0" w:noHBand="0" w:noVBand="1"/>
        </w:tblPrEx>
        <w:trPr>
          <w:gridBefore w:val="1"/>
          <w:wBefore w:w="4" w:type="pct"/>
          <w:cantSplit/>
          <w:trHeight w:val="20"/>
        </w:trPr>
        <w:tc>
          <w:tcPr>
            <w:tcW w:w="6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A83E0" w14:textId="5D2381F5" w:rsidR="00555510" w:rsidRPr="008E6588" w:rsidRDefault="00555510" w:rsidP="00555510">
            <w:pPr>
              <w:jc w:val="center"/>
              <w:rPr>
                <w:rFonts w:ascii="Arial Narrow" w:hAnsi="Arial Narrow"/>
                <w:sz w:val="20"/>
                <w:szCs w:val="20"/>
              </w:rPr>
            </w:pPr>
          </w:p>
        </w:tc>
        <w:tc>
          <w:tcPr>
            <w:tcW w:w="431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61F9F9" w14:textId="77777777" w:rsidR="00555510" w:rsidRPr="008E6588" w:rsidRDefault="00555510" w:rsidP="00555510">
            <w:pPr>
              <w:rPr>
                <w:rFonts w:ascii="Arial Narrow" w:hAnsi="Arial Narrow"/>
                <w:b/>
                <w:bCs/>
                <w:sz w:val="20"/>
                <w:szCs w:val="20"/>
              </w:rPr>
            </w:pPr>
            <w:r w:rsidRPr="008E6588">
              <w:rPr>
                <w:rFonts w:ascii="Arial Narrow" w:hAnsi="Arial Narrow"/>
                <w:b/>
                <w:bCs/>
                <w:sz w:val="20"/>
                <w:szCs w:val="20"/>
              </w:rPr>
              <w:t>Prescribing Instructions:</w:t>
            </w:r>
          </w:p>
          <w:p w14:paraId="0ABF97E2" w14:textId="77777777" w:rsidR="00555510" w:rsidRPr="008E6588" w:rsidRDefault="00555510" w:rsidP="00555510">
            <w:pPr>
              <w:rPr>
                <w:rFonts w:ascii="Arial Narrow" w:hAnsi="Arial Narrow"/>
                <w:sz w:val="20"/>
                <w:szCs w:val="20"/>
              </w:rPr>
            </w:pPr>
            <w:r w:rsidRPr="008E6588">
              <w:rPr>
                <w:rFonts w:ascii="Arial Narrow" w:hAnsi="Arial Narrow"/>
                <w:sz w:val="20"/>
                <w:szCs w:val="20"/>
              </w:rPr>
              <w:t>The following information must be provided at the time of application and must be documented in the patient's medical records:</w:t>
            </w:r>
          </w:p>
          <w:p w14:paraId="73326515" w14:textId="77777777" w:rsidR="00555510" w:rsidRPr="008E6588" w:rsidRDefault="00555510" w:rsidP="00555510">
            <w:pPr>
              <w:rPr>
                <w:rFonts w:ascii="Arial Narrow" w:hAnsi="Arial Narrow"/>
                <w:sz w:val="20"/>
                <w:szCs w:val="20"/>
              </w:rPr>
            </w:pPr>
            <w:r w:rsidRPr="008E6588">
              <w:rPr>
                <w:rFonts w:ascii="Arial Narrow" w:hAnsi="Arial Narrow"/>
                <w:sz w:val="20"/>
                <w:szCs w:val="20"/>
              </w:rPr>
              <w:t>(a) If applicable, the baseline and maintenance oral corticosteroid dose; and</w:t>
            </w:r>
          </w:p>
          <w:p w14:paraId="6F5CC85E" w14:textId="77777777" w:rsidR="00555510" w:rsidRPr="008E6588" w:rsidRDefault="00555510" w:rsidP="00555510">
            <w:pPr>
              <w:rPr>
                <w:rFonts w:ascii="Arial Narrow" w:hAnsi="Arial Narrow"/>
                <w:sz w:val="20"/>
                <w:szCs w:val="20"/>
              </w:rPr>
            </w:pPr>
            <w:r w:rsidRPr="008E6588">
              <w:rPr>
                <w:rFonts w:ascii="Arial Narrow" w:hAnsi="Arial Narrow"/>
                <w:sz w:val="20"/>
                <w:szCs w:val="20"/>
              </w:rPr>
              <w:t>(b) baseline and current Asthma Control Questionnaire (ACQ-5) date and score; or</w:t>
            </w:r>
          </w:p>
          <w:p w14:paraId="557FB429" w14:textId="77777777" w:rsidR="00555510" w:rsidRPr="008E6588" w:rsidRDefault="00555510" w:rsidP="00555510">
            <w:pPr>
              <w:rPr>
                <w:rFonts w:ascii="Arial Narrow" w:hAnsi="Arial Narrow"/>
                <w:sz w:val="20"/>
                <w:szCs w:val="20"/>
              </w:rPr>
            </w:pPr>
            <w:r w:rsidRPr="008E6588">
              <w:rPr>
                <w:rFonts w:ascii="Arial Narrow" w:hAnsi="Arial Narrow"/>
                <w:sz w:val="20"/>
                <w:szCs w:val="20"/>
              </w:rPr>
              <w:t>(c) baseline and current Asthma Control Questionnaire interviewer administered version (ACQ-IA) date and score; and</w:t>
            </w:r>
          </w:p>
          <w:p w14:paraId="1F2F6608" w14:textId="77777777" w:rsidR="00555510" w:rsidRPr="008E6588" w:rsidRDefault="00555510" w:rsidP="00555510">
            <w:pPr>
              <w:rPr>
                <w:rFonts w:ascii="Arial Narrow" w:hAnsi="Arial Narrow"/>
                <w:sz w:val="20"/>
                <w:szCs w:val="20"/>
              </w:rPr>
            </w:pPr>
            <w:r w:rsidRPr="008E6588">
              <w:rPr>
                <w:rFonts w:ascii="Arial Narrow" w:hAnsi="Arial Narrow"/>
                <w:sz w:val="20"/>
                <w:szCs w:val="20"/>
              </w:rPr>
              <w:t>(d) if applicable, confirmation that the time-adjusted exacerbation rate has reduced.</w:t>
            </w:r>
          </w:p>
          <w:p w14:paraId="786A1246" w14:textId="77777777" w:rsidR="00555510" w:rsidRPr="008E6588" w:rsidRDefault="00555510" w:rsidP="00555510">
            <w:pPr>
              <w:rPr>
                <w:rFonts w:ascii="Arial Narrow" w:hAnsi="Arial Narrow"/>
                <w:b/>
                <w:bCs/>
                <w:sz w:val="20"/>
                <w:szCs w:val="20"/>
              </w:rPr>
            </w:pPr>
            <w:r w:rsidRPr="008E6588">
              <w:rPr>
                <w:rFonts w:ascii="Arial Narrow" w:hAnsi="Arial Narrow"/>
                <w:sz w:val="20"/>
                <w:szCs w:val="20"/>
              </w:rPr>
              <w:t>The most recent Asthma Control Questionnaire (ACQ-5) score or Asthma Control Questionnaire interviewer administered version (ACQ-IA) score must be no more than 4 weeks old at the time of application.</w:t>
            </w:r>
          </w:p>
        </w:tc>
      </w:tr>
      <w:tr w:rsidR="00934824" w:rsidRPr="008E6588" w14:paraId="5D8A06E3" w14:textId="77777777" w:rsidTr="00427F3D">
        <w:tblPrEx>
          <w:tblCellMar>
            <w:top w:w="15" w:type="dxa"/>
            <w:bottom w:w="15" w:type="dxa"/>
          </w:tblCellMar>
          <w:tblLook w:val="04A0" w:firstRow="1" w:lastRow="0" w:firstColumn="1" w:lastColumn="0" w:noHBand="0" w:noVBand="1"/>
        </w:tblPrEx>
        <w:trPr>
          <w:gridBefore w:val="1"/>
          <w:wBefore w:w="4" w:type="pct"/>
          <w:cantSplit/>
          <w:trHeight w:val="20"/>
        </w:trPr>
        <w:tc>
          <w:tcPr>
            <w:tcW w:w="683" w:type="pct"/>
            <w:gridSpan w:val="2"/>
            <w:vAlign w:val="center"/>
          </w:tcPr>
          <w:p w14:paraId="4138765D" w14:textId="1DC6706F" w:rsidR="00934824" w:rsidRPr="008E6588" w:rsidRDefault="00934824" w:rsidP="00836DB5">
            <w:pPr>
              <w:jc w:val="center"/>
              <w:rPr>
                <w:rFonts w:ascii="Arial Narrow" w:hAnsi="Arial Narrow"/>
                <w:iCs/>
                <w:sz w:val="20"/>
                <w:szCs w:val="20"/>
              </w:rPr>
            </w:pPr>
            <w:r w:rsidRPr="008E6588">
              <w:rPr>
                <w:rFonts w:ascii="Arial Narrow" w:hAnsi="Arial Narrow"/>
                <w:iCs/>
                <w:sz w:val="20"/>
                <w:szCs w:val="20"/>
              </w:rPr>
              <w:t>Caution</w:t>
            </w:r>
            <w:r w:rsidR="00427F3D" w:rsidRPr="008E6588">
              <w:rPr>
                <w:rFonts w:ascii="Arial Narrow" w:hAnsi="Arial Narrow"/>
                <w:iCs/>
                <w:sz w:val="20"/>
                <w:szCs w:val="20"/>
                <w:vertAlign w:val="superscript"/>
              </w:rPr>
              <w:t>1</w:t>
            </w:r>
            <w:r w:rsidRPr="008E6588">
              <w:rPr>
                <w:rFonts w:ascii="Arial Narrow" w:hAnsi="Arial Narrow"/>
                <w:iCs/>
                <w:sz w:val="20"/>
                <w:szCs w:val="20"/>
              </w:rPr>
              <w:t>[New]</w:t>
            </w:r>
          </w:p>
        </w:tc>
        <w:tc>
          <w:tcPr>
            <w:tcW w:w="4312" w:type="pct"/>
            <w:gridSpan w:val="7"/>
            <w:vAlign w:val="center"/>
          </w:tcPr>
          <w:p w14:paraId="2E21B0D7" w14:textId="77777777" w:rsidR="00934824" w:rsidRPr="008E6588" w:rsidRDefault="00934824" w:rsidP="00836DB5">
            <w:pPr>
              <w:rPr>
                <w:rFonts w:ascii="Arial Narrow" w:hAnsi="Arial Narrow"/>
                <w:iCs/>
                <w:sz w:val="20"/>
                <w:szCs w:val="20"/>
              </w:rPr>
            </w:pPr>
            <w:r w:rsidRPr="008E6588">
              <w:rPr>
                <w:rFonts w:ascii="Arial Narrow" w:hAnsi="Arial Narrow"/>
                <w:iCs/>
                <w:sz w:val="20"/>
                <w:szCs w:val="20"/>
              </w:rPr>
              <w:t>The omalizumab pen device is not intended for use in children below 12 years of age. For children below 12 years of age with uncontrolled severe allergic asthma, the omalizumab syringe is the appropriate form for this population.</w:t>
            </w:r>
          </w:p>
        </w:tc>
      </w:tr>
      <w:tr w:rsidR="00427F3D" w:rsidRPr="008E6588" w14:paraId="2B0232D6" w14:textId="77777777" w:rsidTr="00427F3D">
        <w:tblPrEx>
          <w:tblCellMar>
            <w:top w:w="15" w:type="dxa"/>
            <w:bottom w:w="15" w:type="dxa"/>
          </w:tblCellMar>
          <w:tblLook w:val="04A0" w:firstRow="1" w:lastRow="0" w:firstColumn="1" w:lastColumn="0" w:noHBand="0" w:noVBand="1"/>
        </w:tblPrEx>
        <w:trPr>
          <w:gridBefore w:val="1"/>
          <w:wBefore w:w="4" w:type="pct"/>
          <w:cantSplit/>
          <w:trHeight w:val="20"/>
        </w:trPr>
        <w:tc>
          <w:tcPr>
            <w:tcW w:w="683" w:type="pct"/>
            <w:gridSpan w:val="2"/>
            <w:tcBorders>
              <w:top w:val="single" w:sz="4" w:space="0" w:color="auto"/>
              <w:left w:val="single" w:sz="4" w:space="0" w:color="auto"/>
              <w:bottom w:val="single" w:sz="4" w:space="0" w:color="auto"/>
              <w:right w:val="single" w:sz="4" w:space="0" w:color="auto"/>
            </w:tcBorders>
            <w:vAlign w:val="center"/>
          </w:tcPr>
          <w:p w14:paraId="30550FC4" w14:textId="77777777" w:rsidR="00427F3D" w:rsidRPr="008E6588" w:rsidRDefault="00427F3D" w:rsidP="00836DB5">
            <w:pPr>
              <w:jc w:val="center"/>
              <w:rPr>
                <w:rFonts w:ascii="Arial Narrow" w:hAnsi="Arial Narrow"/>
                <w:iCs/>
                <w:sz w:val="20"/>
                <w:szCs w:val="20"/>
              </w:rPr>
            </w:pPr>
            <w:r w:rsidRPr="008E6588">
              <w:rPr>
                <w:rFonts w:ascii="Arial Narrow" w:hAnsi="Arial Narrow"/>
                <w:iCs/>
                <w:sz w:val="20"/>
                <w:szCs w:val="20"/>
              </w:rPr>
              <w:t>Caution</w:t>
            </w:r>
            <w:r w:rsidRPr="008E6588">
              <w:rPr>
                <w:rFonts w:ascii="Arial Narrow" w:hAnsi="Arial Narrow"/>
                <w:sz w:val="20"/>
                <w:szCs w:val="20"/>
                <w:vertAlign w:val="superscript"/>
              </w:rPr>
              <w:t>2</w:t>
            </w:r>
            <w:r w:rsidRPr="008E6588">
              <w:rPr>
                <w:rFonts w:ascii="Arial Narrow" w:hAnsi="Arial Narrow"/>
                <w:iCs/>
                <w:sz w:val="20"/>
                <w:szCs w:val="20"/>
              </w:rPr>
              <w:t>[New]</w:t>
            </w:r>
          </w:p>
        </w:tc>
        <w:tc>
          <w:tcPr>
            <w:tcW w:w="4312" w:type="pct"/>
            <w:gridSpan w:val="7"/>
            <w:tcBorders>
              <w:top w:val="single" w:sz="4" w:space="0" w:color="auto"/>
              <w:left w:val="single" w:sz="4" w:space="0" w:color="auto"/>
              <w:bottom w:val="single" w:sz="4" w:space="0" w:color="auto"/>
              <w:right w:val="single" w:sz="4" w:space="0" w:color="auto"/>
            </w:tcBorders>
            <w:vAlign w:val="center"/>
          </w:tcPr>
          <w:p w14:paraId="4A4A99FC" w14:textId="4B535A0B" w:rsidR="00427F3D" w:rsidRPr="008E6588" w:rsidRDefault="00427F3D" w:rsidP="00836DB5">
            <w:pPr>
              <w:rPr>
                <w:rFonts w:ascii="Arial Narrow" w:hAnsi="Arial Narrow"/>
                <w:iCs/>
                <w:sz w:val="20"/>
                <w:szCs w:val="20"/>
              </w:rPr>
            </w:pPr>
            <w:r w:rsidRPr="008E6588">
              <w:rPr>
                <w:rFonts w:ascii="Arial Narrow" w:hAnsi="Arial Narrow"/>
                <w:iCs/>
                <w:sz w:val="20"/>
                <w:szCs w:val="20"/>
              </w:rPr>
              <w:t>The 300mg/2mL</w:t>
            </w:r>
            <w:r w:rsidR="00B177E9" w:rsidRPr="008E6588">
              <w:rPr>
                <w:rFonts w:ascii="Arial Narrow" w:hAnsi="Arial Narrow"/>
                <w:iCs/>
                <w:sz w:val="20"/>
                <w:szCs w:val="20"/>
              </w:rPr>
              <w:t xml:space="preserve"> omalizumab</w:t>
            </w:r>
            <w:r w:rsidRPr="008E6588">
              <w:rPr>
                <w:rFonts w:ascii="Arial Narrow" w:hAnsi="Arial Narrow"/>
                <w:iCs/>
                <w:sz w:val="20"/>
                <w:szCs w:val="20"/>
              </w:rPr>
              <w:t xml:space="preserve"> </w:t>
            </w:r>
            <w:r w:rsidR="009A7A55" w:rsidRPr="008E6588">
              <w:rPr>
                <w:rFonts w:ascii="Arial Narrow" w:hAnsi="Arial Narrow"/>
                <w:iCs/>
                <w:sz w:val="20"/>
                <w:szCs w:val="20"/>
              </w:rPr>
              <w:t>syringe device</w:t>
            </w:r>
            <w:r w:rsidRPr="008E6588">
              <w:rPr>
                <w:rFonts w:ascii="Arial Narrow" w:hAnsi="Arial Narrow"/>
                <w:iCs/>
                <w:sz w:val="20"/>
                <w:szCs w:val="20"/>
              </w:rPr>
              <w:t xml:space="preserve"> is not intended for use in children under 12 years of age</w:t>
            </w:r>
            <w:r w:rsidR="00836DB5" w:rsidRPr="008E6588">
              <w:rPr>
                <w:rFonts w:ascii="Arial Narrow" w:hAnsi="Arial Narrow"/>
                <w:iCs/>
                <w:sz w:val="20"/>
                <w:szCs w:val="20"/>
              </w:rPr>
              <w:t xml:space="preserve"> for this indication</w:t>
            </w:r>
            <w:r w:rsidRPr="008E6588">
              <w:rPr>
                <w:rFonts w:ascii="Arial Narrow" w:hAnsi="Arial Narrow"/>
                <w:iCs/>
                <w:sz w:val="20"/>
                <w:szCs w:val="20"/>
              </w:rPr>
              <w:t>.</w:t>
            </w:r>
          </w:p>
        </w:tc>
      </w:tr>
    </w:tbl>
    <w:p w14:paraId="1267930D" w14:textId="43E5A4B1" w:rsidR="00BB0B44" w:rsidRPr="008E6588" w:rsidRDefault="00B91BC7">
      <w:pPr>
        <w:rPr>
          <w:rFonts w:ascii="Arial Narrow" w:hAnsi="Arial Narrow"/>
          <w:sz w:val="20"/>
          <w:szCs w:val="20"/>
        </w:rPr>
      </w:pPr>
      <w:r>
        <w:rPr>
          <w:rFonts w:ascii="Arial Narrow" w:hAnsi="Arial Narrow"/>
          <w:sz w:val="20"/>
          <w:szCs w:val="20"/>
        </w:rPr>
        <w:t xml:space="preserve"> </w:t>
      </w:r>
    </w:p>
    <w:p w14:paraId="0A35D9DF" w14:textId="182DC73A" w:rsidR="004164CF" w:rsidRPr="00B91BC7" w:rsidRDefault="008F0947" w:rsidP="00B91BC7">
      <w:pPr>
        <w:pStyle w:val="4-SubsectionHeading"/>
      </w:pPr>
      <w:r w:rsidRPr="00B91BC7">
        <w:t>Uncontrolled severe allergic asthma - Balance of supply in a patient aged 6 to 12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commended listing "/>
        <w:tblDescription w:val="Uncontrolled severe allergic asthma - balance of supply in a patient aged 6 to 12 years&#10;omalizumab 75 mg/0.5 mL injection, 0.5 mL syringe - item code 11962N/ Public&#10;omalizumab 75 mg/0.5 mL injection, 0.5 mL syringe - item code 11958J/ Private&#10;omalizumab 150 mg/mL injection, 1 mL syringe - item code11950Y/ Public&#10;omalizumab 150 mg/mL injection, 1 mL syringe - item code 11932B/ Private&#10;"/>
      </w:tblPr>
      <w:tblGrid>
        <w:gridCol w:w="460"/>
        <w:gridCol w:w="845"/>
        <w:gridCol w:w="2820"/>
        <w:gridCol w:w="1129"/>
        <w:gridCol w:w="986"/>
        <w:gridCol w:w="986"/>
        <w:gridCol w:w="703"/>
        <w:gridCol w:w="1087"/>
      </w:tblGrid>
      <w:tr w:rsidR="004164CF" w:rsidRPr="008E6588" w14:paraId="6C1AD736" w14:textId="77777777" w:rsidTr="00427F3D">
        <w:trPr>
          <w:cantSplit/>
          <w:trHeight w:val="20"/>
        </w:trPr>
        <w:tc>
          <w:tcPr>
            <w:tcW w:w="2287" w:type="pct"/>
            <w:gridSpan w:val="3"/>
            <w:vAlign w:val="center"/>
          </w:tcPr>
          <w:p w14:paraId="4EF3ECBE" w14:textId="77777777" w:rsidR="004164CF" w:rsidRPr="008E6588" w:rsidRDefault="004164CF" w:rsidP="00836DB5">
            <w:pPr>
              <w:keepLines/>
              <w:rPr>
                <w:rFonts w:ascii="Arial Narrow" w:hAnsi="Arial Narrow" w:cs="Arial"/>
                <w:b/>
                <w:bCs/>
                <w:sz w:val="20"/>
                <w:szCs w:val="20"/>
              </w:rPr>
            </w:pPr>
            <w:r w:rsidRPr="008E6588">
              <w:rPr>
                <w:rFonts w:ascii="Arial Narrow" w:hAnsi="Arial Narrow" w:cs="Arial"/>
                <w:b/>
                <w:bCs/>
                <w:sz w:val="20"/>
                <w:szCs w:val="20"/>
              </w:rPr>
              <w:t>MEDICINAL PRODUCT</w:t>
            </w:r>
          </w:p>
          <w:p w14:paraId="7ECE1FB8" w14:textId="77777777" w:rsidR="004164CF" w:rsidRPr="008E6588" w:rsidRDefault="004164CF" w:rsidP="00836DB5">
            <w:pPr>
              <w:keepLines/>
              <w:rPr>
                <w:rFonts w:ascii="Arial Narrow" w:hAnsi="Arial Narrow" w:cs="Arial"/>
                <w:b/>
                <w:sz w:val="20"/>
                <w:szCs w:val="20"/>
              </w:rPr>
            </w:pPr>
            <w:r w:rsidRPr="008E6588">
              <w:rPr>
                <w:rFonts w:ascii="Arial Narrow" w:hAnsi="Arial Narrow" w:cs="Arial"/>
                <w:b/>
                <w:bCs/>
                <w:sz w:val="20"/>
                <w:szCs w:val="20"/>
              </w:rPr>
              <w:t>medicinal product pack</w:t>
            </w:r>
          </w:p>
        </w:tc>
        <w:tc>
          <w:tcPr>
            <w:tcW w:w="626" w:type="pct"/>
            <w:vAlign w:val="center"/>
          </w:tcPr>
          <w:p w14:paraId="44A3C8DC" w14:textId="77777777" w:rsidR="004164CF" w:rsidRPr="008E6588" w:rsidRDefault="004164CF" w:rsidP="00836DB5">
            <w:pPr>
              <w:keepLines/>
              <w:jc w:val="center"/>
              <w:rPr>
                <w:rFonts w:ascii="Arial Narrow" w:hAnsi="Arial Narrow" w:cs="Arial"/>
                <w:b/>
                <w:sz w:val="20"/>
                <w:szCs w:val="20"/>
              </w:rPr>
            </w:pPr>
            <w:r w:rsidRPr="008E6588">
              <w:rPr>
                <w:rFonts w:ascii="Arial Narrow" w:hAnsi="Arial Narrow" w:cs="Arial"/>
                <w:b/>
                <w:sz w:val="20"/>
                <w:szCs w:val="20"/>
              </w:rPr>
              <w:t>PBS item code</w:t>
            </w:r>
          </w:p>
        </w:tc>
        <w:tc>
          <w:tcPr>
            <w:tcW w:w="547" w:type="pct"/>
            <w:vAlign w:val="center"/>
          </w:tcPr>
          <w:p w14:paraId="5A5D72DE" w14:textId="77777777" w:rsidR="004164CF" w:rsidRPr="008E6588" w:rsidRDefault="004164CF" w:rsidP="00836DB5">
            <w:pPr>
              <w:keepLines/>
              <w:jc w:val="center"/>
              <w:rPr>
                <w:rFonts w:ascii="Arial Narrow" w:hAnsi="Arial Narrow" w:cs="Arial"/>
                <w:b/>
                <w:sz w:val="20"/>
                <w:szCs w:val="20"/>
              </w:rPr>
            </w:pPr>
            <w:r w:rsidRPr="008E6588">
              <w:rPr>
                <w:rFonts w:ascii="Arial Narrow" w:hAnsi="Arial Narrow" w:cs="Arial"/>
                <w:b/>
                <w:sz w:val="20"/>
                <w:szCs w:val="20"/>
              </w:rPr>
              <w:t>Max. qty packs</w:t>
            </w:r>
          </w:p>
        </w:tc>
        <w:tc>
          <w:tcPr>
            <w:tcW w:w="547" w:type="pct"/>
            <w:vAlign w:val="center"/>
          </w:tcPr>
          <w:p w14:paraId="4E0C8B69" w14:textId="77777777" w:rsidR="004164CF" w:rsidRPr="008E6588" w:rsidRDefault="004164CF" w:rsidP="00836DB5">
            <w:pPr>
              <w:keepLines/>
              <w:jc w:val="center"/>
              <w:rPr>
                <w:rFonts w:ascii="Arial Narrow" w:hAnsi="Arial Narrow" w:cs="Arial"/>
                <w:b/>
                <w:sz w:val="20"/>
                <w:szCs w:val="20"/>
              </w:rPr>
            </w:pPr>
            <w:r w:rsidRPr="008E6588">
              <w:rPr>
                <w:rFonts w:ascii="Arial Narrow" w:hAnsi="Arial Narrow" w:cs="Arial"/>
                <w:b/>
                <w:sz w:val="20"/>
                <w:szCs w:val="20"/>
              </w:rPr>
              <w:t>Max. qty units</w:t>
            </w:r>
          </w:p>
        </w:tc>
        <w:tc>
          <w:tcPr>
            <w:tcW w:w="390" w:type="pct"/>
            <w:vAlign w:val="center"/>
          </w:tcPr>
          <w:p w14:paraId="524D100A" w14:textId="77777777" w:rsidR="004164CF" w:rsidRPr="008E6588" w:rsidRDefault="004164CF" w:rsidP="00836DB5">
            <w:pPr>
              <w:keepLines/>
              <w:jc w:val="center"/>
              <w:rPr>
                <w:rFonts w:ascii="Arial Narrow" w:hAnsi="Arial Narrow" w:cs="Arial"/>
                <w:b/>
                <w:bCs/>
                <w:sz w:val="20"/>
                <w:szCs w:val="20"/>
              </w:rPr>
            </w:pPr>
            <w:proofErr w:type="gramStart"/>
            <w:r w:rsidRPr="008E6588">
              <w:rPr>
                <w:rFonts w:ascii="Arial Narrow" w:hAnsi="Arial Narrow" w:cs="Arial"/>
                <w:b/>
                <w:bCs/>
                <w:sz w:val="20"/>
                <w:szCs w:val="20"/>
              </w:rPr>
              <w:t>№.of</w:t>
            </w:r>
            <w:proofErr w:type="gramEnd"/>
          </w:p>
          <w:p w14:paraId="716D21C0" w14:textId="77777777" w:rsidR="004164CF" w:rsidRPr="008E6588" w:rsidRDefault="004164CF" w:rsidP="00836DB5">
            <w:pPr>
              <w:keepLines/>
              <w:jc w:val="center"/>
              <w:rPr>
                <w:rFonts w:ascii="Arial Narrow" w:hAnsi="Arial Narrow" w:cs="Arial"/>
                <w:b/>
                <w:bCs/>
                <w:sz w:val="20"/>
                <w:szCs w:val="20"/>
              </w:rPr>
            </w:pPr>
            <w:r w:rsidRPr="008E6588">
              <w:rPr>
                <w:rFonts w:ascii="Arial Narrow" w:hAnsi="Arial Narrow" w:cs="Arial"/>
                <w:b/>
                <w:bCs/>
                <w:sz w:val="20"/>
                <w:szCs w:val="20"/>
              </w:rPr>
              <w:t>Rpts</w:t>
            </w:r>
          </w:p>
        </w:tc>
        <w:tc>
          <w:tcPr>
            <w:tcW w:w="600" w:type="pct"/>
            <w:vAlign w:val="center"/>
          </w:tcPr>
          <w:p w14:paraId="02B4C5F4" w14:textId="77777777" w:rsidR="004164CF" w:rsidRPr="008E6588" w:rsidRDefault="004164CF" w:rsidP="00836DB5">
            <w:pPr>
              <w:keepLines/>
              <w:rPr>
                <w:rFonts w:ascii="Arial Narrow" w:hAnsi="Arial Narrow" w:cs="Arial"/>
                <w:b/>
                <w:sz w:val="20"/>
                <w:szCs w:val="20"/>
                <w:lang w:val="fr-FR"/>
              </w:rPr>
            </w:pPr>
            <w:r w:rsidRPr="008E6588">
              <w:rPr>
                <w:rFonts w:ascii="Arial Narrow" w:hAnsi="Arial Narrow" w:cs="Arial"/>
                <w:b/>
                <w:sz w:val="20"/>
                <w:szCs w:val="20"/>
              </w:rPr>
              <w:t>Available brands</w:t>
            </w:r>
          </w:p>
        </w:tc>
      </w:tr>
      <w:tr w:rsidR="004164CF" w:rsidRPr="008E6588" w14:paraId="2D52B372" w14:textId="77777777" w:rsidTr="00F4072D">
        <w:trPr>
          <w:cantSplit/>
          <w:trHeight w:val="20"/>
        </w:trPr>
        <w:tc>
          <w:tcPr>
            <w:tcW w:w="4997" w:type="pct"/>
            <w:gridSpan w:val="8"/>
            <w:vAlign w:val="center"/>
          </w:tcPr>
          <w:p w14:paraId="5CBF2DF3" w14:textId="77777777" w:rsidR="004164CF" w:rsidRPr="008E6588" w:rsidRDefault="004164CF" w:rsidP="00836DB5">
            <w:pPr>
              <w:keepLines/>
              <w:rPr>
                <w:rFonts w:ascii="Arial Narrow" w:hAnsi="Arial Narrow" w:cs="Arial"/>
                <w:sz w:val="20"/>
                <w:szCs w:val="20"/>
              </w:rPr>
            </w:pPr>
            <w:r w:rsidRPr="008E6588">
              <w:rPr>
                <w:rFonts w:ascii="Arial Narrow" w:hAnsi="Arial Narrow" w:cs="Arial"/>
                <w:sz w:val="20"/>
                <w:szCs w:val="20"/>
              </w:rPr>
              <w:t>OMALIZUMAB</w:t>
            </w:r>
          </w:p>
        </w:tc>
      </w:tr>
      <w:tr w:rsidR="004164CF" w:rsidRPr="008E6588" w14:paraId="50E5163F" w14:textId="77777777" w:rsidTr="00427F3D">
        <w:trPr>
          <w:cantSplit/>
          <w:trHeight w:val="20"/>
        </w:trPr>
        <w:tc>
          <w:tcPr>
            <w:tcW w:w="2287" w:type="pct"/>
            <w:gridSpan w:val="3"/>
            <w:vAlign w:val="center"/>
          </w:tcPr>
          <w:p w14:paraId="58BAF308" w14:textId="77777777" w:rsidR="004164CF" w:rsidRPr="008E6588" w:rsidRDefault="004164CF" w:rsidP="00836DB5">
            <w:pPr>
              <w:keepLines/>
              <w:rPr>
                <w:rFonts w:ascii="Arial Narrow" w:hAnsi="Arial Narrow" w:cs="Arial"/>
                <w:sz w:val="20"/>
                <w:szCs w:val="20"/>
              </w:rPr>
            </w:pPr>
            <w:r w:rsidRPr="008E6588">
              <w:rPr>
                <w:rFonts w:ascii="Arial Narrow" w:hAnsi="Arial Narrow" w:cs="Arial"/>
                <w:sz w:val="20"/>
                <w:szCs w:val="20"/>
              </w:rPr>
              <w:t>omalizumab 75 mg/0.5 mL injection, 0.5 mL syringe</w:t>
            </w:r>
          </w:p>
        </w:tc>
        <w:tc>
          <w:tcPr>
            <w:tcW w:w="626" w:type="pct"/>
          </w:tcPr>
          <w:p w14:paraId="170A52D9" w14:textId="77777777" w:rsidR="004164CF" w:rsidRPr="008E6588" w:rsidRDefault="004164CF" w:rsidP="00836DB5">
            <w:pPr>
              <w:keepLines/>
              <w:jc w:val="center"/>
              <w:rPr>
                <w:rFonts w:ascii="Arial Narrow" w:hAnsi="Arial Narrow" w:cs="Arial"/>
                <w:sz w:val="20"/>
                <w:szCs w:val="20"/>
              </w:rPr>
            </w:pPr>
            <w:r w:rsidRPr="008E6588">
              <w:rPr>
                <w:rFonts w:ascii="Arial Narrow" w:hAnsi="Arial Narrow" w:cs="Arial"/>
                <w:sz w:val="20"/>
                <w:szCs w:val="20"/>
              </w:rPr>
              <w:t>11962N/ Public</w:t>
            </w:r>
          </w:p>
        </w:tc>
        <w:tc>
          <w:tcPr>
            <w:tcW w:w="547" w:type="pct"/>
          </w:tcPr>
          <w:p w14:paraId="0219199D" w14:textId="77777777" w:rsidR="004164CF" w:rsidRPr="008E6588" w:rsidRDefault="004164CF"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547" w:type="pct"/>
          </w:tcPr>
          <w:p w14:paraId="17F85A27" w14:textId="77777777" w:rsidR="004164CF" w:rsidRPr="008E6588" w:rsidRDefault="004164CF"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390" w:type="pct"/>
          </w:tcPr>
          <w:p w14:paraId="2DA753E7" w14:textId="77777777" w:rsidR="004164CF" w:rsidRPr="008E6588" w:rsidRDefault="004164CF" w:rsidP="00836DB5">
            <w:pPr>
              <w:keepLines/>
              <w:jc w:val="center"/>
              <w:rPr>
                <w:rFonts w:ascii="Arial Narrow" w:hAnsi="Arial Narrow" w:cs="Arial"/>
                <w:sz w:val="20"/>
                <w:szCs w:val="20"/>
              </w:rPr>
            </w:pPr>
            <w:r w:rsidRPr="008E6588">
              <w:rPr>
                <w:rFonts w:ascii="Arial Narrow" w:hAnsi="Arial Narrow" w:cs="Arial"/>
                <w:sz w:val="20"/>
                <w:szCs w:val="20"/>
              </w:rPr>
              <w:t>0</w:t>
            </w:r>
          </w:p>
        </w:tc>
        <w:tc>
          <w:tcPr>
            <w:tcW w:w="600" w:type="pct"/>
            <w:vMerge w:val="restart"/>
            <w:vAlign w:val="center"/>
          </w:tcPr>
          <w:p w14:paraId="074A8536" w14:textId="77777777" w:rsidR="004164CF" w:rsidRPr="008E6588" w:rsidRDefault="004164CF" w:rsidP="00836DB5">
            <w:pPr>
              <w:keepLines/>
              <w:jc w:val="center"/>
              <w:rPr>
                <w:rFonts w:ascii="Arial Narrow" w:hAnsi="Arial Narrow" w:cs="Arial"/>
                <w:sz w:val="20"/>
                <w:szCs w:val="20"/>
              </w:rPr>
            </w:pPr>
            <w:r w:rsidRPr="008E6588">
              <w:rPr>
                <w:rFonts w:ascii="Arial Narrow" w:hAnsi="Arial Narrow" w:cs="Arial"/>
                <w:sz w:val="20"/>
                <w:szCs w:val="20"/>
              </w:rPr>
              <w:t>Xolair</w:t>
            </w:r>
          </w:p>
        </w:tc>
      </w:tr>
      <w:tr w:rsidR="004164CF" w:rsidRPr="008E6588" w14:paraId="3C410ABE" w14:textId="77777777" w:rsidTr="00427F3D">
        <w:trPr>
          <w:cantSplit/>
          <w:trHeight w:val="20"/>
        </w:trPr>
        <w:tc>
          <w:tcPr>
            <w:tcW w:w="2287" w:type="pct"/>
            <w:gridSpan w:val="3"/>
            <w:vAlign w:val="center"/>
          </w:tcPr>
          <w:p w14:paraId="7F936079" w14:textId="77777777" w:rsidR="004164CF" w:rsidRPr="008E6588" w:rsidRDefault="004164CF" w:rsidP="00836DB5">
            <w:pPr>
              <w:keepLines/>
              <w:rPr>
                <w:rFonts w:ascii="Arial Narrow" w:hAnsi="Arial Narrow" w:cs="Arial"/>
                <w:sz w:val="20"/>
                <w:szCs w:val="20"/>
              </w:rPr>
            </w:pPr>
            <w:r w:rsidRPr="008E6588">
              <w:rPr>
                <w:rFonts w:ascii="Arial Narrow" w:hAnsi="Arial Narrow" w:cs="Arial"/>
                <w:sz w:val="20"/>
                <w:szCs w:val="20"/>
              </w:rPr>
              <w:t>omalizumab 75 mg/0.5 mL injection, 0.5 mL syringe</w:t>
            </w:r>
          </w:p>
        </w:tc>
        <w:tc>
          <w:tcPr>
            <w:tcW w:w="626" w:type="pct"/>
          </w:tcPr>
          <w:p w14:paraId="53E9103F" w14:textId="77777777" w:rsidR="004164CF" w:rsidRPr="008E6588" w:rsidRDefault="004164CF" w:rsidP="00836DB5">
            <w:pPr>
              <w:keepLines/>
              <w:jc w:val="center"/>
              <w:rPr>
                <w:rFonts w:ascii="Arial Narrow" w:hAnsi="Arial Narrow" w:cs="Arial"/>
                <w:sz w:val="20"/>
                <w:szCs w:val="20"/>
              </w:rPr>
            </w:pPr>
            <w:r w:rsidRPr="008E6588">
              <w:rPr>
                <w:rFonts w:ascii="Arial Narrow" w:hAnsi="Arial Narrow" w:cs="Arial"/>
                <w:sz w:val="20"/>
                <w:szCs w:val="20"/>
              </w:rPr>
              <w:t>11958J/ Private</w:t>
            </w:r>
          </w:p>
        </w:tc>
        <w:tc>
          <w:tcPr>
            <w:tcW w:w="547" w:type="pct"/>
          </w:tcPr>
          <w:p w14:paraId="2F211854" w14:textId="77777777" w:rsidR="004164CF" w:rsidRPr="008E6588" w:rsidRDefault="004164CF"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547" w:type="pct"/>
          </w:tcPr>
          <w:p w14:paraId="23AF2762" w14:textId="77777777" w:rsidR="004164CF" w:rsidRPr="008E6588" w:rsidRDefault="004164CF"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390" w:type="pct"/>
          </w:tcPr>
          <w:p w14:paraId="11869E6A" w14:textId="77777777" w:rsidR="004164CF" w:rsidRPr="008E6588" w:rsidRDefault="004164CF" w:rsidP="00836DB5">
            <w:pPr>
              <w:keepLines/>
              <w:jc w:val="center"/>
              <w:rPr>
                <w:rFonts w:ascii="Arial Narrow" w:hAnsi="Arial Narrow" w:cs="Arial"/>
                <w:sz w:val="20"/>
                <w:szCs w:val="20"/>
              </w:rPr>
            </w:pPr>
            <w:r w:rsidRPr="008E6588">
              <w:rPr>
                <w:rFonts w:ascii="Arial Narrow" w:hAnsi="Arial Narrow" w:cs="Arial"/>
                <w:sz w:val="20"/>
                <w:szCs w:val="20"/>
              </w:rPr>
              <w:t>0</w:t>
            </w:r>
          </w:p>
        </w:tc>
        <w:tc>
          <w:tcPr>
            <w:tcW w:w="600" w:type="pct"/>
            <w:vMerge/>
            <w:vAlign w:val="center"/>
          </w:tcPr>
          <w:p w14:paraId="74780ABE" w14:textId="77777777" w:rsidR="004164CF" w:rsidRPr="008E6588" w:rsidRDefault="004164CF" w:rsidP="00836DB5">
            <w:pPr>
              <w:keepLines/>
              <w:rPr>
                <w:rFonts w:ascii="Arial Narrow" w:hAnsi="Arial Narrow" w:cs="Arial"/>
                <w:sz w:val="20"/>
                <w:szCs w:val="20"/>
              </w:rPr>
            </w:pPr>
          </w:p>
        </w:tc>
      </w:tr>
      <w:tr w:rsidR="004164CF" w:rsidRPr="008E6588" w14:paraId="434A7463" w14:textId="77777777" w:rsidTr="00427F3D">
        <w:trPr>
          <w:cantSplit/>
          <w:trHeight w:val="20"/>
        </w:trPr>
        <w:tc>
          <w:tcPr>
            <w:tcW w:w="2287" w:type="pct"/>
            <w:gridSpan w:val="3"/>
            <w:vAlign w:val="center"/>
          </w:tcPr>
          <w:p w14:paraId="2645EE45" w14:textId="77777777" w:rsidR="004164CF" w:rsidRPr="008E6588" w:rsidRDefault="004164CF" w:rsidP="00836DB5">
            <w:pPr>
              <w:keepLines/>
              <w:rPr>
                <w:rFonts w:ascii="Arial Narrow" w:hAnsi="Arial Narrow" w:cs="Arial"/>
                <w:sz w:val="20"/>
                <w:szCs w:val="20"/>
              </w:rPr>
            </w:pPr>
            <w:r w:rsidRPr="008E6588">
              <w:rPr>
                <w:rFonts w:ascii="Arial Narrow" w:hAnsi="Arial Narrow" w:cs="Arial"/>
                <w:sz w:val="20"/>
                <w:szCs w:val="20"/>
              </w:rPr>
              <w:t>omalizumab 150 mg/mL injection, 1 mL syringe</w:t>
            </w:r>
          </w:p>
        </w:tc>
        <w:tc>
          <w:tcPr>
            <w:tcW w:w="626" w:type="pct"/>
            <w:vAlign w:val="center"/>
          </w:tcPr>
          <w:p w14:paraId="63D29F56" w14:textId="77777777" w:rsidR="004164CF" w:rsidRPr="008E6588" w:rsidRDefault="004164CF" w:rsidP="00836DB5">
            <w:pPr>
              <w:keepLines/>
              <w:jc w:val="center"/>
              <w:rPr>
                <w:rFonts w:ascii="Arial Narrow" w:hAnsi="Arial Narrow" w:cs="Arial"/>
                <w:sz w:val="20"/>
                <w:szCs w:val="20"/>
              </w:rPr>
            </w:pPr>
            <w:r w:rsidRPr="008E6588">
              <w:rPr>
                <w:rFonts w:ascii="Arial Narrow" w:hAnsi="Arial Narrow" w:cs="Arial"/>
                <w:sz w:val="20"/>
                <w:szCs w:val="20"/>
              </w:rPr>
              <w:t>11950Y/ Public</w:t>
            </w:r>
          </w:p>
        </w:tc>
        <w:tc>
          <w:tcPr>
            <w:tcW w:w="547" w:type="pct"/>
          </w:tcPr>
          <w:p w14:paraId="22379104" w14:textId="77777777" w:rsidR="004164CF" w:rsidRPr="008E6588" w:rsidRDefault="004164CF"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547" w:type="pct"/>
          </w:tcPr>
          <w:p w14:paraId="48C31A13" w14:textId="77777777" w:rsidR="004164CF" w:rsidRPr="008E6588" w:rsidRDefault="004164CF"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390" w:type="pct"/>
          </w:tcPr>
          <w:p w14:paraId="7FCC19A6" w14:textId="77777777" w:rsidR="004164CF" w:rsidRPr="008E6588" w:rsidRDefault="004164CF" w:rsidP="00836DB5">
            <w:pPr>
              <w:keepLines/>
              <w:jc w:val="center"/>
              <w:rPr>
                <w:rFonts w:ascii="Arial Narrow" w:hAnsi="Arial Narrow" w:cs="Arial"/>
                <w:sz w:val="20"/>
                <w:szCs w:val="20"/>
              </w:rPr>
            </w:pPr>
            <w:r w:rsidRPr="008E6588">
              <w:rPr>
                <w:rFonts w:ascii="Arial Narrow" w:hAnsi="Arial Narrow" w:cs="Arial"/>
                <w:sz w:val="20"/>
                <w:szCs w:val="20"/>
              </w:rPr>
              <w:t>0</w:t>
            </w:r>
          </w:p>
        </w:tc>
        <w:tc>
          <w:tcPr>
            <w:tcW w:w="600" w:type="pct"/>
            <w:vMerge/>
            <w:vAlign w:val="center"/>
          </w:tcPr>
          <w:p w14:paraId="5400F1D6" w14:textId="77777777" w:rsidR="004164CF" w:rsidRPr="008E6588" w:rsidRDefault="004164CF" w:rsidP="00836DB5">
            <w:pPr>
              <w:keepLines/>
              <w:rPr>
                <w:rFonts w:ascii="Arial Narrow" w:hAnsi="Arial Narrow" w:cs="Arial"/>
                <w:sz w:val="20"/>
                <w:szCs w:val="20"/>
              </w:rPr>
            </w:pPr>
          </w:p>
        </w:tc>
      </w:tr>
      <w:tr w:rsidR="004164CF" w:rsidRPr="008E6588" w14:paraId="049AA2D4" w14:textId="77777777" w:rsidTr="00427F3D">
        <w:trPr>
          <w:cantSplit/>
          <w:trHeight w:val="20"/>
        </w:trPr>
        <w:tc>
          <w:tcPr>
            <w:tcW w:w="2287" w:type="pct"/>
            <w:gridSpan w:val="3"/>
            <w:vAlign w:val="center"/>
          </w:tcPr>
          <w:p w14:paraId="1A5FC50C" w14:textId="77777777" w:rsidR="004164CF" w:rsidRPr="008E6588" w:rsidRDefault="004164CF" w:rsidP="00836DB5">
            <w:pPr>
              <w:keepLines/>
              <w:rPr>
                <w:rFonts w:ascii="Arial Narrow" w:hAnsi="Arial Narrow" w:cs="Arial"/>
                <w:sz w:val="20"/>
                <w:szCs w:val="20"/>
              </w:rPr>
            </w:pPr>
            <w:r w:rsidRPr="008E6588">
              <w:rPr>
                <w:rFonts w:ascii="Arial Narrow" w:hAnsi="Arial Narrow" w:cs="Arial"/>
                <w:sz w:val="20"/>
                <w:szCs w:val="20"/>
              </w:rPr>
              <w:t>omalizumab 150 mg/mL injection, 1 mL syringe</w:t>
            </w:r>
          </w:p>
        </w:tc>
        <w:tc>
          <w:tcPr>
            <w:tcW w:w="626" w:type="pct"/>
            <w:vAlign w:val="center"/>
          </w:tcPr>
          <w:p w14:paraId="671710FC" w14:textId="77777777" w:rsidR="004164CF" w:rsidRPr="008E6588" w:rsidRDefault="004164CF" w:rsidP="00836DB5">
            <w:pPr>
              <w:keepLines/>
              <w:jc w:val="center"/>
              <w:rPr>
                <w:rFonts w:ascii="Arial Narrow" w:hAnsi="Arial Narrow" w:cs="Arial"/>
                <w:sz w:val="20"/>
                <w:szCs w:val="20"/>
              </w:rPr>
            </w:pPr>
            <w:r w:rsidRPr="008E6588">
              <w:rPr>
                <w:rFonts w:ascii="Arial Narrow" w:hAnsi="Arial Narrow" w:cs="Arial"/>
                <w:sz w:val="20"/>
                <w:szCs w:val="20"/>
              </w:rPr>
              <w:t>11932B/ Private</w:t>
            </w:r>
          </w:p>
        </w:tc>
        <w:tc>
          <w:tcPr>
            <w:tcW w:w="547" w:type="pct"/>
          </w:tcPr>
          <w:p w14:paraId="7AF37327" w14:textId="77777777" w:rsidR="004164CF" w:rsidRPr="008E6588" w:rsidRDefault="004164CF"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547" w:type="pct"/>
          </w:tcPr>
          <w:p w14:paraId="689596AD" w14:textId="77777777" w:rsidR="004164CF" w:rsidRPr="008E6588" w:rsidRDefault="004164CF" w:rsidP="00836DB5">
            <w:pPr>
              <w:keepLines/>
              <w:jc w:val="center"/>
              <w:rPr>
                <w:rFonts w:ascii="Arial Narrow" w:hAnsi="Arial Narrow" w:cs="Arial"/>
                <w:sz w:val="20"/>
                <w:szCs w:val="20"/>
              </w:rPr>
            </w:pPr>
            <w:r w:rsidRPr="008E6588">
              <w:rPr>
                <w:rFonts w:ascii="Arial Narrow" w:hAnsi="Arial Narrow" w:cs="Arial"/>
                <w:sz w:val="20"/>
                <w:szCs w:val="20"/>
              </w:rPr>
              <w:t>1</w:t>
            </w:r>
          </w:p>
        </w:tc>
        <w:tc>
          <w:tcPr>
            <w:tcW w:w="390" w:type="pct"/>
          </w:tcPr>
          <w:p w14:paraId="4DC26043" w14:textId="77777777" w:rsidR="004164CF" w:rsidRPr="008E6588" w:rsidRDefault="004164CF" w:rsidP="00836DB5">
            <w:pPr>
              <w:keepLines/>
              <w:jc w:val="center"/>
              <w:rPr>
                <w:rFonts w:ascii="Arial Narrow" w:hAnsi="Arial Narrow" w:cs="Arial"/>
                <w:sz w:val="20"/>
                <w:szCs w:val="20"/>
              </w:rPr>
            </w:pPr>
            <w:r w:rsidRPr="008E6588">
              <w:rPr>
                <w:rFonts w:ascii="Arial Narrow" w:hAnsi="Arial Narrow" w:cs="Arial"/>
                <w:sz w:val="20"/>
                <w:szCs w:val="20"/>
              </w:rPr>
              <w:t>0</w:t>
            </w:r>
          </w:p>
        </w:tc>
        <w:tc>
          <w:tcPr>
            <w:tcW w:w="600" w:type="pct"/>
            <w:vMerge/>
            <w:vAlign w:val="center"/>
          </w:tcPr>
          <w:p w14:paraId="34F3B605" w14:textId="77777777" w:rsidR="004164CF" w:rsidRPr="008E6588" w:rsidRDefault="004164CF" w:rsidP="00836DB5">
            <w:pPr>
              <w:keepLines/>
              <w:rPr>
                <w:rFonts w:ascii="Arial Narrow" w:hAnsi="Arial Narrow" w:cs="Arial"/>
                <w:sz w:val="20"/>
                <w:szCs w:val="20"/>
              </w:rPr>
            </w:pPr>
          </w:p>
        </w:tc>
      </w:tr>
      <w:tr w:rsidR="004164CF" w:rsidRPr="008E6588" w14:paraId="3AC6CA2D" w14:textId="77777777" w:rsidTr="00F4072D">
        <w:tblPrEx>
          <w:tblCellMar>
            <w:top w:w="15" w:type="dxa"/>
            <w:bottom w:w="15" w:type="dxa"/>
          </w:tblCellMar>
          <w:tblLook w:val="04A0" w:firstRow="1" w:lastRow="0" w:firstColumn="1" w:lastColumn="0" w:noHBand="0" w:noVBand="1"/>
        </w:tblPrEx>
        <w:trPr>
          <w:trHeight w:val="20"/>
        </w:trPr>
        <w:tc>
          <w:tcPr>
            <w:tcW w:w="4997" w:type="pct"/>
            <w:gridSpan w:val="8"/>
            <w:tcBorders>
              <w:top w:val="single" w:sz="4" w:space="0" w:color="auto"/>
              <w:left w:val="single" w:sz="4" w:space="0" w:color="auto"/>
              <w:right w:val="single" w:sz="4" w:space="0" w:color="auto"/>
            </w:tcBorders>
            <w:vAlign w:val="center"/>
          </w:tcPr>
          <w:p w14:paraId="3B655DA8" w14:textId="77777777" w:rsidR="004164CF" w:rsidRPr="008E6588" w:rsidRDefault="004164CF" w:rsidP="00836DB5">
            <w:pPr>
              <w:rPr>
                <w:rFonts w:ascii="Arial Narrow" w:hAnsi="Arial Narrow" w:cs="Arial"/>
                <w:sz w:val="20"/>
                <w:szCs w:val="20"/>
              </w:rPr>
            </w:pPr>
          </w:p>
        </w:tc>
      </w:tr>
      <w:tr w:rsidR="004164CF" w:rsidRPr="008E6588" w14:paraId="20919754" w14:textId="77777777" w:rsidTr="003D4AB5">
        <w:tblPrEx>
          <w:tblCellMar>
            <w:top w:w="15" w:type="dxa"/>
            <w:bottom w:w="15" w:type="dxa"/>
          </w:tblCellMar>
          <w:tblLook w:val="04A0" w:firstRow="1" w:lastRow="0" w:firstColumn="1" w:lastColumn="0" w:noHBand="0" w:noVBand="1"/>
        </w:tblPrEx>
        <w:trPr>
          <w:trHeight w:val="20"/>
        </w:trPr>
        <w:tc>
          <w:tcPr>
            <w:tcW w:w="720" w:type="pct"/>
            <w:gridSpan w:val="2"/>
            <w:vMerge w:val="restart"/>
            <w:tcBorders>
              <w:top w:val="single" w:sz="4" w:space="0" w:color="auto"/>
              <w:left w:val="single" w:sz="4" w:space="0" w:color="auto"/>
              <w:right w:val="single" w:sz="4" w:space="0" w:color="auto"/>
            </w:tcBorders>
          </w:tcPr>
          <w:p w14:paraId="1C9AB39F" w14:textId="77777777" w:rsidR="004164CF" w:rsidRPr="008E6588" w:rsidRDefault="004164CF" w:rsidP="00836DB5">
            <w:pPr>
              <w:jc w:val="center"/>
              <w:rPr>
                <w:rFonts w:ascii="Arial Narrow" w:hAnsi="Arial Narrow" w:cs="Arial"/>
                <w:b/>
                <w:sz w:val="20"/>
                <w:szCs w:val="20"/>
              </w:rPr>
            </w:pPr>
            <w:r w:rsidRPr="008E6588">
              <w:rPr>
                <w:rFonts w:ascii="Arial Narrow" w:hAnsi="Arial Narrow" w:cs="Arial"/>
                <w:b/>
                <w:sz w:val="20"/>
                <w:szCs w:val="20"/>
              </w:rPr>
              <w:t xml:space="preserve">Concept ID </w:t>
            </w:r>
            <w:r w:rsidRPr="008E6588">
              <w:rPr>
                <w:rFonts w:ascii="Arial Narrow" w:hAnsi="Arial Narrow" w:cs="Arial"/>
                <w:sz w:val="20"/>
                <w:szCs w:val="20"/>
              </w:rPr>
              <w:t>(for internal Dept. use)</w:t>
            </w:r>
          </w:p>
        </w:tc>
        <w:tc>
          <w:tcPr>
            <w:tcW w:w="4277" w:type="pct"/>
            <w:gridSpan w:val="6"/>
            <w:tcBorders>
              <w:top w:val="single" w:sz="4" w:space="0" w:color="auto"/>
              <w:left w:val="single" w:sz="4" w:space="0" w:color="auto"/>
              <w:bottom w:val="single" w:sz="4" w:space="0" w:color="auto"/>
              <w:right w:val="single" w:sz="4" w:space="0" w:color="auto"/>
            </w:tcBorders>
            <w:vAlign w:val="center"/>
          </w:tcPr>
          <w:p w14:paraId="75E9ACA8" w14:textId="77777777" w:rsidR="004164CF" w:rsidRPr="008E6588" w:rsidRDefault="004164CF" w:rsidP="00836DB5">
            <w:pPr>
              <w:keepLines/>
              <w:rPr>
                <w:rFonts w:ascii="Arial Narrow" w:hAnsi="Arial Narrow" w:cs="Arial"/>
                <w:sz w:val="20"/>
                <w:szCs w:val="20"/>
              </w:rPr>
            </w:pPr>
            <w:r w:rsidRPr="008E6588">
              <w:rPr>
                <w:rFonts w:ascii="Arial Narrow" w:hAnsi="Arial Narrow" w:cs="Arial"/>
                <w:b/>
                <w:sz w:val="20"/>
                <w:szCs w:val="20"/>
              </w:rPr>
              <w:t>Category / Program:</w:t>
            </w:r>
            <w:r w:rsidRPr="008E6588">
              <w:rPr>
                <w:rFonts w:ascii="Arial Narrow" w:hAnsi="Arial Narrow" w:cs="Arial"/>
                <w:sz w:val="20"/>
                <w:szCs w:val="20"/>
              </w:rPr>
              <w:t xml:space="preserve"> </w:t>
            </w:r>
            <w:r w:rsidRPr="008E6588">
              <w:rPr>
                <w:rFonts w:ascii="Arial Narrow" w:eastAsia="Calibri" w:hAnsi="Arial Narrow" w:cs="Arial"/>
                <w:sz w:val="20"/>
                <w:szCs w:val="20"/>
              </w:rPr>
              <w:t>Section 100 – Highly Specialised Drugs Program – Public (Code HB)</w:t>
            </w:r>
            <w:r w:rsidRPr="008E6588">
              <w:rPr>
                <w:rFonts w:ascii="Arial Narrow" w:eastAsia="Calibri" w:hAnsi="Arial Narrow" w:cs="Arial"/>
                <w:color w:val="FF0000"/>
                <w:sz w:val="20"/>
                <w:szCs w:val="20"/>
              </w:rPr>
              <w:t xml:space="preserve"> </w:t>
            </w:r>
            <w:r w:rsidRPr="008E6588">
              <w:rPr>
                <w:rFonts w:ascii="Arial Narrow" w:eastAsia="Calibri" w:hAnsi="Arial Narrow" w:cs="Arial"/>
                <w:sz w:val="20"/>
                <w:szCs w:val="20"/>
              </w:rPr>
              <w:t>/ Private (Code HS)</w:t>
            </w:r>
          </w:p>
        </w:tc>
      </w:tr>
      <w:tr w:rsidR="004164CF" w:rsidRPr="008E6588" w14:paraId="7D71894F" w14:textId="77777777" w:rsidTr="003D4AB5">
        <w:tblPrEx>
          <w:tblCellMar>
            <w:top w:w="15" w:type="dxa"/>
            <w:bottom w:w="15" w:type="dxa"/>
          </w:tblCellMar>
          <w:tblLook w:val="04A0" w:firstRow="1" w:lastRow="0" w:firstColumn="1" w:lastColumn="0" w:noHBand="0" w:noVBand="1"/>
        </w:tblPrEx>
        <w:trPr>
          <w:trHeight w:val="20"/>
        </w:trPr>
        <w:tc>
          <w:tcPr>
            <w:tcW w:w="720" w:type="pct"/>
            <w:gridSpan w:val="2"/>
            <w:vMerge/>
            <w:tcBorders>
              <w:left w:val="single" w:sz="4" w:space="0" w:color="auto"/>
              <w:right w:val="single" w:sz="4" w:space="0" w:color="auto"/>
            </w:tcBorders>
          </w:tcPr>
          <w:p w14:paraId="0C673362" w14:textId="77777777" w:rsidR="004164CF" w:rsidRPr="008E6588" w:rsidRDefault="004164CF" w:rsidP="00836DB5">
            <w:pPr>
              <w:rPr>
                <w:rFonts w:ascii="Arial Narrow" w:hAnsi="Arial Narrow" w:cs="Arial"/>
                <w:sz w:val="20"/>
                <w:szCs w:val="20"/>
              </w:rPr>
            </w:pPr>
          </w:p>
        </w:tc>
        <w:tc>
          <w:tcPr>
            <w:tcW w:w="4277" w:type="pct"/>
            <w:gridSpan w:val="6"/>
            <w:tcBorders>
              <w:top w:val="single" w:sz="4" w:space="0" w:color="auto"/>
              <w:left w:val="single" w:sz="4" w:space="0" w:color="auto"/>
              <w:bottom w:val="single" w:sz="4" w:space="0" w:color="auto"/>
              <w:right w:val="single" w:sz="4" w:space="0" w:color="auto"/>
            </w:tcBorders>
            <w:vAlign w:val="center"/>
          </w:tcPr>
          <w:p w14:paraId="6E2ADD1D" w14:textId="77777777" w:rsidR="004164CF" w:rsidRPr="008E6588" w:rsidRDefault="004164CF" w:rsidP="00836DB5">
            <w:pPr>
              <w:keepLines/>
              <w:rPr>
                <w:rFonts w:ascii="Arial Narrow" w:hAnsi="Arial Narrow" w:cs="Arial"/>
                <w:b/>
                <w:sz w:val="20"/>
                <w:szCs w:val="20"/>
              </w:rPr>
            </w:pPr>
            <w:r w:rsidRPr="008E6588">
              <w:rPr>
                <w:rFonts w:ascii="Arial Narrow" w:hAnsi="Arial Narrow" w:cs="Arial"/>
                <w:b/>
                <w:sz w:val="20"/>
                <w:szCs w:val="20"/>
              </w:rPr>
              <w:t xml:space="preserve">Prescriber type: </w:t>
            </w:r>
            <w:r w:rsidRPr="008E6588">
              <w:rPr>
                <w:rFonts w:ascii="Arial Narrow" w:hAnsi="Arial Narrow" w:cs="Arial"/>
                <w:sz w:val="20"/>
                <w:szCs w:val="20"/>
              </w:rPr>
              <w:fldChar w:fldCharType="begin" w:fldLock="1">
                <w:ffData>
                  <w:name w:val=""/>
                  <w:enabled/>
                  <w:calcOnExit w:val="0"/>
                  <w:checkBox>
                    <w:sizeAuto/>
                    <w:default w:val="1"/>
                  </w:checkBox>
                </w:ffData>
              </w:fldChar>
            </w:r>
            <w:r w:rsidRPr="008E6588">
              <w:rPr>
                <w:rFonts w:ascii="Arial Narrow" w:hAnsi="Arial Narrow" w:cs="Arial"/>
                <w:sz w:val="20"/>
                <w:szCs w:val="20"/>
              </w:rPr>
              <w:instrText xml:space="preserve"> FORMCHECKBOX </w:instrText>
            </w:r>
            <w:r w:rsidRPr="008E6588">
              <w:rPr>
                <w:rFonts w:ascii="Arial Narrow" w:hAnsi="Arial Narrow" w:cs="Arial"/>
                <w:sz w:val="20"/>
                <w:szCs w:val="20"/>
              </w:rPr>
            </w:r>
            <w:r w:rsidRPr="008E6588">
              <w:rPr>
                <w:rFonts w:ascii="Arial Narrow" w:hAnsi="Arial Narrow" w:cs="Arial"/>
                <w:sz w:val="20"/>
                <w:szCs w:val="20"/>
              </w:rPr>
              <w:fldChar w:fldCharType="separate"/>
            </w:r>
            <w:r w:rsidRPr="008E6588">
              <w:rPr>
                <w:rFonts w:ascii="Arial Narrow" w:hAnsi="Arial Narrow" w:cs="Arial"/>
                <w:sz w:val="20"/>
                <w:szCs w:val="20"/>
              </w:rPr>
              <w:fldChar w:fldCharType="end"/>
            </w:r>
            <w:r w:rsidRPr="008E6588">
              <w:rPr>
                <w:rFonts w:ascii="Arial Narrow" w:hAnsi="Arial Narrow" w:cs="Arial"/>
                <w:sz w:val="20"/>
                <w:szCs w:val="20"/>
              </w:rPr>
              <w:t xml:space="preserve">Medical Practitioners </w:t>
            </w:r>
          </w:p>
        </w:tc>
      </w:tr>
      <w:tr w:rsidR="004164CF" w:rsidRPr="008E6588" w14:paraId="75A333F3" w14:textId="77777777" w:rsidTr="003D4AB5">
        <w:tblPrEx>
          <w:tblCellMar>
            <w:top w:w="15" w:type="dxa"/>
            <w:bottom w:w="15" w:type="dxa"/>
          </w:tblCellMar>
          <w:tblLook w:val="04A0" w:firstRow="1" w:lastRow="0" w:firstColumn="1" w:lastColumn="0" w:noHBand="0" w:noVBand="1"/>
        </w:tblPrEx>
        <w:trPr>
          <w:trHeight w:val="20"/>
        </w:trPr>
        <w:tc>
          <w:tcPr>
            <w:tcW w:w="720" w:type="pct"/>
            <w:gridSpan w:val="2"/>
            <w:vMerge/>
            <w:tcBorders>
              <w:left w:val="single" w:sz="4" w:space="0" w:color="auto"/>
              <w:right w:val="single" w:sz="4" w:space="0" w:color="auto"/>
            </w:tcBorders>
          </w:tcPr>
          <w:p w14:paraId="07AD8B92" w14:textId="77777777" w:rsidR="004164CF" w:rsidRPr="008E6588" w:rsidRDefault="004164CF" w:rsidP="00836DB5">
            <w:pPr>
              <w:rPr>
                <w:rFonts w:ascii="Arial Narrow" w:hAnsi="Arial Narrow" w:cs="Arial"/>
                <w:sz w:val="20"/>
                <w:szCs w:val="20"/>
              </w:rPr>
            </w:pPr>
          </w:p>
        </w:tc>
        <w:tc>
          <w:tcPr>
            <w:tcW w:w="4277" w:type="pct"/>
            <w:gridSpan w:val="6"/>
            <w:tcBorders>
              <w:top w:val="single" w:sz="4" w:space="0" w:color="auto"/>
              <w:left w:val="single" w:sz="4" w:space="0" w:color="auto"/>
              <w:bottom w:val="single" w:sz="4" w:space="0" w:color="auto"/>
              <w:right w:val="single" w:sz="4" w:space="0" w:color="auto"/>
            </w:tcBorders>
            <w:vAlign w:val="center"/>
          </w:tcPr>
          <w:p w14:paraId="27D01ADC" w14:textId="77777777" w:rsidR="004164CF" w:rsidRPr="008E6588" w:rsidRDefault="004164CF" w:rsidP="00836DB5">
            <w:pPr>
              <w:keepLines/>
              <w:rPr>
                <w:rFonts w:ascii="Arial Narrow" w:eastAsia="Calibri" w:hAnsi="Arial Narrow" w:cs="Arial"/>
                <w:color w:val="FF0000"/>
                <w:sz w:val="20"/>
                <w:szCs w:val="20"/>
              </w:rPr>
            </w:pPr>
            <w:r w:rsidRPr="008E6588">
              <w:rPr>
                <w:rFonts w:ascii="Arial Narrow" w:hAnsi="Arial Narrow" w:cs="Arial"/>
                <w:b/>
                <w:sz w:val="20"/>
                <w:szCs w:val="20"/>
              </w:rPr>
              <w:t xml:space="preserve">Restriction type: </w:t>
            </w:r>
            <w:r w:rsidRPr="008E6588">
              <w:rPr>
                <w:rFonts w:ascii="Arial Narrow" w:eastAsia="Calibri" w:hAnsi="Arial Narrow" w:cs="Arial"/>
                <w:sz w:val="20"/>
                <w:szCs w:val="20"/>
              </w:rPr>
              <w:fldChar w:fldCharType="begin" w:fldLock="1">
                <w:ffData>
                  <w:name w:val=""/>
                  <w:enabled/>
                  <w:calcOnExit w:val="0"/>
                  <w:checkBox>
                    <w:sizeAuto/>
                    <w:default w:val="1"/>
                  </w:checkBox>
                </w:ffData>
              </w:fldChar>
            </w:r>
            <w:r w:rsidRPr="008E6588">
              <w:rPr>
                <w:rFonts w:ascii="Arial Narrow" w:eastAsia="Calibri" w:hAnsi="Arial Narrow" w:cs="Arial"/>
                <w:sz w:val="20"/>
                <w:szCs w:val="20"/>
              </w:rPr>
              <w:instrText xml:space="preserve"> FORMCHECKBOX </w:instrText>
            </w:r>
            <w:r w:rsidRPr="008E6588">
              <w:rPr>
                <w:rFonts w:ascii="Arial Narrow" w:eastAsia="Calibri" w:hAnsi="Arial Narrow" w:cs="Arial"/>
                <w:sz w:val="20"/>
                <w:szCs w:val="20"/>
              </w:rPr>
            </w:r>
            <w:r w:rsidRPr="008E6588">
              <w:rPr>
                <w:rFonts w:ascii="Arial Narrow" w:eastAsia="Calibri" w:hAnsi="Arial Narrow" w:cs="Arial"/>
                <w:sz w:val="20"/>
                <w:szCs w:val="20"/>
              </w:rPr>
              <w:fldChar w:fldCharType="separate"/>
            </w:r>
            <w:r w:rsidRPr="008E6588">
              <w:rPr>
                <w:rFonts w:ascii="Arial Narrow" w:eastAsia="Calibri" w:hAnsi="Arial Narrow" w:cs="Arial"/>
                <w:sz w:val="20"/>
                <w:szCs w:val="20"/>
              </w:rPr>
              <w:fldChar w:fldCharType="end"/>
            </w:r>
            <w:r w:rsidRPr="008E6588">
              <w:rPr>
                <w:rFonts w:ascii="Arial Narrow" w:eastAsia="Calibri" w:hAnsi="Arial Narrow" w:cs="Arial"/>
                <w:sz w:val="20"/>
                <w:szCs w:val="20"/>
              </w:rPr>
              <w:t>Authority Required (telephone/online PBS Authorities system)</w:t>
            </w:r>
          </w:p>
        </w:tc>
      </w:tr>
      <w:tr w:rsidR="003D4AB5" w:rsidRPr="008E6588" w14:paraId="1B53DF77" w14:textId="77777777" w:rsidTr="00427F3D">
        <w:tblPrEx>
          <w:tblCellMar>
            <w:top w:w="15" w:type="dxa"/>
            <w:bottom w:w="15" w:type="dxa"/>
          </w:tblCellMar>
          <w:tblLook w:val="04A0" w:firstRow="1" w:lastRow="0" w:firstColumn="1" w:lastColumn="0" w:noHBand="0" w:noVBand="1"/>
        </w:tblPrEx>
        <w:trPr>
          <w:trHeight w:val="20"/>
        </w:trPr>
        <w:tc>
          <w:tcPr>
            <w:tcW w:w="723" w:type="pct"/>
            <w:gridSpan w:val="2"/>
            <w:tcBorders>
              <w:left w:val="single" w:sz="4" w:space="0" w:color="auto"/>
              <w:right w:val="single" w:sz="4" w:space="0" w:color="auto"/>
            </w:tcBorders>
          </w:tcPr>
          <w:p w14:paraId="6B51EC99" w14:textId="77777777" w:rsidR="003D4AB5" w:rsidRPr="008E6588" w:rsidRDefault="003D4AB5">
            <w:pPr>
              <w:rPr>
                <w:rFonts w:ascii="Arial Narrow" w:hAnsi="Arial Narrow" w:cs="Arial"/>
                <w:sz w:val="20"/>
                <w:szCs w:val="20"/>
              </w:rPr>
            </w:pPr>
          </w:p>
        </w:tc>
        <w:tc>
          <w:tcPr>
            <w:tcW w:w="4277" w:type="pct"/>
            <w:gridSpan w:val="6"/>
            <w:tcBorders>
              <w:top w:val="single" w:sz="4" w:space="0" w:color="auto"/>
              <w:left w:val="single" w:sz="4" w:space="0" w:color="auto"/>
              <w:bottom w:val="single" w:sz="4" w:space="0" w:color="auto"/>
              <w:right w:val="single" w:sz="4" w:space="0" w:color="auto"/>
            </w:tcBorders>
            <w:vAlign w:val="center"/>
          </w:tcPr>
          <w:p w14:paraId="40EE9195" w14:textId="77D2AC40" w:rsidR="003D4AB5" w:rsidRPr="008E6588" w:rsidRDefault="003D4AB5">
            <w:pPr>
              <w:keepLines/>
              <w:rPr>
                <w:rFonts w:ascii="Arial Narrow" w:hAnsi="Arial Narrow" w:cs="Arial"/>
                <w:b/>
                <w:sz w:val="20"/>
                <w:szCs w:val="20"/>
              </w:rPr>
            </w:pPr>
            <w:r w:rsidRPr="008E6588">
              <w:rPr>
                <w:rFonts w:ascii="Arial Narrow" w:hAnsi="Arial Narrow"/>
                <w:b/>
                <w:sz w:val="20"/>
                <w:szCs w:val="20"/>
              </w:rPr>
              <w:t xml:space="preserve">Authority type: </w:t>
            </w:r>
            <w:r w:rsidRPr="008E6588">
              <w:rPr>
                <w:rFonts w:ascii="Arial Narrow" w:eastAsia="Calibri" w:hAnsi="Arial Narrow"/>
                <w:sz w:val="20"/>
                <w:szCs w:val="20"/>
              </w:rPr>
              <w:fldChar w:fldCharType="begin" w:fldLock="1">
                <w:ffData>
                  <w:name w:val=""/>
                  <w:enabled/>
                  <w:calcOnExit w:val="0"/>
                  <w:checkBox>
                    <w:sizeAuto/>
                    <w:default w:val="1"/>
                  </w:checkBox>
                </w:ffData>
              </w:fldChar>
            </w:r>
            <w:r w:rsidRPr="008E6588">
              <w:rPr>
                <w:rFonts w:ascii="Arial Narrow" w:eastAsia="Calibri" w:hAnsi="Arial Narrow"/>
                <w:sz w:val="20"/>
                <w:szCs w:val="20"/>
              </w:rPr>
              <w:instrText xml:space="preserve"> FORMCHECKBOX </w:instrText>
            </w:r>
            <w:r w:rsidRPr="008E6588">
              <w:rPr>
                <w:rFonts w:ascii="Arial Narrow" w:eastAsia="Calibri" w:hAnsi="Arial Narrow"/>
                <w:sz w:val="20"/>
                <w:szCs w:val="20"/>
              </w:rPr>
            </w:r>
            <w:r w:rsidRPr="008E6588">
              <w:rPr>
                <w:rFonts w:ascii="Arial Narrow" w:eastAsia="Calibri" w:hAnsi="Arial Narrow"/>
                <w:sz w:val="20"/>
                <w:szCs w:val="20"/>
              </w:rPr>
              <w:fldChar w:fldCharType="separate"/>
            </w:r>
            <w:r w:rsidRPr="008E6588">
              <w:rPr>
                <w:rFonts w:ascii="Arial Narrow" w:eastAsia="Calibri" w:hAnsi="Arial Narrow"/>
                <w:sz w:val="20"/>
                <w:szCs w:val="20"/>
              </w:rPr>
              <w:fldChar w:fldCharType="end"/>
            </w:r>
            <w:r w:rsidRPr="008E6588">
              <w:rPr>
                <w:rFonts w:ascii="Arial Narrow" w:eastAsia="Calibri" w:hAnsi="Arial Narrow"/>
                <w:sz w:val="20"/>
                <w:szCs w:val="20"/>
              </w:rPr>
              <w:t xml:space="preserve"> Complex Authority Required (CAR)</w:t>
            </w:r>
          </w:p>
        </w:tc>
      </w:tr>
      <w:tr w:rsidR="00092713" w:rsidRPr="008E6588" w14:paraId="232A19A7" w14:textId="77777777" w:rsidTr="003D4AB5">
        <w:tblPrEx>
          <w:tblCellMar>
            <w:top w:w="15" w:type="dxa"/>
            <w:bottom w:w="15" w:type="dxa"/>
          </w:tblCellMar>
        </w:tblPrEx>
        <w:trPr>
          <w:trHeight w:val="20"/>
        </w:trPr>
        <w:tc>
          <w:tcPr>
            <w:tcW w:w="254" w:type="pct"/>
            <w:vMerge w:val="restart"/>
            <w:tcBorders>
              <w:left w:val="single" w:sz="4" w:space="0" w:color="auto"/>
              <w:right w:val="single" w:sz="4" w:space="0" w:color="auto"/>
            </w:tcBorders>
            <w:textDirection w:val="btLr"/>
          </w:tcPr>
          <w:p w14:paraId="7034E673" w14:textId="77777777" w:rsidR="00092713" w:rsidRPr="008E6588" w:rsidRDefault="00092713" w:rsidP="00836DB5">
            <w:pPr>
              <w:ind w:left="113" w:right="113"/>
              <w:jc w:val="center"/>
              <w:rPr>
                <w:rFonts w:ascii="Arial Narrow" w:hAnsi="Arial Narrow" w:cs="Arial"/>
                <w:sz w:val="20"/>
                <w:szCs w:val="20"/>
              </w:rPr>
            </w:pPr>
            <w:r w:rsidRPr="008E6588">
              <w:rPr>
                <w:rFonts w:ascii="Arial Narrow" w:hAnsi="Arial Narrow" w:cs="Arial"/>
                <w:sz w:val="20"/>
                <w:szCs w:val="20"/>
              </w:rPr>
              <w:t>Prescribing rule level</w:t>
            </w:r>
          </w:p>
        </w:tc>
        <w:tc>
          <w:tcPr>
            <w:tcW w:w="469" w:type="pct"/>
            <w:tcBorders>
              <w:left w:val="single" w:sz="4" w:space="0" w:color="auto"/>
              <w:right w:val="single" w:sz="4" w:space="0" w:color="auto"/>
            </w:tcBorders>
          </w:tcPr>
          <w:p w14:paraId="3879AAF6" w14:textId="363D8C44" w:rsidR="00092713" w:rsidRPr="008E6588" w:rsidRDefault="00092713" w:rsidP="00836DB5">
            <w:pPr>
              <w:jc w:val="left"/>
              <w:rPr>
                <w:rFonts w:ascii="Arial Narrow" w:hAnsi="Arial Narrow" w:cs="Arial"/>
                <w:sz w:val="20"/>
                <w:szCs w:val="20"/>
              </w:rPr>
            </w:pPr>
          </w:p>
        </w:tc>
        <w:tc>
          <w:tcPr>
            <w:tcW w:w="4277" w:type="pct"/>
            <w:gridSpan w:val="6"/>
            <w:tcBorders>
              <w:top w:val="single" w:sz="4" w:space="0" w:color="auto"/>
              <w:left w:val="single" w:sz="4" w:space="0" w:color="auto"/>
              <w:bottom w:val="single" w:sz="4" w:space="0" w:color="auto"/>
              <w:right w:val="single" w:sz="4" w:space="0" w:color="auto"/>
            </w:tcBorders>
          </w:tcPr>
          <w:p w14:paraId="2EA06979" w14:textId="77777777" w:rsidR="00092713" w:rsidRPr="008E6588" w:rsidRDefault="00092713" w:rsidP="00836DB5">
            <w:pPr>
              <w:keepLines/>
              <w:jc w:val="left"/>
              <w:rPr>
                <w:rFonts w:ascii="Arial Narrow" w:hAnsi="Arial Narrow" w:cs="Arial"/>
                <w:sz w:val="20"/>
                <w:szCs w:val="20"/>
              </w:rPr>
            </w:pPr>
            <w:r w:rsidRPr="008E6588">
              <w:rPr>
                <w:rFonts w:ascii="Arial Narrow" w:hAnsi="Arial Narrow" w:cs="Arial"/>
                <w:b/>
                <w:sz w:val="20"/>
                <w:szCs w:val="20"/>
              </w:rPr>
              <w:t>Administrative Advice</w:t>
            </w:r>
            <w:r w:rsidRPr="008E6588">
              <w:rPr>
                <w:rFonts w:ascii="Arial Narrow" w:hAnsi="Arial Narrow" w:cs="Arial"/>
                <w:sz w:val="20"/>
                <w:szCs w:val="20"/>
              </w:rPr>
              <w:t>:</w:t>
            </w:r>
          </w:p>
          <w:p w14:paraId="5AFB1315" w14:textId="77777777" w:rsidR="00092713" w:rsidRPr="008E6588" w:rsidRDefault="00092713" w:rsidP="00836DB5">
            <w:pPr>
              <w:keepLines/>
              <w:jc w:val="left"/>
              <w:rPr>
                <w:rFonts w:ascii="Arial Narrow" w:hAnsi="Arial Narrow" w:cs="Arial"/>
                <w:bCs/>
                <w:sz w:val="20"/>
                <w:szCs w:val="20"/>
              </w:rPr>
            </w:pPr>
            <w:r w:rsidRPr="008E6588">
              <w:rPr>
                <w:rFonts w:ascii="Arial Narrow" w:hAnsi="Arial Narrow" w:cs="Arial"/>
                <w:b/>
                <w:bCs/>
                <w:sz w:val="20"/>
                <w:szCs w:val="20"/>
              </w:rPr>
              <w:t>TREATMENT OF PAEDIATRIC PATIENTS WITH UNCONTROLLED SEVERE ALLERGIC ASTHMA</w:t>
            </w:r>
          </w:p>
          <w:p w14:paraId="6D17FB72" w14:textId="77777777" w:rsidR="00092713" w:rsidRPr="008E6588" w:rsidRDefault="00092713" w:rsidP="00836DB5">
            <w:pPr>
              <w:keepLines/>
              <w:jc w:val="left"/>
              <w:rPr>
                <w:rFonts w:ascii="Arial Narrow" w:hAnsi="Arial Narrow" w:cs="Arial"/>
                <w:bCs/>
                <w:sz w:val="20"/>
                <w:szCs w:val="20"/>
              </w:rPr>
            </w:pPr>
            <w:r w:rsidRPr="008E6588">
              <w:rPr>
                <w:rFonts w:ascii="Arial Narrow" w:hAnsi="Arial Narrow" w:cs="Arial"/>
                <w:bCs/>
                <w:sz w:val="20"/>
                <w:szCs w:val="20"/>
              </w:rPr>
              <w:t>Patients are eligible to commence an 'omalizumab treatment cycle' (initial treatment course with or without continuing treatment course/s) if they satisfy the eligibility criteria as detailed under the initial treatment restriction.</w:t>
            </w:r>
          </w:p>
          <w:p w14:paraId="4C16370E" w14:textId="77777777" w:rsidR="00092713" w:rsidRPr="008E6588" w:rsidRDefault="00092713" w:rsidP="00836DB5">
            <w:pPr>
              <w:keepLines/>
              <w:jc w:val="left"/>
              <w:rPr>
                <w:rFonts w:ascii="Arial Narrow" w:hAnsi="Arial Narrow" w:cs="Arial"/>
                <w:bCs/>
                <w:sz w:val="20"/>
                <w:szCs w:val="20"/>
              </w:rPr>
            </w:pPr>
            <w:r w:rsidRPr="008E6588">
              <w:rPr>
                <w:rFonts w:ascii="Arial Narrow" w:hAnsi="Arial Narrow" w:cs="Arial"/>
                <w:bCs/>
                <w:sz w:val="20"/>
                <w:szCs w:val="20"/>
              </w:rPr>
              <w:t xml:space="preserve">Once a patient has either failed to achieve or maintain a response to omalizumab, they are deemed to have completed a treatment cycle and they </w:t>
            </w:r>
            <w:proofErr w:type="gramStart"/>
            <w:r w:rsidRPr="008E6588">
              <w:rPr>
                <w:rFonts w:ascii="Arial Narrow" w:hAnsi="Arial Narrow" w:cs="Arial"/>
                <w:bCs/>
                <w:sz w:val="20"/>
                <w:szCs w:val="20"/>
              </w:rPr>
              <w:t>must have,</w:t>
            </w:r>
            <w:proofErr w:type="gramEnd"/>
            <w:r w:rsidRPr="008E6588">
              <w:rPr>
                <w:rFonts w:ascii="Arial Narrow" w:hAnsi="Arial Narrow" w:cs="Arial"/>
                <w:bCs/>
                <w:sz w:val="20"/>
                <w:szCs w:val="20"/>
              </w:rPr>
              <w:t xml:space="preserve"> at a minimum, a </w:t>
            </w:r>
            <w:proofErr w:type="gramStart"/>
            <w:r w:rsidRPr="008E6588">
              <w:rPr>
                <w:rFonts w:ascii="Arial Narrow" w:hAnsi="Arial Narrow" w:cs="Arial"/>
                <w:bCs/>
                <w:sz w:val="20"/>
                <w:szCs w:val="20"/>
              </w:rPr>
              <w:t>6 month</w:t>
            </w:r>
            <w:proofErr w:type="gramEnd"/>
            <w:r w:rsidRPr="008E6588">
              <w:rPr>
                <w:rFonts w:ascii="Arial Narrow" w:hAnsi="Arial Narrow" w:cs="Arial"/>
                <w:bCs/>
                <w:sz w:val="20"/>
                <w:szCs w:val="20"/>
              </w:rPr>
              <w:t xml:space="preserve"> break in PBS-subsidised omalizumab therapy before they are eligible to commence the next cycle. The length of a treatment break is measured from the date the most recent treatment with PBS-subsidised omalizumab treatment is stopped to the date of the first application for initial treatment with omalizumab under the new treatment cycle.</w:t>
            </w:r>
          </w:p>
          <w:p w14:paraId="0B4AEAA2" w14:textId="77777777" w:rsidR="00092713" w:rsidRPr="008E6588" w:rsidRDefault="00092713" w:rsidP="00836DB5">
            <w:pPr>
              <w:keepLines/>
              <w:jc w:val="left"/>
              <w:rPr>
                <w:rFonts w:ascii="Arial Narrow" w:hAnsi="Arial Narrow" w:cs="Arial"/>
                <w:bCs/>
                <w:sz w:val="20"/>
                <w:szCs w:val="20"/>
              </w:rPr>
            </w:pPr>
            <w:r w:rsidRPr="008E6588">
              <w:rPr>
                <w:rFonts w:ascii="Arial Narrow" w:hAnsi="Arial Narrow" w:cs="Arial"/>
                <w:bCs/>
                <w:sz w:val="20"/>
                <w:szCs w:val="20"/>
              </w:rPr>
              <w:t xml:space="preserve">There is no limit to the number of </w:t>
            </w:r>
            <w:proofErr w:type="gramStart"/>
            <w:r w:rsidRPr="008E6588">
              <w:rPr>
                <w:rFonts w:ascii="Arial Narrow" w:hAnsi="Arial Narrow" w:cs="Arial"/>
                <w:bCs/>
                <w:sz w:val="20"/>
                <w:szCs w:val="20"/>
              </w:rPr>
              <w:t>treatment</w:t>
            </w:r>
            <w:proofErr w:type="gramEnd"/>
            <w:r w:rsidRPr="008E6588">
              <w:rPr>
                <w:rFonts w:ascii="Arial Narrow" w:hAnsi="Arial Narrow" w:cs="Arial"/>
                <w:bCs/>
                <w:sz w:val="20"/>
                <w:szCs w:val="20"/>
              </w:rPr>
              <w:t xml:space="preserve"> cycles a patient may undertake in their lifetime.</w:t>
            </w:r>
          </w:p>
          <w:p w14:paraId="5417F475" w14:textId="77777777" w:rsidR="00092713" w:rsidRPr="008E6588" w:rsidRDefault="00092713" w:rsidP="00836DB5">
            <w:pPr>
              <w:keepLines/>
              <w:jc w:val="left"/>
              <w:rPr>
                <w:rFonts w:ascii="Arial Narrow" w:hAnsi="Arial Narrow" w:cs="Arial"/>
                <w:bCs/>
                <w:sz w:val="20"/>
                <w:szCs w:val="20"/>
              </w:rPr>
            </w:pPr>
            <w:r w:rsidRPr="008E6588">
              <w:rPr>
                <w:rFonts w:ascii="Arial Narrow" w:hAnsi="Arial Narrow" w:cs="Arial"/>
                <w:bCs/>
                <w:sz w:val="20"/>
                <w:szCs w:val="20"/>
              </w:rPr>
              <w:t>(1) How to prescribe PBS-subsidised omalizumab therapy.</w:t>
            </w:r>
          </w:p>
          <w:p w14:paraId="360A21C5" w14:textId="77777777" w:rsidR="00092713" w:rsidRPr="008E6588" w:rsidRDefault="00092713" w:rsidP="00836DB5">
            <w:pPr>
              <w:keepLines/>
              <w:jc w:val="left"/>
              <w:rPr>
                <w:rFonts w:ascii="Arial Narrow" w:hAnsi="Arial Narrow" w:cs="Arial"/>
                <w:bCs/>
                <w:sz w:val="20"/>
                <w:szCs w:val="20"/>
              </w:rPr>
            </w:pPr>
            <w:r w:rsidRPr="008E6588">
              <w:rPr>
                <w:rFonts w:ascii="Arial Narrow" w:hAnsi="Arial Narrow" w:cs="Arial"/>
                <w:bCs/>
                <w:sz w:val="20"/>
                <w:szCs w:val="20"/>
              </w:rPr>
              <w:t>(a) Initial treatment:</w:t>
            </w:r>
          </w:p>
          <w:p w14:paraId="3DBE404F" w14:textId="77777777" w:rsidR="00092713" w:rsidRPr="008E6588" w:rsidRDefault="00092713" w:rsidP="00836DB5">
            <w:pPr>
              <w:keepLines/>
              <w:jc w:val="left"/>
              <w:rPr>
                <w:rFonts w:ascii="Arial Narrow" w:hAnsi="Arial Narrow" w:cs="Arial"/>
                <w:bCs/>
                <w:sz w:val="20"/>
                <w:szCs w:val="20"/>
              </w:rPr>
            </w:pPr>
            <w:r w:rsidRPr="008E6588">
              <w:rPr>
                <w:rFonts w:ascii="Arial Narrow" w:hAnsi="Arial Narrow" w:cs="Arial"/>
                <w:bCs/>
                <w:sz w:val="20"/>
                <w:szCs w:val="20"/>
              </w:rPr>
              <w:t>Applications for initial treatment should be made where a patient has received no prior PBS-subsidised omalizumab treatment in this treatment cycle and wishes to commence such therapy.</w:t>
            </w:r>
          </w:p>
          <w:p w14:paraId="46B5E3F3" w14:textId="77777777" w:rsidR="00092713" w:rsidRPr="008E6588" w:rsidRDefault="00092713" w:rsidP="00836DB5">
            <w:pPr>
              <w:keepLines/>
              <w:jc w:val="left"/>
              <w:rPr>
                <w:rFonts w:ascii="Arial Narrow" w:hAnsi="Arial Narrow" w:cs="Arial"/>
                <w:bCs/>
                <w:sz w:val="20"/>
                <w:szCs w:val="20"/>
              </w:rPr>
            </w:pPr>
            <w:r w:rsidRPr="008E6588">
              <w:rPr>
                <w:rFonts w:ascii="Arial Narrow" w:hAnsi="Arial Narrow" w:cs="Arial"/>
                <w:bCs/>
                <w:sz w:val="20"/>
                <w:szCs w:val="20"/>
              </w:rPr>
              <w:t>All applications for initial treatment will be limited to provide for a maximum of 28 weeks of therapy for omalizumab.</w:t>
            </w:r>
          </w:p>
          <w:p w14:paraId="4AF6C588" w14:textId="77777777" w:rsidR="00092713" w:rsidRPr="008E6588" w:rsidRDefault="00092713" w:rsidP="00836DB5">
            <w:pPr>
              <w:keepLines/>
              <w:jc w:val="left"/>
              <w:rPr>
                <w:rFonts w:ascii="Arial Narrow" w:hAnsi="Arial Narrow" w:cs="Arial"/>
                <w:bCs/>
                <w:sz w:val="20"/>
                <w:szCs w:val="20"/>
              </w:rPr>
            </w:pPr>
            <w:r w:rsidRPr="008E6588">
              <w:rPr>
                <w:rFonts w:ascii="Arial Narrow" w:hAnsi="Arial Narrow" w:cs="Arial"/>
                <w:bCs/>
                <w:sz w:val="20"/>
                <w:szCs w:val="20"/>
              </w:rPr>
              <w:t>(b) Continuing treatment:</w:t>
            </w:r>
          </w:p>
          <w:p w14:paraId="7804CD97" w14:textId="77777777" w:rsidR="00092713" w:rsidRPr="008E6588" w:rsidRDefault="00092713" w:rsidP="00836DB5">
            <w:pPr>
              <w:keepLines/>
              <w:jc w:val="left"/>
              <w:rPr>
                <w:rFonts w:ascii="Arial Narrow" w:hAnsi="Arial Narrow" w:cs="Arial"/>
                <w:bCs/>
                <w:sz w:val="20"/>
                <w:szCs w:val="20"/>
              </w:rPr>
            </w:pPr>
            <w:r w:rsidRPr="008E6588">
              <w:rPr>
                <w:rFonts w:ascii="Arial Narrow" w:hAnsi="Arial Narrow" w:cs="Arial"/>
                <w:bCs/>
                <w:sz w:val="20"/>
                <w:szCs w:val="20"/>
              </w:rPr>
              <w:t>Following the completion of the initial treatment course with omalizumab, a patient may qualify to receive up to a further 24 weeks of continuing treatment with omalizumab providing they have demonstrated an adequate response to treatment. The patient remains eligible to receive continuing omalizumab treatment in courses of up to 24 weeks providing they continue to sustain the response.</w:t>
            </w:r>
          </w:p>
          <w:p w14:paraId="6B501C3A" w14:textId="77777777" w:rsidR="00092713" w:rsidRPr="008E6588" w:rsidRDefault="00092713" w:rsidP="00836DB5">
            <w:pPr>
              <w:keepLines/>
              <w:jc w:val="left"/>
              <w:rPr>
                <w:rFonts w:ascii="Arial Narrow" w:hAnsi="Arial Narrow" w:cs="Arial"/>
                <w:bCs/>
                <w:sz w:val="20"/>
                <w:szCs w:val="20"/>
              </w:rPr>
            </w:pPr>
            <w:r w:rsidRPr="008E6588">
              <w:rPr>
                <w:rFonts w:ascii="Arial Narrow" w:hAnsi="Arial Narrow" w:cs="Arial"/>
                <w:bCs/>
                <w:sz w:val="20"/>
                <w:szCs w:val="20"/>
              </w:rPr>
              <w:t>(2) Baseline measurements to determine response:</w:t>
            </w:r>
          </w:p>
          <w:p w14:paraId="7B57DF5E" w14:textId="77777777" w:rsidR="00092713" w:rsidRPr="008E6588" w:rsidRDefault="00092713" w:rsidP="00836DB5">
            <w:pPr>
              <w:keepLines/>
              <w:jc w:val="left"/>
              <w:rPr>
                <w:rFonts w:ascii="Arial Narrow" w:hAnsi="Arial Narrow" w:cs="Arial"/>
                <w:bCs/>
                <w:sz w:val="20"/>
                <w:szCs w:val="20"/>
              </w:rPr>
            </w:pPr>
            <w:r w:rsidRPr="008E6588">
              <w:rPr>
                <w:rFonts w:ascii="Arial Narrow" w:hAnsi="Arial Narrow" w:cs="Arial"/>
                <w:bCs/>
                <w:sz w:val="20"/>
                <w:szCs w:val="20"/>
              </w:rPr>
              <w:t xml:space="preserve">Services Australia will determine whether a response to treatment has been demonstrated based on the baseline measurements of the Asthma Control Questionnaire (ACQ; 5 item version) or ACQ-IA, systemic corticosteroid dose and time-adjusted exacerbation rate, submitted with the Initial authority application for omalizumab. However, prescribers may provide new baseline measurements when a new Initial treatment authority application is </w:t>
            </w:r>
            <w:proofErr w:type="gramStart"/>
            <w:r w:rsidRPr="008E6588">
              <w:rPr>
                <w:rFonts w:ascii="Arial Narrow" w:hAnsi="Arial Narrow" w:cs="Arial"/>
                <w:bCs/>
                <w:sz w:val="20"/>
                <w:szCs w:val="20"/>
              </w:rPr>
              <w:t>submitted</w:t>
            </w:r>
            <w:proofErr w:type="gramEnd"/>
            <w:r w:rsidRPr="008E6588">
              <w:rPr>
                <w:rFonts w:ascii="Arial Narrow" w:hAnsi="Arial Narrow" w:cs="Arial"/>
                <w:bCs/>
                <w:sz w:val="20"/>
                <w:szCs w:val="20"/>
              </w:rPr>
              <w:t xml:space="preserve"> and Services Australia will assess response according to these revised baseline measurements.</w:t>
            </w:r>
          </w:p>
          <w:p w14:paraId="7521148D" w14:textId="77777777" w:rsidR="00092713" w:rsidRPr="008E6588" w:rsidRDefault="00092713" w:rsidP="00836DB5">
            <w:pPr>
              <w:keepLines/>
              <w:jc w:val="left"/>
              <w:rPr>
                <w:rFonts w:ascii="Arial Narrow" w:hAnsi="Arial Narrow" w:cs="Arial"/>
                <w:bCs/>
                <w:sz w:val="20"/>
                <w:szCs w:val="20"/>
              </w:rPr>
            </w:pPr>
            <w:r w:rsidRPr="008E6588">
              <w:rPr>
                <w:rFonts w:ascii="Arial Narrow" w:hAnsi="Arial Narrow" w:cs="Arial"/>
                <w:bCs/>
                <w:sz w:val="20"/>
                <w:szCs w:val="20"/>
              </w:rPr>
              <w:t xml:space="preserve">(3) Re-commencement of treatment after a </w:t>
            </w:r>
            <w:proofErr w:type="gramStart"/>
            <w:r w:rsidRPr="008E6588">
              <w:rPr>
                <w:rFonts w:ascii="Arial Narrow" w:hAnsi="Arial Narrow" w:cs="Arial"/>
                <w:bCs/>
                <w:sz w:val="20"/>
                <w:szCs w:val="20"/>
              </w:rPr>
              <w:t>6 month</w:t>
            </w:r>
            <w:proofErr w:type="gramEnd"/>
            <w:r w:rsidRPr="008E6588">
              <w:rPr>
                <w:rFonts w:ascii="Arial Narrow" w:hAnsi="Arial Narrow" w:cs="Arial"/>
                <w:bCs/>
                <w:sz w:val="20"/>
                <w:szCs w:val="20"/>
              </w:rPr>
              <w:t xml:space="preserve"> break in PBS-subsidised therapy:</w:t>
            </w:r>
          </w:p>
          <w:p w14:paraId="111E6BB9" w14:textId="77777777" w:rsidR="00092713" w:rsidRPr="008E6588" w:rsidRDefault="00092713" w:rsidP="00836DB5">
            <w:pPr>
              <w:keepLines/>
              <w:jc w:val="left"/>
              <w:rPr>
                <w:rFonts w:ascii="Arial Narrow" w:hAnsi="Arial Narrow" w:cs="Arial"/>
                <w:bCs/>
                <w:sz w:val="20"/>
                <w:szCs w:val="20"/>
              </w:rPr>
            </w:pPr>
            <w:r w:rsidRPr="008E6588">
              <w:rPr>
                <w:rFonts w:ascii="Arial Narrow" w:hAnsi="Arial Narrow" w:cs="Arial"/>
                <w:bCs/>
                <w:sz w:val="20"/>
                <w:szCs w:val="20"/>
              </w:rPr>
              <w:t>A patient who wishes to trial a second or subsequent treatment cycle following a break in PBS-subsidised omalizumab therapy of at least 6 months, must re-qualify for initial treatment with respect to the indices of disease severity (systemic corticosteroid dose, Asthma Control Questionnaire (ACQ-5) score or ACQ-IA, and relevant exacerbation history). Patients must have received optimised standard therapy, at adequate doses and for the minimum period specified, immediately prior to the time the new baseline assessments are performed.</w:t>
            </w:r>
          </w:p>
          <w:p w14:paraId="57174D7B" w14:textId="77777777" w:rsidR="00092713" w:rsidRPr="008E6588" w:rsidRDefault="00092713" w:rsidP="00836DB5">
            <w:pPr>
              <w:keepLines/>
              <w:jc w:val="left"/>
              <w:rPr>
                <w:rFonts w:ascii="Arial Narrow" w:hAnsi="Arial Narrow" w:cs="Arial"/>
                <w:bCs/>
                <w:sz w:val="20"/>
                <w:szCs w:val="20"/>
              </w:rPr>
            </w:pPr>
            <w:r w:rsidRPr="008E6588">
              <w:rPr>
                <w:rFonts w:ascii="Arial Narrow" w:hAnsi="Arial Narrow" w:cs="Arial"/>
                <w:bCs/>
                <w:sz w:val="20"/>
                <w:szCs w:val="20"/>
              </w:rPr>
              <w:t>(4) Monitoring of patients:</w:t>
            </w:r>
          </w:p>
          <w:p w14:paraId="34044725" w14:textId="77777777" w:rsidR="00092713" w:rsidRPr="008E6588" w:rsidRDefault="00092713" w:rsidP="00836DB5">
            <w:pPr>
              <w:keepLines/>
              <w:jc w:val="left"/>
              <w:rPr>
                <w:rFonts w:ascii="Arial Narrow" w:hAnsi="Arial Narrow" w:cs="Arial"/>
                <w:bCs/>
                <w:sz w:val="20"/>
                <w:szCs w:val="20"/>
              </w:rPr>
            </w:pPr>
            <w:r w:rsidRPr="008E6588">
              <w:rPr>
                <w:rFonts w:ascii="Arial Narrow" w:hAnsi="Arial Narrow" w:cs="Arial"/>
                <w:bCs/>
                <w:sz w:val="20"/>
                <w:szCs w:val="20"/>
              </w:rPr>
              <w:t xml:space="preserve">Anaphylaxis and anaphylactoid reactions have been reported following first or subsequent administration of omalizumab (see Product Information). Patients should be monitored post-injection, and medications for the treatment of anaphylactic reactions should be available for immediate use following administration of omalizumab. Patients should be informed that such reactions are </w:t>
            </w:r>
            <w:proofErr w:type="gramStart"/>
            <w:r w:rsidRPr="008E6588">
              <w:rPr>
                <w:rFonts w:ascii="Arial Narrow" w:hAnsi="Arial Narrow" w:cs="Arial"/>
                <w:bCs/>
                <w:sz w:val="20"/>
                <w:szCs w:val="20"/>
              </w:rPr>
              <w:t>possible</w:t>
            </w:r>
            <w:proofErr w:type="gramEnd"/>
            <w:r w:rsidRPr="008E6588">
              <w:rPr>
                <w:rFonts w:ascii="Arial Narrow" w:hAnsi="Arial Narrow" w:cs="Arial"/>
                <w:bCs/>
                <w:sz w:val="20"/>
                <w:szCs w:val="20"/>
              </w:rPr>
              <w:t xml:space="preserve"> and prompt medical attention should be sought if allergic reactions occur.</w:t>
            </w:r>
          </w:p>
        </w:tc>
      </w:tr>
      <w:tr w:rsidR="00092713" w:rsidRPr="008E6588" w14:paraId="4E1DFA7B" w14:textId="77777777" w:rsidTr="003D4AB5">
        <w:tblPrEx>
          <w:tblCellMar>
            <w:top w:w="15" w:type="dxa"/>
            <w:bottom w:w="15" w:type="dxa"/>
          </w:tblCellMar>
        </w:tblPrEx>
        <w:trPr>
          <w:trHeight w:val="20"/>
        </w:trPr>
        <w:tc>
          <w:tcPr>
            <w:tcW w:w="254" w:type="pct"/>
            <w:vMerge/>
            <w:tcBorders>
              <w:left w:val="single" w:sz="4" w:space="0" w:color="auto"/>
              <w:right w:val="single" w:sz="4" w:space="0" w:color="auto"/>
            </w:tcBorders>
          </w:tcPr>
          <w:p w14:paraId="7AFC0188" w14:textId="77777777" w:rsidR="00092713" w:rsidRPr="008E6588" w:rsidRDefault="00092713" w:rsidP="00836DB5">
            <w:pPr>
              <w:jc w:val="left"/>
              <w:rPr>
                <w:rFonts w:ascii="Arial Narrow" w:hAnsi="Arial Narrow" w:cs="Arial"/>
                <w:sz w:val="20"/>
                <w:szCs w:val="20"/>
              </w:rPr>
            </w:pPr>
          </w:p>
        </w:tc>
        <w:tc>
          <w:tcPr>
            <w:tcW w:w="469" w:type="pct"/>
            <w:tcBorders>
              <w:left w:val="single" w:sz="4" w:space="0" w:color="auto"/>
              <w:right w:val="single" w:sz="4" w:space="0" w:color="auto"/>
            </w:tcBorders>
          </w:tcPr>
          <w:p w14:paraId="460ABB01" w14:textId="09C553BA" w:rsidR="00092713" w:rsidRPr="008E6588" w:rsidRDefault="00092713" w:rsidP="00836DB5">
            <w:pPr>
              <w:jc w:val="left"/>
              <w:textAlignment w:val="baseline"/>
              <w:rPr>
                <w:rFonts w:ascii="Arial Narrow" w:hAnsi="Arial Narrow" w:cs="Open Sans"/>
                <w:color w:val="333333"/>
                <w:sz w:val="20"/>
                <w:szCs w:val="20"/>
              </w:rPr>
            </w:pPr>
          </w:p>
        </w:tc>
        <w:tc>
          <w:tcPr>
            <w:tcW w:w="4277" w:type="pct"/>
            <w:gridSpan w:val="6"/>
            <w:tcBorders>
              <w:top w:val="single" w:sz="4" w:space="0" w:color="auto"/>
              <w:left w:val="single" w:sz="4" w:space="0" w:color="auto"/>
              <w:bottom w:val="single" w:sz="4" w:space="0" w:color="auto"/>
              <w:right w:val="single" w:sz="4" w:space="0" w:color="auto"/>
            </w:tcBorders>
          </w:tcPr>
          <w:p w14:paraId="24B4FB6B" w14:textId="77777777" w:rsidR="00092713" w:rsidRPr="008E6588" w:rsidRDefault="00092713" w:rsidP="00836DB5">
            <w:pPr>
              <w:keepLines/>
              <w:rPr>
                <w:rFonts w:ascii="Arial Narrow" w:hAnsi="Arial Narrow" w:cs="Arial"/>
                <w:sz w:val="20"/>
                <w:szCs w:val="20"/>
              </w:rPr>
            </w:pPr>
            <w:r w:rsidRPr="008E6588">
              <w:rPr>
                <w:rFonts w:ascii="Arial Narrow" w:hAnsi="Arial Narrow" w:cs="Arial"/>
                <w:b/>
                <w:sz w:val="20"/>
                <w:szCs w:val="20"/>
              </w:rPr>
              <w:t>Administrative Advice</w:t>
            </w:r>
            <w:r w:rsidRPr="008E6588">
              <w:rPr>
                <w:rFonts w:ascii="Arial Narrow" w:hAnsi="Arial Narrow" w:cs="Arial"/>
                <w:sz w:val="20"/>
                <w:szCs w:val="20"/>
              </w:rPr>
              <w:t>: 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440D89" w:rsidRPr="008E6588" w14:paraId="79D0BB90" w14:textId="77777777" w:rsidTr="00F4072D">
        <w:tblPrEx>
          <w:tblCellMar>
            <w:top w:w="15" w:type="dxa"/>
            <w:bottom w:w="15" w:type="dxa"/>
          </w:tblCellMar>
          <w:tblLook w:val="04A0" w:firstRow="1" w:lastRow="0" w:firstColumn="1" w:lastColumn="0" w:noHBand="0" w:noVBand="1"/>
        </w:tblPrEx>
        <w:trPr>
          <w:cantSplit/>
          <w:trHeight w:val="20"/>
        </w:trPr>
        <w:tc>
          <w:tcPr>
            <w:tcW w:w="4997" w:type="pct"/>
            <w:gridSpan w:val="8"/>
            <w:vAlign w:val="center"/>
          </w:tcPr>
          <w:p w14:paraId="619A5C38" w14:textId="39D59EAF" w:rsidR="00440D89" w:rsidRPr="008E6588" w:rsidRDefault="00440D89" w:rsidP="00836DB5">
            <w:pPr>
              <w:keepLines/>
              <w:rPr>
                <w:rFonts w:ascii="Arial Narrow" w:hAnsi="Arial Narrow"/>
                <w:b/>
                <w:bCs/>
                <w:sz w:val="20"/>
                <w:szCs w:val="20"/>
              </w:rPr>
            </w:pPr>
          </w:p>
        </w:tc>
      </w:tr>
      <w:tr w:rsidR="00F361A1" w:rsidRPr="008E6588" w14:paraId="04FCF0CD" w14:textId="77777777" w:rsidTr="00F4072D">
        <w:tblPrEx>
          <w:tblCellMar>
            <w:top w:w="15" w:type="dxa"/>
            <w:bottom w:w="15" w:type="dxa"/>
          </w:tblCellMar>
          <w:tblLook w:val="04A0" w:firstRow="1" w:lastRow="0" w:firstColumn="1" w:lastColumn="0" w:noHBand="0" w:noVBand="1"/>
        </w:tblPrEx>
        <w:trPr>
          <w:cantSplit/>
          <w:trHeight w:val="20"/>
        </w:trPr>
        <w:tc>
          <w:tcPr>
            <w:tcW w:w="4997" w:type="pct"/>
            <w:gridSpan w:val="8"/>
            <w:vAlign w:val="center"/>
          </w:tcPr>
          <w:p w14:paraId="1FD9E398" w14:textId="53356D59" w:rsidR="00F361A1" w:rsidRPr="008E6588" w:rsidRDefault="00F361A1" w:rsidP="00836DB5">
            <w:pPr>
              <w:keepLines/>
              <w:rPr>
                <w:rFonts w:ascii="Arial Narrow" w:hAnsi="Arial Narrow"/>
                <w:b/>
                <w:sz w:val="20"/>
                <w:szCs w:val="20"/>
              </w:rPr>
            </w:pPr>
            <w:r w:rsidRPr="008E6588">
              <w:rPr>
                <w:rFonts w:ascii="Arial Narrow" w:hAnsi="Arial Narrow"/>
                <w:b/>
                <w:sz w:val="20"/>
                <w:szCs w:val="20"/>
              </w:rPr>
              <w:t>Restriction Summary 15381/ Treatment of Concept: 15403: Authority Required</w:t>
            </w:r>
          </w:p>
        </w:tc>
      </w:tr>
      <w:tr w:rsidR="004164CF" w:rsidRPr="008E6588" w14:paraId="7523AB7E" w14:textId="77777777" w:rsidTr="00B923E6">
        <w:tblPrEx>
          <w:tblCellMar>
            <w:top w:w="15" w:type="dxa"/>
            <w:bottom w:w="15" w:type="dxa"/>
          </w:tblCellMar>
        </w:tblPrEx>
        <w:trPr>
          <w:cantSplit/>
          <w:trHeight w:val="20"/>
        </w:trPr>
        <w:tc>
          <w:tcPr>
            <w:tcW w:w="720" w:type="pct"/>
            <w:gridSpan w:val="2"/>
            <w:vAlign w:val="center"/>
          </w:tcPr>
          <w:p w14:paraId="110CDCCD" w14:textId="561DFB13" w:rsidR="004164CF" w:rsidRPr="008E6588" w:rsidRDefault="004164CF" w:rsidP="00836DB5">
            <w:pPr>
              <w:keepLines/>
              <w:jc w:val="center"/>
              <w:rPr>
                <w:rFonts w:ascii="Arial Narrow" w:hAnsi="Arial Narrow"/>
                <w:sz w:val="20"/>
                <w:szCs w:val="20"/>
              </w:rPr>
            </w:pPr>
          </w:p>
        </w:tc>
        <w:tc>
          <w:tcPr>
            <w:tcW w:w="4277" w:type="pct"/>
            <w:gridSpan w:val="6"/>
            <w:vAlign w:val="center"/>
            <w:hideMark/>
          </w:tcPr>
          <w:p w14:paraId="357F7120" w14:textId="77777777" w:rsidR="004164CF" w:rsidRPr="008E6588" w:rsidRDefault="004164CF" w:rsidP="00836DB5">
            <w:pPr>
              <w:keepLines/>
              <w:rPr>
                <w:rFonts w:ascii="Arial Narrow" w:hAnsi="Arial Narrow"/>
                <w:color w:val="333333"/>
                <w:sz w:val="20"/>
                <w:szCs w:val="20"/>
              </w:rPr>
            </w:pPr>
            <w:r w:rsidRPr="008E6588">
              <w:rPr>
                <w:rFonts w:ascii="Arial Narrow" w:hAnsi="Arial Narrow"/>
                <w:b/>
                <w:bCs/>
                <w:sz w:val="20"/>
                <w:szCs w:val="20"/>
              </w:rPr>
              <w:t>Indication:</w:t>
            </w:r>
            <w:r w:rsidRPr="008E6588">
              <w:rPr>
                <w:rFonts w:ascii="Arial Narrow" w:hAnsi="Arial Narrow"/>
                <w:sz w:val="20"/>
                <w:szCs w:val="20"/>
              </w:rPr>
              <w:t xml:space="preserve"> Uncontrolled severe allergic asthma</w:t>
            </w:r>
          </w:p>
        </w:tc>
      </w:tr>
      <w:tr w:rsidR="004164CF" w:rsidRPr="008E6588" w14:paraId="7CAB6D02" w14:textId="77777777" w:rsidTr="00B923E6">
        <w:tblPrEx>
          <w:tblCellMar>
            <w:top w:w="15" w:type="dxa"/>
            <w:bottom w:w="15" w:type="dxa"/>
          </w:tblCellMar>
        </w:tblPrEx>
        <w:trPr>
          <w:cantSplit/>
          <w:trHeight w:val="20"/>
        </w:trPr>
        <w:tc>
          <w:tcPr>
            <w:tcW w:w="720" w:type="pct"/>
            <w:gridSpan w:val="2"/>
            <w:vAlign w:val="center"/>
          </w:tcPr>
          <w:p w14:paraId="7476FCED" w14:textId="77777777" w:rsidR="004164CF" w:rsidRPr="008E6588" w:rsidRDefault="004164CF" w:rsidP="00836DB5">
            <w:pPr>
              <w:jc w:val="center"/>
              <w:rPr>
                <w:rFonts w:ascii="Arial Narrow" w:hAnsi="Arial Narrow"/>
                <w:sz w:val="20"/>
                <w:szCs w:val="20"/>
              </w:rPr>
            </w:pPr>
          </w:p>
        </w:tc>
        <w:tc>
          <w:tcPr>
            <w:tcW w:w="4277" w:type="pct"/>
            <w:gridSpan w:val="6"/>
            <w:vAlign w:val="center"/>
            <w:hideMark/>
          </w:tcPr>
          <w:p w14:paraId="13D20F8E" w14:textId="77777777" w:rsidR="004164CF" w:rsidRPr="008E6588" w:rsidRDefault="004164CF" w:rsidP="00836DB5">
            <w:pPr>
              <w:rPr>
                <w:rFonts w:ascii="Arial Narrow" w:hAnsi="Arial Narrow"/>
                <w:sz w:val="20"/>
                <w:szCs w:val="20"/>
              </w:rPr>
            </w:pPr>
            <w:r w:rsidRPr="008E6588">
              <w:rPr>
                <w:rFonts w:ascii="Arial Narrow" w:hAnsi="Arial Narrow"/>
                <w:b/>
                <w:bCs/>
                <w:sz w:val="20"/>
                <w:szCs w:val="20"/>
              </w:rPr>
              <w:t>Treatment Phase:</w:t>
            </w:r>
            <w:r w:rsidRPr="008E6588">
              <w:rPr>
                <w:rFonts w:ascii="Arial Narrow" w:hAnsi="Arial Narrow"/>
                <w:sz w:val="20"/>
                <w:szCs w:val="20"/>
              </w:rPr>
              <w:t xml:space="preserve"> Balance of supply in a patient aged 6 to 12 years</w:t>
            </w:r>
          </w:p>
        </w:tc>
      </w:tr>
      <w:tr w:rsidR="00F361A1" w:rsidRPr="008E6588" w14:paraId="26235286" w14:textId="77777777" w:rsidTr="003D4AB5">
        <w:tblPrEx>
          <w:tblCellMar>
            <w:top w:w="15" w:type="dxa"/>
            <w:bottom w:w="15" w:type="dxa"/>
          </w:tblCellMar>
          <w:tblLook w:val="04A0" w:firstRow="1" w:lastRow="0" w:firstColumn="1" w:lastColumn="0" w:noHBand="0" w:noVBand="1"/>
        </w:tblPrEx>
        <w:trPr>
          <w:cantSplit/>
          <w:trHeight w:val="20"/>
        </w:trPr>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3D2D1" w14:textId="5735E32A" w:rsidR="00F361A1" w:rsidRPr="008E6588" w:rsidRDefault="00F361A1" w:rsidP="00F361A1">
            <w:pPr>
              <w:jc w:val="center"/>
              <w:rPr>
                <w:rFonts w:ascii="Arial Narrow" w:hAnsi="Arial Narrow"/>
                <w:sz w:val="20"/>
                <w:szCs w:val="20"/>
              </w:rPr>
            </w:pPr>
          </w:p>
        </w:tc>
        <w:tc>
          <w:tcPr>
            <w:tcW w:w="427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8B7563" w14:textId="77777777" w:rsidR="00F361A1" w:rsidRPr="008E6588" w:rsidRDefault="00F361A1" w:rsidP="00F361A1">
            <w:pPr>
              <w:rPr>
                <w:rFonts w:ascii="Arial Narrow" w:hAnsi="Arial Narrow"/>
                <w:b/>
                <w:bCs/>
                <w:sz w:val="20"/>
                <w:szCs w:val="20"/>
              </w:rPr>
            </w:pPr>
            <w:r w:rsidRPr="008E6588">
              <w:rPr>
                <w:rFonts w:ascii="Arial Narrow" w:hAnsi="Arial Narrow"/>
                <w:b/>
                <w:bCs/>
                <w:sz w:val="20"/>
                <w:szCs w:val="20"/>
              </w:rPr>
              <w:t>Treatment criteria:</w:t>
            </w:r>
          </w:p>
        </w:tc>
      </w:tr>
      <w:tr w:rsidR="00F361A1" w:rsidRPr="008E6588" w14:paraId="40ED1ADE" w14:textId="77777777" w:rsidTr="003D4AB5">
        <w:tblPrEx>
          <w:tblCellMar>
            <w:top w:w="15" w:type="dxa"/>
            <w:bottom w:w="15" w:type="dxa"/>
          </w:tblCellMar>
          <w:tblLook w:val="04A0" w:firstRow="1" w:lastRow="0" w:firstColumn="1" w:lastColumn="0" w:noHBand="0" w:noVBand="1"/>
        </w:tblPrEx>
        <w:trPr>
          <w:cantSplit/>
          <w:trHeight w:val="20"/>
        </w:trPr>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1A650" w14:textId="4958A53D" w:rsidR="00F361A1" w:rsidRPr="008E6588" w:rsidRDefault="00F361A1" w:rsidP="00F361A1">
            <w:pPr>
              <w:jc w:val="center"/>
              <w:rPr>
                <w:rFonts w:ascii="Arial Narrow" w:hAnsi="Arial Narrow"/>
                <w:sz w:val="20"/>
                <w:szCs w:val="20"/>
              </w:rPr>
            </w:pPr>
          </w:p>
        </w:tc>
        <w:tc>
          <w:tcPr>
            <w:tcW w:w="427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F6176B" w14:textId="7C607E72" w:rsidR="00F361A1" w:rsidRPr="008E6588" w:rsidRDefault="00F361A1" w:rsidP="00F361A1">
            <w:pPr>
              <w:rPr>
                <w:rFonts w:ascii="Arial Narrow" w:hAnsi="Arial Narrow"/>
                <w:sz w:val="20"/>
                <w:szCs w:val="20"/>
              </w:rPr>
            </w:pPr>
            <w:r w:rsidRPr="008E6588">
              <w:rPr>
                <w:rFonts w:ascii="Arial Narrow" w:hAnsi="Arial Narrow"/>
                <w:sz w:val="20"/>
                <w:szCs w:val="20"/>
              </w:rPr>
              <w:t>Must be treated by a medical practitioner who is either a: (</w:t>
            </w:r>
            <w:proofErr w:type="spellStart"/>
            <w:r w:rsidRPr="008E6588">
              <w:rPr>
                <w:rFonts w:ascii="Arial Narrow" w:hAnsi="Arial Narrow"/>
                <w:sz w:val="20"/>
                <w:szCs w:val="20"/>
              </w:rPr>
              <w:t>i</w:t>
            </w:r>
            <w:proofErr w:type="spellEnd"/>
            <w:r w:rsidRPr="008E6588">
              <w:rPr>
                <w:rFonts w:ascii="Arial Narrow" w:hAnsi="Arial Narrow"/>
                <w:sz w:val="20"/>
                <w:szCs w:val="20"/>
              </w:rPr>
              <w:t>) paediatric respiratory physician, (ii) clinical immunologist, (iii) allergist, (iv) paediatrician or general physician experienced in the management of patients with severe asthma, in consultation with a respiratory physician</w:t>
            </w:r>
          </w:p>
        </w:tc>
      </w:tr>
      <w:tr w:rsidR="00F361A1" w:rsidRPr="008E6588" w14:paraId="5A69F1DE" w14:textId="77777777" w:rsidTr="003D4AB5">
        <w:tblPrEx>
          <w:tblCellMar>
            <w:top w:w="15" w:type="dxa"/>
            <w:bottom w:w="15" w:type="dxa"/>
          </w:tblCellMar>
          <w:tblLook w:val="04A0" w:firstRow="1" w:lastRow="0" w:firstColumn="1" w:lastColumn="0" w:noHBand="0" w:noVBand="1"/>
        </w:tblPrEx>
        <w:trPr>
          <w:cantSplit/>
          <w:trHeight w:val="20"/>
        </w:trPr>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C9CEC" w14:textId="68C7ECF9" w:rsidR="00F361A1" w:rsidRPr="008E6588" w:rsidRDefault="00F361A1" w:rsidP="00F361A1">
            <w:pPr>
              <w:jc w:val="center"/>
              <w:rPr>
                <w:rFonts w:ascii="Arial Narrow" w:hAnsi="Arial Narrow"/>
                <w:sz w:val="20"/>
                <w:szCs w:val="20"/>
              </w:rPr>
            </w:pPr>
          </w:p>
        </w:tc>
        <w:tc>
          <w:tcPr>
            <w:tcW w:w="427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8D079D" w14:textId="77777777" w:rsidR="00F361A1" w:rsidRPr="008E6588" w:rsidRDefault="00F361A1" w:rsidP="00F361A1">
            <w:pPr>
              <w:rPr>
                <w:rFonts w:ascii="Arial Narrow" w:hAnsi="Arial Narrow"/>
                <w:b/>
                <w:bCs/>
                <w:sz w:val="20"/>
                <w:szCs w:val="20"/>
              </w:rPr>
            </w:pPr>
            <w:r w:rsidRPr="008E6588">
              <w:rPr>
                <w:rFonts w:ascii="Arial Narrow" w:hAnsi="Arial Narrow"/>
                <w:b/>
                <w:bCs/>
                <w:sz w:val="20"/>
                <w:szCs w:val="20"/>
              </w:rPr>
              <w:t>Clinical criteria:</w:t>
            </w:r>
          </w:p>
        </w:tc>
      </w:tr>
      <w:tr w:rsidR="00F361A1" w:rsidRPr="008E6588" w14:paraId="4BFEE732" w14:textId="77777777" w:rsidTr="003D4AB5">
        <w:tblPrEx>
          <w:tblCellMar>
            <w:top w:w="15" w:type="dxa"/>
            <w:bottom w:w="15" w:type="dxa"/>
          </w:tblCellMar>
          <w:tblLook w:val="04A0" w:firstRow="1" w:lastRow="0" w:firstColumn="1" w:lastColumn="0" w:noHBand="0" w:noVBand="1"/>
        </w:tblPrEx>
        <w:trPr>
          <w:cantSplit/>
          <w:trHeight w:val="20"/>
        </w:trPr>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0B7B4" w14:textId="58DB082A" w:rsidR="00F361A1" w:rsidRPr="008E6588" w:rsidRDefault="00F361A1" w:rsidP="00F361A1">
            <w:pPr>
              <w:jc w:val="center"/>
              <w:rPr>
                <w:rFonts w:ascii="Arial Narrow" w:hAnsi="Arial Narrow"/>
                <w:sz w:val="20"/>
                <w:szCs w:val="20"/>
              </w:rPr>
            </w:pPr>
          </w:p>
        </w:tc>
        <w:tc>
          <w:tcPr>
            <w:tcW w:w="427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443700" w14:textId="3472FA07" w:rsidR="00F361A1" w:rsidRPr="008E6588" w:rsidRDefault="00F361A1" w:rsidP="00F361A1">
            <w:pPr>
              <w:rPr>
                <w:rFonts w:ascii="Arial Narrow" w:hAnsi="Arial Narrow"/>
                <w:sz w:val="20"/>
                <w:szCs w:val="20"/>
              </w:rPr>
            </w:pPr>
            <w:r w:rsidRPr="008E6588">
              <w:rPr>
                <w:rFonts w:ascii="Arial Narrow" w:hAnsi="Arial Narrow"/>
                <w:sz w:val="20"/>
                <w:szCs w:val="20"/>
              </w:rPr>
              <w:t>Patient must have received insufficient therapy with this drug under the Initial treatment restriction to complete 28 weeks treatment; or</w:t>
            </w:r>
          </w:p>
        </w:tc>
      </w:tr>
      <w:tr w:rsidR="00F361A1" w:rsidRPr="008E6588" w14:paraId="11AD1D7B" w14:textId="77777777" w:rsidTr="003D4AB5">
        <w:tblPrEx>
          <w:tblCellMar>
            <w:top w:w="15" w:type="dxa"/>
            <w:bottom w:w="15" w:type="dxa"/>
          </w:tblCellMar>
          <w:tblLook w:val="04A0" w:firstRow="1" w:lastRow="0" w:firstColumn="1" w:lastColumn="0" w:noHBand="0" w:noVBand="1"/>
        </w:tblPrEx>
        <w:trPr>
          <w:cantSplit/>
          <w:trHeight w:val="20"/>
        </w:trPr>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84E19" w14:textId="65D508D3" w:rsidR="00F361A1" w:rsidRPr="008E6588" w:rsidRDefault="00F361A1" w:rsidP="00F361A1">
            <w:pPr>
              <w:jc w:val="center"/>
              <w:rPr>
                <w:rFonts w:ascii="Arial Narrow" w:hAnsi="Arial Narrow"/>
                <w:sz w:val="20"/>
                <w:szCs w:val="20"/>
              </w:rPr>
            </w:pPr>
          </w:p>
        </w:tc>
        <w:tc>
          <w:tcPr>
            <w:tcW w:w="427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D8BBE5" w14:textId="50FD949F" w:rsidR="00F361A1" w:rsidRPr="008E6588" w:rsidRDefault="00F361A1" w:rsidP="00F361A1">
            <w:pPr>
              <w:rPr>
                <w:rFonts w:ascii="Arial Narrow" w:hAnsi="Arial Narrow"/>
                <w:sz w:val="20"/>
                <w:szCs w:val="20"/>
              </w:rPr>
            </w:pPr>
            <w:r w:rsidRPr="008E6588">
              <w:rPr>
                <w:rFonts w:ascii="Arial Narrow" w:hAnsi="Arial Narrow"/>
                <w:sz w:val="20"/>
                <w:szCs w:val="20"/>
              </w:rPr>
              <w:t>Patient must have received insufficient therapy with this drug under the Continuing treatment restriction to complete 24 weeks treatment</w:t>
            </w:r>
          </w:p>
        </w:tc>
      </w:tr>
      <w:tr w:rsidR="00F361A1" w:rsidRPr="008E6588" w14:paraId="57336715" w14:textId="77777777" w:rsidTr="003D4AB5">
        <w:tblPrEx>
          <w:tblCellMar>
            <w:top w:w="15" w:type="dxa"/>
            <w:bottom w:w="15" w:type="dxa"/>
          </w:tblCellMar>
          <w:tblLook w:val="04A0" w:firstRow="1" w:lastRow="0" w:firstColumn="1" w:lastColumn="0" w:noHBand="0" w:noVBand="1"/>
        </w:tblPrEx>
        <w:trPr>
          <w:cantSplit/>
          <w:trHeight w:val="20"/>
        </w:trPr>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0B0A1" w14:textId="77777777" w:rsidR="00F361A1" w:rsidRPr="008E6588" w:rsidRDefault="00F361A1" w:rsidP="00F361A1">
            <w:pPr>
              <w:jc w:val="center"/>
              <w:rPr>
                <w:rFonts w:ascii="Arial Narrow" w:hAnsi="Arial Narrow"/>
                <w:sz w:val="20"/>
                <w:szCs w:val="20"/>
              </w:rPr>
            </w:pPr>
          </w:p>
        </w:tc>
        <w:tc>
          <w:tcPr>
            <w:tcW w:w="427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94EC20" w14:textId="77777777" w:rsidR="00F361A1" w:rsidRPr="008E6588" w:rsidRDefault="00F361A1" w:rsidP="00F361A1">
            <w:pPr>
              <w:rPr>
                <w:rFonts w:ascii="Arial Narrow" w:hAnsi="Arial Narrow"/>
                <w:b/>
                <w:bCs/>
                <w:sz w:val="20"/>
                <w:szCs w:val="20"/>
              </w:rPr>
            </w:pPr>
            <w:r w:rsidRPr="008E6588">
              <w:rPr>
                <w:rFonts w:ascii="Arial Narrow" w:hAnsi="Arial Narrow"/>
                <w:b/>
                <w:bCs/>
                <w:sz w:val="20"/>
                <w:szCs w:val="20"/>
              </w:rPr>
              <w:t>AND</w:t>
            </w:r>
          </w:p>
        </w:tc>
      </w:tr>
      <w:tr w:rsidR="00F361A1" w:rsidRPr="008E6588" w14:paraId="0EC39A23" w14:textId="77777777" w:rsidTr="003D4AB5">
        <w:tblPrEx>
          <w:tblCellMar>
            <w:top w:w="15" w:type="dxa"/>
            <w:bottom w:w="15" w:type="dxa"/>
          </w:tblCellMar>
          <w:tblLook w:val="04A0" w:firstRow="1" w:lastRow="0" w:firstColumn="1" w:lastColumn="0" w:noHBand="0" w:noVBand="1"/>
        </w:tblPrEx>
        <w:trPr>
          <w:cantSplit/>
          <w:trHeight w:val="20"/>
        </w:trPr>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67A33" w14:textId="38C07120" w:rsidR="00F361A1" w:rsidRPr="008E6588" w:rsidRDefault="00F361A1" w:rsidP="00F361A1">
            <w:pPr>
              <w:jc w:val="center"/>
              <w:rPr>
                <w:rFonts w:ascii="Arial Narrow" w:hAnsi="Arial Narrow"/>
                <w:sz w:val="20"/>
                <w:szCs w:val="20"/>
              </w:rPr>
            </w:pPr>
          </w:p>
        </w:tc>
        <w:tc>
          <w:tcPr>
            <w:tcW w:w="427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8AF41C" w14:textId="77777777" w:rsidR="00F361A1" w:rsidRPr="008E6588" w:rsidRDefault="00F361A1" w:rsidP="00F361A1">
            <w:pPr>
              <w:rPr>
                <w:rFonts w:ascii="Arial Narrow" w:hAnsi="Arial Narrow"/>
                <w:b/>
                <w:bCs/>
                <w:sz w:val="20"/>
                <w:szCs w:val="20"/>
              </w:rPr>
            </w:pPr>
            <w:r w:rsidRPr="008E6588">
              <w:rPr>
                <w:rFonts w:ascii="Arial Narrow" w:hAnsi="Arial Narrow"/>
                <w:b/>
                <w:bCs/>
                <w:sz w:val="20"/>
                <w:szCs w:val="20"/>
              </w:rPr>
              <w:t>Clinical criteria:</w:t>
            </w:r>
          </w:p>
        </w:tc>
      </w:tr>
      <w:tr w:rsidR="00F361A1" w:rsidRPr="008E6588" w14:paraId="74EF8873" w14:textId="77777777" w:rsidTr="003D4AB5">
        <w:tblPrEx>
          <w:tblCellMar>
            <w:top w:w="15" w:type="dxa"/>
            <w:bottom w:w="15" w:type="dxa"/>
          </w:tblCellMar>
          <w:tblLook w:val="04A0" w:firstRow="1" w:lastRow="0" w:firstColumn="1" w:lastColumn="0" w:noHBand="0" w:noVBand="1"/>
        </w:tblPrEx>
        <w:trPr>
          <w:cantSplit/>
          <w:trHeight w:val="20"/>
        </w:trPr>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CDA87" w14:textId="49C0B6BC" w:rsidR="00F361A1" w:rsidRPr="008E6588" w:rsidRDefault="00F361A1" w:rsidP="00F361A1">
            <w:pPr>
              <w:jc w:val="center"/>
              <w:rPr>
                <w:rFonts w:ascii="Arial Narrow" w:hAnsi="Arial Narrow"/>
                <w:sz w:val="20"/>
                <w:szCs w:val="20"/>
              </w:rPr>
            </w:pPr>
          </w:p>
        </w:tc>
        <w:tc>
          <w:tcPr>
            <w:tcW w:w="427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582E27" w14:textId="2B8A37CD" w:rsidR="00F361A1" w:rsidRPr="008E6588" w:rsidRDefault="00F361A1" w:rsidP="00F361A1">
            <w:pPr>
              <w:rPr>
                <w:rFonts w:ascii="Arial Narrow" w:hAnsi="Arial Narrow"/>
                <w:sz w:val="20"/>
                <w:szCs w:val="20"/>
              </w:rPr>
            </w:pPr>
            <w:r w:rsidRPr="008E6588">
              <w:rPr>
                <w:rFonts w:ascii="Arial Narrow" w:hAnsi="Arial Narrow"/>
                <w:sz w:val="20"/>
                <w:szCs w:val="20"/>
              </w:rPr>
              <w:t>The treatment must provide no more than the balance of up to 28 weeks treatment available under the Initial restriction or up to 24 weeks treatment available under the Continuing restriction</w:t>
            </w:r>
          </w:p>
        </w:tc>
      </w:tr>
      <w:tr w:rsidR="004164CF" w:rsidRPr="008E6588" w14:paraId="7C867F12" w14:textId="77777777" w:rsidTr="003D4AB5">
        <w:tblPrEx>
          <w:tblCellMar>
            <w:top w:w="15" w:type="dxa"/>
            <w:bottom w:w="15" w:type="dxa"/>
          </w:tblCellMar>
          <w:tblLook w:val="04A0" w:firstRow="1" w:lastRow="0" w:firstColumn="1" w:lastColumn="0" w:noHBand="0" w:noVBand="1"/>
        </w:tblPrEx>
        <w:trPr>
          <w:cantSplit/>
          <w:trHeight w:val="20"/>
        </w:trPr>
        <w:tc>
          <w:tcPr>
            <w:tcW w:w="720" w:type="pct"/>
            <w:gridSpan w:val="2"/>
            <w:vAlign w:val="center"/>
          </w:tcPr>
          <w:p w14:paraId="5781EF4B" w14:textId="0AA3E263" w:rsidR="004164CF" w:rsidRPr="008E6588" w:rsidRDefault="004164CF" w:rsidP="00836DB5">
            <w:pPr>
              <w:jc w:val="center"/>
              <w:rPr>
                <w:rFonts w:ascii="Arial Narrow" w:hAnsi="Arial Narrow"/>
                <w:sz w:val="20"/>
                <w:szCs w:val="20"/>
              </w:rPr>
            </w:pPr>
          </w:p>
        </w:tc>
        <w:tc>
          <w:tcPr>
            <w:tcW w:w="4277" w:type="pct"/>
            <w:gridSpan w:val="6"/>
            <w:vAlign w:val="center"/>
          </w:tcPr>
          <w:p w14:paraId="2EC5FCF8" w14:textId="77777777" w:rsidR="004164CF" w:rsidRPr="008E6588" w:rsidRDefault="004164CF" w:rsidP="00836DB5">
            <w:pPr>
              <w:rPr>
                <w:rFonts w:ascii="Arial Narrow" w:hAnsi="Arial Narrow"/>
                <w:b/>
                <w:bCs/>
                <w:sz w:val="20"/>
                <w:szCs w:val="20"/>
              </w:rPr>
            </w:pPr>
            <w:r w:rsidRPr="008E6588">
              <w:rPr>
                <w:rFonts w:ascii="Arial Narrow" w:hAnsi="Arial Narrow"/>
                <w:iCs/>
                <w:sz w:val="20"/>
                <w:szCs w:val="20"/>
              </w:rPr>
              <w:t>The omalizumab pen device is not intended for use in children below 12 years of age. For children below 12 years of age with uncontrolled severe allergic asthma, the omalizumab syringe is the appropriate form for this population.</w:t>
            </w:r>
          </w:p>
        </w:tc>
      </w:tr>
      <w:tr w:rsidR="00427F3D" w:rsidRPr="008E6588" w14:paraId="3C50AD81" w14:textId="77777777" w:rsidTr="00427F3D">
        <w:tblPrEx>
          <w:tblCellMar>
            <w:top w:w="15" w:type="dxa"/>
            <w:bottom w:w="15" w:type="dxa"/>
          </w:tblCellMar>
          <w:tblLook w:val="04A0" w:firstRow="1" w:lastRow="0" w:firstColumn="1" w:lastColumn="0" w:noHBand="0" w:noVBand="1"/>
        </w:tblPrEx>
        <w:trPr>
          <w:cantSplit/>
          <w:trHeight w:val="20"/>
        </w:trPr>
        <w:tc>
          <w:tcPr>
            <w:tcW w:w="720" w:type="pct"/>
            <w:gridSpan w:val="2"/>
            <w:tcBorders>
              <w:top w:val="single" w:sz="4" w:space="0" w:color="auto"/>
              <w:left w:val="single" w:sz="4" w:space="0" w:color="auto"/>
              <w:bottom w:val="single" w:sz="4" w:space="0" w:color="auto"/>
              <w:right w:val="single" w:sz="4" w:space="0" w:color="auto"/>
            </w:tcBorders>
            <w:vAlign w:val="center"/>
          </w:tcPr>
          <w:p w14:paraId="3FB58B06" w14:textId="61EDECF6" w:rsidR="00427F3D" w:rsidRPr="008E6588" w:rsidRDefault="00427F3D" w:rsidP="00836DB5">
            <w:pPr>
              <w:jc w:val="center"/>
              <w:rPr>
                <w:rFonts w:ascii="Arial Narrow" w:hAnsi="Arial Narrow"/>
                <w:iCs/>
                <w:sz w:val="20"/>
                <w:szCs w:val="20"/>
              </w:rPr>
            </w:pPr>
          </w:p>
        </w:tc>
        <w:tc>
          <w:tcPr>
            <w:tcW w:w="4277" w:type="pct"/>
            <w:gridSpan w:val="6"/>
            <w:tcBorders>
              <w:top w:val="single" w:sz="4" w:space="0" w:color="auto"/>
              <w:left w:val="single" w:sz="4" w:space="0" w:color="auto"/>
              <w:bottom w:val="single" w:sz="4" w:space="0" w:color="auto"/>
              <w:right w:val="single" w:sz="4" w:space="0" w:color="auto"/>
            </w:tcBorders>
            <w:vAlign w:val="center"/>
          </w:tcPr>
          <w:p w14:paraId="32A34311" w14:textId="09CFFE2C" w:rsidR="00427F3D" w:rsidRPr="008E6588" w:rsidRDefault="0072088F" w:rsidP="00836DB5">
            <w:pPr>
              <w:rPr>
                <w:rFonts w:ascii="Arial Narrow" w:hAnsi="Arial Narrow"/>
                <w:iCs/>
                <w:sz w:val="20"/>
                <w:szCs w:val="20"/>
              </w:rPr>
            </w:pPr>
            <w:r w:rsidRPr="008E6588">
              <w:rPr>
                <w:rFonts w:ascii="Arial Narrow" w:hAnsi="Arial Narrow"/>
                <w:iCs/>
                <w:sz w:val="20"/>
                <w:szCs w:val="20"/>
              </w:rPr>
              <w:t>The 300mg/2mL omalizumab syringe device is not intended for use in children under 12 years of age</w:t>
            </w:r>
            <w:r w:rsidR="00836DB5" w:rsidRPr="008E6588">
              <w:rPr>
                <w:rFonts w:ascii="Arial Narrow" w:hAnsi="Arial Narrow"/>
                <w:iCs/>
                <w:sz w:val="20"/>
                <w:szCs w:val="20"/>
              </w:rPr>
              <w:t xml:space="preserve"> for this indication</w:t>
            </w:r>
            <w:r w:rsidRPr="008E6588">
              <w:rPr>
                <w:rFonts w:ascii="Arial Narrow" w:hAnsi="Arial Narrow"/>
                <w:iCs/>
                <w:sz w:val="20"/>
                <w:szCs w:val="20"/>
              </w:rPr>
              <w:t>.</w:t>
            </w:r>
          </w:p>
        </w:tc>
      </w:tr>
    </w:tbl>
    <w:p w14:paraId="162CF134" w14:textId="5CA40062" w:rsidR="004164CF" w:rsidRPr="00A53D64" w:rsidRDefault="004164CF" w:rsidP="00A53D64">
      <w:pPr>
        <w:pStyle w:val="4-SubsectionHeading"/>
      </w:pPr>
      <w:r w:rsidRPr="00A53D64">
        <w:t>Severe chronic spontaneous urticaria</w:t>
      </w:r>
      <w:r w:rsidR="0022279D" w:rsidRPr="00A53D64">
        <w:t xml:space="preserve"> - Initial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commended listing"/>
        <w:tblDescription w:val="Severe chronic spontaneous urticaria - initial treatment &#10;omalizumab 150 mg/mL injection, 1 mL syringe - item code 11176F/ Public&#10;omalizumab 150 mg/mL injection, 1 mL syringe - item code 11175E/ Private&#10;omalizumab 150 mg/mL injection, 1 mL pen device - NEW item / Public&#10;omalizumab 150 mg/mL injection, 1 mL pen device - NEW item / Private&#10;"/>
      </w:tblPr>
      <w:tblGrid>
        <w:gridCol w:w="1246"/>
        <w:gridCol w:w="3341"/>
        <w:gridCol w:w="1224"/>
        <w:gridCol w:w="754"/>
        <w:gridCol w:w="754"/>
        <w:gridCol w:w="756"/>
        <w:gridCol w:w="941"/>
      </w:tblGrid>
      <w:tr w:rsidR="004164CF" w:rsidRPr="008E6588" w14:paraId="65EA81FC" w14:textId="77777777" w:rsidTr="0022279D">
        <w:trPr>
          <w:cantSplit/>
          <w:trHeight w:val="20"/>
        </w:trPr>
        <w:tc>
          <w:tcPr>
            <w:tcW w:w="2544" w:type="pct"/>
            <w:gridSpan w:val="2"/>
            <w:vAlign w:val="center"/>
          </w:tcPr>
          <w:p w14:paraId="552E2584" w14:textId="77777777" w:rsidR="004164CF" w:rsidRPr="008E6588" w:rsidRDefault="004164CF" w:rsidP="00836DB5">
            <w:pPr>
              <w:keepLines/>
              <w:rPr>
                <w:rFonts w:ascii="Arial Narrow" w:hAnsi="Arial Narrow" w:cs="Arial"/>
                <w:b/>
                <w:bCs/>
                <w:sz w:val="20"/>
                <w:szCs w:val="20"/>
              </w:rPr>
            </w:pPr>
            <w:r w:rsidRPr="008E6588">
              <w:rPr>
                <w:rFonts w:ascii="Arial Narrow" w:hAnsi="Arial Narrow" w:cs="Arial"/>
                <w:b/>
                <w:bCs/>
                <w:sz w:val="20"/>
                <w:szCs w:val="20"/>
              </w:rPr>
              <w:t>MEDICINAL PRODUCT</w:t>
            </w:r>
          </w:p>
          <w:p w14:paraId="666219AF" w14:textId="77777777" w:rsidR="004164CF" w:rsidRPr="008E6588" w:rsidRDefault="004164CF" w:rsidP="00836DB5">
            <w:pPr>
              <w:keepLines/>
              <w:rPr>
                <w:rFonts w:ascii="Arial Narrow" w:hAnsi="Arial Narrow" w:cs="Arial"/>
                <w:b/>
                <w:sz w:val="20"/>
                <w:szCs w:val="20"/>
              </w:rPr>
            </w:pPr>
            <w:r w:rsidRPr="008E6588">
              <w:rPr>
                <w:rFonts w:ascii="Arial Narrow" w:hAnsi="Arial Narrow" w:cs="Arial"/>
                <w:b/>
                <w:bCs/>
                <w:sz w:val="20"/>
                <w:szCs w:val="20"/>
              </w:rPr>
              <w:t>medicinal product pack</w:t>
            </w:r>
          </w:p>
        </w:tc>
        <w:tc>
          <w:tcPr>
            <w:tcW w:w="679" w:type="pct"/>
            <w:vAlign w:val="center"/>
          </w:tcPr>
          <w:p w14:paraId="5C803B85" w14:textId="77777777" w:rsidR="004164CF" w:rsidRPr="008E6588" w:rsidRDefault="004164CF" w:rsidP="00836DB5">
            <w:pPr>
              <w:keepLines/>
              <w:jc w:val="center"/>
              <w:rPr>
                <w:rFonts w:ascii="Arial Narrow" w:hAnsi="Arial Narrow" w:cs="Arial"/>
                <w:b/>
                <w:sz w:val="20"/>
                <w:szCs w:val="20"/>
              </w:rPr>
            </w:pPr>
            <w:r w:rsidRPr="008E6588">
              <w:rPr>
                <w:rFonts w:ascii="Arial Narrow" w:hAnsi="Arial Narrow" w:cs="Arial"/>
                <w:b/>
                <w:sz w:val="20"/>
                <w:szCs w:val="20"/>
              </w:rPr>
              <w:t>PBS item code</w:t>
            </w:r>
          </w:p>
        </w:tc>
        <w:tc>
          <w:tcPr>
            <w:tcW w:w="418" w:type="pct"/>
            <w:vAlign w:val="center"/>
          </w:tcPr>
          <w:p w14:paraId="3E783B34" w14:textId="77777777" w:rsidR="004164CF" w:rsidRPr="008E6588" w:rsidRDefault="004164CF" w:rsidP="00836DB5">
            <w:pPr>
              <w:keepLines/>
              <w:jc w:val="center"/>
              <w:rPr>
                <w:rFonts w:ascii="Arial Narrow" w:hAnsi="Arial Narrow" w:cs="Arial"/>
                <w:b/>
                <w:sz w:val="20"/>
                <w:szCs w:val="20"/>
              </w:rPr>
            </w:pPr>
            <w:r w:rsidRPr="008E6588">
              <w:rPr>
                <w:rFonts w:ascii="Arial Narrow" w:hAnsi="Arial Narrow" w:cs="Arial"/>
                <w:b/>
                <w:sz w:val="20"/>
                <w:szCs w:val="20"/>
              </w:rPr>
              <w:t>Max. qty packs</w:t>
            </w:r>
          </w:p>
        </w:tc>
        <w:tc>
          <w:tcPr>
            <w:tcW w:w="418" w:type="pct"/>
            <w:vAlign w:val="center"/>
          </w:tcPr>
          <w:p w14:paraId="25840439" w14:textId="77777777" w:rsidR="004164CF" w:rsidRPr="008E6588" w:rsidRDefault="004164CF" w:rsidP="00836DB5">
            <w:pPr>
              <w:keepLines/>
              <w:jc w:val="center"/>
              <w:rPr>
                <w:rFonts w:ascii="Arial Narrow" w:hAnsi="Arial Narrow" w:cs="Arial"/>
                <w:b/>
                <w:sz w:val="20"/>
                <w:szCs w:val="20"/>
              </w:rPr>
            </w:pPr>
            <w:r w:rsidRPr="008E6588">
              <w:rPr>
                <w:rFonts w:ascii="Arial Narrow" w:hAnsi="Arial Narrow" w:cs="Arial"/>
                <w:b/>
                <w:sz w:val="20"/>
                <w:szCs w:val="20"/>
              </w:rPr>
              <w:t>Max. qty units</w:t>
            </w:r>
          </w:p>
        </w:tc>
        <w:tc>
          <w:tcPr>
            <w:tcW w:w="419" w:type="pct"/>
            <w:vAlign w:val="center"/>
          </w:tcPr>
          <w:p w14:paraId="54A2B960" w14:textId="77777777" w:rsidR="004164CF" w:rsidRPr="008E6588" w:rsidRDefault="004164CF" w:rsidP="00836DB5">
            <w:pPr>
              <w:keepLines/>
              <w:jc w:val="center"/>
              <w:rPr>
                <w:rFonts w:ascii="Arial Narrow" w:hAnsi="Arial Narrow" w:cs="Arial"/>
                <w:b/>
                <w:bCs/>
                <w:sz w:val="20"/>
                <w:szCs w:val="20"/>
              </w:rPr>
            </w:pPr>
            <w:proofErr w:type="gramStart"/>
            <w:r w:rsidRPr="008E6588">
              <w:rPr>
                <w:rFonts w:ascii="Arial Narrow" w:hAnsi="Arial Narrow" w:cs="Arial"/>
                <w:b/>
                <w:bCs/>
                <w:sz w:val="20"/>
                <w:szCs w:val="20"/>
              </w:rPr>
              <w:t>№.of</w:t>
            </w:r>
            <w:proofErr w:type="gramEnd"/>
          </w:p>
          <w:p w14:paraId="01AE7A56" w14:textId="77777777" w:rsidR="004164CF" w:rsidRPr="008E6588" w:rsidRDefault="004164CF" w:rsidP="00836DB5">
            <w:pPr>
              <w:keepLines/>
              <w:jc w:val="center"/>
              <w:rPr>
                <w:rFonts w:ascii="Arial Narrow" w:hAnsi="Arial Narrow" w:cs="Arial"/>
                <w:b/>
                <w:bCs/>
                <w:sz w:val="20"/>
                <w:szCs w:val="20"/>
              </w:rPr>
            </w:pPr>
            <w:r w:rsidRPr="008E6588">
              <w:rPr>
                <w:rFonts w:ascii="Arial Narrow" w:hAnsi="Arial Narrow" w:cs="Arial"/>
                <w:b/>
                <w:bCs/>
                <w:sz w:val="20"/>
                <w:szCs w:val="20"/>
              </w:rPr>
              <w:t>Rpts</w:t>
            </w:r>
          </w:p>
        </w:tc>
        <w:tc>
          <w:tcPr>
            <w:tcW w:w="522" w:type="pct"/>
            <w:vAlign w:val="center"/>
          </w:tcPr>
          <w:p w14:paraId="1D97DC48" w14:textId="77777777" w:rsidR="004164CF" w:rsidRPr="008E6588" w:rsidRDefault="004164CF" w:rsidP="00836DB5">
            <w:pPr>
              <w:keepLines/>
              <w:rPr>
                <w:rFonts w:ascii="Arial Narrow" w:hAnsi="Arial Narrow" w:cs="Arial"/>
                <w:b/>
                <w:sz w:val="20"/>
                <w:szCs w:val="20"/>
                <w:lang w:val="fr-FR"/>
              </w:rPr>
            </w:pPr>
            <w:r w:rsidRPr="008E6588">
              <w:rPr>
                <w:rFonts w:ascii="Arial Narrow" w:hAnsi="Arial Narrow" w:cs="Arial"/>
                <w:b/>
                <w:sz w:val="20"/>
                <w:szCs w:val="20"/>
              </w:rPr>
              <w:t>Available brands</w:t>
            </w:r>
          </w:p>
        </w:tc>
      </w:tr>
      <w:tr w:rsidR="004164CF" w:rsidRPr="008E6588" w14:paraId="6792FDD4" w14:textId="77777777" w:rsidTr="0022279D">
        <w:trPr>
          <w:cantSplit/>
          <w:trHeight w:val="20"/>
        </w:trPr>
        <w:tc>
          <w:tcPr>
            <w:tcW w:w="5000" w:type="pct"/>
            <w:gridSpan w:val="7"/>
            <w:vAlign w:val="center"/>
          </w:tcPr>
          <w:p w14:paraId="70898A7E" w14:textId="77777777" w:rsidR="004164CF" w:rsidRPr="008E6588" w:rsidRDefault="004164CF" w:rsidP="00836DB5">
            <w:pPr>
              <w:keepLines/>
              <w:rPr>
                <w:rFonts w:ascii="Arial Narrow" w:hAnsi="Arial Narrow" w:cs="Arial"/>
                <w:sz w:val="20"/>
                <w:szCs w:val="20"/>
              </w:rPr>
            </w:pPr>
            <w:r w:rsidRPr="008E6588">
              <w:rPr>
                <w:rFonts w:ascii="Arial Narrow" w:hAnsi="Arial Narrow" w:cs="Arial"/>
                <w:sz w:val="20"/>
                <w:szCs w:val="20"/>
              </w:rPr>
              <w:t>OMALIZUMAB</w:t>
            </w:r>
          </w:p>
        </w:tc>
      </w:tr>
      <w:tr w:rsidR="0022279D" w:rsidRPr="008E6588" w14:paraId="2E490360" w14:textId="77777777" w:rsidTr="0022279D">
        <w:trPr>
          <w:cantSplit/>
          <w:trHeight w:val="20"/>
        </w:trPr>
        <w:tc>
          <w:tcPr>
            <w:tcW w:w="2544" w:type="pct"/>
            <w:gridSpan w:val="2"/>
            <w:vAlign w:val="center"/>
          </w:tcPr>
          <w:p w14:paraId="0D20AA2D" w14:textId="77777777" w:rsidR="0022279D" w:rsidRPr="008E6588" w:rsidRDefault="0022279D" w:rsidP="00836DB5">
            <w:pPr>
              <w:keepLines/>
              <w:rPr>
                <w:rFonts w:ascii="Arial Narrow" w:hAnsi="Arial Narrow" w:cs="Arial"/>
                <w:sz w:val="20"/>
                <w:szCs w:val="20"/>
              </w:rPr>
            </w:pPr>
            <w:r w:rsidRPr="008E6588">
              <w:rPr>
                <w:rFonts w:ascii="Arial Narrow" w:hAnsi="Arial Narrow" w:cs="Arial"/>
                <w:sz w:val="20"/>
                <w:szCs w:val="20"/>
              </w:rPr>
              <w:t>omalizumab 150 mg/mL injection, 1 mL syringe</w:t>
            </w:r>
          </w:p>
        </w:tc>
        <w:tc>
          <w:tcPr>
            <w:tcW w:w="679" w:type="pct"/>
            <w:vAlign w:val="center"/>
          </w:tcPr>
          <w:p w14:paraId="392D3300" w14:textId="77777777" w:rsidR="0022279D" w:rsidRPr="008E6588" w:rsidRDefault="0022279D" w:rsidP="00836DB5">
            <w:pPr>
              <w:keepLines/>
              <w:jc w:val="center"/>
              <w:rPr>
                <w:rFonts w:ascii="Arial Narrow" w:hAnsi="Arial Narrow" w:cs="Arial"/>
                <w:sz w:val="20"/>
                <w:szCs w:val="20"/>
              </w:rPr>
            </w:pPr>
            <w:r w:rsidRPr="008E6588">
              <w:rPr>
                <w:rFonts w:ascii="Arial Narrow" w:hAnsi="Arial Narrow" w:cs="Arial"/>
                <w:sz w:val="20"/>
                <w:szCs w:val="20"/>
              </w:rPr>
              <w:t>11176F/ Public</w:t>
            </w:r>
          </w:p>
        </w:tc>
        <w:tc>
          <w:tcPr>
            <w:tcW w:w="418" w:type="pct"/>
          </w:tcPr>
          <w:p w14:paraId="160A58C0" w14:textId="77777777" w:rsidR="0022279D" w:rsidRPr="008E6588" w:rsidRDefault="0022279D" w:rsidP="00836DB5">
            <w:pPr>
              <w:keepLines/>
              <w:jc w:val="center"/>
              <w:rPr>
                <w:rFonts w:ascii="Arial Narrow" w:hAnsi="Arial Narrow" w:cs="Arial"/>
                <w:sz w:val="20"/>
                <w:szCs w:val="20"/>
              </w:rPr>
            </w:pPr>
            <w:r w:rsidRPr="008E6588">
              <w:rPr>
                <w:rFonts w:ascii="Arial Narrow" w:hAnsi="Arial Narrow" w:cs="Arial"/>
                <w:sz w:val="20"/>
                <w:szCs w:val="20"/>
              </w:rPr>
              <w:t>2</w:t>
            </w:r>
          </w:p>
        </w:tc>
        <w:tc>
          <w:tcPr>
            <w:tcW w:w="418" w:type="pct"/>
          </w:tcPr>
          <w:p w14:paraId="25FB77BF" w14:textId="77777777" w:rsidR="0022279D" w:rsidRPr="008E6588" w:rsidRDefault="0022279D" w:rsidP="00836DB5">
            <w:pPr>
              <w:keepLines/>
              <w:jc w:val="center"/>
              <w:rPr>
                <w:rFonts w:ascii="Arial Narrow" w:hAnsi="Arial Narrow" w:cs="Arial"/>
                <w:sz w:val="20"/>
                <w:szCs w:val="20"/>
              </w:rPr>
            </w:pPr>
            <w:r w:rsidRPr="008E6588">
              <w:rPr>
                <w:rFonts w:ascii="Arial Narrow" w:hAnsi="Arial Narrow" w:cs="Arial"/>
                <w:sz w:val="20"/>
                <w:szCs w:val="20"/>
              </w:rPr>
              <w:t>2</w:t>
            </w:r>
          </w:p>
        </w:tc>
        <w:tc>
          <w:tcPr>
            <w:tcW w:w="419" w:type="pct"/>
          </w:tcPr>
          <w:p w14:paraId="3B2DA47E" w14:textId="77777777" w:rsidR="0022279D" w:rsidRPr="008E6588" w:rsidRDefault="0022279D" w:rsidP="00836DB5">
            <w:pPr>
              <w:keepLines/>
              <w:jc w:val="center"/>
              <w:rPr>
                <w:rFonts w:ascii="Arial Narrow" w:hAnsi="Arial Narrow" w:cs="Arial"/>
                <w:sz w:val="20"/>
                <w:szCs w:val="20"/>
              </w:rPr>
            </w:pPr>
            <w:r w:rsidRPr="008E6588">
              <w:rPr>
                <w:rFonts w:ascii="Arial Narrow" w:hAnsi="Arial Narrow" w:cs="Arial"/>
                <w:sz w:val="20"/>
                <w:szCs w:val="20"/>
              </w:rPr>
              <w:t>2</w:t>
            </w:r>
          </w:p>
        </w:tc>
        <w:tc>
          <w:tcPr>
            <w:tcW w:w="522" w:type="pct"/>
            <w:vMerge w:val="restart"/>
          </w:tcPr>
          <w:p w14:paraId="610C41E6" w14:textId="32AFCC0F" w:rsidR="0022279D" w:rsidRPr="008E6588" w:rsidRDefault="0022279D" w:rsidP="0022279D">
            <w:pPr>
              <w:keepLines/>
              <w:jc w:val="center"/>
              <w:rPr>
                <w:rFonts w:ascii="Arial Narrow" w:hAnsi="Arial Narrow" w:cs="Arial"/>
                <w:sz w:val="20"/>
                <w:szCs w:val="20"/>
              </w:rPr>
            </w:pPr>
            <w:proofErr w:type="spellStart"/>
            <w:r w:rsidRPr="008E6588">
              <w:rPr>
                <w:rFonts w:ascii="Arial Narrow" w:hAnsi="Arial Narrow" w:cs="Arial"/>
                <w:sz w:val="20"/>
                <w:szCs w:val="20"/>
                <w:vertAlign w:val="superscript"/>
              </w:rPr>
              <w:t>a</w:t>
            </w:r>
            <w:r w:rsidRPr="008E6588">
              <w:rPr>
                <w:rFonts w:ascii="Arial Narrow" w:hAnsi="Arial Narrow" w:cs="Arial"/>
                <w:sz w:val="20"/>
                <w:szCs w:val="20"/>
              </w:rPr>
              <w:t>Xolair</w:t>
            </w:r>
            <w:proofErr w:type="spellEnd"/>
          </w:p>
        </w:tc>
      </w:tr>
      <w:tr w:rsidR="0022279D" w:rsidRPr="008E6588" w14:paraId="2027C8E7" w14:textId="77777777" w:rsidTr="0022279D">
        <w:trPr>
          <w:cantSplit/>
          <w:trHeight w:val="20"/>
        </w:trPr>
        <w:tc>
          <w:tcPr>
            <w:tcW w:w="2544" w:type="pct"/>
            <w:gridSpan w:val="2"/>
            <w:vAlign w:val="center"/>
          </w:tcPr>
          <w:p w14:paraId="42134627" w14:textId="77777777" w:rsidR="0022279D" w:rsidRPr="008E6588" w:rsidRDefault="0022279D" w:rsidP="00836DB5">
            <w:pPr>
              <w:keepLines/>
              <w:rPr>
                <w:rFonts w:ascii="Arial Narrow" w:hAnsi="Arial Narrow" w:cs="Arial"/>
                <w:sz w:val="20"/>
                <w:szCs w:val="20"/>
              </w:rPr>
            </w:pPr>
            <w:r w:rsidRPr="008E6588">
              <w:rPr>
                <w:rFonts w:ascii="Arial Narrow" w:hAnsi="Arial Narrow" w:cs="Arial"/>
                <w:sz w:val="20"/>
                <w:szCs w:val="20"/>
              </w:rPr>
              <w:t>omalizumab 150 mg/mL injection, 1 mL syringe</w:t>
            </w:r>
          </w:p>
        </w:tc>
        <w:tc>
          <w:tcPr>
            <w:tcW w:w="679" w:type="pct"/>
            <w:vAlign w:val="center"/>
          </w:tcPr>
          <w:p w14:paraId="78771C8F" w14:textId="77777777" w:rsidR="0022279D" w:rsidRPr="008E6588" w:rsidRDefault="0022279D" w:rsidP="00836DB5">
            <w:pPr>
              <w:keepLines/>
              <w:jc w:val="center"/>
              <w:rPr>
                <w:rFonts w:ascii="Arial Narrow" w:hAnsi="Arial Narrow" w:cs="Arial"/>
                <w:sz w:val="20"/>
                <w:szCs w:val="20"/>
              </w:rPr>
            </w:pPr>
            <w:r w:rsidRPr="008E6588">
              <w:rPr>
                <w:rFonts w:ascii="Arial Narrow" w:hAnsi="Arial Narrow" w:cs="Arial"/>
                <w:sz w:val="20"/>
                <w:szCs w:val="20"/>
              </w:rPr>
              <w:t>11175E/ Private</w:t>
            </w:r>
          </w:p>
        </w:tc>
        <w:tc>
          <w:tcPr>
            <w:tcW w:w="418" w:type="pct"/>
          </w:tcPr>
          <w:p w14:paraId="0C8F845A" w14:textId="77777777" w:rsidR="0022279D" w:rsidRPr="008E6588" w:rsidRDefault="0022279D" w:rsidP="00836DB5">
            <w:pPr>
              <w:keepLines/>
              <w:jc w:val="center"/>
              <w:rPr>
                <w:rFonts w:ascii="Arial Narrow" w:hAnsi="Arial Narrow" w:cs="Arial"/>
                <w:sz w:val="20"/>
                <w:szCs w:val="20"/>
              </w:rPr>
            </w:pPr>
            <w:r w:rsidRPr="008E6588">
              <w:rPr>
                <w:rFonts w:ascii="Arial Narrow" w:hAnsi="Arial Narrow" w:cs="Arial"/>
                <w:sz w:val="20"/>
                <w:szCs w:val="20"/>
              </w:rPr>
              <w:t>2</w:t>
            </w:r>
          </w:p>
        </w:tc>
        <w:tc>
          <w:tcPr>
            <w:tcW w:w="418" w:type="pct"/>
          </w:tcPr>
          <w:p w14:paraId="78D52178" w14:textId="77777777" w:rsidR="0022279D" w:rsidRPr="008E6588" w:rsidRDefault="0022279D" w:rsidP="00836DB5">
            <w:pPr>
              <w:keepLines/>
              <w:jc w:val="center"/>
              <w:rPr>
                <w:rFonts w:ascii="Arial Narrow" w:hAnsi="Arial Narrow" w:cs="Arial"/>
                <w:sz w:val="20"/>
                <w:szCs w:val="20"/>
              </w:rPr>
            </w:pPr>
            <w:r w:rsidRPr="008E6588">
              <w:rPr>
                <w:rFonts w:ascii="Arial Narrow" w:hAnsi="Arial Narrow" w:cs="Arial"/>
                <w:sz w:val="20"/>
                <w:szCs w:val="20"/>
              </w:rPr>
              <w:t>2</w:t>
            </w:r>
          </w:p>
        </w:tc>
        <w:tc>
          <w:tcPr>
            <w:tcW w:w="419" w:type="pct"/>
          </w:tcPr>
          <w:p w14:paraId="23720250" w14:textId="77777777" w:rsidR="0022279D" w:rsidRPr="008E6588" w:rsidRDefault="0022279D" w:rsidP="00836DB5">
            <w:pPr>
              <w:keepLines/>
              <w:jc w:val="center"/>
              <w:rPr>
                <w:rFonts w:ascii="Arial Narrow" w:hAnsi="Arial Narrow" w:cs="Arial"/>
                <w:sz w:val="20"/>
                <w:szCs w:val="20"/>
              </w:rPr>
            </w:pPr>
            <w:r w:rsidRPr="008E6588">
              <w:rPr>
                <w:rFonts w:ascii="Arial Narrow" w:hAnsi="Arial Narrow" w:cs="Arial"/>
                <w:sz w:val="20"/>
                <w:szCs w:val="20"/>
              </w:rPr>
              <w:t>2</w:t>
            </w:r>
          </w:p>
        </w:tc>
        <w:tc>
          <w:tcPr>
            <w:tcW w:w="522" w:type="pct"/>
            <w:vMerge/>
            <w:vAlign w:val="center"/>
          </w:tcPr>
          <w:p w14:paraId="67CF8B81" w14:textId="77777777" w:rsidR="0022279D" w:rsidRPr="008E6588" w:rsidRDefault="0022279D" w:rsidP="00836DB5">
            <w:pPr>
              <w:keepLines/>
              <w:rPr>
                <w:rFonts w:ascii="Arial Narrow" w:hAnsi="Arial Narrow" w:cs="Arial"/>
                <w:sz w:val="20"/>
                <w:szCs w:val="20"/>
              </w:rPr>
            </w:pPr>
          </w:p>
        </w:tc>
      </w:tr>
      <w:tr w:rsidR="0022279D" w:rsidRPr="008E6588" w14:paraId="59062C42" w14:textId="77777777" w:rsidTr="0022279D">
        <w:trPr>
          <w:cantSplit/>
          <w:trHeight w:val="20"/>
        </w:trPr>
        <w:tc>
          <w:tcPr>
            <w:tcW w:w="2544" w:type="pct"/>
            <w:gridSpan w:val="2"/>
            <w:vAlign w:val="center"/>
          </w:tcPr>
          <w:p w14:paraId="3153151E" w14:textId="77777777" w:rsidR="0022279D" w:rsidRPr="008E6588" w:rsidRDefault="0022279D" w:rsidP="00836DB5">
            <w:pPr>
              <w:keepLines/>
              <w:rPr>
                <w:rFonts w:ascii="Arial Narrow" w:hAnsi="Arial Narrow" w:cs="Arial"/>
                <w:sz w:val="20"/>
                <w:szCs w:val="20"/>
              </w:rPr>
            </w:pPr>
            <w:r w:rsidRPr="008E6588">
              <w:rPr>
                <w:rFonts w:ascii="Arial Narrow" w:hAnsi="Arial Narrow" w:cs="Arial"/>
                <w:sz w:val="20"/>
                <w:szCs w:val="20"/>
              </w:rPr>
              <w:t>omalizumab 150 mg/mL injection, 1 mL pen device</w:t>
            </w:r>
          </w:p>
        </w:tc>
        <w:tc>
          <w:tcPr>
            <w:tcW w:w="679" w:type="pct"/>
            <w:vAlign w:val="center"/>
          </w:tcPr>
          <w:p w14:paraId="5B5DF983" w14:textId="2A46B546" w:rsidR="0022279D" w:rsidRPr="008E6588" w:rsidRDefault="0022279D" w:rsidP="00836DB5">
            <w:pPr>
              <w:keepLines/>
              <w:jc w:val="center"/>
              <w:rPr>
                <w:rFonts w:ascii="Arial Narrow" w:hAnsi="Arial Narrow" w:cs="Arial"/>
                <w:iCs/>
                <w:sz w:val="20"/>
                <w:szCs w:val="20"/>
              </w:rPr>
            </w:pPr>
            <w:r w:rsidRPr="008E6588">
              <w:rPr>
                <w:rFonts w:ascii="Arial Narrow" w:hAnsi="Arial Narrow" w:cs="Arial"/>
                <w:iCs/>
                <w:sz w:val="20"/>
                <w:szCs w:val="20"/>
              </w:rPr>
              <w:t>NEW</w:t>
            </w:r>
            <w:r w:rsidR="00B43A6A" w:rsidRPr="008E6588">
              <w:rPr>
                <w:rFonts w:ascii="Arial Narrow" w:hAnsi="Arial Narrow" w:cs="Arial"/>
                <w:iCs/>
                <w:sz w:val="20"/>
                <w:szCs w:val="20"/>
              </w:rPr>
              <w:t>/ Public</w:t>
            </w:r>
          </w:p>
        </w:tc>
        <w:tc>
          <w:tcPr>
            <w:tcW w:w="418" w:type="pct"/>
          </w:tcPr>
          <w:p w14:paraId="3F39F9B8" w14:textId="77777777" w:rsidR="0022279D" w:rsidRPr="008E6588" w:rsidRDefault="0022279D" w:rsidP="00836DB5">
            <w:pPr>
              <w:keepLines/>
              <w:jc w:val="center"/>
              <w:rPr>
                <w:rFonts w:ascii="Arial Narrow" w:hAnsi="Arial Narrow" w:cs="Arial"/>
                <w:sz w:val="20"/>
                <w:szCs w:val="20"/>
              </w:rPr>
            </w:pPr>
            <w:r w:rsidRPr="008E6588">
              <w:rPr>
                <w:rFonts w:ascii="Arial Narrow" w:hAnsi="Arial Narrow" w:cs="Arial"/>
                <w:sz w:val="20"/>
                <w:szCs w:val="20"/>
              </w:rPr>
              <w:t>2</w:t>
            </w:r>
          </w:p>
        </w:tc>
        <w:tc>
          <w:tcPr>
            <w:tcW w:w="418" w:type="pct"/>
          </w:tcPr>
          <w:p w14:paraId="2E2DED99" w14:textId="77777777" w:rsidR="0022279D" w:rsidRPr="008E6588" w:rsidRDefault="0022279D" w:rsidP="00836DB5">
            <w:pPr>
              <w:keepLines/>
              <w:jc w:val="center"/>
              <w:rPr>
                <w:rFonts w:ascii="Arial Narrow" w:hAnsi="Arial Narrow" w:cs="Arial"/>
                <w:sz w:val="20"/>
                <w:szCs w:val="20"/>
              </w:rPr>
            </w:pPr>
            <w:r w:rsidRPr="008E6588">
              <w:rPr>
                <w:rFonts w:ascii="Arial Narrow" w:hAnsi="Arial Narrow" w:cs="Arial"/>
                <w:sz w:val="20"/>
                <w:szCs w:val="20"/>
              </w:rPr>
              <w:t>2</w:t>
            </w:r>
          </w:p>
        </w:tc>
        <w:tc>
          <w:tcPr>
            <w:tcW w:w="419" w:type="pct"/>
          </w:tcPr>
          <w:p w14:paraId="3300D3AF" w14:textId="77777777" w:rsidR="0022279D" w:rsidRPr="008E6588" w:rsidRDefault="0022279D" w:rsidP="00836DB5">
            <w:pPr>
              <w:keepLines/>
              <w:jc w:val="center"/>
              <w:rPr>
                <w:rFonts w:ascii="Arial Narrow" w:hAnsi="Arial Narrow" w:cs="Arial"/>
                <w:sz w:val="20"/>
                <w:szCs w:val="20"/>
              </w:rPr>
            </w:pPr>
            <w:r w:rsidRPr="008E6588">
              <w:rPr>
                <w:rFonts w:ascii="Arial Narrow" w:hAnsi="Arial Narrow" w:cs="Arial"/>
                <w:sz w:val="20"/>
                <w:szCs w:val="20"/>
              </w:rPr>
              <w:t>2</w:t>
            </w:r>
          </w:p>
        </w:tc>
        <w:tc>
          <w:tcPr>
            <w:tcW w:w="522" w:type="pct"/>
            <w:vMerge/>
            <w:vAlign w:val="center"/>
          </w:tcPr>
          <w:p w14:paraId="41C5B6E4" w14:textId="77777777" w:rsidR="0022279D" w:rsidRPr="008E6588" w:rsidRDefault="0022279D" w:rsidP="00836DB5">
            <w:pPr>
              <w:keepLines/>
              <w:rPr>
                <w:rFonts w:ascii="Arial Narrow" w:hAnsi="Arial Narrow" w:cs="Arial"/>
                <w:sz w:val="20"/>
                <w:szCs w:val="20"/>
              </w:rPr>
            </w:pPr>
          </w:p>
        </w:tc>
      </w:tr>
      <w:tr w:rsidR="0022279D" w:rsidRPr="008E6588" w14:paraId="4C7A40AA" w14:textId="77777777" w:rsidTr="0022279D">
        <w:trPr>
          <w:cantSplit/>
          <w:trHeight w:val="20"/>
        </w:trPr>
        <w:tc>
          <w:tcPr>
            <w:tcW w:w="2544" w:type="pct"/>
            <w:gridSpan w:val="2"/>
            <w:vAlign w:val="center"/>
          </w:tcPr>
          <w:p w14:paraId="5CDCBB3D" w14:textId="77777777" w:rsidR="0022279D" w:rsidRPr="008E6588" w:rsidRDefault="0022279D" w:rsidP="00836DB5">
            <w:pPr>
              <w:keepLines/>
              <w:rPr>
                <w:rFonts w:ascii="Arial Narrow" w:hAnsi="Arial Narrow" w:cs="Arial"/>
                <w:sz w:val="20"/>
                <w:szCs w:val="20"/>
              </w:rPr>
            </w:pPr>
            <w:r w:rsidRPr="008E6588">
              <w:rPr>
                <w:rFonts w:ascii="Arial Narrow" w:hAnsi="Arial Narrow" w:cs="Arial"/>
                <w:sz w:val="20"/>
                <w:szCs w:val="20"/>
              </w:rPr>
              <w:t>omalizumab 150 mg/mL injection, 1 mL pen device</w:t>
            </w:r>
          </w:p>
        </w:tc>
        <w:tc>
          <w:tcPr>
            <w:tcW w:w="679" w:type="pct"/>
            <w:vAlign w:val="center"/>
          </w:tcPr>
          <w:p w14:paraId="1B07F625" w14:textId="4711BDC5" w:rsidR="0022279D" w:rsidRPr="008E6588" w:rsidRDefault="0022279D" w:rsidP="00836DB5">
            <w:pPr>
              <w:keepLines/>
              <w:jc w:val="center"/>
              <w:rPr>
                <w:rFonts w:ascii="Arial Narrow" w:hAnsi="Arial Narrow" w:cs="Arial"/>
                <w:iCs/>
                <w:sz w:val="20"/>
                <w:szCs w:val="20"/>
              </w:rPr>
            </w:pPr>
            <w:r w:rsidRPr="008E6588">
              <w:rPr>
                <w:rFonts w:ascii="Arial Narrow" w:hAnsi="Arial Narrow" w:cs="Arial"/>
                <w:iCs/>
                <w:sz w:val="20"/>
                <w:szCs w:val="20"/>
              </w:rPr>
              <w:t>NEW</w:t>
            </w:r>
            <w:r w:rsidR="00B43A6A" w:rsidRPr="008E6588">
              <w:rPr>
                <w:rFonts w:ascii="Arial Narrow" w:hAnsi="Arial Narrow" w:cs="Arial"/>
                <w:iCs/>
                <w:sz w:val="20"/>
                <w:szCs w:val="20"/>
              </w:rPr>
              <w:t>/ Private</w:t>
            </w:r>
          </w:p>
        </w:tc>
        <w:tc>
          <w:tcPr>
            <w:tcW w:w="418" w:type="pct"/>
          </w:tcPr>
          <w:p w14:paraId="1B7A9AE6" w14:textId="77777777" w:rsidR="0022279D" w:rsidRPr="008E6588" w:rsidRDefault="0022279D" w:rsidP="00836DB5">
            <w:pPr>
              <w:keepLines/>
              <w:jc w:val="center"/>
              <w:rPr>
                <w:rFonts w:ascii="Arial Narrow" w:hAnsi="Arial Narrow" w:cs="Arial"/>
                <w:sz w:val="20"/>
                <w:szCs w:val="20"/>
              </w:rPr>
            </w:pPr>
            <w:r w:rsidRPr="008E6588">
              <w:rPr>
                <w:rFonts w:ascii="Arial Narrow" w:hAnsi="Arial Narrow" w:cs="Arial"/>
                <w:sz w:val="20"/>
                <w:szCs w:val="20"/>
              </w:rPr>
              <w:t>2</w:t>
            </w:r>
          </w:p>
        </w:tc>
        <w:tc>
          <w:tcPr>
            <w:tcW w:w="418" w:type="pct"/>
          </w:tcPr>
          <w:p w14:paraId="49951889" w14:textId="77777777" w:rsidR="0022279D" w:rsidRPr="008E6588" w:rsidRDefault="0022279D" w:rsidP="00836DB5">
            <w:pPr>
              <w:keepLines/>
              <w:jc w:val="center"/>
              <w:rPr>
                <w:rFonts w:ascii="Arial Narrow" w:hAnsi="Arial Narrow" w:cs="Arial"/>
                <w:sz w:val="20"/>
                <w:szCs w:val="20"/>
              </w:rPr>
            </w:pPr>
            <w:r w:rsidRPr="008E6588">
              <w:rPr>
                <w:rFonts w:ascii="Arial Narrow" w:hAnsi="Arial Narrow" w:cs="Arial"/>
                <w:sz w:val="20"/>
                <w:szCs w:val="20"/>
              </w:rPr>
              <w:t>2</w:t>
            </w:r>
          </w:p>
        </w:tc>
        <w:tc>
          <w:tcPr>
            <w:tcW w:w="419" w:type="pct"/>
          </w:tcPr>
          <w:p w14:paraId="77DB1556" w14:textId="77777777" w:rsidR="0022279D" w:rsidRPr="008E6588" w:rsidRDefault="0022279D" w:rsidP="00836DB5">
            <w:pPr>
              <w:keepLines/>
              <w:jc w:val="center"/>
              <w:rPr>
                <w:rFonts w:ascii="Arial Narrow" w:hAnsi="Arial Narrow" w:cs="Arial"/>
                <w:sz w:val="20"/>
                <w:szCs w:val="20"/>
              </w:rPr>
            </w:pPr>
            <w:r w:rsidRPr="008E6588">
              <w:rPr>
                <w:rFonts w:ascii="Arial Narrow" w:hAnsi="Arial Narrow" w:cs="Arial"/>
                <w:sz w:val="20"/>
                <w:szCs w:val="20"/>
              </w:rPr>
              <w:t>2</w:t>
            </w:r>
          </w:p>
        </w:tc>
        <w:tc>
          <w:tcPr>
            <w:tcW w:w="522" w:type="pct"/>
            <w:vMerge/>
            <w:vAlign w:val="center"/>
          </w:tcPr>
          <w:p w14:paraId="2ACE6EB8" w14:textId="77777777" w:rsidR="0022279D" w:rsidRPr="008E6588" w:rsidRDefault="0022279D" w:rsidP="00836DB5">
            <w:pPr>
              <w:keepLines/>
              <w:rPr>
                <w:rFonts w:ascii="Arial Narrow" w:hAnsi="Arial Narrow" w:cs="Arial"/>
                <w:sz w:val="20"/>
                <w:szCs w:val="20"/>
              </w:rPr>
            </w:pPr>
          </w:p>
        </w:tc>
      </w:tr>
      <w:tr w:rsidR="004164CF" w:rsidRPr="008E6588" w14:paraId="23467F83" w14:textId="77777777" w:rsidTr="0022279D">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101C2866" w14:textId="77777777" w:rsidR="004164CF" w:rsidRPr="008E6588" w:rsidRDefault="004164CF" w:rsidP="00836DB5">
            <w:pPr>
              <w:rPr>
                <w:rFonts w:ascii="Arial Narrow" w:hAnsi="Arial Narrow" w:cs="Arial"/>
                <w:sz w:val="20"/>
                <w:szCs w:val="20"/>
              </w:rPr>
            </w:pPr>
          </w:p>
        </w:tc>
      </w:tr>
      <w:tr w:rsidR="004164CF" w:rsidRPr="008E6588" w14:paraId="78A5042D" w14:textId="77777777" w:rsidTr="0022279D">
        <w:tblPrEx>
          <w:tblCellMar>
            <w:top w:w="15" w:type="dxa"/>
            <w:bottom w:w="15" w:type="dxa"/>
          </w:tblCellMar>
          <w:tblLook w:val="04A0" w:firstRow="1" w:lastRow="0" w:firstColumn="1" w:lastColumn="0" w:noHBand="0" w:noVBand="1"/>
        </w:tblPrEx>
        <w:trPr>
          <w:trHeight w:val="20"/>
        </w:trPr>
        <w:tc>
          <w:tcPr>
            <w:tcW w:w="691" w:type="pct"/>
            <w:vMerge w:val="restart"/>
            <w:tcBorders>
              <w:top w:val="single" w:sz="4" w:space="0" w:color="auto"/>
              <w:left w:val="single" w:sz="4" w:space="0" w:color="auto"/>
              <w:right w:val="single" w:sz="4" w:space="0" w:color="auto"/>
            </w:tcBorders>
          </w:tcPr>
          <w:p w14:paraId="4F9DBB90" w14:textId="77777777" w:rsidR="00F6069F" w:rsidRPr="008E6588" w:rsidRDefault="004164CF" w:rsidP="00836DB5">
            <w:pPr>
              <w:jc w:val="center"/>
              <w:rPr>
                <w:rFonts w:ascii="Arial Narrow" w:hAnsi="Arial Narrow" w:cs="Arial"/>
                <w:b/>
                <w:sz w:val="20"/>
                <w:szCs w:val="20"/>
              </w:rPr>
            </w:pPr>
            <w:r w:rsidRPr="008E6588">
              <w:rPr>
                <w:rFonts w:ascii="Arial Narrow" w:hAnsi="Arial Narrow" w:cs="Arial"/>
                <w:b/>
                <w:sz w:val="20"/>
                <w:szCs w:val="20"/>
              </w:rPr>
              <w:t xml:space="preserve">Concept ID </w:t>
            </w:r>
          </w:p>
          <w:p w14:paraId="5D3714AB" w14:textId="1C965DEB" w:rsidR="004164CF" w:rsidRPr="008E6588" w:rsidRDefault="004164CF" w:rsidP="00836DB5">
            <w:pPr>
              <w:jc w:val="center"/>
              <w:rPr>
                <w:rFonts w:ascii="Arial Narrow" w:hAnsi="Arial Narrow" w:cs="Arial"/>
                <w:b/>
                <w:sz w:val="20"/>
                <w:szCs w:val="20"/>
              </w:rPr>
            </w:pPr>
            <w:r w:rsidRPr="008E6588">
              <w:rPr>
                <w:rFonts w:ascii="Arial Narrow" w:hAnsi="Arial Narrow" w:cs="Arial"/>
                <w:sz w:val="20"/>
                <w:szCs w:val="20"/>
              </w:rPr>
              <w:t>(for internal Dept. use)</w:t>
            </w:r>
          </w:p>
        </w:tc>
        <w:tc>
          <w:tcPr>
            <w:tcW w:w="4309" w:type="pct"/>
            <w:gridSpan w:val="6"/>
            <w:tcBorders>
              <w:top w:val="single" w:sz="4" w:space="0" w:color="auto"/>
              <w:left w:val="single" w:sz="4" w:space="0" w:color="auto"/>
              <w:bottom w:val="single" w:sz="4" w:space="0" w:color="auto"/>
              <w:right w:val="single" w:sz="4" w:space="0" w:color="auto"/>
            </w:tcBorders>
            <w:vAlign w:val="center"/>
          </w:tcPr>
          <w:p w14:paraId="2520DC02" w14:textId="77777777" w:rsidR="004164CF" w:rsidRPr="008E6588" w:rsidRDefault="004164CF" w:rsidP="00836DB5">
            <w:pPr>
              <w:keepLines/>
              <w:rPr>
                <w:rFonts w:ascii="Arial Narrow" w:hAnsi="Arial Narrow" w:cs="Arial"/>
                <w:sz w:val="20"/>
                <w:szCs w:val="20"/>
              </w:rPr>
            </w:pPr>
            <w:r w:rsidRPr="008E6588">
              <w:rPr>
                <w:rFonts w:ascii="Arial Narrow" w:hAnsi="Arial Narrow" w:cs="Arial"/>
                <w:b/>
                <w:sz w:val="20"/>
                <w:szCs w:val="20"/>
              </w:rPr>
              <w:t>Category / Program:</w:t>
            </w:r>
            <w:r w:rsidRPr="008E6588">
              <w:rPr>
                <w:rFonts w:ascii="Arial Narrow" w:hAnsi="Arial Narrow" w:cs="Arial"/>
                <w:sz w:val="20"/>
                <w:szCs w:val="20"/>
              </w:rPr>
              <w:t xml:space="preserve"> </w:t>
            </w:r>
            <w:r w:rsidRPr="008E6588">
              <w:rPr>
                <w:rFonts w:ascii="Arial Narrow" w:eastAsia="Calibri" w:hAnsi="Arial Narrow" w:cs="Arial"/>
                <w:sz w:val="20"/>
                <w:szCs w:val="20"/>
              </w:rPr>
              <w:t>Section 100 – Highly Specialised Drugs Program – Public (Code HB)</w:t>
            </w:r>
            <w:r w:rsidRPr="008E6588">
              <w:rPr>
                <w:rFonts w:ascii="Arial Narrow" w:eastAsia="Calibri" w:hAnsi="Arial Narrow" w:cs="Arial"/>
                <w:color w:val="FF0000"/>
                <w:sz w:val="20"/>
                <w:szCs w:val="20"/>
              </w:rPr>
              <w:t xml:space="preserve"> </w:t>
            </w:r>
            <w:r w:rsidRPr="008E6588">
              <w:rPr>
                <w:rFonts w:ascii="Arial Narrow" w:eastAsia="Calibri" w:hAnsi="Arial Narrow" w:cs="Arial"/>
                <w:sz w:val="20"/>
                <w:szCs w:val="20"/>
              </w:rPr>
              <w:t>/ Private (Code HS)</w:t>
            </w:r>
          </w:p>
        </w:tc>
      </w:tr>
      <w:tr w:rsidR="004164CF" w:rsidRPr="008E6588" w14:paraId="48347951" w14:textId="77777777">
        <w:tblPrEx>
          <w:tblCellMar>
            <w:top w:w="15" w:type="dxa"/>
            <w:bottom w:w="15" w:type="dxa"/>
          </w:tblCellMar>
          <w:tblLook w:val="04A0" w:firstRow="1" w:lastRow="0" w:firstColumn="1" w:lastColumn="0" w:noHBand="0" w:noVBand="1"/>
        </w:tblPrEx>
        <w:trPr>
          <w:trHeight w:val="20"/>
        </w:trPr>
        <w:tc>
          <w:tcPr>
            <w:tcW w:w="691" w:type="pct"/>
            <w:vMerge/>
            <w:tcBorders>
              <w:left w:val="single" w:sz="4" w:space="0" w:color="auto"/>
              <w:right w:val="single" w:sz="4" w:space="0" w:color="auto"/>
            </w:tcBorders>
          </w:tcPr>
          <w:p w14:paraId="6D9E2F2D" w14:textId="77777777" w:rsidR="004164CF" w:rsidRPr="008E6588" w:rsidRDefault="004164CF" w:rsidP="00836DB5">
            <w:pPr>
              <w:rPr>
                <w:rFonts w:ascii="Arial Narrow" w:hAnsi="Arial Narrow" w:cs="Arial"/>
                <w:sz w:val="20"/>
                <w:szCs w:val="20"/>
              </w:rPr>
            </w:pPr>
          </w:p>
        </w:tc>
        <w:tc>
          <w:tcPr>
            <w:tcW w:w="4309" w:type="pct"/>
            <w:gridSpan w:val="6"/>
            <w:tcBorders>
              <w:top w:val="single" w:sz="4" w:space="0" w:color="auto"/>
              <w:left w:val="single" w:sz="4" w:space="0" w:color="auto"/>
              <w:bottom w:val="single" w:sz="4" w:space="0" w:color="auto"/>
              <w:right w:val="single" w:sz="4" w:space="0" w:color="auto"/>
            </w:tcBorders>
            <w:vAlign w:val="center"/>
          </w:tcPr>
          <w:p w14:paraId="6884C2DD" w14:textId="77777777" w:rsidR="004164CF" w:rsidRPr="008E6588" w:rsidRDefault="004164CF" w:rsidP="00836DB5">
            <w:pPr>
              <w:keepLines/>
              <w:rPr>
                <w:rFonts w:ascii="Arial Narrow" w:hAnsi="Arial Narrow" w:cs="Arial"/>
                <w:b/>
                <w:sz w:val="20"/>
                <w:szCs w:val="20"/>
              </w:rPr>
            </w:pPr>
            <w:r w:rsidRPr="008E6588">
              <w:rPr>
                <w:rFonts w:ascii="Arial Narrow" w:hAnsi="Arial Narrow" w:cs="Arial"/>
                <w:b/>
                <w:sz w:val="20"/>
                <w:szCs w:val="20"/>
              </w:rPr>
              <w:t xml:space="preserve">Prescriber type: </w:t>
            </w:r>
            <w:r w:rsidRPr="008E6588">
              <w:rPr>
                <w:rFonts w:ascii="Arial Narrow" w:hAnsi="Arial Narrow" w:cs="Arial"/>
                <w:sz w:val="20"/>
                <w:szCs w:val="20"/>
              </w:rPr>
              <w:fldChar w:fldCharType="begin" w:fldLock="1">
                <w:ffData>
                  <w:name w:val=""/>
                  <w:enabled/>
                  <w:calcOnExit w:val="0"/>
                  <w:checkBox>
                    <w:sizeAuto/>
                    <w:default w:val="1"/>
                  </w:checkBox>
                </w:ffData>
              </w:fldChar>
            </w:r>
            <w:r w:rsidRPr="008E6588">
              <w:rPr>
                <w:rFonts w:ascii="Arial Narrow" w:hAnsi="Arial Narrow" w:cs="Arial"/>
                <w:sz w:val="20"/>
                <w:szCs w:val="20"/>
              </w:rPr>
              <w:instrText xml:space="preserve"> FORMCHECKBOX </w:instrText>
            </w:r>
            <w:r w:rsidRPr="008E6588">
              <w:rPr>
                <w:rFonts w:ascii="Arial Narrow" w:hAnsi="Arial Narrow" w:cs="Arial"/>
                <w:sz w:val="20"/>
                <w:szCs w:val="20"/>
              </w:rPr>
            </w:r>
            <w:r w:rsidRPr="008E6588">
              <w:rPr>
                <w:rFonts w:ascii="Arial Narrow" w:hAnsi="Arial Narrow" w:cs="Arial"/>
                <w:sz w:val="20"/>
                <w:szCs w:val="20"/>
              </w:rPr>
              <w:fldChar w:fldCharType="separate"/>
            </w:r>
            <w:r w:rsidRPr="008E6588">
              <w:rPr>
                <w:rFonts w:ascii="Arial Narrow" w:hAnsi="Arial Narrow" w:cs="Arial"/>
                <w:sz w:val="20"/>
                <w:szCs w:val="20"/>
              </w:rPr>
              <w:fldChar w:fldCharType="end"/>
            </w:r>
            <w:r w:rsidRPr="008E6588">
              <w:rPr>
                <w:rFonts w:ascii="Arial Narrow" w:hAnsi="Arial Narrow" w:cs="Arial"/>
                <w:sz w:val="20"/>
                <w:szCs w:val="20"/>
              </w:rPr>
              <w:t xml:space="preserve">Medical Practitioners </w:t>
            </w:r>
          </w:p>
        </w:tc>
      </w:tr>
      <w:tr w:rsidR="004164CF" w:rsidRPr="008E6588" w14:paraId="055A89B2" w14:textId="77777777">
        <w:tblPrEx>
          <w:tblCellMar>
            <w:top w:w="15" w:type="dxa"/>
            <w:bottom w:w="15" w:type="dxa"/>
          </w:tblCellMar>
          <w:tblLook w:val="04A0" w:firstRow="1" w:lastRow="0" w:firstColumn="1" w:lastColumn="0" w:noHBand="0" w:noVBand="1"/>
        </w:tblPrEx>
        <w:trPr>
          <w:trHeight w:val="20"/>
        </w:trPr>
        <w:tc>
          <w:tcPr>
            <w:tcW w:w="691" w:type="pct"/>
            <w:vMerge/>
            <w:tcBorders>
              <w:left w:val="single" w:sz="4" w:space="0" w:color="auto"/>
              <w:right w:val="single" w:sz="4" w:space="0" w:color="auto"/>
            </w:tcBorders>
          </w:tcPr>
          <w:p w14:paraId="201EFAE2" w14:textId="77777777" w:rsidR="004164CF" w:rsidRPr="008E6588" w:rsidRDefault="004164CF" w:rsidP="00836DB5">
            <w:pPr>
              <w:rPr>
                <w:rFonts w:ascii="Arial Narrow" w:hAnsi="Arial Narrow" w:cs="Arial"/>
                <w:sz w:val="20"/>
                <w:szCs w:val="20"/>
              </w:rPr>
            </w:pPr>
          </w:p>
        </w:tc>
        <w:tc>
          <w:tcPr>
            <w:tcW w:w="4309" w:type="pct"/>
            <w:gridSpan w:val="6"/>
            <w:tcBorders>
              <w:top w:val="single" w:sz="4" w:space="0" w:color="auto"/>
              <w:left w:val="single" w:sz="4" w:space="0" w:color="auto"/>
              <w:bottom w:val="single" w:sz="4" w:space="0" w:color="auto"/>
              <w:right w:val="single" w:sz="4" w:space="0" w:color="auto"/>
            </w:tcBorders>
            <w:vAlign w:val="center"/>
          </w:tcPr>
          <w:p w14:paraId="5F8B7D80" w14:textId="77777777" w:rsidR="004164CF" w:rsidRPr="008E6588" w:rsidRDefault="004164CF" w:rsidP="00836DB5">
            <w:pPr>
              <w:keepLines/>
              <w:rPr>
                <w:rFonts w:ascii="Arial Narrow" w:eastAsia="Calibri" w:hAnsi="Arial Narrow" w:cs="Arial"/>
                <w:color w:val="FF0000"/>
                <w:sz w:val="20"/>
                <w:szCs w:val="20"/>
              </w:rPr>
            </w:pPr>
            <w:r w:rsidRPr="008E6588">
              <w:rPr>
                <w:rFonts w:ascii="Arial Narrow" w:hAnsi="Arial Narrow" w:cs="Arial"/>
                <w:b/>
                <w:sz w:val="20"/>
                <w:szCs w:val="20"/>
              </w:rPr>
              <w:t xml:space="preserve">Restriction type: </w:t>
            </w:r>
            <w:r w:rsidRPr="008E6588">
              <w:rPr>
                <w:rFonts w:ascii="Arial Narrow" w:eastAsia="Calibri" w:hAnsi="Arial Narrow" w:cs="Arial"/>
                <w:sz w:val="20"/>
                <w:szCs w:val="20"/>
              </w:rPr>
              <w:fldChar w:fldCharType="begin" w:fldLock="1">
                <w:ffData>
                  <w:name w:val=""/>
                  <w:enabled/>
                  <w:calcOnExit w:val="0"/>
                  <w:checkBox>
                    <w:sizeAuto/>
                    <w:default w:val="1"/>
                  </w:checkBox>
                </w:ffData>
              </w:fldChar>
            </w:r>
            <w:r w:rsidRPr="008E6588">
              <w:rPr>
                <w:rFonts w:ascii="Arial Narrow" w:eastAsia="Calibri" w:hAnsi="Arial Narrow" w:cs="Arial"/>
                <w:sz w:val="20"/>
                <w:szCs w:val="20"/>
              </w:rPr>
              <w:instrText xml:space="preserve"> FORMCHECKBOX </w:instrText>
            </w:r>
            <w:r w:rsidRPr="008E6588">
              <w:rPr>
                <w:rFonts w:ascii="Arial Narrow" w:eastAsia="Calibri" w:hAnsi="Arial Narrow" w:cs="Arial"/>
                <w:sz w:val="20"/>
                <w:szCs w:val="20"/>
              </w:rPr>
            </w:r>
            <w:r w:rsidRPr="008E6588">
              <w:rPr>
                <w:rFonts w:ascii="Arial Narrow" w:eastAsia="Calibri" w:hAnsi="Arial Narrow" w:cs="Arial"/>
                <w:sz w:val="20"/>
                <w:szCs w:val="20"/>
              </w:rPr>
              <w:fldChar w:fldCharType="separate"/>
            </w:r>
            <w:r w:rsidRPr="008E6588">
              <w:rPr>
                <w:rFonts w:ascii="Arial Narrow" w:eastAsia="Calibri" w:hAnsi="Arial Narrow" w:cs="Arial"/>
                <w:sz w:val="20"/>
                <w:szCs w:val="20"/>
              </w:rPr>
              <w:fldChar w:fldCharType="end"/>
            </w:r>
            <w:r w:rsidRPr="008E6588">
              <w:rPr>
                <w:rFonts w:ascii="Arial Narrow" w:eastAsia="Calibri" w:hAnsi="Arial Narrow" w:cs="Arial"/>
                <w:sz w:val="20"/>
                <w:szCs w:val="20"/>
              </w:rPr>
              <w:t>Authority Required (in writing only via post/HPOS upload)</w:t>
            </w:r>
          </w:p>
        </w:tc>
      </w:tr>
      <w:tr w:rsidR="0021444F" w:rsidRPr="008E6588" w14:paraId="613E605F" w14:textId="77777777">
        <w:tblPrEx>
          <w:tblCellMar>
            <w:top w:w="15" w:type="dxa"/>
            <w:bottom w:w="15" w:type="dxa"/>
          </w:tblCellMar>
        </w:tblPrEx>
        <w:trPr>
          <w:trHeight w:val="20"/>
        </w:trPr>
        <w:tc>
          <w:tcPr>
            <w:tcW w:w="691" w:type="pct"/>
            <w:vMerge/>
            <w:tcBorders>
              <w:left w:val="single" w:sz="4" w:space="0" w:color="auto"/>
              <w:right w:val="single" w:sz="4" w:space="0" w:color="auto"/>
            </w:tcBorders>
          </w:tcPr>
          <w:p w14:paraId="79874F76" w14:textId="77777777" w:rsidR="003D4AB5" w:rsidRPr="008E6588" w:rsidRDefault="003D4AB5">
            <w:pPr>
              <w:keepLines/>
              <w:rPr>
                <w:rFonts w:ascii="Arial Narrow" w:hAnsi="Arial Narrow"/>
                <w:b/>
                <w:bCs/>
                <w:sz w:val="20"/>
                <w:szCs w:val="20"/>
              </w:rPr>
            </w:pPr>
          </w:p>
        </w:tc>
        <w:tc>
          <w:tcPr>
            <w:tcW w:w="4309" w:type="pct"/>
            <w:gridSpan w:val="6"/>
            <w:tcBorders>
              <w:left w:val="single" w:sz="4" w:space="0" w:color="auto"/>
              <w:right w:val="single" w:sz="4" w:space="0" w:color="auto"/>
            </w:tcBorders>
          </w:tcPr>
          <w:p w14:paraId="153D06E6" w14:textId="3CE43462" w:rsidR="0021444F" w:rsidRPr="008E6588" w:rsidRDefault="003D4AB5" w:rsidP="00836DB5">
            <w:pPr>
              <w:keepLines/>
              <w:rPr>
                <w:rFonts w:ascii="Arial Narrow" w:hAnsi="Arial Narrow"/>
                <w:b/>
                <w:bCs/>
                <w:sz w:val="20"/>
                <w:szCs w:val="20"/>
              </w:rPr>
            </w:pPr>
            <w:r w:rsidRPr="008E6588">
              <w:rPr>
                <w:rFonts w:ascii="Arial Narrow" w:hAnsi="Arial Narrow"/>
                <w:b/>
                <w:sz w:val="20"/>
                <w:szCs w:val="20"/>
              </w:rPr>
              <w:t xml:space="preserve">Authority type: </w:t>
            </w:r>
            <w:r w:rsidRPr="008E6588">
              <w:rPr>
                <w:rFonts w:ascii="Arial Narrow" w:eastAsia="Calibri" w:hAnsi="Arial Narrow"/>
                <w:sz w:val="20"/>
                <w:szCs w:val="20"/>
              </w:rPr>
              <w:fldChar w:fldCharType="begin" w:fldLock="1">
                <w:ffData>
                  <w:name w:val=""/>
                  <w:enabled/>
                  <w:calcOnExit w:val="0"/>
                  <w:checkBox>
                    <w:sizeAuto/>
                    <w:default w:val="1"/>
                  </w:checkBox>
                </w:ffData>
              </w:fldChar>
            </w:r>
            <w:r w:rsidRPr="008E6588">
              <w:rPr>
                <w:rFonts w:ascii="Arial Narrow" w:eastAsia="Calibri" w:hAnsi="Arial Narrow"/>
                <w:sz w:val="20"/>
                <w:szCs w:val="20"/>
              </w:rPr>
              <w:instrText xml:space="preserve"> FORMCHECKBOX </w:instrText>
            </w:r>
            <w:r w:rsidRPr="008E6588">
              <w:rPr>
                <w:rFonts w:ascii="Arial Narrow" w:eastAsia="Calibri" w:hAnsi="Arial Narrow"/>
                <w:sz w:val="20"/>
                <w:szCs w:val="20"/>
              </w:rPr>
            </w:r>
            <w:r w:rsidRPr="008E6588">
              <w:rPr>
                <w:rFonts w:ascii="Arial Narrow" w:eastAsia="Calibri" w:hAnsi="Arial Narrow"/>
                <w:sz w:val="20"/>
                <w:szCs w:val="20"/>
              </w:rPr>
              <w:fldChar w:fldCharType="separate"/>
            </w:r>
            <w:r w:rsidRPr="008E6588">
              <w:rPr>
                <w:rFonts w:ascii="Arial Narrow" w:eastAsia="Calibri" w:hAnsi="Arial Narrow"/>
                <w:sz w:val="20"/>
                <w:szCs w:val="20"/>
              </w:rPr>
              <w:fldChar w:fldCharType="end"/>
            </w:r>
            <w:r w:rsidRPr="008E6588">
              <w:rPr>
                <w:rFonts w:ascii="Arial Narrow" w:eastAsia="Calibri" w:hAnsi="Arial Narrow"/>
                <w:sz w:val="20"/>
                <w:szCs w:val="20"/>
              </w:rPr>
              <w:t xml:space="preserve"> Complex Authority Required (CAR)</w:t>
            </w:r>
          </w:p>
        </w:tc>
      </w:tr>
      <w:tr w:rsidR="0021444F" w:rsidRPr="008E6588" w14:paraId="07CD8F6C" w14:textId="77777777" w:rsidTr="0022279D">
        <w:tblPrEx>
          <w:tblCellMar>
            <w:top w:w="15" w:type="dxa"/>
            <w:bottom w:w="15" w:type="dxa"/>
          </w:tblCellMar>
        </w:tblPrEx>
        <w:trPr>
          <w:trHeight w:val="20"/>
        </w:trPr>
        <w:tc>
          <w:tcPr>
            <w:tcW w:w="5000" w:type="pct"/>
            <w:gridSpan w:val="7"/>
            <w:tcBorders>
              <w:left w:val="single" w:sz="4" w:space="0" w:color="auto"/>
              <w:right w:val="single" w:sz="4" w:space="0" w:color="auto"/>
            </w:tcBorders>
          </w:tcPr>
          <w:p w14:paraId="125CA90A" w14:textId="79F4D277" w:rsidR="0021444F" w:rsidRPr="008E6588" w:rsidRDefault="0021444F" w:rsidP="00836DB5">
            <w:pPr>
              <w:keepLines/>
              <w:rPr>
                <w:rFonts w:ascii="Arial Narrow" w:hAnsi="Arial Narrow"/>
                <w:b/>
                <w:bCs/>
                <w:sz w:val="20"/>
                <w:szCs w:val="20"/>
              </w:rPr>
            </w:pPr>
            <w:r w:rsidRPr="008E6588">
              <w:rPr>
                <w:rFonts w:ascii="Arial Narrow" w:hAnsi="Arial Narrow"/>
                <w:b/>
                <w:sz w:val="20"/>
                <w:szCs w:val="20"/>
              </w:rPr>
              <w:t>Restriction Summary 7055/ Treatment of Concept:7055</w:t>
            </w:r>
            <w:r w:rsidR="00BF1BC8" w:rsidRPr="008E6588">
              <w:rPr>
                <w:rFonts w:ascii="Arial Narrow" w:hAnsi="Arial Narrow"/>
                <w:b/>
                <w:sz w:val="20"/>
                <w:szCs w:val="20"/>
              </w:rPr>
              <w:t>: Authority Required</w:t>
            </w:r>
          </w:p>
        </w:tc>
      </w:tr>
      <w:tr w:rsidR="007B71DC" w:rsidRPr="008E6588" w14:paraId="445AB337" w14:textId="77777777" w:rsidTr="0022279D">
        <w:tblPrEx>
          <w:tblCellMar>
            <w:top w:w="15" w:type="dxa"/>
            <w:bottom w:w="15" w:type="dxa"/>
          </w:tblCellMar>
          <w:tblLook w:val="04A0" w:firstRow="1" w:lastRow="0" w:firstColumn="1" w:lastColumn="0" w:noHBand="0" w:noVBand="1"/>
        </w:tblPrEx>
        <w:trPr>
          <w:cantSplit/>
          <w:trHeight w:val="20"/>
        </w:trPr>
        <w:tc>
          <w:tcPr>
            <w:tcW w:w="691" w:type="pct"/>
            <w:vAlign w:val="center"/>
          </w:tcPr>
          <w:p w14:paraId="1F5D6E0C" w14:textId="7FA88EC7" w:rsidR="007B71DC" w:rsidRPr="008E6588" w:rsidRDefault="007B71DC" w:rsidP="00836DB5">
            <w:pPr>
              <w:jc w:val="center"/>
              <w:rPr>
                <w:rFonts w:ascii="Arial Narrow" w:hAnsi="Arial Narrow"/>
                <w:sz w:val="20"/>
                <w:szCs w:val="20"/>
              </w:rPr>
            </w:pPr>
          </w:p>
        </w:tc>
        <w:tc>
          <w:tcPr>
            <w:tcW w:w="4309" w:type="pct"/>
            <w:gridSpan w:val="6"/>
            <w:vAlign w:val="center"/>
          </w:tcPr>
          <w:p w14:paraId="5E537FCD" w14:textId="77777777" w:rsidR="007B71DC" w:rsidRPr="008E6588" w:rsidRDefault="007B71DC" w:rsidP="00836DB5">
            <w:pPr>
              <w:rPr>
                <w:rFonts w:ascii="Arial Narrow" w:hAnsi="Arial Narrow"/>
                <w:sz w:val="20"/>
                <w:szCs w:val="20"/>
              </w:rPr>
            </w:pPr>
            <w:r w:rsidRPr="008E6588">
              <w:rPr>
                <w:rFonts w:ascii="Arial Narrow" w:hAnsi="Arial Narrow"/>
                <w:b/>
                <w:bCs/>
                <w:sz w:val="20"/>
                <w:szCs w:val="20"/>
              </w:rPr>
              <w:t>Indication:</w:t>
            </w:r>
            <w:r w:rsidRPr="008E6588">
              <w:rPr>
                <w:rFonts w:ascii="Arial Narrow" w:hAnsi="Arial Narrow"/>
                <w:sz w:val="20"/>
                <w:szCs w:val="20"/>
              </w:rPr>
              <w:t xml:space="preserve"> Severe chronic spontaneous urticaria</w:t>
            </w:r>
          </w:p>
        </w:tc>
      </w:tr>
      <w:tr w:rsidR="007B71DC" w:rsidRPr="008E6588" w14:paraId="5E30807C" w14:textId="77777777" w:rsidTr="0022279D">
        <w:tblPrEx>
          <w:tblCellMar>
            <w:top w:w="15" w:type="dxa"/>
            <w:bottom w:w="15" w:type="dxa"/>
          </w:tblCellMar>
          <w:tblLook w:val="04A0" w:firstRow="1" w:lastRow="0" w:firstColumn="1" w:lastColumn="0" w:noHBand="0" w:noVBand="1"/>
        </w:tblPrEx>
        <w:trPr>
          <w:cantSplit/>
          <w:trHeight w:val="20"/>
        </w:trPr>
        <w:tc>
          <w:tcPr>
            <w:tcW w:w="691" w:type="pct"/>
            <w:vAlign w:val="center"/>
          </w:tcPr>
          <w:p w14:paraId="669A135A" w14:textId="77777777" w:rsidR="007B71DC" w:rsidRPr="008E6588" w:rsidRDefault="007B71DC" w:rsidP="00836DB5">
            <w:pPr>
              <w:jc w:val="center"/>
              <w:rPr>
                <w:rFonts w:ascii="Arial Narrow" w:hAnsi="Arial Narrow"/>
                <w:sz w:val="20"/>
                <w:szCs w:val="20"/>
              </w:rPr>
            </w:pPr>
          </w:p>
        </w:tc>
        <w:tc>
          <w:tcPr>
            <w:tcW w:w="4309" w:type="pct"/>
            <w:gridSpan w:val="6"/>
            <w:vAlign w:val="center"/>
          </w:tcPr>
          <w:p w14:paraId="3FE563C0" w14:textId="77777777" w:rsidR="007B71DC" w:rsidRPr="008E6588" w:rsidRDefault="007B71DC" w:rsidP="00836DB5">
            <w:pPr>
              <w:rPr>
                <w:rFonts w:ascii="Arial Narrow" w:hAnsi="Arial Narrow"/>
                <w:sz w:val="20"/>
                <w:szCs w:val="20"/>
              </w:rPr>
            </w:pPr>
            <w:r w:rsidRPr="008E6588">
              <w:rPr>
                <w:rFonts w:ascii="Arial Narrow" w:hAnsi="Arial Narrow"/>
                <w:b/>
                <w:bCs/>
                <w:sz w:val="20"/>
                <w:szCs w:val="20"/>
              </w:rPr>
              <w:t>Treatment Phase</w:t>
            </w:r>
            <w:r w:rsidRPr="008E6588">
              <w:rPr>
                <w:rFonts w:ascii="Arial Narrow" w:hAnsi="Arial Narrow"/>
                <w:sz w:val="20"/>
                <w:szCs w:val="20"/>
              </w:rPr>
              <w:t>: Initial treatment</w:t>
            </w:r>
          </w:p>
        </w:tc>
      </w:tr>
      <w:tr w:rsidR="00D55517" w:rsidRPr="008E6588" w14:paraId="3FC9134B"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315418E" w14:textId="007A7157" w:rsidR="00D55517" w:rsidRPr="008E6588" w:rsidRDefault="00D55517" w:rsidP="00D55517">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80A866" w14:textId="77777777" w:rsidR="00D55517" w:rsidRPr="008E6588" w:rsidRDefault="00D55517" w:rsidP="00D55517">
            <w:pPr>
              <w:rPr>
                <w:rFonts w:ascii="Arial Narrow" w:hAnsi="Arial Narrow"/>
                <w:b/>
                <w:bCs/>
                <w:sz w:val="20"/>
                <w:szCs w:val="20"/>
              </w:rPr>
            </w:pPr>
            <w:r w:rsidRPr="008E6588">
              <w:rPr>
                <w:rFonts w:ascii="Arial Narrow" w:hAnsi="Arial Narrow"/>
                <w:b/>
                <w:bCs/>
                <w:sz w:val="20"/>
                <w:szCs w:val="20"/>
              </w:rPr>
              <w:t>Treatment criteria:</w:t>
            </w:r>
          </w:p>
        </w:tc>
      </w:tr>
      <w:tr w:rsidR="00D55517" w:rsidRPr="008E6588" w14:paraId="482E166A"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FF5ED9B" w14:textId="745AD29F" w:rsidR="00D55517" w:rsidRPr="008E6588" w:rsidRDefault="00D55517" w:rsidP="00D55517">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A90B95" w14:textId="33B6F0DD" w:rsidR="00D55517" w:rsidRPr="008E6588" w:rsidRDefault="00D55517" w:rsidP="00D55517">
            <w:pPr>
              <w:rPr>
                <w:rFonts w:ascii="Arial Narrow" w:hAnsi="Arial Narrow"/>
                <w:sz w:val="20"/>
                <w:szCs w:val="20"/>
              </w:rPr>
            </w:pPr>
            <w:r w:rsidRPr="008E6588">
              <w:rPr>
                <w:rFonts w:ascii="Arial Narrow" w:hAnsi="Arial Narrow"/>
                <w:sz w:val="20"/>
                <w:szCs w:val="20"/>
              </w:rPr>
              <w:t>Must be treated by a clinical immunologist; or</w:t>
            </w:r>
          </w:p>
        </w:tc>
      </w:tr>
      <w:tr w:rsidR="00D55517" w:rsidRPr="008E6588" w14:paraId="21E38F6A"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B1EBEB2" w14:textId="5B4F0A8F" w:rsidR="00D55517" w:rsidRPr="008E6588" w:rsidRDefault="00D55517" w:rsidP="00D55517">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867281" w14:textId="7611F509" w:rsidR="00D55517" w:rsidRPr="008E6588" w:rsidRDefault="00D55517" w:rsidP="00D55517">
            <w:pPr>
              <w:rPr>
                <w:rFonts w:ascii="Arial Narrow" w:hAnsi="Arial Narrow"/>
                <w:sz w:val="20"/>
                <w:szCs w:val="20"/>
              </w:rPr>
            </w:pPr>
            <w:r w:rsidRPr="008E6588">
              <w:rPr>
                <w:rFonts w:ascii="Arial Narrow" w:hAnsi="Arial Narrow"/>
                <w:sz w:val="20"/>
                <w:szCs w:val="20"/>
              </w:rPr>
              <w:t>Must be treated by an allergist; or</w:t>
            </w:r>
          </w:p>
        </w:tc>
      </w:tr>
      <w:tr w:rsidR="00D55517" w:rsidRPr="008E6588" w14:paraId="0250FDFA"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201931A" w14:textId="0254EB71" w:rsidR="00D55517" w:rsidRPr="008E6588" w:rsidRDefault="00D55517" w:rsidP="00D55517">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750BC4" w14:textId="2B48A0ED" w:rsidR="00D55517" w:rsidRPr="008E6588" w:rsidRDefault="00D55517" w:rsidP="00D55517">
            <w:pPr>
              <w:rPr>
                <w:rFonts w:ascii="Arial Narrow" w:hAnsi="Arial Narrow"/>
                <w:sz w:val="20"/>
                <w:szCs w:val="20"/>
              </w:rPr>
            </w:pPr>
            <w:r w:rsidRPr="008E6588">
              <w:rPr>
                <w:rFonts w:ascii="Arial Narrow" w:hAnsi="Arial Narrow"/>
                <w:sz w:val="20"/>
                <w:szCs w:val="20"/>
              </w:rPr>
              <w:t>Must be treated by a dermatologist; or</w:t>
            </w:r>
          </w:p>
        </w:tc>
      </w:tr>
      <w:tr w:rsidR="00D55517" w:rsidRPr="008E6588" w14:paraId="104F43EF"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82C13E5" w14:textId="0ED8F936" w:rsidR="00D55517" w:rsidRPr="008E6588" w:rsidRDefault="00D55517" w:rsidP="00D55517">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0426BF" w14:textId="5CC94837" w:rsidR="00D55517" w:rsidRPr="008E6588" w:rsidRDefault="00D55517" w:rsidP="00D55517">
            <w:pPr>
              <w:rPr>
                <w:rFonts w:ascii="Arial Narrow" w:hAnsi="Arial Narrow"/>
                <w:sz w:val="20"/>
                <w:szCs w:val="20"/>
              </w:rPr>
            </w:pPr>
            <w:r w:rsidRPr="008E6588">
              <w:rPr>
                <w:rFonts w:ascii="Arial Narrow" w:hAnsi="Arial Narrow"/>
                <w:sz w:val="20"/>
                <w:szCs w:val="20"/>
              </w:rPr>
              <w:t>Must be treated by a general physician with expertise in the management of chronic spontaneous urticaria (CSU)</w:t>
            </w:r>
          </w:p>
        </w:tc>
      </w:tr>
      <w:tr w:rsidR="00D55517" w:rsidRPr="008E6588" w14:paraId="730F26CF"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BEDD36F" w14:textId="34DD5813" w:rsidR="00D55517" w:rsidRPr="008E6588" w:rsidRDefault="00D55517" w:rsidP="00D55517">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D51838" w14:textId="77777777" w:rsidR="00D55517" w:rsidRPr="008E6588" w:rsidRDefault="00D55517" w:rsidP="00D55517">
            <w:pPr>
              <w:rPr>
                <w:rFonts w:ascii="Arial Narrow" w:hAnsi="Arial Narrow"/>
                <w:b/>
                <w:bCs/>
                <w:sz w:val="20"/>
                <w:szCs w:val="20"/>
              </w:rPr>
            </w:pPr>
            <w:r w:rsidRPr="008E6588">
              <w:rPr>
                <w:rFonts w:ascii="Arial Narrow" w:hAnsi="Arial Narrow"/>
                <w:b/>
                <w:bCs/>
                <w:sz w:val="20"/>
                <w:szCs w:val="20"/>
              </w:rPr>
              <w:t>Clinical criteria:</w:t>
            </w:r>
          </w:p>
        </w:tc>
      </w:tr>
      <w:tr w:rsidR="00D55517" w:rsidRPr="008E6588" w14:paraId="3F03F5FC"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750C6D1" w14:textId="2A889803" w:rsidR="00D55517" w:rsidRPr="008E6588" w:rsidRDefault="00D55517" w:rsidP="00D55517">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E7FDE4" w14:textId="6DC4AF3E" w:rsidR="00D55517" w:rsidRPr="008E6588" w:rsidRDefault="00D55517" w:rsidP="00D55517">
            <w:pPr>
              <w:rPr>
                <w:rFonts w:ascii="Arial Narrow" w:hAnsi="Arial Narrow"/>
                <w:sz w:val="20"/>
                <w:szCs w:val="20"/>
              </w:rPr>
            </w:pPr>
            <w:r w:rsidRPr="008E6588">
              <w:rPr>
                <w:rFonts w:ascii="Arial Narrow" w:hAnsi="Arial Narrow"/>
                <w:sz w:val="20"/>
                <w:szCs w:val="20"/>
              </w:rPr>
              <w:t>The condition must be based on both physical examination and patient history (to exclude any factors that may be triggering the urticaria)</w:t>
            </w:r>
          </w:p>
        </w:tc>
      </w:tr>
      <w:tr w:rsidR="00D55517" w:rsidRPr="008E6588" w14:paraId="78F63E72"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6009C71" w14:textId="77777777" w:rsidR="00D55517" w:rsidRPr="008E6588" w:rsidRDefault="00D55517" w:rsidP="00D55517">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7E5100" w14:textId="77777777" w:rsidR="00D55517" w:rsidRPr="008E6588" w:rsidRDefault="00D55517" w:rsidP="00D55517">
            <w:pPr>
              <w:rPr>
                <w:rFonts w:ascii="Arial Narrow" w:hAnsi="Arial Narrow"/>
                <w:b/>
                <w:bCs/>
                <w:sz w:val="20"/>
                <w:szCs w:val="20"/>
              </w:rPr>
            </w:pPr>
            <w:r w:rsidRPr="008E6588">
              <w:rPr>
                <w:rFonts w:ascii="Arial Narrow" w:hAnsi="Arial Narrow"/>
                <w:b/>
                <w:bCs/>
                <w:sz w:val="20"/>
                <w:szCs w:val="20"/>
              </w:rPr>
              <w:t>AND</w:t>
            </w:r>
          </w:p>
        </w:tc>
      </w:tr>
      <w:tr w:rsidR="00D55517" w:rsidRPr="008E6588" w14:paraId="202C3ED5"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9C68644" w14:textId="553C6D07" w:rsidR="00D55517" w:rsidRPr="008E6588" w:rsidRDefault="00D55517" w:rsidP="00D55517">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199313" w14:textId="77777777" w:rsidR="00D55517" w:rsidRPr="008E6588" w:rsidRDefault="00D55517" w:rsidP="00D55517">
            <w:pPr>
              <w:rPr>
                <w:rFonts w:ascii="Arial Narrow" w:hAnsi="Arial Narrow"/>
                <w:b/>
                <w:bCs/>
                <w:sz w:val="20"/>
                <w:szCs w:val="20"/>
              </w:rPr>
            </w:pPr>
            <w:r w:rsidRPr="008E6588">
              <w:rPr>
                <w:rFonts w:ascii="Arial Narrow" w:hAnsi="Arial Narrow"/>
                <w:b/>
                <w:bCs/>
                <w:sz w:val="20"/>
                <w:szCs w:val="20"/>
              </w:rPr>
              <w:t>Clinical criteria:</w:t>
            </w:r>
          </w:p>
        </w:tc>
      </w:tr>
      <w:tr w:rsidR="00D55517" w:rsidRPr="008E6588" w14:paraId="47DC1476"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C733FD4" w14:textId="0A2F7964" w:rsidR="00D55517" w:rsidRPr="008E6588" w:rsidRDefault="00D55517" w:rsidP="00D55517">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6488AC" w14:textId="0D08DF27" w:rsidR="00D55517" w:rsidRPr="008E6588" w:rsidRDefault="00D55517" w:rsidP="00D55517">
            <w:pPr>
              <w:rPr>
                <w:rFonts w:ascii="Arial Narrow" w:hAnsi="Arial Narrow"/>
                <w:sz w:val="20"/>
                <w:szCs w:val="20"/>
              </w:rPr>
            </w:pPr>
            <w:r w:rsidRPr="008E6588">
              <w:rPr>
                <w:rFonts w:ascii="Arial Narrow" w:hAnsi="Arial Narrow"/>
                <w:sz w:val="20"/>
                <w:szCs w:val="20"/>
              </w:rPr>
              <w:t xml:space="preserve">Patient must have experienced itch and hives that persist </w:t>
            </w:r>
            <w:proofErr w:type="gramStart"/>
            <w:r w:rsidRPr="008E6588">
              <w:rPr>
                <w:rFonts w:ascii="Arial Narrow" w:hAnsi="Arial Narrow"/>
                <w:sz w:val="20"/>
                <w:szCs w:val="20"/>
              </w:rPr>
              <w:t>on a daily basis</w:t>
            </w:r>
            <w:proofErr w:type="gramEnd"/>
            <w:r w:rsidRPr="008E6588">
              <w:rPr>
                <w:rFonts w:ascii="Arial Narrow" w:hAnsi="Arial Narrow"/>
                <w:sz w:val="20"/>
                <w:szCs w:val="20"/>
              </w:rPr>
              <w:t xml:space="preserve"> for at least 6 weeks despite treatment with H1 antihistamines</w:t>
            </w:r>
          </w:p>
        </w:tc>
      </w:tr>
      <w:tr w:rsidR="00D55517" w:rsidRPr="008E6588" w14:paraId="7AADFE11"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109D4DF" w14:textId="77777777" w:rsidR="00D55517" w:rsidRPr="008E6588" w:rsidRDefault="00D55517" w:rsidP="00D55517">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385F54" w14:textId="77777777" w:rsidR="00D55517" w:rsidRPr="008E6588" w:rsidRDefault="00D55517" w:rsidP="00D55517">
            <w:pPr>
              <w:rPr>
                <w:rFonts w:ascii="Arial Narrow" w:hAnsi="Arial Narrow"/>
                <w:b/>
                <w:bCs/>
                <w:sz w:val="20"/>
                <w:szCs w:val="20"/>
              </w:rPr>
            </w:pPr>
            <w:r w:rsidRPr="008E6588">
              <w:rPr>
                <w:rFonts w:ascii="Arial Narrow" w:hAnsi="Arial Narrow"/>
                <w:b/>
                <w:bCs/>
                <w:sz w:val="20"/>
                <w:szCs w:val="20"/>
              </w:rPr>
              <w:t>AND</w:t>
            </w:r>
          </w:p>
        </w:tc>
      </w:tr>
      <w:tr w:rsidR="00D55517" w:rsidRPr="008E6588" w14:paraId="5156C151"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FF8C93C" w14:textId="5A50AE9E" w:rsidR="00D55517" w:rsidRPr="008E6588" w:rsidRDefault="00D55517" w:rsidP="00D55517">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4CF4C4" w14:textId="77777777" w:rsidR="00D55517" w:rsidRPr="008E6588" w:rsidRDefault="00D55517" w:rsidP="00D55517">
            <w:pPr>
              <w:rPr>
                <w:rFonts w:ascii="Arial Narrow" w:hAnsi="Arial Narrow"/>
                <w:b/>
                <w:bCs/>
                <w:sz w:val="20"/>
                <w:szCs w:val="20"/>
              </w:rPr>
            </w:pPr>
            <w:r w:rsidRPr="008E6588">
              <w:rPr>
                <w:rFonts w:ascii="Arial Narrow" w:hAnsi="Arial Narrow"/>
                <w:b/>
                <w:bCs/>
                <w:sz w:val="20"/>
                <w:szCs w:val="20"/>
              </w:rPr>
              <w:t>Clinical criteria:</w:t>
            </w:r>
          </w:p>
        </w:tc>
      </w:tr>
      <w:tr w:rsidR="00D55517" w:rsidRPr="008E6588" w14:paraId="395539CB"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8433086" w14:textId="6447D390" w:rsidR="00D55517" w:rsidRPr="008E6588" w:rsidRDefault="00D55517" w:rsidP="00D55517">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A92DF8" w14:textId="2FA50747" w:rsidR="00D55517" w:rsidRPr="008E6588" w:rsidRDefault="00D55517" w:rsidP="00D55517">
            <w:pPr>
              <w:rPr>
                <w:rFonts w:ascii="Arial Narrow" w:hAnsi="Arial Narrow"/>
                <w:sz w:val="20"/>
                <w:szCs w:val="20"/>
              </w:rPr>
            </w:pPr>
            <w:r w:rsidRPr="008E6588">
              <w:rPr>
                <w:rFonts w:ascii="Arial Narrow" w:hAnsi="Arial Narrow"/>
                <w:sz w:val="20"/>
                <w:szCs w:val="20"/>
              </w:rPr>
              <w:t>Patient must have failed to achieve an adequate response after a minimum of 2 weeks treatment with a standard therapy</w:t>
            </w:r>
          </w:p>
        </w:tc>
      </w:tr>
      <w:tr w:rsidR="00D55517" w:rsidRPr="008E6588" w14:paraId="67A0D52B"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596EB27" w14:textId="77777777" w:rsidR="00D55517" w:rsidRPr="008E6588" w:rsidRDefault="00D55517" w:rsidP="00D55517">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C7F8CE" w14:textId="77777777" w:rsidR="00D55517" w:rsidRPr="008E6588" w:rsidRDefault="00D55517" w:rsidP="00D55517">
            <w:pPr>
              <w:rPr>
                <w:rFonts w:ascii="Arial Narrow" w:hAnsi="Arial Narrow"/>
                <w:b/>
                <w:bCs/>
                <w:sz w:val="20"/>
                <w:szCs w:val="20"/>
              </w:rPr>
            </w:pPr>
            <w:r w:rsidRPr="008E6588">
              <w:rPr>
                <w:rFonts w:ascii="Arial Narrow" w:hAnsi="Arial Narrow"/>
                <w:b/>
                <w:bCs/>
                <w:sz w:val="20"/>
                <w:szCs w:val="20"/>
              </w:rPr>
              <w:t>AND</w:t>
            </w:r>
          </w:p>
        </w:tc>
      </w:tr>
      <w:tr w:rsidR="00D55517" w:rsidRPr="008E6588" w14:paraId="5FD24325"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01EC6C3" w14:textId="328C384B" w:rsidR="00D55517" w:rsidRPr="008E6588" w:rsidRDefault="00D55517" w:rsidP="00D55517">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BBEF25" w14:textId="77777777" w:rsidR="00D55517" w:rsidRPr="008E6588" w:rsidRDefault="00D55517" w:rsidP="00D55517">
            <w:pPr>
              <w:rPr>
                <w:rFonts w:ascii="Arial Narrow" w:hAnsi="Arial Narrow"/>
                <w:b/>
                <w:bCs/>
                <w:sz w:val="20"/>
                <w:szCs w:val="20"/>
              </w:rPr>
            </w:pPr>
            <w:r w:rsidRPr="008E6588">
              <w:rPr>
                <w:rFonts w:ascii="Arial Narrow" w:hAnsi="Arial Narrow"/>
                <w:b/>
                <w:bCs/>
                <w:sz w:val="20"/>
                <w:szCs w:val="20"/>
              </w:rPr>
              <w:t>Clinical criteria:</w:t>
            </w:r>
          </w:p>
        </w:tc>
      </w:tr>
      <w:tr w:rsidR="00D55517" w:rsidRPr="008E6588" w14:paraId="12D20269"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066C114" w14:textId="48586E30" w:rsidR="00D55517" w:rsidRPr="008E6588" w:rsidRDefault="00D55517" w:rsidP="00D55517">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09DF8E" w14:textId="2397923B" w:rsidR="00D55517" w:rsidRPr="008E6588" w:rsidRDefault="00D55517" w:rsidP="00D55517">
            <w:pPr>
              <w:rPr>
                <w:rFonts w:ascii="Arial Narrow" w:hAnsi="Arial Narrow"/>
                <w:b/>
                <w:bCs/>
                <w:sz w:val="20"/>
                <w:szCs w:val="20"/>
              </w:rPr>
            </w:pPr>
            <w:r w:rsidRPr="008E6588">
              <w:rPr>
                <w:rFonts w:ascii="Arial Narrow" w:hAnsi="Arial Narrow"/>
                <w:b/>
                <w:bCs/>
                <w:sz w:val="20"/>
                <w:szCs w:val="20"/>
              </w:rPr>
              <w:t>Patient must not receive more than 12 weeks of treatment under this restriction</w:t>
            </w:r>
          </w:p>
        </w:tc>
      </w:tr>
      <w:tr w:rsidR="00D55517" w:rsidRPr="008E6588" w14:paraId="52B6C2AA"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DB335FC" w14:textId="0387F238" w:rsidR="00D55517" w:rsidRPr="008E6588" w:rsidRDefault="00D55517" w:rsidP="00D55517">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2AD517" w14:textId="77777777" w:rsidR="00D55517" w:rsidRPr="008E6588" w:rsidRDefault="00D55517" w:rsidP="00D55517">
            <w:pPr>
              <w:rPr>
                <w:rFonts w:ascii="Arial Narrow" w:hAnsi="Arial Narrow"/>
                <w:b/>
                <w:bCs/>
                <w:sz w:val="20"/>
                <w:szCs w:val="20"/>
              </w:rPr>
            </w:pPr>
            <w:r w:rsidRPr="008E6588">
              <w:rPr>
                <w:rFonts w:ascii="Arial Narrow" w:hAnsi="Arial Narrow"/>
                <w:b/>
                <w:bCs/>
                <w:sz w:val="20"/>
                <w:szCs w:val="20"/>
              </w:rPr>
              <w:t>Prescribing Instructions:</w:t>
            </w:r>
          </w:p>
          <w:p w14:paraId="293DDDAD" w14:textId="77777777" w:rsidR="00D55517" w:rsidRPr="008E6588" w:rsidRDefault="00D55517" w:rsidP="00D55517">
            <w:pPr>
              <w:rPr>
                <w:rFonts w:ascii="Arial Narrow" w:hAnsi="Arial Narrow"/>
                <w:sz w:val="20"/>
                <w:szCs w:val="20"/>
              </w:rPr>
            </w:pPr>
            <w:r w:rsidRPr="008E6588">
              <w:rPr>
                <w:rFonts w:ascii="Arial Narrow" w:hAnsi="Arial Narrow"/>
                <w:sz w:val="20"/>
                <w:szCs w:val="20"/>
              </w:rPr>
              <w:t>A standard therapy is defined as a combination of therapies that includes H1 antihistamines at maximally tolerated doses in accordance with clinical guidelines, and one of the following:</w:t>
            </w:r>
          </w:p>
          <w:p w14:paraId="456DF550" w14:textId="77777777" w:rsidR="00D55517" w:rsidRPr="008E6588" w:rsidRDefault="00D55517" w:rsidP="00D55517">
            <w:pPr>
              <w:rPr>
                <w:rFonts w:ascii="Arial Narrow" w:hAnsi="Arial Narrow"/>
                <w:sz w:val="20"/>
                <w:szCs w:val="20"/>
              </w:rPr>
            </w:pPr>
            <w:r w:rsidRPr="008E6588">
              <w:rPr>
                <w:rFonts w:ascii="Arial Narrow" w:hAnsi="Arial Narrow"/>
                <w:sz w:val="20"/>
                <w:szCs w:val="20"/>
              </w:rPr>
              <w:t>1) a H2 receptor antagonist (150 mg twice per day); or</w:t>
            </w:r>
          </w:p>
          <w:p w14:paraId="2668D222" w14:textId="77777777" w:rsidR="00D55517" w:rsidRPr="008E6588" w:rsidRDefault="00D55517" w:rsidP="00D55517">
            <w:pPr>
              <w:rPr>
                <w:rFonts w:ascii="Arial Narrow" w:hAnsi="Arial Narrow"/>
                <w:sz w:val="20"/>
                <w:szCs w:val="20"/>
              </w:rPr>
            </w:pPr>
            <w:r w:rsidRPr="008E6588">
              <w:rPr>
                <w:rFonts w:ascii="Arial Narrow" w:hAnsi="Arial Narrow"/>
                <w:sz w:val="20"/>
                <w:szCs w:val="20"/>
              </w:rPr>
              <w:t>2) a leukotriene receptor antagonist (LTRA) (10 mg per day); or</w:t>
            </w:r>
          </w:p>
          <w:p w14:paraId="1E52348D" w14:textId="77777777" w:rsidR="00D55517" w:rsidRPr="008E6588" w:rsidRDefault="00D55517" w:rsidP="00D55517">
            <w:pPr>
              <w:rPr>
                <w:rFonts w:ascii="Arial Narrow" w:hAnsi="Arial Narrow"/>
                <w:b/>
                <w:bCs/>
                <w:sz w:val="20"/>
                <w:szCs w:val="20"/>
              </w:rPr>
            </w:pPr>
            <w:r w:rsidRPr="008E6588">
              <w:rPr>
                <w:rFonts w:ascii="Arial Narrow" w:hAnsi="Arial Narrow"/>
                <w:sz w:val="20"/>
                <w:szCs w:val="20"/>
              </w:rPr>
              <w:t>3) doxepin (up to 25 mg three times a day)</w:t>
            </w:r>
          </w:p>
        </w:tc>
      </w:tr>
      <w:tr w:rsidR="00D55517" w:rsidRPr="008E6588" w14:paraId="554101E9"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856CB80" w14:textId="11640C76" w:rsidR="00D55517" w:rsidRPr="008E6588" w:rsidRDefault="00D55517" w:rsidP="00D55517">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C9BBE0" w14:textId="77777777" w:rsidR="00D55517" w:rsidRPr="008E6588" w:rsidRDefault="00D55517" w:rsidP="00D55517">
            <w:pPr>
              <w:rPr>
                <w:rFonts w:ascii="Arial Narrow" w:hAnsi="Arial Narrow"/>
                <w:b/>
                <w:bCs/>
                <w:sz w:val="20"/>
                <w:szCs w:val="20"/>
              </w:rPr>
            </w:pPr>
            <w:r w:rsidRPr="008E6588">
              <w:rPr>
                <w:rFonts w:ascii="Arial Narrow" w:hAnsi="Arial Narrow"/>
                <w:b/>
                <w:bCs/>
                <w:sz w:val="20"/>
                <w:szCs w:val="20"/>
              </w:rPr>
              <w:t>Prescribing Instructions:</w:t>
            </w:r>
          </w:p>
          <w:p w14:paraId="0A395A11" w14:textId="77777777" w:rsidR="00D55517" w:rsidRPr="008E6588" w:rsidRDefault="00D55517" w:rsidP="00D55517">
            <w:pPr>
              <w:rPr>
                <w:rFonts w:ascii="Arial Narrow" w:hAnsi="Arial Narrow"/>
                <w:sz w:val="20"/>
                <w:szCs w:val="20"/>
              </w:rPr>
            </w:pPr>
            <w:r w:rsidRPr="008E6588">
              <w:rPr>
                <w:rFonts w:ascii="Arial Narrow" w:hAnsi="Arial Narrow"/>
                <w:sz w:val="20"/>
                <w:szCs w:val="20"/>
              </w:rPr>
              <w:t>If the requirement for treatment with H1 antihistamines and a H2 receptor antagonist, or a leukotriene receptor antagonist or doxepin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tc>
      </w:tr>
      <w:tr w:rsidR="00D55517" w:rsidRPr="008E6588" w14:paraId="2A4A581D"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9F32947" w14:textId="463ED499" w:rsidR="00D55517" w:rsidRPr="008E6588" w:rsidRDefault="00D55517" w:rsidP="00D55517">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835645" w14:textId="77777777" w:rsidR="00D55517" w:rsidRPr="008E6588" w:rsidRDefault="00D55517" w:rsidP="00D55517">
            <w:pPr>
              <w:rPr>
                <w:rFonts w:ascii="Arial Narrow" w:hAnsi="Arial Narrow"/>
                <w:b/>
                <w:bCs/>
                <w:sz w:val="20"/>
                <w:szCs w:val="20"/>
              </w:rPr>
            </w:pPr>
            <w:r w:rsidRPr="008E6588">
              <w:rPr>
                <w:rFonts w:ascii="Arial Narrow" w:hAnsi="Arial Narrow"/>
                <w:b/>
                <w:bCs/>
                <w:sz w:val="20"/>
                <w:szCs w:val="20"/>
              </w:rPr>
              <w:t>Prescribing Instructions:</w:t>
            </w:r>
          </w:p>
          <w:p w14:paraId="099167DE" w14:textId="77777777" w:rsidR="00D55517" w:rsidRPr="008E6588" w:rsidRDefault="00D55517" w:rsidP="00D55517">
            <w:pPr>
              <w:rPr>
                <w:rFonts w:ascii="Arial Narrow" w:hAnsi="Arial Narrow"/>
                <w:sz w:val="20"/>
                <w:szCs w:val="20"/>
              </w:rPr>
            </w:pPr>
            <w:r w:rsidRPr="008E6588">
              <w:rPr>
                <w:rFonts w:ascii="Arial Narrow" w:hAnsi="Arial Narrow"/>
                <w:sz w:val="20"/>
                <w:szCs w:val="20"/>
              </w:rPr>
              <w:t>A failure to achieve an adequate response to standard therapy is defined as a current Urticaria Activity Score 7 (UAS7) score of equal to or greater than 28 with an itch score of greater than 8, as assessed while still on standard therapy.</w:t>
            </w:r>
          </w:p>
        </w:tc>
      </w:tr>
      <w:tr w:rsidR="00D55517" w:rsidRPr="008E6588" w14:paraId="75B4E278"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7DC3312" w14:textId="1FC2B8F4" w:rsidR="00D55517" w:rsidRPr="008E6588" w:rsidRDefault="00D55517" w:rsidP="00D55517">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A01D6C" w14:textId="77777777" w:rsidR="00D55517" w:rsidRPr="008E6588" w:rsidRDefault="00D55517" w:rsidP="00D55517">
            <w:pPr>
              <w:rPr>
                <w:rFonts w:ascii="Arial Narrow" w:hAnsi="Arial Narrow"/>
                <w:b/>
                <w:bCs/>
                <w:sz w:val="20"/>
                <w:szCs w:val="20"/>
              </w:rPr>
            </w:pPr>
            <w:r w:rsidRPr="008E6588">
              <w:rPr>
                <w:rFonts w:ascii="Arial Narrow" w:hAnsi="Arial Narrow"/>
                <w:b/>
                <w:bCs/>
                <w:sz w:val="20"/>
                <w:szCs w:val="20"/>
              </w:rPr>
              <w:t>Prescribing Instructions:</w:t>
            </w:r>
          </w:p>
          <w:p w14:paraId="3A957C0C" w14:textId="77777777" w:rsidR="00D55517" w:rsidRPr="008E6588" w:rsidRDefault="00D55517" w:rsidP="00D55517">
            <w:pPr>
              <w:rPr>
                <w:rFonts w:ascii="Arial Narrow" w:hAnsi="Arial Narrow"/>
                <w:sz w:val="20"/>
                <w:szCs w:val="20"/>
              </w:rPr>
            </w:pPr>
            <w:r w:rsidRPr="008E6588">
              <w:rPr>
                <w:rFonts w:ascii="Arial Narrow" w:hAnsi="Arial Narrow"/>
                <w:sz w:val="20"/>
                <w:szCs w:val="20"/>
              </w:rPr>
              <w:t>The authority application must be made in writing and must include:</w:t>
            </w:r>
          </w:p>
          <w:p w14:paraId="13C49A99" w14:textId="77777777" w:rsidR="00D55517" w:rsidRPr="008E6588" w:rsidRDefault="00D55517" w:rsidP="00D55517">
            <w:pPr>
              <w:rPr>
                <w:rFonts w:ascii="Arial Narrow" w:hAnsi="Arial Narrow"/>
                <w:sz w:val="20"/>
                <w:szCs w:val="20"/>
              </w:rPr>
            </w:pPr>
            <w:r w:rsidRPr="008E6588">
              <w:rPr>
                <w:rFonts w:ascii="Arial Narrow" w:hAnsi="Arial Narrow"/>
                <w:sz w:val="20"/>
                <w:szCs w:val="20"/>
              </w:rPr>
              <w:t>(a) a completed authority prescription form; and</w:t>
            </w:r>
          </w:p>
          <w:p w14:paraId="786BA8EF" w14:textId="77777777" w:rsidR="00D55517" w:rsidRPr="008E6588" w:rsidRDefault="00D55517" w:rsidP="00D55517">
            <w:pPr>
              <w:rPr>
                <w:rFonts w:ascii="Arial Narrow" w:hAnsi="Arial Narrow"/>
                <w:sz w:val="20"/>
                <w:szCs w:val="20"/>
              </w:rPr>
            </w:pPr>
            <w:r w:rsidRPr="008E6588">
              <w:rPr>
                <w:rFonts w:ascii="Arial Narrow" w:hAnsi="Arial Narrow"/>
                <w:sz w:val="20"/>
                <w:szCs w:val="20"/>
              </w:rPr>
              <w:t>(b) a completed Chronic Spontaneous Urticaria Omalizumab Initial PBS Authority Application - Supporting Information Form which must include:</w:t>
            </w:r>
          </w:p>
          <w:p w14:paraId="553CD25B" w14:textId="77777777" w:rsidR="00D55517" w:rsidRPr="008E6588" w:rsidRDefault="00D55517" w:rsidP="00D55517">
            <w:pPr>
              <w:rPr>
                <w:rFonts w:ascii="Arial Narrow" w:hAnsi="Arial Narrow"/>
                <w:sz w:val="20"/>
                <w:szCs w:val="20"/>
              </w:rPr>
            </w:pPr>
            <w:r w:rsidRPr="008E6588">
              <w:rPr>
                <w:rFonts w:ascii="Arial Narrow" w:hAnsi="Arial Narrow"/>
                <w:sz w:val="20"/>
                <w:szCs w:val="20"/>
              </w:rPr>
              <w:t>(</w:t>
            </w:r>
            <w:proofErr w:type="spellStart"/>
            <w:r w:rsidRPr="008E6588">
              <w:rPr>
                <w:rFonts w:ascii="Arial Narrow" w:hAnsi="Arial Narrow"/>
                <w:sz w:val="20"/>
                <w:szCs w:val="20"/>
              </w:rPr>
              <w:t>i</w:t>
            </w:r>
            <w:proofErr w:type="spellEnd"/>
            <w:r w:rsidRPr="008E6588">
              <w:rPr>
                <w:rFonts w:ascii="Arial Narrow" w:hAnsi="Arial Narrow"/>
                <w:sz w:val="20"/>
                <w:szCs w:val="20"/>
              </w:rPr>
              <w:t>) demonstration of failure to achieve an adequate response to standard therapy; and</w:t>
            </w:r>
          </w:p>
          <w:p w14:paraId="195EDEE1" w14:textId="77777777" w:rsidR="00D55517" w:rsidRPr="008E6588" w:rsidRDefault="00D55517" w:rsidP="00D55517">
            <w:pPr>
              <w:rPr>
                <w:rFonts w:ascii="Arial Narrow" w:hAnsi="Arial Narrow"/>
                <w:sz w:val="20"/>
                <w:szCs w:val="20"/>
              </w:rPr>
            </w:pPr>
            <w:r w:rsidRPr="008E6588">
              <w:rPr>
                <w:rFonts w:ascii="Arial Narrow" w:hAnsi="Arial Narrow"/>
                <w:sz w:val="20"/>
                <w:szCs w:val="20"/>
              </w:rPr>
              <w:t>(ii) drug names and doses of standard therapies that the patient has failed; and</w:t>
            </w:r>
          </w:p>
          <w:p w14:paraId="67990DD7" w14:textId="77777777" w:rsidR="00D55517" w:rsidRPr="008E6588" w:rsidRDefault="00D55517" w:rsidP="00D55517">
            <w:pPr>
              <w:rPr>
                <w:rFonts w:ascii="Arial Narrow" w:hAnsi="Arial Narrow"/>
                <w:b/>
                <w:bCs/>
                <w:sz w:val="20"/>
                <w:szCs w:val="20"/>
              </w:rPr>
            </w:pPr>
            <w:r w:rsidRPr="008E6588">
              <w:rPr>
                <w:rFonts w:ascii="Arial Narrow" w:hAnsi="Arial Narrow"/>
                <w:sz w:val="20"/>
                <w:szCs w:val="20"/>
              </w:rPr>
              <w:t>(iii) a signed patient acknowledgment that cessation of therapy should be considered after the patient has demonstrated clinical benefit with omalizumab to re-evaluate the need for continued therapy. Any patient who ceases therapy and whose CSU relapses will need to re-initiate PBS-subsidised omalizumab as a new patient.</w:t>
            </w:r>
          </w:p>
        </w:tc>
      </w:tr>
      <w:tr w:rsidR="00D55517" w:rsidRPr="008E6588" w14:paraId="10D9B5F8"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A52A200" w14:textId="42D8F23B" w:rsidR="00D55517" w:rsidRPr="008E6588" w:rsidRDefault="00D55517" w:rsidP="00D55517">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1D8623" w14:textId="77777777" w:rsidR="00D55517" w:rsidRPr="008E6588" w:rsidRDefault="00D55517" w:rsidP="00D55517">
            <w:pPr>
              <w:rPr>
                <w:rFonts w:ascii="Arial Narrow" w:hAnsi="Arial Narrow"/>
                <w:b/>
                <w:bCs/>
                <w:sz w:val="20"/>
                <w:szCs w:val="20"/>
              </w:rPr>
            </w:pPr>
            <w:r w:rsidRPr="008E6588">
              <w:rPr>
                <w:rFonts w:ascii="Arial Narrow" w:hAnsi="Arial Narrow"/>
                <w:b/>
                <w:bCs/>
                <w:sz w:val="20"/>
                <w:szCs w:val="20"/>
              </w:rPr>
              <w:t>Administrative Advice:</w:t>
            </w:r>
          </w:p>
          <w:p w14:paraId="4AAF9FAA" w14:textId="77777777" w:rsidR="00D55517" w:rsidRPr="008E6588" w:rsidRDefault="00D55517" w:rsidP="00D55517">
            <w:pPr>
              <w:rPr>
                <w:rFonts w:ascii="Arial Narrow" w:hAnsi="Arial Narrow"/>
                <w:sz w:val="20"/>
                <w:szCs w:val="20"/>
              </w:rPr>
            </w:pPr>
            <w:r w:rsidRPr="008E6588">
              <w:rPr>
                <w:rFonts w:ascii="Arial Narrow" w:hAnsi="Arial Narrow"/>
                <w:sz w:val="20"/>
                <w:szCs w:val="20"/>
              </w:rPr>
              <w:t>Any queries concerning the arrangements to prescribe may be directed to the Department of Human Services on 1800 700 270 (hours of operation 8 a.m. to 5 p.m. EST Monday to Friday).</w:t>
            </w:r>
          </w:p>
          <w:p w14:paraId="4E8D2A61" w14:textId="77777777" w:rsidR="00D55517" w:rsidRPr="008E6588" w:rsidRDefault="00D55517" w:rsidP="00D55517">
            <w:pPr>
              <w:rPr>
                <w:rFonts w:ascii="Arial Narrow" w:hAnsi="Arial Narrow"/>
                <w:sz w:val="20"/>
                <w:szCs w:val="20"/>
              </w:rPr>
            </w:pPr>
            <w:r w:rsidRPr="008E6588">
              <w:rPr>
                <w:rFonts w:ascii="Arial Narrow" w:hAnsi="Arial Narrow"/>
                <w:sz w:val="20"/>
                <w:szCs w:val="20"/>
              </w:rPr>
              <w:t>Prescribing information (including Authority Application forms and other relevant documentation as applicable) is available on the Department of Human Services website at www.humanservices.gov.au</w:t>
            </w:r>
          </w:p>
          <w:p w14:paraId="189F9B1D" w14:textId="77777777" w:rsidR="00D55517" w:rsidRPr="008E6588" w:rsidRDefault="00D55517" w:rsidP="00D55517">
            <w:pPr>
              <w:rPr>
                <w:rFonts w:ascii="Arial Narrow" w:hAnsi="Arial Narrow"/>
                <w:sz w:val="20"/>
                <w:szCs w:val="20"/>
              </w:rPr>
            </w:pPr>
            <w:r w:rsidRPr="008E6588">
              <w:rPr>
                <w:rFonts w:ascii="Arial Narrow" w:hAnsi="Arial Narrow"/>
                <w:sz w:val="20"/>
                <w:szCs w:val="20"/>
              </w:rPr>
              <w:t>Applications for authority to prescribe should be forwarded to:</w:t>
            </w:r>
          </w:p>
          <w:p w14:paraId="3E0E7323" w14:textId="77777777" w:rsidR="00D55517" w:rsidRPr="008E6588" w:rsidRDefault="00D55517" w:rsidP="00D55517">
            <w:pPr>
              <w:rPr>
                <w:rFonts w:ascii="Arial Narrow" w:hAnsi="Arial Narrow"/>
                <w:sz w:val="20"/>
                <w:szCs w:val="20"/>
              </w:rPr>
            </w:pPr>
            <w:r w:rsidRPr="008E6588">
              <w:rPr>
                <w:rFonts w:ascii="Arial Narrow" w:hAnsi="Arial Narrow"/>
                <w:sz w:val="20"/>
                <w:szCs w:val="20"/>
              </w:rPr>
              <w:t>Department of Human Services</w:t>
            </w:r>
          </w:p>
          <w:p w14:paraId="4B63EA1E" w14:textId="77777777" w:rsidR="00D55517" w:rsidRPr="008E6588" w:rsidRDefault="00D55517" w:rsidP="00D55517">
            <w:pPr>
              <w:rPr>
                <w:rFonts w:ascii="Arial Narrow" w:hAnsi="Arial Narrow"/>
                <w:sz w:val="20"/>
                <w:szCs w:val="20"/>
              </w:rPr>
            </w:pPr>
            <w:r w:rsidRPr="008E6588">
              <w:rPr>
                <w:rFonts w:ascii="Arial Narrow" w:hAnsi="Arial Narrow"/>
                <w:sz w:val="20"/>
                <w:szCs w:val="20"/>
              </w:rPr>
              <w:t>Complex Drugs</w:t>
            </w:r>
          </w:p>
          <w:p w14:paraId="53196A06" w14:textId="77777777" w:rsidR="00D55517" w:rsidRPr="008E6588" w:rsidRDefault="00D55517" w:rsidP="00D55517">
            <w:pPr>
              <w:rPr>
                <w:rFonts w:ascii="Arial Narrow" w:hAnsi="Arial Narrow"/>
                <w:sz w:val="20"/>
                <w:szCs w:val="20"/>
              </w:rPr>
            </w:pPr>
            <w:r w:rsidRPr="008E6588">
              <w:rPr>
                <w:rFonts w:ascii="Arial Narrow" w:hAnsi="Arial Narrow"/>
                <w:sz w:val="20"/>
                <w:szCs w:val="20"/>
              </w:rPr>
              <w:t>Reply Paid 9826</w:t>
            </w:r>
          </w:p>
          <w:p w14:paraId="11053BF4" w14:textId="77777777" w:rsidR="00D55517" w:rsidRPr="008E6588" w:rsidRDefault="00D55517" w:rsidP="00D55517">
            <w:pPr>
              <w:rPr>
                <w:rFonts w:ascii="Arial Narrow" w:hAnsi="Arial Narrow"/>
                <w:b/>
                <w:bCs/>
                <w:sz w:val="20"/>
                <w:szCs w:val="20"/>
              </w:rPr>
            </w:pPr>
            <w:r w:rsidRPr="008E6588">
              <w:rPr>
                <w:rFonts w:ascii="Arial Narrow" w:hAnsi="Arial Narrow"/>
                <w:sz w:val="20"/>
                <w:szCs w:val="20"/>
              </w:rPr>
              <w:t>HOBART TAS 7001</w:t>
            </w:r>
          </w:p>
        </w:tc>
      </w:tr>
      <w:tr w:rsidR="007B71DC" w:rsidRPr="008E6588" w14:paraId="359DD31F" w14:textId="77777777" w:rsidTr="0022279D">
        <w:tblPrEx>
          <w:tblCellMar>
            <w:top w:w="15" w:type="dxa"/>
            <w:bottom w:w="15" w:type="dxa"/>
          </w:tblCellMar>
          <w:tblLook w:val="04A0" w:firstRow="1" w:lastRow="0" w:firstColumn="1" w:lastColumn="0" w:noHBand="0" w:noVBand="1"/>
        </w:tblPrEx>
        <w:trPr>
          <w:cantSplit/>
          <w:trHeight w:val="20"/>
        </w:trPr>
        <w:tc>
          <w:tcPr>
            <w:tcW w:w="691" w:type="pct"/>
            <w:vAlign w:val="center"/>
          </w:tcPr>
          <w:p w14:paraId="05BDF6AF" w14:textId="3F853DAC" w:rsidR="007B71DC" w:rsidRPr="008E6588" w:rsidRDefault="007B71DC" w:rsidP="00836DB5">
            <w:pPr>
              <w:jc w:val="center"/>
              <w:rPr>
                <w:rFonts w:ascii="Arial Narrow" w:hAnsi="Arial Narrow"/>
                <w:sz w:val="20"/>
                <w:szCs w:val="20"/>
              </w:rPr>
            </w:pPr>
          </w:p>
        </w:tc>
        <w:tc>
          <w:tcPr>
            <w:tcW w:w="4309" w:type="pct"/>
            <w:gridSpan w:val="6"/>
            <w:vAlign w:val="center"/>
          </w:tcPr>
          <w:p w14:paraId="63AD3EAF" w14:textId="77777777" w:rsidR="007B71DC" w:rsidRPr="008E6588" w:rsidRDefault="007B71DC" w:rsidP="00836DB5">
            <w:pPr>
              <w:textAlignment w:val="baseline"/>
              <w:rPr>
                <w:rFonts w:ascii="Arial Narrow" w:eastAsia="Calibri" w:hAnsi="Arial Narrow"/>
                <w:b/>
                <w:iCs/>
                <w:color w:val="333333"/>
                <w:sz w:val="20"/>
                <w:szCs w:val="20"/>
              </w:rPr>
            </w:pPr>
            <w:r w:rsidRPr="008E6588">
              <w:rPr>
                <w:rFonts w:ascii="Arial Narrow" w:eastAsia="Calibri" w:hAnsi="Arial Narrow"/>
                <w:b/>
                <w:iCs/>
                <w:color w:val="333333"/>
                <w:sz w:val="20"/>
                <w:szCs w:val="20"/>
              </w:rPr>
              <w:t xml:space="preserve">Administrative Advice: </w:t>
            </w:r>
          </w:p>
          <w:p w14:paraId="084AB8BD" w14:textId="77777777" w:rsidR="007B71DC" w:rsidRPr="008E6588" w:rsidRDefault="007B71DC" w:rsidP="00836DB5">
            <w:pPr>
              <w:rPr>
                <w:rFonts w:ascii="Arial Narrow" w:hAnsi="Arial Narrow"/>
                <w:b/>
                <w:bCs/>
                <w:sz w:val="20"/>
                <w:szCs w:val="20"/>
              </w:rPr>
            </w:pPr>
            <w:r w:rsidRPr="008E6588">
              <w:rPr>
                <w:rFonts w:ascii="Arial Narrow" w:hAnsi="Arial Narrow"/>
                <w:iCs/>
                <w:sz w:val="20"/>
                <w:szCs w:val="20"/>
              </w:rPr>
              <w:t xml:space="preserve">Pharmaceutical benefits that have the form omalizumab </w:t>
            </w:r>
            <w:r w:rsidRPr="008E6588">
              <w:rPr>
                <w:rFonts w:ascii="Arial Narrow" w:hAnsi="Arial Narrow" w:cs="Arial"/>
                <w:iCs/>
                <w:sz w:val="20"/>
                <w:szCs w:val="20"/>
              </w:rPr>
              <w:t xml:space="preserve">150 mg/mL </w:t>
            </w:r>
            <w:r w:rsidRPr="008E6588">
              <w:rPr>
                <w:rFonts w:ascii="Arial Narrow" w:hAnsi="Arial Narrow"/>
                <w:iCs/>
                <w:sz w:val="20"/>
                <w:szCs w:val="20"/>
              </w:rPr>
              <w:t xml:space="preserve">syringes and pharmaceutical benefits that have the form omalizumab </w:t>
            </w:r>
            <w:r w:rsidRPr="008E6588">
              <w:rPr>
                <w:rFonts w:ascii="Arial Narrow" w:hAnsi="Arial Narrow" w:cs="Arial"/>
                <w:iCs/>
                <w:sz w:val="20"/>
                <w:szCs w:val="20"/>
              </w:rPr>
              <w:t xml:space="preserve">150 mg/mL </w:t>
            </w:r>
            <w:r w:rsidRPr="008E6588">
              <w:rPr>
                <w:rFonts w:ascii="Arial Narrow" w:hAnsi="Arial Narrow"/>
                <w:iCs/>
                <w:sz w:val="20"/>
                <w:szCs w:val="20"/>
              </w:rPr>
              <w:t>pen devices are equivalent for the purposes of substitution.</w:t>
            </w:r>
          </w:p>
        </w:tc>
      </w:tr>
    </w:tbl>
    <w:p w14:paraId="1D3117C9" w14:textId="77777777" w:rsidR="00D37833" w:rsidRDefault="00D37833">
      <w:pPr>
        <w:rPr>
          <w:rFonts w:ascii="Arial Narrow" w:hAnsi="Arial Narrow"/>
          <w:sz w:val="20"/>
          <w:szCs w:val="20"/>
        </w:rPr>
      </w:pPr>
    </w:p>
    <w:p w14:paraId="0FF8A086" w14:textId="77777777" w:rsidR="00A53D64" w:rsidRDefault="00A53D64">
      <w:pPr>
        <w:rPr>
          <w:rFonts w:ascii="Arial Narrow" w:hAnsi="Arial Narrow"/>
          <w:sz w:val="20"/>
          <w:szCs w:val="20"/>
        </w:rPr>
      </w:pPr>
    </w:p>
    <w:p w14:paraId="508A20DA" w14:textId="77777777" w:rsidR="00A53D64" w:rsidRPr="008E6588" w:rsidRDefault="00A53D64">
      <w:pPr>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commended listing"/>
        <w:tblDescription w:val="Severe chronic spontaneous urticaria - initial treatment&#10;omalizumab 300 mg/2 mL injection, 2 mL syringe - new listing / public&#10;omalizumab 300 mg/2 mL injection, 2 mL syringe - new listing / private&#10;omalizumab 300 mg/2 mL injection, 2 mL pen device - new listing / public&#10;omalizumab 300 mg/2 mL injection, 2 mL pen device - new listing / private&#10;"/>
      </w:tblPr>
      <w:tblGrid>
        <w:gridCol w:w="1246"/>
        <w:gridCol w:w="3341"/>
        <w:gridCol w:w="1224"/>
        <w:gridCol w:w="754"/>
        <w:gridCol w:w="754"/>
        <w:gridCol w:w="756"/>
        <w:gridCol w:w="941"/>
      </w:tblGrid>
      <w:tr w:rsidR="0022279D" w:rsidRPr="008E6588" w14:paraId="7FB856F7" w14:textId="77777777" w:rsidTr="0022279D">
        <w:trPr>
          <w:cantSplit/>
          <w:trHeight w:val="20"/>
        </w:trPr>
        <w:tc>
          <w:tcPr>
            <w:tcW w:w="2544" w:type="pct"/>
            <w:gridSpan w:val="2"/>
            <w:vAlign w:val="center"/>
          </w:tcPr>
          <w:p w14:paraId="3A2D8151" w14:textId="77777777" w:rsidR="0022279D" w:rsidRPr="008E6588" w:rsidRDefault="0022279D" w:rsidP="00836DB5">
            <w:pPr>
              <w:keepLines/>
              <w:rPr>
                <w:rFonts w:ascii="Arial Narrow" w:hAnsi="Arial Narrow" w:cs="Arial"/>
                <w:b/>
                <w:bCs/>
                <w:sz w:val="20"/>
                <w:szCs w:val="20"/>
              </w:rPr>
            </w:pPr>
            <w:r w:rsidRPr="008E6588">
              <w:rPr>
                <w:rFonts w:ascii="Arial Narrow" w:hAnsi="Arial Narrow" w:cs="Arial"/>
                <w:b/>
                <w:bCs/>
                <w:sz w:val="20"/>
                <w:szCs w:val="20"/>
              </w:rPr>
              <w:lastRenderedPageBreak/>
              <w:t>MEDICINAL PRODUCT</w:t>
            </w:r>
          </w:p>
          <w:p w14:paraId="7EC6E008" w14:textId="77777777" w:rsidR="0022279D" w:rsidRPr="008E6588" w:rsidRDefault="0022279D" w:rsidP="00836DB5">
            <w:pPr>
              <w:keepLines/>
              <w:rPr>
                <w:rFonts w:ascii="Arial Narrow" w:hAnsi="Arial Narrow" w:cs="Arial"/>
                <w:b/>
                <w:sz w:val="20"/>
                <w:szCs w:val="20"/>
              </w:rPr>
            </w:pPr>
            <w:r w:rsidRPr="008E6588">
              <w:rPr>
                <w:rFonts w:ascii="Arial Narrow" w:hAnsi="Arial Narrow" w:cs="Arial"/>
                <w:b/>
                <w:bCs/>
                <w:sz w:val="20"/>
                <w:szCs w:val="20"/>
              </w:rPr>
              <w:t>medicinal product pack</w:t>
            </w:r>
          </w:p>
        </w:tc>
        <w:tc>
          <w:tcPr>
            <w:tcW w:w="679" w:type="pct"/>
            <w:vAlign w:val="center"/>
          </w:tcPr>
          <w:p w14:paraId="2E8D8A6B" w14:textId="77777777" w:rsidR="0022279D" w:rsidRPr="008E6588" w:rsidRDefault="0022279D" w:rsidP="00836DB5">
            <w:pPr>
              <w:keepLines/>
              <w:jc w:val="center"/>
              <w:rPr>
                <w:rFonts w:ascii="Arial Narrow" w:hAnsi="Arial Narrow" w:cs="Arial"/>
                <w:b/>
                <w:sz w:val="20"/>
                <w:szCs w:val="20"/>
              </w:rPr>
            </w:pPr>
            <w:r w:rsidRPr="008E6588">
              <w:rPr>
                <w:rFonts w:ascii="Arial Narrow" w:hAnsi="Arial Narrow" w:cs="Arial"/>
                <w:b/>
                <w:sz w:val="20"/>
                <w:szCs w:val="20"/>
              </w:rPr>
              <w:t>PBS item code</w:t>
            </w:r>
          </w:p>
        </w:tc>
        <w:tc>
          <w:tcPr>
            <w:tcW w:w="418" w:type="pct"/>
            <w:vAlign w:val="center"/>
          </w:tcPr>
          <w:p w14:paraId="0703F9ED" w14:textId="77777777" w:rsidR="0022279D" w:rsidRPr="008E6588" w:rsidRDefault="0022279D" w:rsidP="00836DB5">
            <w:pPr>
              <w:keepLines/>
              <w:jc w:val="center"/>
              <w:rPr>
                <w:rFonts w:ascii="Arial Narrow" w:hAnsi="Arial Narrow" w:cs="Arial"/>
                <w:b/>
                <w:sz w:val="20"/>
                <w:szCs w:val="20"/>
              </w:rPr>
            </w:pPr>
            <w:r w:rsidRPr="008E6588">
              <w:rPr>
                <w:rFonts w:ascii="Arial Narrow" w:hAnsi="Arial Narrow" w:cs="Arial"/>
                <w:b/>
                <w:sz w:val="20"/>
                <w:szCs w:val="20"/>
              </w:rPr>
              <w:t>Max. qty packs</w:t>
            </w:r>
          </w:p>
        </w:tc>
        <w:tc>
          <w:tcPr>
            <w:tcW w:w="418" w:type="pct"/>
            <w:vAlign w:val="center"/>
          </w:tcPr>
          <w:p w14:paraId="3E979E6A" w14:textId="77777777" w:rsidR="0022279D" w:rsidRPr="008E6588" w:rsidRDefault="0022279D" w:rsidP="00836DB5">
            <w:pPr>
              <w:keepLines/>
              <w:jc w:val="center"/>
              <w:rPr>
                <w:rFonts w:ascii="Arial Narrow" w:hAnsi="Arial Narrow" w:cs="Arial"/>
                <w:b/>
                <w:sz w:val="20"/>
                <w:szCs w:val="20"/>
              </w:rPr>
            </w:pPr>
            <w:r w:rsidRPr="008E6588">
              <w:rPr>
                <w:rFonts w:ascii="Arial Narrow" w:hAnsi="Arial Narrow" w:cs="Arial"/>
                <w:b/>
                <w:sz w:val="20"/>
                <w:szCs w:val="20"/>
              </w:rPr>
              <w:t>Max. qty units</w:t>
            </w:r>
          </w:p>
        </w:tc>
        <w:tc>
          <w:tcPr>
            <w:tcW w:w="419" w:type="pct"/>
            <w:vAlign w:val="center"/>
          </w:tcPr>
          <w:p w14:paraId="59A50D84" w14:textId="77777777" w:rsidR="0022279D" w:rsidRPr="008E6588" w:rsidRDefault="0022279D" w:rsidP="00836DB5">
            <w:pPr>
              <w:keepLines/>
              <w:jc w:val="center"/>
              <w:rPr>
                <w:rFonts w:ascii="Arial Narrow" w:hAnsi="Arial Narrow" w:cs="Arial"/>
                <w:b/>
                <w:bCs/>
                <w:sz w:val="20"/>
                <w:szCs w:val="20"/>
              </w:rPr>
            </w:pPr>
            <w:proofErr w:type="gramStart"/>
            <w:r w:rsidRPr="008E6588">
              <w:rPr>
                <w:rFonts w:ascii="Arial Narrow" w:hAnsi="Arial Narrow" w:cs="Arial"/>
                <w:b/>
                <w:bCs/>
                <w:sz w:val="20"/>
                <w:szCs w:val="20"/>
              </w:rPr>
              <w:t>№.of</w:t>
            </w:r>
            <w:proofErr w:type="gramEnd"/>
          </w:p>
          <w:p w14:paraId="2C0465F5" w14:textId="77777777" w:rsidR="0022279D" w:rsidRPr="008E6588" w:rsidRDefault="0022279D" w:rsidP="00836DB5">
            <w:pPr>
              <w:keepLines/>
              <w:jc w:val="center"/>
              <w:rPr>
                <w:rFonts w:ascii="Arial Narrow" w:hAnsi="Arial Narrow" w:cs="Arial"/>
                <w:b/>
                <w:bCs/>
                <w:sz w:val="20"/>
                <w:szCs w:val="20"/>
              </w:rPr>
            </w:pPr>
            <w:r w:rsidRPr="008E6588">
              <w:rPr>
                <w:rFonts w:ascii="Arial Narrow" w:hAnsi="Arial Narrow" w:cs="Arial"/>
                <w:b/>
                <w:bCs/>
                <w:sz w:val="20"/>
                <w:szCs w:val="20"/>
              </w:rPr>
              <w:t>Rpts</w:t>
            </w:r>
          </w:p>
        </w:tc>
        <w:tc>
          <w:tcPr>
            <w:tcW w:w="522" w:type="pct"/>
            <w:vAlign w:val="center"/>
          </w:tcPr>
          <w:p w14:paraId="3FC83C26" w14:textId="77777777" w:rsidR="0022279D" w:rsidRPr="008E6588" w:rsidRDefault="0022279D" w:rsidP="00836DB5">
            <w:pPr>
              <w:keepLines/>
              <w:rPr>
                <w:rFonts w:ascii="Arial Narrow" w:hAnsi="Arial Narrow" w:cs="Arial"/>
                <w:b/>
                <w:sz w:val="20"/>
                <w:szCs w:val="20"/>
                <w:lang w:val="fr-FR"/>
              </w:rPr>
            </w:pPr>
            <w:r w:rsidRPr="008E6588">
              <w:rPr>
                <w:rFonts w:ascii="Arial Narrow" w:hAnsi="Arial Narrow" w:cs="Arial"/>
                <w:b/>
                <w:sz w:val="20"/>
                <w:szCs w:val="20"/>
              </w:rPr>
              <w:t>Available brands</w:t>
            </w:r>
          </w:p>
        </w:tc>
      </w:tr>
      <w:tr w:rsidR="0022279D" w:rsidRPr="008E6588" w14:paraId="72E7757B" w14:textId="77777777" w:rsidTr="0022279D">
        <w:trPr>
          <w:cantSplit/>
          <w:trHeight w:val="20"/>
        </w:trPr>
        <w:tc>
          <w:tcPr>
            <w:tcW w:w="5000" w:type="pct"/>
            <w:gridSpan w:val="7"/>
            <w:vAlign w:val="center"/>
          </w:tcPr>
          <w:p w14:paraId="5DED47C7" w14:textId="77777777" w:rsidR="0022279D" w:rsidRPr="008E6588" w:rsidRDefault="0022279D" w:rsidP="00836DB5">
            <w:pPr>
              <w:keepLines/>
              <w:rPr>
                <w:rFonts w:ascii="Arial Narrow" w:hAnsi="Arial Narrow" w:cs="Arial"/>
                <w:sz w:val="20"/>
                <w:szCs w:val="20"/>
              </w:rPr>
            </w:pPr>
            <w:r w:rsidRPr="008E6588">
              <w:rPr>
                <w:rFonts w:ascii="Arial Narrow" w:hAnsi="Arial Narrow" w:cs="Arial"/>
                <w:sz w:val="20"/>
                <w:szCs w:val="20"/>
              </w:rPr>
              <w:t>OMALIZUMAB</w:t>
            </w:r>
          </w:p>
        </w:tc>
      </w:tr>
      <w:tr w:rsidR="00A53D64" w:rsidRPr="008E6588" w14:paraId="77C98013" w14:textId="77777777" w:rsidTr="00D37833">
        <w:trPr>
          <w:cantSplit/>
          <w:trHeight w:val="20"/>
        </w:trPr>
        <w:tc>
          <w:tcPr>
            <w:tcW w:w="2544" w:type="pct"/>
            <w:gridSpan w:val="2"/>
            <w:vAlign w:val="center"/>
          </w:tcPr>
          <w:p w14:paraId="0DBBF2FE" w14:textId="289F44EC" w:rsidR="00A53D64" w:rsidRPr="008E6588" w:rsidRDefault="00A53D64" w:rsidP="00A53D64">
            <w:pPr>
              <w:keepLines/>
              <w:rPr>
                <w:rFonts w:ascii="Arial Narrow" w:hAnsi="Arial Narrow" w:cs="Arial"/>
                <w:sz w:val="20"/>
                <w:szCs w:val="20"/>
              </w:rPr>
            </w:pPr>
            <w:r w:rsidRPr="008E6588">
              <w:rPr>
                <w:rFonts w:ascii="Arial Narrow" w:hAnsi="Arial Narrow" w:cs="Arial"/>
                <w:sz w:val="20"/>
                <w:szCs w:val="20"/>
              </w:rPr>
              <w:t>omalizumab 300 mg/2 mL injection, 2 mL syringe</w:t>
            </w:r>
          </w:p>
        </w:tc>
        <w:tc>
          <w:tcPr>
            <w:tcW w:w="679" w:type="pct"/>
            <w:vAlign w:val="center"/>
          </w:tcPr>
          <w:p w14:paraId="7E65A308" w14:textId="2C6D17F0" w:rsidR="00A53D64" w:rsidRPr="008E6588" w:rsidRDefault="00A53D64" w:rsidP="00A53D64">
            <w:pPr>
              <w:keepLines/>
              <w:jc w:val="center"/>
              <w:rPr>
                <w:rFonts w:ascii="Arial Narrow" w:hAnsi="Arial Narrow" w:cs="Arial"/>
                <w:iCs/>
                <w:sz w:val="20"/>
                <w:szCs w:val="20"/>
              </w:rPr>
            </w:pPr>
            <w:r w:rsidRPr="008E6588">
              <w:rPr>
                <w:rFonts w:ascii="Arial Narrow" w:hAnsi="Arial Narrow" w:cs="Arial"/>
                <w:iCs/>
                <w:sz w:val="20"/>
                <w:szCs w:val="20"/>
              </w:rPr>
              <w:t>NEW/ Public</w:t>
            </w:r>
          </w:p>
        </w:tc>
        <w:tc>
          <w:tcPr>
            <w:tcW w:w="418" w:type="pct"/>
          </w:tcPr>
          <w:p w14:paraId="1C2C62EB" w14:textId="77777777" w:rsidR="00A53D64" w:rsidRPr="008E6588" w:rsidRDefault="00A53D64" w:rsidP="00A53D64">
            <w:pPr>
              <w:keepLines/>
              <w:jc w:val="center"/>
              <w:rPr>
                <w:rFonts w:ascii="Arial Narrow" w:hAnsi="Arial Narrow" w:cs="Arial"/>
                <w:iCs/>
                <w:sz w:val="20"/>
                <w:szCs w:val="20"/>
              </w:rPr>
            </w:pPr>
            <w:r w:rsidRPr="008E6588">
              <w:rPr>
                <w:rFonts w:ascii="Arial Narrow" w:hAnsi="Arial Narrow" w:cs="Arial"/>
                <w:iCs/>
                <w:sz w:val="20"/>
                <w:szCs w:val="20"/>
              </w:rPr>
              <w:t>1</w:t>
            </w:r>
          </w:p>
        </w:tc>
        <w:tc>
          <w:tcPr>
            <w:tcW w:w="418" w:type="pct"/>
          </w:tcPr>
          <w:p w14:paraId="6DDB9255" w14:textId="77777777" w:rsidR="00A53D64" w:rsidRPr="008E6588" w:rsidRDefault="00A53D64" w:rsidP="00A53D64">
            <w:pPr>
              <w:keepLines/>
              <w:jc w:val="center"/>
              <w:rPr>
                <w:rFonts w:ascii="Arial Narrow" w:hAnsi="Arial Narrow" w:cs="Arial"/>
                <w:iCs/>
                <w:sz w:val="20"/>
                <w:szCs w:val="20"/>
              </w:rPr>
            </w:pPr>
            <w:r w:rsidRPr="008E6588">
              <w:rPr>
                <w:rFonts w:ascii="Arial Narrow" w:hAnsi="Arial Narrow" w:cs="Arial"/>
                <w:iCs/>
                <w:sz w:val="20"/>
                <w:szCs w:val="20"/>
              </w:rPr>
              <w:t>1</w:t>
            </w:r>
          </w:p>
        </w:tc>
        <w:tc>
          <w:tcPr>
            <w:tcW w:w="419" w:type="pct"/>
          </w:tcPr>
          <w:p w14:paraId="1B89B33A" w14:textId="77777777" w:rsidR="00A53D64" w:rsidRPr="008E6588" w:rsidRDefault="00A53D64" w:rsidP="00A53D64">
            <w:pPr>
              <w:keepLines/>
              <w:jc w:val="center"/>
              <w:rPr>
                <w:rFonts w:ascii="Arial Narrow" w:hAnsi="Arial Narrow" w:cs="Arial"/>
                <w:iCs/>
                <w:sz w:val="20"/>
                <w:szCs w:val="20"/>
              </w:rPr>
            </w:pPr>
            <w:r w:rsidRPr="008E6588">
              <w:rPr>
                <w:rFonts w:ascii="Arial Narrow" w:hAnsi="Arial Narrow" w:cs="Arial"/>
                <w:iCs/>
                <w:sz w:val="20"/>
                <w:szCs w:val="20"/>
              </w:rPr>
              <w:t>2</w:t>
            </w:r>
          </w:p>
        </w:tc>
        <w:tc>
          <w:tcPr>
            <w:tcW w:w="522" w:type="pct"/>
            <w:vMerge w:val="restart"/>
          </w:tcPr>
          <w:p w14:paraId="0CAD84BA" w14:textId="24851EBF" w:rsidR="00A53D64" w:rsidRPr="008E6588" w:rsidRDefault="00A53D64" w:rsidP="00A53D64">
            <w:pPr>
              <w:keepLines/>
              <w:jc w:val="center"/>
              <w:rPr>
                <w:rFonts w:ascii="Arial Narrow" w:hAnsi="Arial Narrow" w:cs="Arial"/>
                <w:sz w:val="20"/>
                <w:szCs w:val="20"/>
              </w:rPr>
            </w:pPr>
            <w:proofErr w:type="spellStart"/>
            <w:r w:rsidRPr="008E6588">
              <w:rPr>
                <w:rFonts w:ascii="Arial Narrow" w:hAnsi="Arial Narrow" w:cs="Arial"/>
                <w:sz w:val="20"/>
                <w:szCs w:val="20"/>
                <w:vertAlign w:val="superscript"/>
              </w:rPr>
              <w:t>a</w:t>
            </w:r>
            <w:r w:rsidRPr="008E6588">
              <w:rPr>
                <w:rFonts w:ascii="Arial Narrow" w:hAnsi="Arial Narrow" w:cs="Arial"/>
                <w:sz w:val="20"/>
                <w:szCs w:val="20"/>
              </w:rPr>
              <w:t>Xolair</w:t>
            </w:r>
            <w:proofErr w:type="spellEnd"/>
          </w:p>
        </w:tc>
      </w:tr>
      <w:tr w:rsidR="00A53D64" w:rsidRPr="008E6588" w14:paraId="53D96672" w14:textId="77777777" w:rsidTr="0022279D">
        <w:trPr>
          <w:cantSplit/>
          <w:trHeight w:val="20"/>
        </w:trPr>
        <w:tc>
          <w:tcPr>
            <w:tcW w:w="2544" w:type="pct"/>
            <w:gridSpan w:val="2"/>
            <w:vAlign w:val="center"/>
          </w:tcPr>
          <w:p w14:paraId="08435510" w14:textId="55376FF1" w:rsidR="00A53D64" w:rsidRPr="008E6588" w:rsidRDefault="00A53D64" w:rsidP="00A53D64">
            <w:pPr>
              <w:keepLines/>
              <w:rPr>
                <w:rFonts w:ascii="Arial Narrow" w:hAnsi="Arial Narrow" w:cs="Arial"/>
                <w:sz w:val="20"/>
                <w:szCs w:val="20"/>
              </w:rPr>
            </w:pPr>
            <w:r w:rsidRPr="008E6588">
              <w:rPr>
                <w:rFonts w:ascii="Arial Narrow" w:hAnsi="Arial Narrow" w:cs="Arial"/>
                <w:sz w:val="20"/>
                <w:szCs w:val="20"/>
              </w:rPr>
              <w:t>omalizumab 300 mg/2 mL injection, 2 mL syringe</w:t>
            </w:r>
          </w:p>
        </w:tc>
        <w:tc>
          <w:tcPr>
            <w:tcW w:w="679" w:type="pct"/>
            <w:vAlign w:val="center"/>
          </w:tcPr>
          <w:p w14:paraId="1A22F98B" w14:textId="5D39C02B" w:rsidR="00A53D64" w:rsidRPr="008E6588" w:rsidRDefault="00A53D64" w:rsidP="00A53D64">
            <w:pPr>
              <w:keepLines/>
              <w:jc w:val="center"/>
              <w:rPr>
                <w:rFonts w:ascii="Arial Narrow" w:hAnsi="Arial Narrow" w:cs="Arial"/>
                <w:iCs/>
                <w:sz w:val="20"/>
                <w:szCs w:val="20"/>
              </w:rPr>
            </w:pPr>
            <w:r w:rsidRPr="008E6588">
              <w:rPr>
                <w:rFonts w:ascii="Arial Narrow" w:hAnsi="Arial Narrow" w:cs="Arial"/>
                <w:iCs/>
                <w:sz w:val="20"/>
                <w:szCs w:val="20"/>
              </w:rPr>
              <w:t>NEW/ Private</w:t>
            </w:r>
          </w:p>
        </w:tc>
        <w:tc>
          <w:tcPr>
            <w:tcW w:w="418" w:type="pct"/>
          </w:tcPr>
          <w:p w14:paraId="4ACBFBD9" w14:textId="77777777" w:rsidR="00A53D64" w:rsidRPr="008E6588" w:rsidRDefault="00A53D64" w:rsidP="00A53D64">
            <w:pPr>
              <w:keepLines/>
              <w:jc w:val="center"/>
              <w:rPr>
                <w:rFonts w:ascii="Arial Narrow" w:hAnsi="Arial Narrow" w:cs="Arial"/>
                <w:iCs/>
                <w:sz w:val="20"/>
                <w:szCs w:val="20"/>
              </w:rPr>
            </w:pPr>
            <w:r w:rsidRPr="008E6588">
              <w:rPr>
                <w:rFonts w:ascii="Arial Narrow" w:hAnsi="Arial Narrow" w:cs="Arial"/>
                <w:iCs/>
                <w:sz w:val="20"/>
                <w:szCs w:val="20"/>
              </w:rPr>
              <w:t>1</w:t>
            </w:r>
          </w:p>
        </w:tc>
        <w:tc>
          <w:tcPr>
            <w:tcW w:w="418" w:type="pct"/>
          </w:tcPr>
          <w:p w14:paraId="0E899012" w14:textId="77777777" w:rsidR="00A53D64" w:rsidRPr="008E6588" w:rsidRDefault="00A53D64" w:rsidP="00A53D64">
            <w:pPr>
              <w:keepLines/>
              <w:jc w:val="center"/>
              <w:rPr>
                <w:rFonts w:ascii="Arial Narrow" w:hAnsi="Arial Narrow" w:cs="Arial"/>
                <w:iCs/>
                <w:sz w:val="20"/>
                <w:szCs w:val="20"/>
              </w:rPr>
            </w:pPr>
            <w:r w:rsidRPr="008E6588">
              <w:rPr>
                <w:rFonts w:ascii="Arial Narrow" w:hAnsi="Arial Narrow" w:cs="Arial"/>
                <w:iCs/>
                <w:sz w:val="20"/>
                <w:szCs w:val="20"/>
              </w:rPr>
              <w:t>1</w:t>
            </w:r>
          </w:p>
        </w:tc>
        <w:tc>
          <w:tcPr>
            <w:tcW w:w="419" w:type="pct"/>
          </w:tcPr>
          <w:p w14:paraId="4E68CD04" w14:textId="77777777" w:rsidR="00A53D64" w:rsidRPr="008E6588" w:rsidRDefault="00A53D64" w:rsidP="00A53D64">
            <w:pPr>
              <w:keepLines/>
              <w:jc w:val="center"/>
              <w:rPr>
                <w:rFonts w:ascii="Arial Narrow" w:hAnsi="Arial Narrow" w:cs="Arial"/>
                <w:iCs/>
                <w:sz w:val="20"/>
                <w:szCs w:val="20"/>
              </w:rPr>
            </w:pPr>
            <w:r w:rsidRPr="008E6588">
              <w:rPr>
                <w:rFonts w:ascii="Arial Narrow" w:hAnsi="Arial Narrow" w:cs="Arial"/>
                <w:iCs/>
                <w:sz w:val="20"/>
                <w:szCs w:val="20"/>
              </w:rPr>
              <w:t>2</w:t>
            </w:r>
          </w:p>
        </w:tc>
        <w:tc>
          <w:tcPr>
            <w:tcW w:w="522" w:type="pct"/>
            <w:vMerge/>
            <w:vAlign w:val="center"/>
          </w:tcPr>
          <w:p w14:paraId="258E016D" w14:textId="77777777" w:rsidR="00A53D64" w:rsidRPr="008E6588" w:rsidRDefault="00A53D64" w:rsidP="00A53D64">
            <w:pPr>
              <w:keepLines/>
              <w:rPr>
                <w:rFonts w:ascii="Arial Narrow" w:hAnsi="Arial Narrow" w:cs="Arial"/>
                <w:sz w:val="20"/>
                <w:szCs w:val="20"/>
              </w:rPr>
            </w:pPr>
          </w:p>
        </w:tc>
      </w:tr>
      <w:tr w:rsidR="00A53D64" w:rsidRPr="008E6588" w14:paraId="5D13CA94" w14:textId="77777777" w:rsidTr="0022279D">
        <w:trPr>
          <w:cantSplit/>
          <w:trHeight w:val="20"/>
        </w:trPr>
        <w:tc>
          <w:tcPr>
            <w:tcW w:w="2544" w:type="pct"/>
            <w:gridSpan w:val="2"/>
            <w:vAlign w:val="center"/>
          </w:tcPr>
          <w:p w14:paraId="563C17ED" w14:textId="694D6157" w:rsidR="00A53D64" w:rsidRPr="008E6588" w:rsidRDefault="00A53D64" w:rsidP="00A53D64">
            <w:pPr>
              <w:keepLines/>
              <w:rPr>
                <w:rFonts w:ascii="Arial Narrow" w:hAnsi="Arial Narrow" w:cs="Arial"/>
                <w:sz w:val="20"/>
                <w:szCs w:val="20"/>
              </w:rPr>
            </w:pPr>
            <w:r w:rsidRPr="008E6588">
              <w:rPr>
                <w:rFonts w:ascii="Arial Narrow" w:hAnsi="Arial Narrow" w:cs="Arial"/>
                <w:sz w:val="20"/>
                <w:szCs w:val="20"/>
              </w:rPr>
              <w:t>omalizumab 300 mg/2 mL injection, 2 mL pen device</w:t>
            </w:r>
          </w:p>
        </w:tc>
        <w:tc>
          <w:tcPr>
            <w:tcW w:w="679" w:type="pct"/>
            <w:vAlign w:val="center"/>
          </w:tcPr>
          <w:p w14:paraId="5A6ECA3E" w14:textId="0D85060E" w:rsidR="00A53D64" w:rsidRPr="008E6588" w:rsidRDefault="00A53D64" w:rsidP="00A53D64">
            <w:pPr>
              <w:keepLines/>
              <w:jc w:val="center"/>
              <w:rPr>
                <w:rFonts w:ascii="Arial Narrow" w:hAnsi="Arial Narrow" w:cs="Arial"/>
                <w:iCs/>
                <w:sz w:val="20"/>
                <w:szCs w:val="20"/>
              </w:rPr>
            </w:pPr>
            <w:r w:rsidRPr="008E6588">
              <w:rPr>
                <w:rFonts w:ascii="Arial Narrow" w:hAnsi="Arial Narrow" w:cs="Arial"/>
                <w:iCs/>
                <w:sz w:val="20"/>
                <w:szCs w:val="20"/>
              </w:rPr>
              <w:t>NEW/ Public</w:t>
            </w:r>
          </w:p>
        </w:tc>
        <w:tc>
          <w:tcPr>
            <w:tcW w:w="418" w:type="pct"/>
          </w:tcPr>
          <w:p w14:paraId="6751A2FC" w14:textId="77777777" w:rsidR="00A53D64" w:rsidRPr="008E6588" w:rsidRDefault="00A53D64" w:rsidP="00A53D64">
            <w:pPr>
              <w:keepLines/>
              <w:jc w:val="center"/>
              <w:rPr>
                <w:rFonts w:ascii="Arial Narrow" w:hAnsi="Arial Narrow" w:cs="Arial"/>
                <w:iCs/>
                <w:sz w:val="20"/>
                <w:szCs w:val="20"/>
              </w:rPr>
            </w:pPr>
            <w:r w:rsidRPr="008E6588">
              <w:rPr>
                <w:rFonts w:ascii="Arial Narrow" w:hAnsi="Arial Narrow" w:cs="Arial"/>
                <w:iCs/>
                <w:sz w:val="20"/>
                <w:szCs w:val="20"/>
              </w:rPr>
              <w:t>1</w:t>
            </w:r>
          </w:p>
        </w:tc>
        <w:tc>
          <w:tcPr>
            <w:tcW w:w="418" w:type="pct"/>
          </w:tcPr>
          <w:p w14:paraId="41E67E0E" w14:textId="77777777" w:rsidR="00A53D64" w:rsidRPr="008E6588" w:rsidRDefault="00A53D64" w:rsidP="00A53D64">
            <w:pPr>
              <w:keepLines/>
              <w:jc w:val="center"/>
              <w:rPr>
                <w:rFonts w:ascii="Arial Narrow" w:hAnsi="Arial Narrow" w:cs="Arial"/>
                <w:iCs/>
                <w:sz w:val="20"/>
                <w:szCs w:val="20"/>
              </w:rPr>
            </w:pPr>
            <w:r w:rsidRPr="008E6588">
              <w:rPr>
                <w:rFonts w:ascii="Arial Narrow" w:hAnsi="Arial Narrow" w:cs="Arial"/>
                <w:iCs/>
                <w:sz w:val="20"/>
                <w:szCs w:val="20"/>
              </w:rPr>
              <w:t>1</w:t>
            </w:r>
          </w:p>
        </w:tc>
        <w:tc>
          <w:tcPr>
            <w:tcW w:w="419" w:type="pct"/>
          </w:tcPr>
          <w:p w14:paraId="427EB720" w14:textId="77777777" w:rsidR="00A53D64" w:rsidRPr="008E6588" w:rsidRDefault="00A53D64" w:rsidP="00A53D64">
            <w:pPr>
              <w:keepLines/>
              <w:jc w:val="center"/>
              <w:rPr>
                <w:rFonts w:ascii="Arial Narrow" w:hAnsi="Arial Narrow" w:cs="Arial"/>
                <w:iCs/>
                <w:sz w:val="20"/>
                <w:szCs w:val="20"/>
              </w:rPr>
            </w:pPr>
            <w:r w:rsidRPr="008E6588">
              <w:rPr>
                <w:rFonts w:ascii="Arial Narrow" w:hAnsi="Arial Narrow" w:cs="Arial"/>
                <w:iCs/>
                <w:sz w:val="20"/>
                <w:szCs w:val="20"/>
              </w:rPr>
              <w:t>2</w:t>
            </w:r>
          </w:p>
        </w:tc>
        <w:tc>
          <w:tcPr>
            <w:tcW w:w="522" w:type="pct"/>
            <w:vMerge/>
            <w:vAlign w:val="center"/>
          </w:tcPr>
          <w:p w14:paraId="124430E0" w14:textId="77777777" w:rsidR="00A53D64" w:rsidRPr="008E6588" w:rsidRDefault="00A53D64" w:rsidP="00A53D64">
            <w:pPr>
              <w:keepLines/>
              <w:rPr>
                <w:rFonts w:ascii="Arial Narrow" w:hAnsi="Arial Narrow" w:cs="Arial"/>
                <w:sz w:val="20"/>
                <w:szCs w:val="20"/>
              </w:rPr>
            </w:pPr>
          </w:p>
        </w:tc>
      </w:tr>
      <w:tr w:rsidR="00A53D64" w:rsidRPr="008E6588" w14:paraId="701F2CFC" w14:textId="77777777" w:rsidTr="0022279D">
        <w:trPr>
          <w:cantSplit/>
          <w:trHeight w:val="20"/>
        </w:trPr>
        <w:tc>
          <w:tcPr>
            <w:tcW w:w="2544" w:type="pct"/>
            <w:gridSpan w:val="2"/>
            <w:vAlign w:val="center"/>
          </w:tcPr>
          <w:p w14:paraId="5B4F7B5C" w14:textId="790B61C8" w:rsidR="00A53D64" w:rsidRPr="008E6588" w:rsidRDefault="00A53D64" w:rsidP="00A53D64">
            <w:pPr>
              <w:keepLines/>
              <w:rPr>
                <w:rFonts w:ascii="Arial Narrow" w:hAnsi="Arial Narrow" w:cs="Arial"/>
                <w:sz w:val="20"/>
                <w:szCs w:val="20"/>
              </w:rPr>
            </w:pPr>
            <w:r w:rsidRPr="008E6588">
              <w:rPr>
                <w:rFonts w:ascii="Arial Narrow" w:hAnsi="Arial Narrow" w:cs="Arial"/>
                <w:sz w:val="20"/>
                <w:szCs w:val="20"/>
              </w:rPr>
              <w:t>omalizumab 300 mg/2 mL injection, 2 mL pen device</w:t>
            </w:r>
          </w:p>
        </w:tc>
        <w:tc>
          <w:tcPr>
            <w:tcW w:w="679" w:type="pct"/>
            <w:vAlign w:val="center"/>
          </w:tcPr>
          <w:p w14:paraId="133C7255" w14:textId="4D51119C" w:rsidR="00A53D64" w:rsidRPr="008E6588" w:rsidRDefault="00A53D64" w:rsidP="00A53D64">
            <w:pPr>
              <w:keepLines/>
              <w:jc w:val="center"/>
              <w:rPr>
                <w:rFonts w:ascii="Arial Narrow" w:hAnsi="Arial Narrow" w:cs="Arial"/>
                <w:iCs/>
                <w:sz w:val="20"/>
                <w:szCs w:val="20"/>
              </w:rPr>
            </w:pPr>
            <w:r w:rsidRPr="008E6588">
              <w:rPr>
                <w:rFonts w:ascii="Arial Narrow" w:hAnsi="Arial Narrow" w:cs="Arial"/>
                <w:iCs/>
                <w:sz w:val="20"/>
                <w:szCs w:val="20"/>
              </w:rPr>
              <w:t>NEW/ Private</w:t>
            </w:r>
          </w:p>
        </w:tc>
        <w:tc>
          <w:tcPr>
            <w:tcW w:w="418" w:type="pct"/>
          </w:tcPr>
          <w:p w14:paraId="10FAEEAA" w14:textId="77777777" w:rsidR="00A53D64" w:rsidRPr="008E6588" w:rsidRDefault="00A53D64" w:rsidP="00A53D64">
            <w:pPr>
              <w:keepLines/>
              <w:jc w:val="center"/>
              <w:rPr>
                <w:rFonts w:ascii="Arial Narrow" w:hAnsi="Arial Narrow" w:cs="Arial"/>
                <w:iCs/>
                <w:sz w:val="20"/>
                <w:szCs w:val="20"/>
              </w:rPr>
            </w:pPr>
            <w:r w:rsidRPr="008E6588">
              <w:rPr>
                <w:rFonts w:ascii="Arial Narrow" w:hAnsi="Arial Narrow" w:cs="Arial"/>
                <w:iCs/>
                <w:sz w:val="20"/>
                <w:szCs w:val="20"/>
              </w:rPr>
              <w:t>1</w:t>
            </w:r>
          </w:p>
        </w:tc>
        <w:tc>
          <w:tcPr>
            <w:tcW w:w="418" w:type="pct"/>
          </w:tcPr>
          <w:p w14:paraId="05A2A3B0" w14:textId="77777777" w:rsidR="00A53D64" w:rsidRPr="008E6588" w:rsidRDefault="00A53D64" w:rsidP="00A53D64">
            <w:pPr>
              <w:keepLines/>
              <w:jc w:val="center"/>
              <w:rPr>
                <w:rFonts w:ascii="Arial Narrow" w:hAnsi="Arial Narrow" w:cs="Arial"/>
                <w:iCs/>
                <w:sz w:val="20"/>
                <w:szCs w:val="20"/>
              </w:rPr>
            </w:pPr>
            <w:r w:rsidRPr="008E6588">
              <w:rPr>
                <w:rFonts w:ascii="Arial Narrow" w:hAnsi="Arial Narrow" w:cs="Arial"/>
                <w:iCs/>
                <w:sz w:val="20"/>
                <w:szCs w:val="20"/>
              </w:rPr>
              <w:t>1</w:t>
            </w:r>
          </w:p>
        </w:tc>
        <w:tc>
          <w:tcPr>
            <w:tcW w:w="419" w:type="pct"/>
          </w:tcPr>
          <w:p w14:paraId="4B6E45B1" w14:textId="77777777" w:rsidR="00A53D64" w:rsidRPr="008E6588" w:rsidRDefault="00A53D64" w:rsidP="00A53D64">
            <w:pPr>
              <w:keepLines/>
              <w:jc w:val="center"/>
              <w:rPr>
                <w:rFonts w:ascii="Arial Narrow" w:hAnsi="Arial Narrow" w:cs="Arial"/>
                <w:iCs/>
                <w:sz w:val="20"/>
                <w:szCs w:val="20"/>
              </w:rPr>
            </w:pPr>
            <w:r w:rsidRPr="008E6588">
              <w:rPr>
                <w:rFonts w:ascii="Arial Narrow" w:hAnsi="Arial Narrow" w:cs="Arial"/>
                <w:iCs/>
                <w:sz w:val="20"/>
                <w:szCs w:val="20"/>
              </w:rPr>
              <w:t>2</w:t>
            </w:r>
          </w:p>
        </w:tc>
        <w:tc>
          <w:tcPr>
            <w:tcW w:w="522" w:type="pct"/>
            <w:vMerge/>
            <w:vAlign w:val="center"/>
          </w:tcPr>
          <w:p w14:paraId="60747E53" w14:textId="77777777" w:rsidR="00A53D64" w:rsidRPr="008E6588" w:rsidRDefault="00A53D64" w:rsidP="00A53D64">
            <w:pPr>
              <w:keepLines/>
              <w:rPr>
                <w:rFonts w:ascii="Arial Narrow" w:hAnsi="Arial Narrow" w:cs="Arial"/>
                <w:sz w:val="20"/>
                <w:szCs w:val="20"/>
              </w:rPr>
            </w:pPr>
          </w:p>
        </w:tc>
      </w:tr>
      <w:tr w:rsidR="0022279D" w:rsidRPr="008E6588" w14:paraId="65FAB510" w14:textId="77777777" w:rsidTr="0022279D">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770DC2E5" w14:textId="77777777" w:rsidR="0022279D" w:rsidRPr="008E6588" w:rsidRDefault="0022279D" w:rsidP="00836DB5">
            <w:pPr>
              <w:rPr>
                <w:rFonts w:ascii="Arial Narrow" w:hAnsi="Arial Narrow" w:cs="Arial"/>
                <w:sz w:val="20"/>
                <w:szCs w:val="20"/>
              </w:rPr>
            </w:pPr>
          </w:p>
        </w:tc>
      </w:tr>
      <w:tr w:rsidR="0022279D" w:rsidRPr="008E6588" w14:paraId="2D1B9B79" w14:textId="77777777" w:rsidTr="0022279D">
        <w:tblPrEx>
          <w:tblCellMar>
            <w:top w:w="15" w:type="dxa"/>
            <w:bottom w:w="15" w:type="dxa"/>
          </w:tblCellMar>
          <w:tblLook w:val="04A0" w:firstRow="1" w:lastRow="0" w:firstColumn="1" w:lastColumn="0" w:noHBand="0" w:noVBand="1"/>
        </w:tblPrEx>
        <w:trPr>
          <w:trHeight w:val="20"/>
        </w:trPr>
        <w:tc>
          <w:tcPr>
            <w:tcW w:w="691" w:type="pct"/>
            <w:vMerge w:val="restart"/>
            <w:tcBorders>
              <w:top w:val="single" w:sz="4" w:space="0" w:color="auto"/>
              <w:left w:val="single" w:sz="4" w:space="0" w:color="auto"/>
              <w:right w:val="single" w:sz="4" w:space="0" w:color="auto"/>
            </w:tcBorders>
          </w:tcPr>
          <w:p w14:paraId="5E0119FA" w14:textId="77777777" w:rsidR="0022279D" w:rsidRPr="008E6588" w:rsidRDefault="0022279D" w:rsidP="00836DB5">
            <w:pPr>
              <w:jc w:val="center"/>
              <w:rPr>
                <w:rFonts w:ascii="Arial Narrow" w:hAnsi="Arial Narrow" w:cs="Arial"/>
                <w:b/>
                <w:sz w:val="20"/>
                <w:szCs w:val="20"/>
              </w:rPr>
            </w:pPr>
            <w:r w:rsidRPr="008E6588">
              <w:rPr>
                <w:rFonts w:ascii="Arial Narrow" w:hAnsi="Arial Narrow" w:cs="Arial"/>
                <w:b/>
                <w:sz w:val="20"/>
                <w:szCs w:val="20"/>
              </w:rPr>
              <w:t xml:space="preserve">Concept ID </w:t>
            </w:r>
          </w:p>
          <w:p w14:paraId="6B4E6CA0" w14:textId="77777777" w:rsidR="0022279D" w:rsidRPr="008E6588" w:rsidRDefault="0022279D" w:rsidP="00836DB5">
            <w:pPr>
              <w:jc w:val="center"/>
              <w:rPr>
                <w:rFonts w:ascii="Arial Narrow" w:hAnsi="Arial Narrow" w:cs="Arial"/>
                <w:b/>
                <w:sz w:val="20"/>
                <w:szCs w:val="20"/>
              </w:rPr>
            </w:pPr>
            <w:r w:rsidRPr="008E6588">
              <w:rPr>
                <w:rFonts w:ascii="Arial Narrow" w:hAnsi="Arial Narrow" w:cs="Arial"/>
                <w:sz w:val="20"/>
                <w:szCs w:val="20"/>
              </w:rPr>
              <w:t>(for internal Dept. use)</w:t>
            </w:r>
          </w:p>
        </w:tc>
        <w:tc>
          <w:tcPr>
            <w:tcW w:w="4309" w:type="pct"/>
            <w:gridSpan w:val="6"/>
            <w:tcBorders>
              <w:top w:val="single" w:sz="4" w:space="0" w:color="auto"/>
              <w:left w:val="single" w:sz="4" w:space="0" w:color="auto"/>
              <w:bottom w:val="single" w:sz="4" w:space="0" w:color="auto"/>
              <w:right w:val="single" w:sz="4" w:space="0" w:color="auto"/>
            </w:tcBorders>
            <w:vAlign w:val="center"/>
          </w:tcPr>
          <w:p w14:paraId="3AAA2A0A" w14:textId="77777777" w:rsidR="0022279D" w:rsidRPr="008E6588" w:rsidRDefault="0022279D" w:rsidP="00836DB5">
            <w:pPr>
              <w:keepLines/>
              <w:rPr>
                <w:rFonts w:ascii="Arial Narrow" w:hAnsi="Arial Narrow" w:cs="Arial"/>
                <w:sz w:val="20"/>
                <w:szCs w:val="20"/>
              </w:rPr>
            </w:pPr>
            <w:r w:rsidRPr="008E6588">
              <w:rPr>
                <w:rFonts w:ascii="Arial Narrow" w:hAnsi="Arial Narrow" w:cs="Arial"/>
                <w:b/>
                <w:sz w:val="20"/>
                <w:szCs w:val="20"/>
              </w:rPr>
              <w:t>Category / Program:</w:t>
            </w:r>
            <w:r w:rsidRPr="008E6588">
              <w:rPr>
                <w:rFonts w:ascii="Arial Narrow" w:hAnsi="Arial Narrow" w:cs="Arial"/>
                <w:sz w:val="20"/>
                <w:szCs w:val="20"/>
              </w:rPr>
              <w:t xml:space="preserve"> </w:t>
            </w:r>
            <w:r w:rsidRPr="008E6588">
              <w:rPr>
                <w:rFonts w:ascii="Arial Narrow" w:eastAsia="Calibri" w:hAnsi="Arial Narrow" w:cs="Arial"/>
                <w:sz w:val="20"/>
                <w:szCs w:val="20"/>
              </w:rPr>
              <w:t>Section 100 – Highly Specialised Drugs Program – Public (Code HB)</w:t>
            </w:r>
            <w:r w:rsidRPr="008E6588">
              <w:rPr>
                <w:rFonts w:ascii="Arial Narrow" w:eastAsia="Calibri" w:hAnsi="Arial Narrow" w:cs="Arial"/>
                <w:color w:val="FF0000"/>
                <w:sz w:val="20"/>
                <w:szCs w:val="20"/>
              </w:rPr>
              <w:t xml:space="preserve"> </w:t>
            </w:r>
            <w:r w:rsidRPr="008E6588">
              <w:rPr>
                <w:rFonts w:ascii="Arial Narrow" w:eastAsia="Calibri" w:hAnsi="Arial Narrow" w:cs="Arial"/>
                <w:sz w:val="20"/>
                <w:szCs w:val="20"/>
              </w:rPr>
              <w:t>/ Private (Code HS)</w:t>
            </w:r>
          </w:p>
        </w:tc>
      </w:tr>
      <w:tr w:rsidR="0022279D" w:rsidRPr="008E6588" w14:paraId="19E8CCF7" w14:textId="77777777" w:rsidTr="0022279D">
        <w:tblPrEx>
          <w:tblCellMar>
            <w:top w:w="15" w:type="dxa"/>
            <w:bottom w:w="15" w:type="dxa"/>
          </w:tblCellMar>
          <w:tblLook w:val="04A0" w:firstRow="1" w:lastRow="0" w:firstColumn="1" w:lastColumn="0" w:noHBand="0" w:noVBand="1"/>
        </w:tblPrEx>
        <w:trPr>
          <w:trHeight w:val="20"/>
        </w:trPr>
        <w:tc>
          <w:tcPr>
            <w:tcW w:w="691" w:type="pct"/>
            <w:vMerge/>
          </w:tcPr>
          <w:p w14:paraId="172842A2" w14:textId="77777777" w:rsidR="0022279D" w:rsidRPr="008E6588" w:rsidRDefault="0022279D" w:rsidP="00836DB5">
            <w:pPr>
              <w:rPr>
                <w:rFonts w:ascii="Arial Narrow" w:hAnsi="Arial Narrow" w:cs="Arial"/>
                <w:sz w:val="20"/>
                <w:szCs w:val="20"/>
              </w:rPr>
            </w:pPr>
          </w:p>
        </w:tc>
        <w:tc>
          <w:tcPr>
            <w:tcW w:w="4309" w:type="pct"/>
            <w:gridSpan w:val="6"/>
            <w:tcBorders>
              <w:top w:val="single" w:sz="4" w:space="0" w:color="auto"/>
              <w:left w:val="single" w:sz="4" w:space="0" w:color="auto"/>
              <w:bottom w:val="single" w:sz="4" w:space="0" w:color="auto"/>
              <w:right w:val="single" w:sz="4" w:space="0" w:color="auto"/>
            </w:tcBorders>
            <w:vAlign w:val="center"/>
          </w:tcPr>
          <w:p w14:paraId="7E90F3E0" w14:textId="77777777" w:rsidR="0022279D" w:rsidRPr="008E6588" w:rsidRDefault="0022279D" w:rsidP="00836DB5">
            <w:pPr>
              <w:keepLines/>
              <w:rPr>
                <w:rFonts w:ascii="Arial Narrow" w:hAnsi="Arial Narrow" w:cs="Arial"/>
                <w:b/>
                <w:sz w:val="20"/>
                <w:szCs w:val="20"/>
              </w:rPr>
            </w:pPr>
            <w:r w:rsidRPr="008E6588">
              <w:rPr>
                <w:rFonts w:ascii="Arial Narrow" w:hAnsi="Arial Narrow" w:cs="Arial"/>
                <w:b/>
                <w:sz w:val="20"/>
                <w:szCs w:val="20"/>
              </w:rPr>
              <w:t xml:space="preserve">Prescriber type: </w:t>
            </w:r>
            <w:r w:rsidRPr="008E6588">
              <w:rPr>
                <w:rFonts w:ascii="Arial Narrow" w:hAnsi="Arial Narrow" w:cs="Arial"/>
                <w:sz w:val="20"/>
                <w:szCs w:val="20"/>
              </w:rPr>
              <w:fldChar w:fldCharType="begin" w:fldLock="1">
                <w:ffData>
                  <w:name w:val=""/>
                  <w:enabled/>
                  <w:calcOnExit w:val="0"/>
                  <w:checkBox>
                    <w:sizeAuto/>
                    <w:default w:val="1"/>
                  </w:checkBox>
                </w:ffData>
              </w:fldChar>
            </w:r>
            <w:r w:rsidRPr="008E6588">
              <w:rPr>
                <w:rFonts w:ascii="Arial Narrow" w:hAnsi="Arial Narrow" w:cs="Arial"/>
                <w:sz w:val="20"/>
                <w:szCs w:val="20"/>
              </w:rPr>
              <w:instrText xml:space="preserve"> FORMCHECKBOX </w:instrText>
            </w:r>
            <w:r w:rsidRPr="008E6588">
              <w:rPr>
                <w:rFonts w:ascii="Arial Narrow" w:hAnsi="Arial Narrow" w:cs="Arial"/>
                <w:sz w:val="20"/>
                <w:szCs w:val="20"/>
              </w:rPr>
            </w:r>
            <w:r w:rsidRPr="008E6588">
              <w:rPr>
                <w:rFonts w:ascii="Arial Narrow" w:hAnsi="Arial Narrow" w:cs="Arial"/>
                <w:sz w:val="20"/>
                <w:szCs w:val="20"/>
              </w:rPr>
              <w:fldChar w:fldCharType="separate"/>
            </w:r>
            <w:r w:rsidRPr="008E6588">
              <w:rPr>
                <w:rFonts w:ascii="Arial Narrow" w:hAnsi="Arial Narrow" w:cs="Arial"/>
                <w:sz w:val="20"/>
                <w:szCs w:val="20"/>
              </w:rPr>
              <w:fldChar w:fldCharType="end"/>
            </w:r>
            <w:r w:rsidRPr="008E6588">
              <w:rPr>
                <w:rFonts w:ascii="Arial Narrow" w:hAnsi="Arial Narrow" w:cs="Arial"/>
                <w:sz w:val="20"/>
                <w:szCs w:val="20"/>
              </w:rPr>
              <w:t xml:space="preserve">Medical Practitioners </w:t>
            </w:r>
          </w:p>
        </w:tc>
      </w:tr>
      <w:tr w:rsidR="0022279D" w:rsidRPr="008E6588" w14:paraId="33B48710" w14:textId="77777777" w:rsidTr="0022279D">
        <w:tblPrEx>
          <w:tblCellMar>
            <w:top w:w="15" w:type="dxa"/>
            <w:bottom w:w="15" w:type="dxa"/>
          </w:tblCellMar>
          <w:tblLook w:val="04A0" w:firstRow="1" w:lastRow="0" w:firstColumn="1" w:lastColumn="0" w:noHBand="0" w:noVBand="1"/>
        </w:tblPrEx>
        <w:trPr>
          <w:trHeight w:val="20"/>
        </w:trPr>
        <w:tc>
          <w:tcPr>
            <w:tcW w:w="691" w:type="pct"/>
            <w:vMerge/>
          </w:tcPr>
          <w:p w14:paraId="130BEB7C" w14:textId="77777777" w:rsidR="0022279D" w:rsidRPr="008E6588" w:rsidRDefault="0022279D" w:rsidP="00836DB5">
            <w:pPr>
              <w:rPr>
                <w:rFonts w:ascii="Arial Narrow" w:hAnsi="Arial Narrow" w:cs="Arial"/>
                <w:sz w:val="20"/>
                <w:szCs w:val="20"/>
              </w:rPr>
            </w:pPr>
          </w:p>
        </w:tc>
        <w:tc>
          <w:tcPr>
            <w:tcW w:w="4309" w:type="pct"/>
            <w:gridSpan w:val="6"/>
            <w:tcBorders>
              <w:top w:val="single" w:sz="4" w:space="0" w:color="auto"/>
              <w:left w:val="single" w:sz="4" w:space="0" w:color="auto"/>
              <w:bottom w:val="single" w:sz="4" w:space="0" w:color="auto"/>
              <w:right w:val="single" w:sz="4" w:space="0" w:color="auto"/>
            </w:tcBorders>
            <w:vAlign w:val="center"/>
          </w:tcPr>
          <w:p w14:paraId="4B55C006" w14:textId="77777777" w:rsidR="0022279D" w:rsidRPr="008E6588" w:rsidRDefault="0022279D" w:rsidP="00836DB5">
            <w:pPr>
              <w:keepLines/>
              <w:rPr>
                <w:rFonts w:ascii="Arial Narrow" w:eastAsia="Calibri" w:hAnsi="Arial Narrow" w:cs="Arial"/>
                <w:color w:val="FF0000"/>
                <w:sz w:val="20"/>
                <w:szCs w:val="20"/>
              </w:rPr>
            </w:pPr>
            <w:r w:rsidRPr="008E6588">
              <w:rPr>
                <w:rFonts w:ascii="Arial Narrow" w:hAnsi="Arial Narrow" w:cs="Arial"/>
                <w:b/>
                <w:sz w:val="20"/>
                <w:szCs w:val="20"/>
              </w:rPr>
              <w:t xml:space="preserve">Restriction type: </w:t>
            </w:r>
            <w:r w:rsidRPr="008E6588">
              <w:rPr>
                <w:rFonts w:ascii="Arial Narrow" w:eastAsia="Calibri" w:hAnsi="Arial Narrow" w:cs="Arial"/>
                <w:sz w:val="20"/>
                <w:szCs w:val="20"/>
              </w:rPr>
              <w:fldChar w:fldCharType="begin" w:fldLock="1">
                <w:ffData>
                  <w:name w:val=""/>
                  <w:enabled/>
                  <w:calcOnExit w:val="0"/>
                  <w:checkBox>
                    <w:sizeAuto/>
                    <w:default w:val="1"/>
                  </w:checkBox>
                </w:ffData>
              </w:fldChar>
            </w:r>
            <w:r w:rsidRPr="008E6588">
              <w:rPr>
                <w:rFonts w:ascii="Arial Narrow" w:eastAsia="Calibri" w:hAnsi="Arial Narrow" w:cs="Arial"/>
                <w:sz w:val="20"/>
                <w:szCs w:val="20"/>
              </w:rPr>
              <w:instrText xml:space="preserve"> FORMCHECKBOX </w:instrText>
            </w:r>
            <w:r w:rsidRPr="008E6588">
              <w:rPr>
                <w:rFonts w:ascii="Arial Narrow" w:eastAsia="Calibri" w:hAnsi="Arial Narrow" w:cs="Arial"/>
                <w:sz w:val="20"/>
                <w:szCs w:val="20"/>
              </w:rPr>
            </w:r>
            <w:r w:rsidRPr="008E6588">
              <w:rPr>
                <w:rFonts w:ascii="Arial Narrow" w:eastAsia="Calibri" w:hAnsi="Arial Narrow" w:cs="Arial"/>
                <w:sz w:val="20"/>
                <w:szCs w:val="20"/>
              </w:rPr>
              <w:fldChar w:fldCharType="separate"/>
            </w:r>
            <w:r w:rsidRPr="008E6588">
              <w:rPr>
                <w:rFonts w:ascii="Arial Narrow" w:eastAsia="Calibri" w:hAnsi="Arial Narrow" w:cs="Arial"/>
                <w:sz w:val="20"/>
                <w:szCs w:val="20"/>
              </w:rPr>
              <w:fldChar w:fldCharType="end"/>
            </w:r>
            <w:r w:rsidRPr="008E6588">
              <w:rPr>
                <w:rFonts w:ascii="Arial Narrow" w:eastAsia="Calibri" w:hAnsi="Arial Narrow" w:cs="Arial"/>
                <w:sz w:val="20"/>
                <w:szCs w:val="20"/>
              </w:rPr>
              <w:t>Authority Required (in writing only via post/HPOS upload)</w:t>
            </w:r>
          </w:p>
        </w:tc>
      </w:tr>
      <w:tr w:rsidR="0022279D" w:rsidRPr="008E6588" w14:paraId="4BA6A386" w14:textId="77777777" w:rsidTr="00836DB5">
        <w:tblPrEx>
          <w:tblCellMar>
            <w:top w:w="15" w:type="dxa"/>
            <w:bottom w:w="15" w:type="dxa"/>
          </w:tblCellMar>
        </w:tblPrEx>
        <w:trPr>
          <w:trHeight w:val="20"/>
        </w:trPr>
        <w:tc>
          <w:tcPr>
            <w:tcW w:w="5000" w:type="pct"/>
            <w:gridSpan w:val="7"/>
            <w:tcBorders>
              <w:left w:val="single" w:sz="4" w:space="0" w:color="auto"/>
              <w:right w:val="single" w:sz="4" w:space="0" w:color="auto"/>
            </w:tcBorders>
          </w:tcPr>
          <w:p w14:paraId="2FAE4555" w14:textId="77777777" w:rsidR="0022279D" w:rsidRPr="008E6588" w:rsidRDefault="0022279D" w:rsidP="00836DB5">
            <w:pPr>
              <w:keepLines/>
              <w:rPr>
                <w:rFonts w:ascii="Arial Narrow" w:hAnsi="Arial Narrow"/>
                <w:b/>
                <w:bCs/>
                <w:sz w:val="20"/>
                <w:szCs w:val="20"/>
              </w:rPr>
            </w:pPr>
          </w:p>
        </w:tc>
      </w:tr>
      <w:tr w:rsidR="0022279D" w:rsidRPr="008E6588" w14:paraId="6061EA77" w14:textId="77777777" w:rsidTr="00836DB5">
        <w:tblPrEx>
          <w:tblCellMar>
            <w:top w:w="15" w:type="dxa"/>
            <w:bottom w:w="15" w:type="dxa"/>
          </w:tblCellMar>
        </w:tblPrEx>
        <w:trPr>
          <w:trHeight w:val="20"/>
        </w:trPr>
        <w:tc>
          <w:tcPr>
            <w:tcW w:w="5000" w:type="pct"/>
            <w:gridSpan w:val="7"/>
            <w:tcBorders>
              <w:left w:val="single" w:sz="4" w:space="0" w:color="auto"/>
              <w:right w:val="single" w:sz="4" w:space="0" w:color="auto"/>
            </w:tcBorders>
          </w:tcPr>
          <w:p w14:paraId="52DC16C2" w14:textId="77777777" w:rsidR="0022279D" w:rsidRPr="008E6588" w:rsidRDefault="0022279D" w:rsidP="00836DB5">
            <w:pPr>
              <w:keepLines/>
              <w:rPr>
                <w:rFonts w:ascii="Arial Narrow" w:hAnsi="Arial Narrow"/>
                <w:b/>
                <w:bCs/>
                <w:sz w:val="20"/>
                <w:szCs w:val="20"/>
              </w:rPr>
            </w:pPr>
            <w:r w:rsidRPr="008E6588">
              <w:rPr>
                <w:rFonts w:ascii="Arial Narrow" w:hAnsi="Arial Narrow"/>
                <w:b/>
                <w:sz w:val="20"/>
                <w:szCs w:val="20"/>
              </w:rPr>
              <w:t>Restriction Summary 7055/ Treatment of Concept:</w:t>
            </w:r>
            <w:proofErr w:type="gramStart"/>
            <w:r w:rsidRPr="008E6588">
              <w:rPr>
                <w:rFonts w:ascii="Arial Narrow" w:hAnsi="Arial Narrow"/>
                <w:b/>
                <w:sz w:val="20"/>
                <w:szCs w:val="20"/>
              </w:rPr>
              <w:t>7055 :</w:t>
            </w:r>
            <w:proofErr w:type="gramEnd"/>
            <w:r w:rsidRPr="008E6588">
              <w:rPr>
                <w:rFonts w:ascii="Arial Narrow" w:hAnsi="Arial Narrow"/>
                <w:b/>
                <w:sz w:val="20"/>
                <w:szCs w:val="20"/>
              </w:rPr>
              <w:t xml:space="preserve"> Authority Required</w:t>
            </w:r>
          </w:p>
        </w:tc>
      </w:tr>
      <w:tr w:rsidR="0022279D" w:rsidRPr="008E6588" w14:paraId="2A81B797" w14:textId="77777777" w:rsidTr="0022279D">
        <w:tblPrEx>
          <w:tblCellMar>
            <w:top w:w="15" w:type="dxa"/>
            <w:bottom w:w="15" w:type="dxa"/>
          </w:tblCellMar>
          <w:tblLook w:val="04A0" w:firstRow="1" w:lastRow="0" w:firstColumn="1" w:lastColumn="0" w:noHBand="0" w:noVBand="1"/>
        </w:tblPrEx>
        <w:trPr>
          <w:cantSplit/>
          <w:trHeight w:val="20"/>
        </w:trPr>
        <w:tc>
          <w:tcPr>
            <w:tcW w:w="691" w:type="pct"/>
            <w:vAlign w:val="center"/>
          </w:tcPr>
          <w:p w14:paraId="276CB6D7" w14:textId="759BB9A9" w:rsidR="0022279D" w:rsidRPr="008E6588" w:rsidRDefault="0022279D" w:rsidP="00836DB5">
            <w:pPr>
              <w:jc w:val="center"/>
              <w:rPr>
                <w:rFonts w:ascii="Arial Narrow" w:hAnsi="Arial Narrow"/>
                <w:sz w:val="20"/>
                <w:szCs w:val="20"/>
              </w:rPr>
            </w:pPr>
          </w:p>
        </w:tc>
        <w:tc>
          <w:tcPr>
            <w:tcW w:w="4309" w:type="pct"/>
            <w:gridSpan w:val="6"/>
            <w:vAlign w:val="center"/>
          </w:tcPr>
          <w:p w14:paraId="10AF2742" w14:textId="77777777" w:rsidR="0022279D" w:rsidRPr="008E6588" w:rsidRDefault="0022279D" w:rsidP="00836DB5">
            <w:pPr>
              <w:rPr>
                <w:rFonts w:ascii="Arial Narrow" w:hAnsi="Arial Narrow"/>
                <w:sz w:val="20"/>
                <w:szCs w:val="20"/>
              </w:rPr>
            </w:pPr>
            <w:r w:rsidRPr="008E6588">
              <w:rPr>
                <w:rFonts w:ascii="Arial Narrow" w:hAnsi="Arial Narrow"/>
                <w:b/>
                <w:bCs/>
                <w:sz w:val="20"/>
                <w:szCs w:val="20"/>
              </w:rPr>
              <w:t>Indication:</w:t>
            </w:r>
            <w:r w:rsidRPr="008E6588">
              <w:rPr>
                <w:rFonts w:ascii="Arial Narrow" w:hAnsi="Arial Narrow"/>
                <w:sz w:val="20"/>
                <w:szCs w:val="20"/>
              </w:rPr>
              <w:t xml:space="preserve"> Severe chronic spontaneous urticaria</w:t>
            </w:r>
          </w:p>
        </w:tc>
      </w:tr>
      <w:tr w:rsidR="0022279D" w:rsidRPr="008E6588" w14:paraId="62033A76" w14:textId="77777777" w:rsidTr="0022279D">
        <w:tblPrEx>
          <w:tblCellMar>
            <w:top w:w="15" w:type="dxa"/>
            <w:bottom w:w="15" w:type="dxa"/>
          </w:tblCellMar>
          <w:tblLook w:val="04A0" w:firstRow="1" w:lastRow="0" w:firstColumn="1" w:lastColumn="0" w:noHBand="0" w:noVBand="1"/>
        </w:tblPrEx>
        <w:trPr>
          <w:cantSplit/>
          <w:trHeight w:val="20"/>
        </w:trPr>
        <w:tc>
          <w:tcPr>
            <w:tcW w:w="691" w:type="pct"/>
            <w:vAlign w:val="center"/>
          </w:tcPr>
          <w:p w14:paraId="4D6CE090" w14:textId="77777777" w:rsidR="0022279D" w:rsidRPr="008E6588" w:rsidRDefault="0022279D" w:rsidP="00836DB5">
            <w:pPr>
              <w:jc w:val="center"/>
              <w:rPr>
                <w:rFonts w:ascii="Arial Narrow" w:hAnsi="Arial Narrow"/>
                <w:sz w:val="20"/>
                <w:szCs w:val="20"/>
              </w:rPr>
            </w:pPr>
          </w:p>
        </w:tc>
        <w:tc>
          <w:tcPr>
            <w:tcW w:w="4309" w:type="pct"/>
            <w:gridSpan w:val="6"/>
            <w:vAlign w:val="center"/>
          </w:tcPr>
          <w:p w14:paraId="64EFE3CE" w14:textId="77777777" w:rsidR="0022279D" w:rsidRPr="008E6588" w:rsidRDefault="0022279D" w:rsidP="00836DB5">
            <w:pPr>
              <w:rPr>
                <w:rFonts w:ascii="Arial Narrow" w:hAnsi="Arial Narrow"/>
                <w:sz w:val="20"/>
                <w:szCs w:val="20"/>
              </w:rPr>
            </w:pPr>
            <w:r w:rsidRPr="008E6588">
              <w:rPr>
                <w:rFonts w:ascii="Arial Narrow" w:hAnsi="Arial Narrow"/>
                <w:b/>
                <w:bCs/>
                <w:sz w:val="20"/>
                <w:szCs w:val="20"/>
              </w:rPr>
              <w:t>Treatment Phase</w:t>
            </w:r>
            <w:r w:rsidRPr="008E6588">
              <w:rPr>
                <w:rFonts w:ascii="Arial Narrow" w:hAnsi="Arial Narrow"/>
                <w:sz w:val="20"/>
                <w:szCs w:val="20"/>
              </w:rPr>
              <w:t>: Initial treatment</w:t>
            </w:r>
          </w:p>
        </w:tc>
      </w:tr>
      <w:tr w:rsidR="0022279D" w:rsidRPr="008E6588" w14:paraId="00006F2E"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0E6BEE6" w14:textId="722E81DA" w:rsidR="0022279D" w:rsidRPr="008E6588" w:rsidRDefault="0022279D" w:rsidP="00836DB5">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3644F7" w14:textId="77777777" w:rsidR="0022279D" w:rsidRPr="008E6588" w:rsidRDefault="0022279D" w:rsidP="00836DB5">
            <w:pPr>
              <w:rPr>
                <w:rFonts w:ascii="Arial Narrow" w:hAnsi="Arial Narrow"/>
                <w:b/>
                <w:bCs/>
                <w:sz w:val="20"/>
                <w:szCs w:val="20"/>
              </w:rPr>
            </w:pPr>
            <w:r w:rsidRPr="008E6588">
              <w:rPr>
                <w:rFonts w:ascii="Arial Narrow" w:hAnsi="Arial Narrow"/>
                <w:b/>
                <w:bCs/>
                <w:sz w:val="20"/>
                <w:szCs w:val="20"/>
              </w:rPr>
              <w:t>Treatment criteria:</w:t>
            </w:r>
          </w:p>
        </w:tc>
      </w:tr>
      <w:tr w:rsidR="0022279D" w:rsidRPr="008E6588" w14:paraId="316C642C"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BB5FB13" w14:textId="7D3872F7" w:rsidR="0022279D" w:rsidRPr="008E6588" w:rsidRDefault="0022279D" w:rsidP="00836DB5">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6DC6B1" w14:textId="77777777" w:rsidR="0022279D" w:rsidRPr="008E6588" w:rsidRDefault="0022279D" w:rsidP="00836DB5">
            <w:pPr>
              <w:rPr>
                <w:rFonts w:ascii="Arial Narrow" w:hAnsi="Arial Narrow"/>
                <w:sz w:val="20"/>
                <w:szCs w:val="20"/>
              </w:rPr>
            </w:pPr>
            <w:r w:rsidRPr="008E6588">
              <w:rPr>
                <w:rFonts w:ascii="Arial Narrow" w:hAnsi="Arial Narrow"/>
                <w:sz w:val="20"/>
                <w:szCs w:val="20"/>
              </w:rPr>
              <w:t>Must be treated by a clinical immunologist; or</w:t>
            </w:r>
          </w:p>
        </w:tc>
      </w:tr>
      <w:tr w:rsidR="0022279D" w:rsidRPr="008E6588" w14:paraId="39ED67CF"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64BA6CE" w14:textId="799F67C9" w:rsidR="0022279D" w:rsidRPr="008E6588" w:rsidRDefault="0022279D" w:rsidP="00836DB5">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4AF6DE" w14:textId="77777777" w:rsidR="0022279D" w:rsidRPr="008E6588" w:rsidRDefault="0022279D" w:rsidP="00836DB5">
            <w:pPr>
              <w:rPr>
                <w:rFonts w:ascii="Arial Narrow" w:hAnsi="Arial Narrow"/>
                <w:sz w:val="20"/>
                <w:szCs w:val="20"/>
              </w:rPr>
            </w:pPr>
            <w:r w:rsidRPr="008E6588">
              <w:rPr>
                <w:rFonts w:ascii="Arial Narrow" w:hAnsi="Arial Narrow"/>
                <w:sz w:val="20"/>
                <w:szCs w:val="20"/>
              </w:rPr>
              <w:t>Must be treated by an allergist; or</w:t>
            </w:r>
          </w:p>
        </w:tc>
      </w:tr>
      <w:tr w:rsidR="0022279D" w:rsidRPr="008E6588" w14:paraId="69D2DA13"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3B43CC6" w14:textId="735D862C" w:rsidR="0022279D" w:rsidRPr="008E6588" w:rsidRDefault="0022279D" w:rsidP="00836DB5">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8C6A33" w14:textId="77777777" w:rsidR="0022279D" w:rsidRPr="008E6588" w:rsidRDefault="0022279D" w:rsidP="00836DB5">
            <w:pPr>
              <w:rPr>
                <w:rFonts w:ascii="Arial Narrow" w:hAnsi="Arial Narrow"/>
                <w:sz w:val="20"/>
                <w:szCs w:val="20"/>
              </w:rPr>
            </w:pPr>
            <w:r w:rsidRPr="008E6588">
              <w:rPr>
                <w:rFonts w:ascii="Arial Narrow" w:hAnsi="Arial Narrow"/>
                <w:sz w:val="20"/>
                <w:szCs w:val="20"/>
              </w:rPr>
              <w:t>Must be treated by a dermatologist; or</w:t>
            </w:r>
          </w:p>
        </w:tc>
      </w:tr>
      <w:tr w:rsidR="0022279D" w:rsidRPr="008E6588" w14:paraId="5FBB95D2"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90509E8" w14:textId="65F1456F" w:rsidR="0022279D" w:rsidRPr="008E6588" w:rsidRDefault="0022279D" w:rsidP="00836DB5">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59DE8D" w14:textId="77777777" w:rsidR="0022279D" w:rsidRPr="008E6588" w:rsidRDefault="0022279D" w:rsidP="00836DB5">
            <w:pPr>
              <w:rPr>
                <w:rFonts w:ascii="Arial Narrow" w:hAnsi="Arial Narrow"/>
                <w:sz w:val="20"/>
                <w:szCs w:val="20"/>
              </w:rPr>
            </w:pPr>
            <w:r w:rsidRPr="008E6588">
              <w:rPr>
                <w:rFonts w:ascii="Arial Narrow" w:hAnsi="Arial Narrow"/>
                <w:sz w:val="20"/>
                <w:szCs w:val="20"/>
              </w:rPr>
              <w:t>Must be treated by a general physician with expertise in the management of chronic spontaneous urticaria (CSU)</w:t>
            </w:r>
          </w:p>
        </w:tc>
      </w:tr>
      <w:tr w:rsidR="0022279D" w:rsidRPr="008E6588" w14:paraId="5C24E27F"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A6F87E2" w14:textId="7401B27A" w:rsidR="0022279D" w:rsidRPr="008E6588" w:rsidRDefault="0022279D" w:rsidP="00836DB5">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BCC6D6" w14:textId="77777777" w:rsidR="0022279D" w:rsidRPr="008E6588" w:rsidRDefault="0022279D" w:rsidP="00836DB5">
            <w:pPr>
              <w:rPr>
                <w:rFonts w:ascii="Arial Narrow" w:hAnsi="Arial Narrow"/>
                <w:b/>
                <w:bCs/>
                <w:sz w:val="20"/>
                <w:szCs w:val="20"/>
              </w:rPr>
            </w:pPr>
            <w:r w:rsidRPr="008E6588">
              <w:rPr>
                <w:rFonts w:ascii="Arial Narrow" w:hAnsi="Arial Narrow"/>
                <w:b/>
                <w:bCs/>
                <w:sz w:val="20"/>
                <w:szCs w:val="20"/>
              </w:rPr>
              <w:t>Clinical criteria:</w:t>
            </w:r>
          </w:p>
        </w:tc>
      </w:tr>
      <w:tr w:rsidR="0022279D" w:rsidRPr="008E6588" w14:paraId="472A2BA4"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E120B6A" w14:textId="0028D588" w:rsidR="0022279D" w:rsidRPr="008E6588" w:rsidRDefault="0022279D" w:rsidP="00836DB5">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4C9CD9" w14:textId="77777777" w:rsidR="0022279D" w:rsidRPr="008E6588" w:rsidRDefault="0022279D" w:rsidP="00836DB5">
            <w:pPr>
              <w:rPr>
                <w:rFonts w:ascii="Arial Narrow" w:hAnsi="Arial Narrow"/>
                <w:sz w:val="20"/>
                <w:szCs w:val="20"/>
              </w:rPr>
            </w:pPr>
            <w:r w:rsidRPr="008E6588">
              <w:rPr>
                <w:rFonts w:ascii="Arial Narrow" w:hAnsi="Arial Narrow"/>
                <w:sz w:val="20"/>
                <w:szCs w:val="20"/>
              </w:rPr>
              <w:t>The condition must be based on both physical examination and patient history (to exclude any factors that may be triggering the urticaria)</w:t>
            </w:r>
          </w:p>
        </w:tc>
      </w:tr>
      <w:tr w:rsidR="0022279D" w:rsidRPr="008E6588" w14:paraId="1943AA2E"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7D90141" w14:textId="77777777" w:rsidR="0022279D" w:rsidRPr="008E6588" w:rsidRDefault="0022279D" w:rsidP="00836DB5">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11E9D1" w14:textId="77777777" w:rsidR="0022279D" w:rsidRPr="008E6588" w:rsidRDefault="0022279D" w:rsidP="00836DB5">
            <w:pPr>
              <w:rPr>
                <w:rFonts w:ascii="Arial Narrow" w:hAnsi="Arial Narrow"/>
                <w:b/>
                <w:bCs/>
                <w:sz w:val="20"/>
                <w:szCs w:val="20"/>
              </w:rPr>
            </w:pPr>
            <w:r w:rsidRPr="008E6588">
              <w:rPr>
                <w:rFonts w:ascii="Arial Narrow" w:hAnsi="Arial Narrow"/>
                <w:b/>
                <w:bCs/>
                <w:sz w:val="20"/>
                <w:szCs w:val="20"/>
              </w:rPr>
              <w:t>AND</w:t>
            </w:r>
          </w:p>
        </w:tc>
      </w:tr>
      <w:tr w:rsidR="0022279D" w:rsidRPr="008E6588" w14:paraId="6EA01700"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3E4637A" w14:textId="39946267" w:rsidR="0022279D" w:rsidRPr="008E6588" w:rsidRDefault="0022279D" w:rsidP="00836DB5">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C92512" w14:textId="77777777" w:rsidR="0022279D" w:rsidRPr="008E6588" w:rsidRDefault="0022279D" w:rsidP="00836DB5">
            <w:pPr>
              <w:rPr>
                <w:rFonts w:ascii="Arial Narrow" w:hAnsi="Arial Narrow"/>
                <w:b/>
                <w:bCs/>
                <w:sz w:val="20"/>
                <w:szCs w:val="20"/>
              </w:rPr>
            </w:pPr>
            <w:r w:rsidRPr="008E6588">
              <w:rPr>
                <w:rFonts w:ascii="Arial Narrow" w:hAnsi="Arial Narrow"/>
                <w:b/>
                <w:bCs/>
                <w:sz w:val="20"/>
                <w:szCs w:val="20"/>
              </w:rPr>
              <w:t>Clinical criteria:</w:t>
            </w:r>
          </w:p>
        </w:tc>
      </w:tr>
      <w:tr w:rsidR="0022279D" w:rsidRPr="008E6588" w14:paraId="3670659A"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E9F57C2" w14:textId="0C8FD267" w:rsidR="0022279D" w:rsidRPr="008E6588" w:rsidRDefault="0022279D" w:rsidP="00836DB5">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F67197" w14:textId="77777777" w:rsidR="0022279D" w:rsidRPr="008E6588" w:rsidRDefault="0022279D" w:rsidP="00836DB5">
            <w:pPr>
              <w:rPr>
                <w:rFonts w:ascii="Arial Narrow" w:hAnsi="Arial Narrow"/>
                <w:sz w:val="20"/>
                <w:szCs w:val="20"/>
              </w:rPr>
            </w:pPr>
            <w:r w:rsidRPr="008E6588">
              <w:rPr>
                <w:rFonts w:ascii="Arial Narrow" w:hAnsi="Arial Narrow"/>
                <w:sz w:val="20"/>
                <w:szCs w:val="20"/>
              </w:rPr>
              <w:t xml:space="preserve">Patient must have experienced itch and hives that persist </w:t>
            </w:r>
            <w:proofErr w:type="gramStart"/>
            <w:r w:rsidRPr="008E6588">
              <w:rPr>
                <w:rFonts w:ascii="Arial Narrow" w:hAnsi="Arial Narrow"/>
                <w:sz w:val="20"/>
                <w:szCs w:val="20"/>
              </w:rPr>
              <w:t>on a daily basis</w:t>
            </w:r>
            <w:proofErr w:type="gramEnd"/>
            <w:r w:rsidRPr="008E6588">
              <w:rPr>
                <w:rFonts w:ascii="Arial Narrow" w:hAnsi="Arial Narrow"/>
                <w:sz w:val="20"/>
                <w:szCs w:val="20"/>
              </w:rPr>
              <w:t xml:space="preserve"> for at least 6 weeks despite treatment with H1 antihistamines</w:t>
            </w:r>
          </w:p>
        </w:tc>
      </w:tr>
      <w:tr w:rsidR="0022279D" w:rsidRPr="008E6588" w14:paraId="237665D2"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0F6A42F" w14:textId="77777777" w:rsidR="0022279D" w:rsidRPr="008E6588" w:rsidRDefault="0022279D" w:rsidP="00836DB5">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054D61" w14:textId="77777777" w:rsidR="0022279D" w:rsidRPr="008E6588" w:rsidRDefault="0022279D" w:rsidP="00836DB5">
            <w:pPr>
              <w:rPr>
                <w:rFonts w:ascii="Arial Narrow" w:hAnsi="Arial Narrow"/>
                <w:b/>
                <w:bCs/>
                <w:sz w:val="20"/>
                <w:szCs w:val="20"/>
              </w:rPr>
            </w:pPr>
            <w:r w:rsidRPr="008E6588">
              <w:rPr>
                <w:rFonts w:ascii="Arial Narrow" w:hAnsi="Arial Narrow"/>
                <w:b/>
                <w:bCs/>
                <w:sz w:val="20"/>
                <w:szCs w:val="20"/>
              </w:rPr>
              <w:t>AND</w:t>
            </w:r>
          </w:p>
        </w:tc>
      </w:tr>
      <w:tr w:rsidR="0022279D" w:rsidRPr="008E6588" w14:paraId="00A9625B"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02CEC21" w14:textId="04877823" w:rsidR="0022279D" w:rsidRPr="008E6588" w:rsidRDefault="0022279D" w:rsidP="00836DB5">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6B625D" w14:textId="77777777" w:rsidR="0022279D" w:rsidRPr="008E6588" w:rsidRDefault="0022279D" w:rsidP="00836DB5">
            <w:pPr>
              <w:rPr>
                <w:rFonts w:ascii="Arial Narrow" w:hAnsi="Arial Narrow"/>
                <w:b/>
                <w:bCs/>
                <w:sz w:val="20"/>
                <w:szCs w:val="20"/>
              </w:rPr>
            </w:pPr>
            <w:r w:rsidRPr="008E6588">
              <w:rPr>
                <w:rFonts w:ascii="Arial Narrow" w:hAnsi="Arial Narrow"/>
                <w:b/>
                <w:bCs/>
                <w:sz w:val="20"/>
                <w:szCs w:val="20"/>
              </w:rPr>
              <w:t>Clinical criteria:</w:t>
            </w:r>
          </w:p>
        </w:tc>
      </w:tr>
      <w:tr w:rsidR="0022279D" w:rsidRPr="008E6588" w14:paraId="141FE5D2"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D2EE4FE" w14:textId="5C188B77" w:rsidR="0022279D" w:rsidRPr="008E6588" w:rsidRDefault="0022279D" w:rsidP="00836DB5">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13DD5D" w14:textId="77777777" w:rsidR="0022279D" w:rsidRPr="008E6588" w:rsidRDefault="0022279D" w:rsidP="00836DB5">
            <w:pPr>
              <w:rPr>
                <w:rFonts w:ascii="Arial Narrow" w:hAnsi="Arial Narrow"/>
                <w:sz w:val="20"/>
                <w:szCs w:val="20"/>
              </w:rPr>
            </w:pPr>
            <w:r w:rsidRPr="008E6588">
              <w:rPr>
                <w:rFonts w:ascii="Arial Narrow" w:hAnsi="Arial Narrow"/>
                <w:sz w:val="20"/>
                <w:szCs w:val="20"/>
              </w:rPr>
              <w:t>Patient must have failed to achieve an adequate response after a minimum of 2 weeks treatment with a standard therapy</w:t>
            </w:r>
          </w:p>
        </w:tc>
      </w:tr>
      <w:tr w:rsidR="0022279D" w:rsidRPr="008E6588" w14:paraId="6EF73F78"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6C06323" w14:textId="77777777" w:rsidR="0022279D" w:rsidRPr="008E6588" w:rsidRDefault="0022279D" w:rsidP="00836DB5">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A7F1E2" w14:textId="77777777" w:rsidR="0022279D" w:rsidRPr="008E6588" w:rsidRDefault="0022279D" w:rsidP="00836DB5">
            <w:pPr>
              <w:rPr>
                <w:rFonts w:ascii="Arial Narrow" w:hAnsi="Arial Narrow"/>
                <w:b/>
                <w:bCs/>
                <w:sz w:val="20"/>
                <w:szCs w:val="20"/>
              </w:rPr>
            </w:pPr>
            <w:r w:rsidRPr="008E6588">
              <w:rPr>
                <w:rFonts w:ascii="Arial Narrow" w:hAnsi="Arial Narrow"/>
                <w:b/>
                <w:bCs/>
                <w:sz w:val="20"/>
                <w:szCs w:val="20"/>
              </w:rPr>
              <w:t>AND</w:t>
            </w:r>
          </w:p>
        </w:tc>
      </w:tr>
      <w:tr w:rsidR="0022279D" w:rsidRPr="008E6588" w14:paraId="5CC0DD60"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E4ACCAA" w14:textId="34AB2946" w:rsidR="0022279D" w:rsidRPr="008E6588" w:rsidRDefault="0022279D" w:rsidP="00836DB5">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9A6927" w14:textId="77777777" w:rsidR="0022279D" w:rsidRPr="008E6588" w:rsidRDefault="0022279D" w:rsidP="00836DB5">
            <w:pPr>
              <w:rPr>
                <w:rFonts w:ascii="Arial Narrow" w:hAnsi="Arial Narrow"/>
                <w:b/>
                <w:bCs/>
                <w:sz w:val="20"/>
                <w:szCs w:val="20"/>
              </w:rPr>
            </w:pPr>
            <w:r w:rsidRPr="008E6588">
              <w:rPr>
                <w:rFonts w:ascii="Arial Narrow" w:hAnsi="Arial Narrow"/>
                <w:b/>
                <w:bCs/>
                <w:sz w:val="20"/>
                <w:szCs w:val="20"/>
              </w:rPr>
              <w:t>Clinical criteria:</w:t>
            </w:r>
          </w:p>
        </w:tc>
      </w:tr>
      <w:tr w:rsidR="0022279D" w:rsidRPr="008E6588" w14:paraId="34E7A006"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DF98E67" w14:textId="255B427D" w:rsidR="0022279D" w:rsidRPr="008E6588" w:rsidRDefault="0022279D" w:rsidP="00836DB5">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D90027" w14:textId="77777777" w:rsidR="0022279D" w:rsidRPr="008E6588" w:rsidRDefault="0022279D" w:rsidP="00836DB5">
            <w:pPr>
              <w:rPr>
                <w:rFonts w:ascii="Arial Narrow" w:hAnsi="Arial Narrow"/>
                <w:b/>
                <w:bCs/>
                <w:sz w:val="20"/>
                <w:szCs w:val="20"/>
              </w:rPr>
            </w:pPr>
            <w:r w:rsidRPr="008E6588">
              <w:rPr>
                <w:rFonts w:ascii="Arial Narrow" w:hAnsi="Arial Narrow"/>
                <w:b/>
                <w:bCs/>
                <w:sz w:val="20"/>
                <w:szCs w:val="20"/>
              </w:rPr>
              <w:t>Patient must not receive more than 12 weeks of treatment under this restriction</w:t>
            </w:r>
          </w:p>
        </w:tc>
      </w:tr>
      <w:tr w:rsidR="0022279D" w:rsidRPr="008E6588" w14:paraId="252E4807"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4F2E770" w14:textId="39128A01" w:rsidR="0022279D" w:rsidRPr="008E6588" w:rsidRDefault="0022279D" w:rsidP="00836DB5">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A584AF" w14:textId="77777777" w:rsidR="0022279D" w:rsidRPr="008E6588" w:rsidRDefault="0022279D" w:rsidP="00836DB5">
            <w:pPr>
              <w:rPr>
                <w:rFonts w:ascii="Arial Narrow" w:hAnsi="Arial Narrow"/>
                <w:b/>
                <w:bCs/>
                <w:sz w:val="20"/>
                <w:szCs w:val="20"/>
              </w:rPr>
            </w:pPr>
            <w:r w:rsidRPr="008E6588">
              <w:rPr>
                <w:rFonts w:ascii="Arial Narrow" w:hAnsi="Arial Narrow"/>
                <w:b/>
                <w:bCs/>
                <w:sz w:val="20"/>
                <w:szCs w:val="20"/>
              </w:rPr>
              <w:t>Prescribing Instructions:</w:t>
            </w:r>
          </w:p>
          <w:p w14:paraId="19E014FA" w14:textId="77777777" w:rsidR="0022279D" w:rsidRPr="008E6588" w:rsidRDefault="0022279D" w:rsidP="00836DB5">
            <w:pPr>
              <w:rPr>
                <w:rFonts w:ascii="Arial Narrow" w:hAnsi="Arial Narrow"/>
                <w:sz w:val="20"/>
                <w:szCs w:val="20"/>
              </w:rPr>
            </w:pPr>
            <w:r w:rsidRPr="008E6588">
              <w:rPr>
                <w:rFonts w:ascii="Arial Narrow" w:hAnsi="Arial Narrow"/>
                <w:sz w:val="20"/>
                <w:szCs w:val="20"/>
              </w:rPr>
              <w:t>A standard therapy is defined as a combination of therapies that includes H1 antihistamines at maximally tolerated doses in accordance with clinical guidelines, and one of the following:</w:t>
            </w:r>
          </w:p>
          <w:p w14:paraId="449187C6" w14:textId="77777777" w:rsidR="0022279D" w:rsidRPr="008E6588" w:rsidRDefault="0022279D" w:rsidP="00836DB5">
            <w:pPr>
              <w:rPr>
                <w:rFonts w:ascii="Arial Narrow" w:hAnsi="Arial Narrow"/>
                <w:sz w:val="20"/>
                <w:szCs w:val="20"/>
              </w:rPr>
            </w:pPr>
            <w:r w:rsidRPr="008E6588">
              <w:rPr>
                <w:rFonts w:ascii="Arial Narrow" w:hAnsi="Arial Narrow"/>
                <w:sz w:val="20"/>
                <w:szCs w:val="20"/>
              </w:rPr>
              <w:t>1) a H2 receptor antagonist (150 mg twice per day); or</w:t>
            </w:r>
          </w:p>
          <w:p w14:paraId="1E127F50" w14:textId="77777777" w:rsidR="0022279D" w:rsidRPr="008E6588" w:rsidRDefault="0022279D" w:rsidP="00836DB5">
            <w:pPr>
              <w:rPr>
                <w:rFonts w:ascii="Arial Narrow" w:hAnsi="Arial Narrow"/>
                <w:sz w:val="20"/>
                <w:szCs w:val="20"/>
              </w:rPr>
            </w:pPr>
            <w:r w:rsidRPr="008E6588">
              <w:rPr>
                <w:rFonts w:ascii="Arial Narrow" w:hAnsi="Arial Narrow"/>
                <w:sz w:val="20"/>
                <w:szCs w:val="20"/>
              </w:rPr>
              <w:t>2) a leukotriene receptor antagonist (LTRA) (10 mg per day); or</w:t>
            </w:r>
          </w:p>
          <w:p w14:paraId="46AAE55F" w14:textId="77777777" w:rsidR="0022279D" w:rsidRPr="008E6588" w:rsidRDefault="0022279D" w:rsidP="00836DB5">
            <w:pPr>
              <w:rPr>
                <w:rFonts w:ascii="Arial Narrow" w:hAnsi="Arial Narrow"/>
                <w:b/>
                <w:bCs/>
                <w:sz w:val="20"/>
                <w:szCs w:val="20"/>
              </w:rPr>
            </w:pPr>
            <w:r w:rsidRPr="008E6588">
              <w:rPr>
                <w:rFonts w:ascii="Arial Narrow" w:hAnsi="Arial Narrow"/>
                <w:sz w:val="20"/>
                <w:szCs w:val="20"/>
              </w:rPr>
              <w:t>3) doxepin (up to 25 mg three times a day)</w:t>
            </w:r>
          </w:p>
        </w:tc>
      </w:tr>
      <w:tr w:rsidR="0022279D" w:rsidRPr="008E6588" w14:paraId="5DBF173C"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B8DF833" w14:textId="174524FA" w:rsidR="0022279D" w:rsidRPr="008E6588" w:rsidRDefault="0022279D" w:rsidP="00836DB5">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77BD8F" w14:textId="77777777" w:rsidR="0022279D" w:rsidRPr="008E6588" w:rsidRDefault="0022279D" w:rsidP="00836DB5">
            <w:pPr>
              <w:rPr>
                <w:rFonts w:ascii="Arial Narrow" w:hAnsi="Arial Narrow"/>
                <w:b/>
                <w:bCs/>
                <w:sz w:val="20"/>
                <w:szCs w:val="20"/>
              </w:rPr>
            </w:pPr>
            <w:r w:rsidRPr="008E6588">
              <w:rPr>
                <w:rFonts w:ascii="Arial Narrow" w:hAnsi="Arial Narrow"/>
                <w:b/>
                <w:bCs/>
                <w:sz w:val="20"/>
                <w:szCs w:val="20"/>
              </w:rPr>
              <w:t>Prescribing Instructions:</w:t>
            </w:r>
          </w:p>
          <w:p w14:paraId="5CAFC255" w14:textId="77777777" w:rsidR="0022279D" w:rsidRPr="008E6588" w:rsidRDefault="0022279D" w:rsidP="00836DB5">
            <w:pPr>
              <w:rPr>
                <w:rFonts w:ascii="Arial Narrow" w:hAnsi="Arial Narrow"/>
                <w:sz w:val="20"/>
                <w:szCs w:val="20"/>
              </w:rPr>
            </w:pPr>
            <w:r w:rsidRPr="008E6588">
              <w:rPr>
                <w:rFonts w:ascii="Arial Narrow" w:hAnsi="Arial Narrow"/>
                <w:sz w:val="20"/>
                <w:szCs w:val="20"/>
              </w:rPr>
              <w:t>If the requirement for treatment with H1 antihistamines and a H2 receptor antagonist, or a leukotriene receptor antagonist or doxepin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tc>
      </w:tr>
      <w:tr w:rsidR="0022279D" w:rsidRPr="008E6588" w14:paraId="7CB42E04"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6EB4945" w14:textId="52A851C7" w:rsidR="0022279D" w:rsidRPr="008E6588" w:rsidRDefault="0022279D" w:rsidP="00836DB5">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6681D5" w14:textId="77777777" w:rsidR="0022279D" w:rsidRPr="008E6588" w:rsidRDefault="0022279D" w:rsidP="00836DB5">
            <w:pPr>
              <w:rPr>
                <w:rFonts w:ascii="Arial Narrow" w:hAnsi="Arial Narrow"/>
                <w:b/>
                <w:bCs/>
                <w:sz w:val="20"/>
                <w:szCs w:val="20"/>
              </w:rPr>
            </w:pPr>
            <w:r w:rsidRPr="008E6588">
              <w:rPr>
                <w:rFonts w:ascii="Arial Narrow" w:hAnsi="Arial Narrow"/>
                <w:b/>
                <w:bCs/>
                <w:sz w:val="20"/>
                <w:szCs w:val="20"/>
              </w:rPr>
              <w:t>Prescribing Instructions:</w:t>
            </w:r>
          </w:p>
          <w:p w14:paraId="768F90D5" w14:textId="77777777" w:rsidR="0022279D" w:rsidRPr="008E6588" w:rsidRDefault="0022279D" w:rsidP="00836DB5">
            <w:pPr>
              <w:rPr>
                <w:rFonts w:ascii="Arial Narrow" w:hAnsi="Arial Narrow"/>
                <w:sz w:val="20"/>
                <w:szCs w:val="20"/>
              </w:rPr>
            </w:pPr>
            <w:r w:rsidRPr="008E6588">
              <w:rPr>
                <w:rFonts w:ascii="Arial Narrow" w:hAnsi="Arial Narrow"/>
                <w:sz w:val="20"/>
                <w:szCs w:val="20"/>
              </w:rPr>
              <w:t>A failure to achieve an adequate response to standard therapy is defined as a current Urticaria Activity Score 7 (UAS7) score of equal to or greater than 28 with an itch score of greater than 8, as assessed while still on standard therapy.</w:t>
            </w:r>
          </w:p>
        </w:tc>
      </w:tr>
      <w:tr w:rsidR="0022279D" w:rsidRPr="008E6588" w14:paraId="235CBA97"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4BC3778" w14:textId="179A7AB0" w:rsidR="0022279D" w:rsidRPr="008E6588" w:rsidRDefault="0022279D" w:rsidP="00836DB5">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A8CC76" w14:textId="77777777" w:rsidR="0022279D" w:rsidRPr="008E6588" w:rsidRDefault="0022279D" w:rsidP="00836DB5">
            <w:pPr>
              <w:rPr>
                <w:rFonts w:ascii="Arial Narrow" w:hAnsi="Arial Narrow"/>
                <w:b/>
                <w:bCs/>
                <w:sz w:val="20"/>
                <w:szCs w:val="20"/>
              </w:rPr>
            </w:pPr>
            <w:r w:rsidRPr="008E6588">
              <w:rPr>
                <w:rFonts w:ascii="Arial Narrow" w:hAnsi="Arial Narrow"/>
                <w:b/>
                <w:bCs/>
                <w:sz w:val="20"/>
                <w:szCs w:val="20"/>
              </w:rPr>
              <w:t>Prescribing Instructions:</w:t>
            </w:r>
          </w:p>
          <w:p w14:paraId="6DB8AAD9" w14:textId="77777777" w:rsidR="0022279D" w:rsidRPr="008E6588" w:rsidRDefault="0022279D" w:rsidP="00836DB5">
            <w:pPr>
              <w:rPr>
                <w:rFonts w:ascii="Arial Narrow" w:hAnsi="Arial Narrow"/>
                <w:sz w:val="20"/>
                <w:szCs w:val="20"/>
              </w:rPr>
            </w:pPr>
            <w:r w:rsidRPr="008E6588">
              <w:rPr>
                <w:rFonts w:ascii="Arial Narrow" w:hAnsi="Arial Narrow"/>
                <w:sz w:val="20"/>
                <w:szCs w:val="20"/>
              </w:rPr>
              <w:t>The authority application must be made in writing and must include:</w:t>
            </w:r>
          </w:p>
          <w:p w14:paraId="607F3AD2" w14:textId="77777777" w:rsidR="0022279D" w:rsidRPr="008E6588" w:rsidRDefault="0022279D" w:rsidP="00836DB5">
            <w:pPr>
              <w:rPr>
                <w:rFonts w:ascii="Arial Narrow" w:hAnsi="Arial Narrow"/>
                <w:sz w:val="20"/>
                <w:szCs w:val="20"/>
              </w:rPr>
            </w:pPr>
            <w:r w:rsidRPr="008E6588">
              <w:rPr>
                <w:rFonts w:ascii="Arial Narrow" w:hAnsi="Arial Narrow"/>
                <w:sz w:val="20"/>
                <w:szCs w:val="20"/>
              </w:rPr>
              <w:t>(a) a completed authority prescription form; and</w:t>
            </w:r>
          </w:p>
          <w:p w14:paraId="0C006B06" w14:textId="77777777" w:rsidR="0022279D" w:rsidRPr="008E6588" w:rsidRDefault="0022279D" w:rsidP="00836DB5">
            <w:pPr>
              <w:rPr>
                <w:rFonts w:ascii="Arial Narrow" w:hAnsi="Arial Narrow"/>
                <w:sz w:val="20"/>
                <w:szCs w:val="20"/>
              </w:rPr>
            </w:pPr>
            <w:r w:rsidRPr="008E6588">
              <w:rPr>
                <w:rFonts w:ascii="Arial Narrow" w:hAnsi="Arial Narrow"/>
                <w:sz w:val="20"/>
                <w:szCs w:val="20"/>
              </w:rPr>
              <w:t>(b) a completed Chronic Spontaneous Urticaria Omalizumab Initial PBS Authority Application - Supporting Information Form which must include:</w:t>
            </w:r>
          </w:p>
          <w:p w14:paraId="07168BC4" w14:textId="77777777" w:rsidR="0022279D" w:rsidRPr="008E6588" w:rsidRDefault="0022279D" w:rsidP="00836DB5">
            <w:pPr>
              <w:rPr>
                <w:rFonts w:ascii="Arial Narrow" w:hAnsi="Arial Narrow"/>
                <w:sz w:val="20"/>
                <w:szCs w:val="20"/>
              </w:rPr>
            </w:pPr>
            <w:r w:rsidRPr="008E6588">
              <w:rPr>
                <w:rFonts w:ascii="Arial Narrow" w:hAnsi="Arial Narrow"/>
                <w:sz w:val="20"/>
                <w:szCs w:val="20"/>
              </w:rPr>
              <w:t>(</w:t>
            </w:r>
            <w:proofErr w:type="spellStart"/>
            <w:r w:rsidRPr="008E6588">
              <w:rPr>
                <w:rFonts w:ascii="Arial Narrow" w:hAnsi="Arial Narrow"/>
                <w:sz w:val="20"/>
                <w:szCs w:val="20"/>
              </w:rPr>
              <w:t>i</w:t>
            </w:r>
            <w:proofErr w:type="spellEnd"/>
            <w:r w:rsidRPr="008E6588">
              <w:rPr>
                <w:rFonts w:ascii="Arial Narrow" w:hAnsi="Arial Narrow"/>
                <w:sz w:val="20"/>
                <w:szCs w:val="20"/>
              </w:rPr>
              <w:t>) demonstration of failure to achieve an adequate response to standard therapy; and</w:t>
            </w:r>
          </w:p>
          <w:p w14:paraId="06FC95BB" w14:textId="77777777" w:rsidR="0022279D" w:rsidRPr="008E6588" w:rsidRDefault="0022279D" w:rsidP="00836DB5">
            <w:pPr>
              <w:rPr>
                <w:rFonts w:ascii="Arial Narrow" w:hAnsi="Arial Narrow"/>
                <w:sz w:val="20"/>
                <w:szCs w:val="20"/>
              </w:rPr>
            </w:pPr>
            <w:r w:rsidRPr="008E6588">
              <w:rPr>
                <w:rFonts w:ascii="Arial Narrow" w:hAnsi="Arial Narrow"/>
                <w:sz w:val="20"/>
                <w:szCs w:val="20"/>
              </w:rPr>
              <w:t>(ii) drug names and doses of standard therapies that the patient has failed; and</w:t>
            </w:r>
          </w:p>
          <w:p w14:paraId="2308CAE7" w14:textId="77777777" w:rsidR="0022279D" w:rsidRPr="008E6588" w:rsidRDefault="0022279D" w:rsidP="00836DB5">
            <w:pPr>
              <w:rPr>
                <w:rFonts w:ascii="Arial Narrow" w:hAnsi="Arial Narrow"/>
                <w:b/>
                <w:bCs/>
                <w:sz w:val="20"/>
                <w:szCs w:val="20"/>
              </w:rPr>
            </w:pPr>
            <w:r w:rsidRPr="008E6588">
              <w:rPr>
                <w:rFonts w:ascii="Arial Narrow" w:hAnsi="Arial Narrow"/>
                <w:sz w:val="20"/>
                <w:szCs w:val="20"/>
              </w:rPr>
              <w:t>(iii) a signed patient acknowledgment that cessation of therapy should be considered after the patient has demonstrated clinical benefit with omalizumab to re-evaluate the need for continued therapy. Any patient who ceases therapy and whose CSU relapses will need to re-initiate PBS-subsidised omalizumab as a new patient.</w:t>
            </w:r>
          </w:p>
        </w:tc>
      </w:tr>
      <w:tr w:rsidR="0022279D" w:rsidRPr="008E6588" w14:paraId="0BD76420" w14:textId="77777777" w:rsidTr="0022279D">
        <w:tblPrEx>
          <w:tblCellMar>
            <w:top w:w="15" w:type="dxa"/>
            <w:bottom w:w="15" w:type="dxa"/>
          </w:tblCellMar>
          <w:tblLook w:val="04A0" w:firstRow="1" w:lastRow="0" w:firstColumn="1" w:lastColumn="0" w:noHBand="0" w:noVBand="1"/>
        </w:tblPrEx>
        <w:trPr>
          <w:cantSplit/>
          <w:trHeight w:val="2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800B80A" w14:textId="3DC2E564" w:rsidR="0022279D" w:rsidRPr="008E6588" w:rsidRDefault="0022279D" w:rsidP="00836DB5">
            <w:pPr>
              <w:jc w:val="center"/>
              <w:rPr>
                <w:rFonts w:ascii="Arial Narrow" w:hAnsi="Arial Narrow"/>
                <w:sz w:val="20"/>
                <w:szCs w:val="20"/>
              </w:rPr>
            </w:pPr>
          </w:p>
        </w:tc>
        <w:tc>
          <w:tcPr>
            <w:tcW w:w="430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A12A94" w14:textId="77777777" w:rsidR="0022279D" w:rsidRPr="008E6588" w:rsidRDefault="0022279D" w:rsidP="00836DB5">
            <w:pPr>
              <w:rPr>
                <w:rFonts w:ascii="Arial Narrow" w:hAnsi="Arial Narrow"/>
                <w:b/>
                <w:bCs/>
                <w:sz w:val="20"/>
                <w:szCs w:val="20"/>
              </w:rPr>
            </w:pPr>
            <w:r w:rsidRPr="008E6588">
              <w:rPr>
                <w:rFonts w:ascii="Arial Narrow" w:hAnsi="Arial Narrow"/>
                <w:b/>
                <w:bCs/>
                <w:sz w:val="20"/>
                <w:szCs w:val="20"/>
              </w:rPr>
              <w:t>Administrative Advice:</w:t>
            </w:r>
          </w:p>
          <w:p w14:paraId="67EB4C86" w14:textId="77777777" w:rsidR="0022279D" w:rsidRPr="008E6588" w:rsidRDefault="0022279D" w:rsidP="00836DB5">
            <w:pPr>
              <w:rPr>
                <w:rFonts w:ascii="Arial Narrow" w:hAnsi="Arial Narrow"/>
                <w:sz w:val="20"/>
                <w:szCs w:val="20"/>
              </w:rPr>
            </w:pPr>
            <w:r w:rsidRPr="008E6588">
              <w:rPr>
                <w:rFonts w:ascii="Arial Narrow" w:hAnsi="Arial Narrow"/>
                <w:sz w:val="20"/>
                <w:szCs w:val="20"/>
              </w:rPr>
              <w:t>Any queries concerning the arrangements to prescribe may be directed to the Department of Human Services on 1800 700 270 (hours of operation 8 a.m. to 5 p.m. EST Monday to Friday).</w:t>
            </w:r>
          </w:p>
          <w:p w14:paraId="48E3ABF0" w14:textId="77777777" w:rsidR="0022279D" w:rsidRPr="008E6588" w:rsidRDefault="0022279D" w:rsidP="00836DB5">
            <w:pPr>
              <w:rPr>
                <w:rFonts w:ascii="Arial Narrow" w:hAnsi="Arial Narrow"/>
                <w:sz w:val="20"/>
                <w:szCs w:val="20"/>
              </w:rPr>
            </w:pPr>
            <w:r w:rsidRPr="008E6588">
              <w:rPr>
                <w:rFonts w:ascii="Arial Narrow" w:hAnsi="Arial Narrow"/>
                <w:sz w:val="20"/>
                <w:szCs w:val="20"/>
              </w:rPr>
              <w:t>Prescribing information (including Authority Application forms and other relevant documentation as applicable) is available on the Department of Human Services website at www.humanservices.gov.au</w:t>
            </w:r>
          </w:p>
          <w:p w14:paraId="6147E84F" w14:textId="77777777" w:rsidR="0022279D" w:rsidRPr="008E6588" w:rsidRDefault="0022279D" w:rsidP="00836DB5">
            <w:pPr>
              <w:rPr>
                <w:rFonts w:ascii="Arial Narrow" w:hAnsi="Arial Narrow"/>
                <w:sz w:val="20"/>
                <w:szCs w:val="20"/>
              </w:rPr>
            </w:pPr>
            <w:r w:rsidRPr="008E6588">
              <w:rPr>
                <w:rFonts w:ascii="Arial Narrow" w:hAnsi="Arial Narrow"/>
                <w:sz w:val="20"/>
                <w:szCs w:val="20"/>
              </w:rPr>
              <w:t>Applications for authority to prescribe should be forwarded to:</w:t>
            </w:r>
          </w:p>
          <w:p w14:paraId="1EA7FB8A" w14:textId="77777777" w:rsidR="0022279D" w:rsidRPr="008E6588" w:rsidRDefault="0022279D" w:rsidP="00836DB5">
            <w:pPr>
              <w:rPr>
                <w:rFonts w:ascii="Arial Narrow" w:hAnsi="Arial Narrow"/>
                <w:sz w:val="20"/>
                <w:szCs w:val="20"/>
              </w:rPr>
            </w:pPr>
            <w:r w:rsidRPr="008E6588">
              <w:rPr>
                <w:rFonts w:ascii="Arial Narrow" w:hAnsi="Arial Narrow"/>
                <w:sz w:val="20"/>
                <w:szCs w:val="20"/>
              </w:rPr>
              <w:t>Department of Human Services</w:t>
            </w:r>
          </w:p>
          <w:p w14:paraId="2D6992A2" w14:textId="77777777" w:rsidR="0022279D" w:rsidRPr="008E6588" w:rsidRDefault="0022279D" w:rsidP="00836DB5">
            <w:pPr>
              <w:rPr>
                <w:rFonts w:ascii="Arial Narrow" w:hAnsi="Arial Narrow"/>
                <w:sz w:val="20"/>
                <w:szCs w:val="20"/>
              </w:rPr>
            </w:pPr>
            <w:r w:rsidRPr="008E6588">
              <w:rPr>
                <w:rFonts w:ascii="Arial Narrow" w:hAnsi="Arial Narrow"/>
                <w:sz w:val="20"/>
                <w:szCs w:val="20"/>
              </w:rPr>
              <w:t>Complex Drugs</w:t>
            </w:r>
          </w:p>
          <w:p w14:paraId="462B1EDA" w14:textId="77777777" w:rsidR="0022279D" w:rsidRPr="008E6588" w:rsidRDefault="0022279D" w:rsidP="00836DB5">
            <w:pPr>
              <w:rPr>
                <w:rFonts w:ascii="Arial Narrow" w:hAnsi="Arial Narrow"/>
                <w:sz w:val="20"/>
                <w:szCs w:val="20"/>
              </w:rPr>
            </w:pPr>
            <w:r w:rsidRPr="008E6588">
              <w:rPr>
                <w:rFonts w:ascii="Arial Narrow" w:hAnsi="Arial Narrow"/>
                <w:sz w:val="20"/>
                <w:szCs w:val="20"/>
              </w:rPr>
              <w:t>Reply Paid 9826</w:t>
            </w:r>
          </w:p>
          <w:p w14:paraId="7F4B6E67" w14:textId="77777777" w:rsidR="0022279D" w:rsidRPr="008E6588" w:rsidRDefault="0022279D" w:rsidP="00836DB5">
            <w:pPr>
              <w:rPr>
                <w:rFonts w:ascii="Arial Narrow" w:hAnsi="Arial Narrow"/>
                <w:b/>
                <w:bCs/>
                <w:sz w:val="20"/>
                <w:szCs w:val="20"/>
              </w:rPr>
            </w:pPr>
            <w:r w:rsidRPr="008E6588">
              <w:rPr>
                <w:rFonts w:ascii="Arial Narrow" w:hAnsi="Arial Narrow"/>
                <w:sz w:val="20"/>
                <w:szCs w:val="20"/>
              </w:rPr>
              <w:t>HOBART TAS 7001</w:t>
            </w:r>
          </w:p>
        </w:tc>
      </w:tr>
      <w:tr w:rsidR="0022279D" w:rsidRPr="008E6588" w14:paraId="1DF565E8" w14:textId="77777777" w:rsidTr="0022279D">
        <w:tblPrEx>
          <w:tblCellMar>
            <w:top w:w="15" w:type="dxa"/>
            <w:bottom w:w="15" w:type="dxa"/>
          </w:tblCellMar>
          <w:tblLook w:val="04A0" w:firstRow="1" w:lastRow="0" w:firstColumn="1" w:lastColumn="0" w:noHBand="0" w:noVBand="1"/>
        </w:tblPrEx>
        <w:trPr>
          <w:cantSplit/>
          <w:trHeight w:val="20"/>
        </w:trPr>
        <w:tc>
          <w:tcPr>
            <w:tcW w:w="691" w:type="pct"/>
            <w:vAlign w:val="center"/>
          </w:tcPr>
          <w:p w14:paraId="521E4A50" w14:textId="2D4BAD4F" w:rsidR="0022279D" w:rsidRPr="008E6588" w:rsidRDefault="0022279D" w:rsidP="00836DB5">
            <w:pPr>
              <w:jc w:val="center"/>
              <w:rPr>
                <w:rFonts w:ascii="Arial Narrow" w:hAnsi="Arial Narrow"/>
                <w:sz w:val="20"/>
                <w:szCs w:val="20"/>
              </w:rPr>
            </w:pPr>
          </w:p>
        </w:tc>
        <w:tc>
          <w:tcPr>
            <w:tcW w:w="4309" w:type="pct"/>
            <w:gridSpan w:val="6"/>
            <w:vAlign w:val="center"/>
          </w:tcPr>
          <w:p w14:paraId="6F15CE7A" w14:textId="77777777" w:rsidR="0022279D" w:rsidRPr="008E6588" w:rsidRDefault="0022279D" w:rsidP="00836DB5">
            <w:pPr>
              <w:textAlignment w:val="baseline"/>
              <w:rPr>
                <w:rFonts w:ascii="Arial Narrow" w:eastAsia="Calibri" w:hAnsi="Arial Narrow"/>
                <w:b/>
                <w:iCs/>
                <w:color w:val="333333"/>
                <w:sz w:val="20"/>
                <w:szCs w:val="20"/>
              </w:rPr>
            </w:pPr>
            <w:r w:rsidRPr="008E6588">
              <w:rPr>
                <w:rFonts w:ascii="Arial Narrow" w:eastAsia="Calibri" w:hAnsi="Arial Narrow"/>
                <w:b/>
                <w:iCs/>
                <w:color w:val="333333"/>
                <w:sz w:val="20"/>
                <w:szCs w:val="20"/>
              </w:rPr>
              <w:t xml:space="preserve">Administrative Advice: </w:t>
            </w:r>
          </w:p>
          <w:p w14:paraId="329F2258" w14:textId="77777777" w:rsidR="0022279D" w:rsidRPr="008E6588" w:rsidRDefault="0022279D" w:rsidP="00836DB5">
            <w:pPr>
              <w:rPr>
                <w:rFonts w:ascii="Arial Narrow" w:hAnsi="Arial Narrow"/>
                <w:b/>
                <w:bCs/>
                <w:sz w:val="20"/>
                <w:szCs w:val="20"/>
              </w:rPr>
            </w:pPr>
            <w:r w:rsidRPr="008E6588">
              <w:rPr>
                <w:rFonts w:ascii="Arial Narrow" w:hAnsi="Arial Narrow"/>
                <w:iCs/>
                <w:sz w:val="20"/>
                <w:szCs w:val="20"/>
              </w:rPr>
              <w:t xml:space="preserve">Pharmaceutical benefits that have the form omalizumab </w:t>
            </w:r>
            <w:r w:rsidRPr="008E6588">
              <w:rPr>
                <w:rFonts w:ascii="Arial Narrow" w:hAnsi="Arial Narrow" w:cs="Arial"/>
                <w:iCs/>
                <w:sz w:val="20"/>
                <w:szCs w:val="20"/>
              </w:rPr>
              <w:t xml:space="preserve">300 mg/2 mL </w:t>
            </w:r>
            <w:r w:rsidRPr="008E6588">
              <w:rPr>
                <w:rFonts w:ascii="Arial Narrow" w:hAnsi="Arial Narrow"/>
                <w:iCs/>
                <w:sz w:val="20"/>
                <w:szCs w:val="20"/>
              </w:rPr>
              <w:t xml:space="preserve">syringes and pharmaceutical benefits that have the form omalizumab </w:t>
            </w:r>
            <w:r w:rsidRPr="008E6588">
              <w:rPr>
                <w:rFonts w:ascii="Arial Narrow" w:hAnsi="Arial Narrow" w:cs="Arial"/>
                <w:iCs/>
                <w:sz w:val="20"/>
                <w:szCs w:val="20"/>
              </w:rPr>
              <w:t xml:space="preserve">300 mg/2 mL </w:t>
            </w:r>
            <w:r w:rsidRPr="008E6588">
              <w:rPr>
                <w:rFonts w:ascii="Arial Narrow" w:hAnsi="Arial Narrow"/>
                <w:iCs/>
                <w:sz w:val="20"/>
                <w:szCs w:val="20"/>
              </w:rPr>
              <w:t>pen devices are equivalent for the purposes of substitution.</w:t>
            </w:r>
          </w:p>
        </w:tc>
      </w:tr>
    </w:tbl>
    <w:p w14:paraId="4A10EB9C" w14:textId="63EE3CAD" w:rsidR="00F84346" w:rsidRPr="00A53D64" w:rsidRDefault="00F84346" w:rsidP="00A53D64">
      <w:pPr>
        <w:pStyle w:val="4-SubsectionHeading"/>
      </w:pPr>
      <w:r w:rsidRPr="00A53D64">
        <w:t>Severe chronic spontaneous urticaria - Continuing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commended listing"/>
        <w:tblDescription w:val="Severe chronic spontaneous urticaria - continuing treatment &#10;omalizumab 150 mg/mL injection, 1 mL syringe - item code 11168T/ Public&#10;omalizumab 150 mg/mL injection, 1 mL syringe - item code 11163M/ Private&#10;omalizumab 150 mg/mL injection, 1 mL pen device - NEW listing &#10;omalizumab 150 mg/mL injection, 1 mL pen device - NEW listing &#10;"/>
      </w:tblPr>
      <w:tblGrid>
        <w:gridCol w:w="560"/>
        <w:gridCol w:w="709"/>
        <w:gridCol w:w="49"/>
        <w:gridCol w:w="3385"/>
        <w:gridCol w:w="1185"/>
        <w:gridCol w:w="730"/>
        <w:gridCol w:w="730"/>
        <w:gridCol w:w="730"/>
        <w:gridCol w:w="938"/>
      </w:tblGrid>
      <w:tr w:rsidR="00F7611C" w:rsidRPr="008E6588" w14:paraId="0C2085A1" w14:textId="77777777" w:rsidTr="006A17A2">
        <w:trPr>
          <w:cantSplit/>
          <w:trHeight w:val="20"/>
        </w:trPr>
        <w:tc>
          <w:tcPr>
            <w:tcW w:w="2608" w:type="pct"/>
            <w:gridSpan w:val="4"/>
            <w:vAlign w:val="center"/>
          </w:tcPr>
          <w:p w14:paraId="7F505352" w14:textId="77777777" w:rsidR="004164CF" w:rsidRPr="008E6588" w:rsidRDefault="004164CF" w:rsidP="00836DB5">
            <w:pPr>
              <w:keepLines/>
              <w:rPr>
                <w:rFonts w:ascii="Arial Narrow" w:hAnsi="Arial Narrow" w:cs="Arial"/>
                <w:b/>
                <w:bCs/>
                <w:sz w:val="20"/>
                <w:szCs w:val="20"/>
              </w:rPr>
            </w:pPr>
            <w:r w:rsidRPr="008E6588">
              <w:rPr>
                <w:rFonts w:ascii="Arial Narrow" w:hAnsi="Arial Narrow" w:cs="Arial"/>
                <w:b/>
                <w:bCs/>
                <w:sz w:val="20"/>
                <w:szCs w:val="20"/>
              </w:rPr>
              <w:t>MEDICINAL PRODUCT</w:t>
            </w:r>
          </w:p>
          <w:p w14:paraId="47996800" w14:textId="77777777" w:rsidR="004164CF" w:rsidRPr="008E6588" w:rsidRDefault="004164CF" w:rsidP="00836DB5">
            <w:pPr>
              <w:keepLines/>
              <w:rPr>
                <w:rFonts w:ascii="Arial Narrow" w:hAnsi="Arial Narrow" w:cs="Arial"/>
                <w:b/>
                <w:sz w:val="20"/>
                <w:szCs w:val="20"/>
              </w:rPr>
            </w:pPr>
            <w:r w:rsidRPr="008E6588">
              <w:rPr>
                <w:rFonts w:ascii="Arial Narrow" w:hAnsi="Arial Narrow" w:cs="Arial"/>
                <w:b/>
                <w:bCs/>
                <w:sz w:val="20"/>
                <w:szCs w:val="20"/>
              </w:rPr>
              <w:t>medicinal product pack</w:t>
            </w:r>
          </w:p>
        </w:tc>
        <w:tc>
          <w:tcPr>
            <w:tcW w:w="657" w:type="pct"/>
            <w:vAlign w:val="center"/>
          </w:tcPr>
          <w:p w14:paraId="6337A18A" w14:textId="77777777" w:rsidR="004164CF" w:rsidRPr="008E6588" w:rsidRDefault="004164CF" w:rsidP="00836DB5">
            <w:pPr>
              <w:keepLines/>
              <w:jc w:val="center"/>
              <w:rPr>
                <w:rFonts w:ascii="Arial Narrow" w:hAnsi="Arial Narrow" w:cs="Arial"/>
                <w:b/>
                <w:sz w:val="20"/>
                <w:szCs w:val="20"/>
              </w:rPr>
            </w:pPr>
            <w:r w:rsidRPr="008E6588">
              <w:rPr>
                <w:rFonts w:ascii="Arial Narrow" w:hAnsi="Arial Narrow" w:cs="Arial"/>
                <w:b/>
                <w:sz w:val="20"/>
                <w:szCs w:val="20"/>
              </w:rPr>
              <w:t>PBS item code</w:t>
            </w:r>
          </w:p>
        </w:tc>
        <w:tc>
          <w:tcPr>
            <w:tcW w:w="405" w:type="pct"/>
            <w:vAlign w:val="center"/>
          </w:tcPr>
          <w:p w14:paraId="683D074B" w14:textId="77777777" w:rsidR="004164CF" w:rsidRPr="008E6588" w:rsidRDefault="004164CF" w:rsidP="00836DB5">
            <w:pPr>
              <w:keepLines/>
              <w:jc w:val="center"/>
              <w:rPr>
                <w:rFonts w:ascii="Arial Narrow" w:hAnsi="Arial Narrow" w:cs="Arial"/>
                <w:b/>
                <w:sz w:val="20"/>
                <w:szCs w:val="20"/>
              </w:rPr>
            </w:pPr>
            <w:r w:rsidRPr="008E6588">
              <w:rPr>
                <w:rFonts w:ascii="Arial Narrow" w:hAnsi="Arial Narrow" w:cs="Arial"/>
                <w:b/>
                <w:sz w:val="20"/>
                <w:szCs w:val="20"/>
              </w:rPr>
              <w:t>Max. qty packs</w:t>
            </w:r>
          </w:p>
        </w:tc>
        <w:tc>
          <w:tcPr>
            <w:tcW w:w="405" w:type="pct"/>
            <w:vAlign w:val="center"/>
          </w:tcPr>
          <w:p w14:paraId="084DB220" w14:textId="77777777" w:rsidR="004164CF" w:rsidRPr="008E6588" w:rsidRDefault="004164CF" w:rsidP="00836DB5">
            <w:pPr>
              <w:keepLines/>
              <w:jc w:val="center"/>
              <w:rPr>
                <w:rFonts w:ascii="Arial Narrow" w:hAnsi="Arial Narrow" w:cs="Arial"/>
                <w:b/>
                <w:sz w:val="20"/>
                <w:szCs w:val="20"/>
              </w:rPr>
            </w:pPr>
            <w:r w:rsidRPr="008E6588">
              <w:rPr>
                <w:rFonts w:ascii="Arial Narrow" w:hAnsi="Arial Narrow" w:cs="Arial"/>
                <w:b/>
                <w:sz w:val="20"/>
                <w:szCs w:val="20"/>
              </w:rPr>
              <w:t>Max. qty units</w:t>
            </w:r>
          </w:p>
        </w:tc>
        <w:tc>
          <w:tcPr>
            <w:tcW w:w="405" w:type="pct"/>
            <w:vAlign w:val="center"/>
          </w:tcPr>
          <w:p w14:paraId="27B71BFD" w14:textId="77777777" w:rsidR="004164CF" w:rsidRPr="008E6588" w:rsidRDefault="004164CF" w:rsidP="00836DB5">
            <w:pPr>
              <w:keepLines/>
              <w:jc w:val="center"/>
              <w:rPr>
                <w:rFonts w:ascii="Arial Narrow" w:hAnsi="Arial Narrow" w:cs="Arial"/>
                <w:b/>
                <w:bCs/>
                <w:sz w:val="20"/>
                <w:szCs w:val="20"/>
              </w:rPr>
            </w:pPr>
            <w:proofErr w:type="gramStart"/>
            <w:r w:rsidRPr="008E6588">
              <w:rPr>
                <w:rFonts w:ascii="Arial Narrow" w:hAnsi="Arial Narrow" w:cs="Arial"/>
                <w:b/>
                <w:bCs/>
                <w:sz w:val="20"/>
                <w:szCs w:val="20"/>
              </w:rPr>
              <w:t>№.of</w:t>
            </w:r>
            <w:proofErr w:type="gramEnd"/>
          </w:p>
          <w:p w14:paraId="36B992C0" w14:textId="77777777" w:rsidR="004164CF" w:rsidRPr="008E6588" w:rsidRDefault="004164CF" w:rsidP="00836DB5">
            <w:pPr>
              <w:keepLines/>
              <w:jc w:val="center"/>
              <w:rPr>
                <w:rFonts w:ascii="Arial Narrow" w:hAnsi="Arial Narrow" w:cs="Arial"/>
                <w:b/>
                <w:bCs/>
                <w:sz w:val="20"/>
                <w:szCs w:val="20"/>
              </w:rPr>
            </w:pPr>
            <w:r w:rsidRPr="008E6588">
              <w:rPr>
                <w:rFonts w:ascii="Arial Narrow" w:hAnsi="Arial Narrow" w:cs="Arial"/>
                <w:b/>
                <w:bCs/>
                <w:sz w:val="20"/>
                <w:szCs w:val="20"/>
              </w:rPr>
              <w:t>Rpts</w:t>
            </w:r>
          </w:p>
        </w:tc>
        <w:tc>
          <w:tcPr>
            <w:tcW w:w="520" w:type="pct"/>
            <w:vAlign w:val="center"/>
          </w:tcPr>
          <w:p w14:paraId="083FA16D" w14:textId="77777777" w:rsidR="004164CF" w:rsidRPr="008E6588" w:rsidRDefault="004164CF" w:rsidP="00836DB5">
            <w:pPr>
              <w:keepLines/>
              <w:rPr>
                <w:rFonts w:ascii="Arial Narrow" w:hAnsi="Arial Narrow" w:cs="Arial"/>
                <w:b/>
                <w:sz w:val="20"/>
                <w:szCs w:val="20"/>
                <w:lang w:val="fr-FR"/>
              </w:rPr>
            </w:pPr>
            <w:r w:rsidRPr="008E6588">
              <w:rPr>
                <w:rFonts w:ascii="Arial Narrow" w:hAnsi="Arial Narrow" w:cs="Arial"/>
                <w:b/>
                <w:sz w:val="20"/>
                <w:szCs w:val="20"/>
              </w:rPr>
              <w:t>Available brands</w:t>
            </w:r>
          </w:p>
        </w:tc>
      </w:tr>
      <w:tr w:rsidR="004164CF" w:rsidRPr="008E6588" w14:paraId="2FE05D73" w14:textId="77777777" w:rsidTr="006A17A2">
        <w:trPr>
          <w:cantSplit/>
          <w:trHeight w:val="20"/>
        </w:trPr>
        <w:tc>
          <w:tcPr>
            <w:tcW w:w="5000" w:type="pct"/>
            <w:gridSpan w:val="9"/>
            <w:vAlign w:val="center"/>
          </w:tcPr>
          <w:p w14:paraId="56B31959" w14:textId="77777777" w:rsidR="004164CF" w:rsidRPr="008E6588" w:rsidRDefault="004164CF" w:rsidP="00836DB5">
            <w:pPr>
              <w:keepLines/>
              <w:rPr>
                <w:rFonts w:ascii="Arial Narrow" w:hAnsi="Arial Narrow" w:cs="Arial"/>
                <w:sz w:val="20"/>
                <w:szCs w:val="20"/>
              </w:rPr>
            </w:pPr>
            <w:r w:rsidRPr="008E6588">
              <w:rPr>
                <w:rFonts w:ascii="Arial Narrow" w:hAnsi="Arial Narrow" w:cs="Arial"/>
                <w:sz w:val="20"/>
                <w:szCs w:val="20"/>
              </w:rPr>
              <w:t>OMALIZUMAB</w:t>
            </w:r>
          </w:p>
        </w:tc>
      </w:tr>
      <w:tr w:rsidR="00322832" w:rsidRPr="008E6588" w14:paraId="1E85491A" w14:textId="77777777" w:rsidTr="00322832">
        <w:trPr>
          <w:cantSplit/>
          <w:trHeight w:val="20"/>
        </w:trPr>
        <w:tc>
          <w:tcPr>
            <w:tcW w:w="2608" w:type="pct"/>
            <w:gridSpan w:val="4"/>
            <w:vAlign w:val="center"/>
          </w:tcPr>
          <w:p w14:paraId="4D6DD0C1" w14:textId="77777777" w:rsidR="00322832" w:rsidRPr="008E6588" w:rsidRDefault="00322832" w:rsidP="00836DB5">
            <w:pPr>
              <w:keepLines/>
              <w:rPr>
                <w:rFonts w:ascii="Arial Narrow" w:hAnsi="Arial Narrow" w:cs="Arial"/>
                <w:sz w:val="20"/>
                <w:szCs w:val="20"/>
              </w:rPr>
            </w:pPr>
            <w:r w:rsidRPr="008E6588">
              <w:rPr>
                <w:rFonts w:ascii="Arial Narrow" w:hAnsi="Arial Narrow" w:cs="Arial"/>
                <w:sz w:val="20"/>
                <w:szCs w:val="20"/>
              </w:rPr>
              <w:t>omalizumab 150 mg/mL injection, 1 mL syringe</w:t>
            </w:r>
          </w:p>
        </w:tc>
        <w:tc>
          <w:tcPr>
            <w:tcW w:w="657" w:type="pct"/>
            <w:vAlign w:val="center"/>
          </w:tcPr>
          <w:p w14:paraId="08EE5D00" w14:textId="77777777" w:rsidR="00322832" w:rsidRPr="008E6588" w:rsidRDefault="00322832" w:rsidP="00836DB5">
            <w:pPr>
              <w:keepLines/>
              <w:jc w:val="center"/>
              <w:rPr>
                <w:rFonts w:ascii="Arial Narrow" w:hAnsi="Arial Narrow" w:cs="Arial"/>
                <w:sz w:val="20"/>
                <w:szCs w:val="20"/>
              </w:rPr>
            </w:pPr>
            <w:r w:rsidRPr="008E6588">
              <w:rPr>
                <w:rFonts w:ascii="Arial Narrow" w:hAnsi="Arial Narrow" w:cs="Arial"/>
                <w:sz w:val="20"/>
                <w:szCs w:val="20"/>
              </w:rPr>
              <w:t>11168T/ Public</w:t>
            </w:r>
          </w:p>
        </w:tc>
        <w:tc>
          <w:tcPr>
            <w:tcW w:w="405" w:type="pct"/>
          </w:tcPr>
          <w:p w14:paraId="3B727728" w14:textId="77777777" w:rsidR="00322832" w:rsidRPr="008E6588" w:rsidRDefault="00322832" w:rsidP="00836DB5">
            <w:pPr>
              <w:keepLines/>
              <w:jc w:val="center"/>
              <w:rPr>
                <w:rFonts w:ascii="Arial Narrow" w:hAnsi="Arial Narrow" w:cs="Arial"/>
                <w:sz w:val="20"/>
                <w:szCs w:val="20"/>
              </w:rPr>
            </w:pPr>
            <w:r w:rsidRPr="008E6588">
              <w:rPr>
                <w:rFonts w:ascii="Arial Narrow" w:hAnsi="Arial Narrow" w:cs="Arial"/>
                <w:sz w:val="20"/>
                <w:szCs w:val="20"/>
              </w:rPr>
              <w:t>2</w:t>
            </w:r>
          </w:p>
        </w:tc>
        <w:tc>
          <w:tcPr>
            <w:tcW w:w="405" w:type="pct"/>
          </w:tcPr>
          <w:p w14:paraId="31520F2D" w14:textId="77777777" w:rsidR="00322832" w:rsidRPr="008E6588" w:rsidRDefault="00322832" w:rsidP="00836DB5">
            <w:pPr>
              <w:keepLines/>
              <w:jc w:val="center"/>
              <w:rPr>
                <w:rFonts w:ascii="Arial Narrow" w:hAnsi="Arial Narrow" w:cs="Arial"/>
                <w:sz w:val="20"/>
                <w:szCs w:val="20"/>
              </w:rPr>
            </w:pPr>
            <w:r w:rsidRPr="008E6588">
              <w:rPr>
                <w:rFonts w:ascii="Arial Narrow" w:hAnsi="Arial Narrow" w:cs="Arial"/>
                <w:sz w:val="20"/>
                <w:szCs w:val="20"/>
              </w:rPr>
              <w:t>2</w:t>
            </w:r>
          </w:p>
        </w:tc>
        <w:tc>
          <w:tcPr>
            <w:tcW w:w="405" w:type="pct"/>
          </w:tcPr>
          <w:p w14:paraId="341CFC6D" w14:textId="77777777" w:rsidR="00322832" w:rsidRPr="008E6588" w:rsidRDefault="00322832" w:rsidP="00836DB5">
            <w:pPr>
              <w:keepLines/>
              <w:jc w:val="center"/>
              <w:rPr>
                <w:rFonts w:ascii="Arial Narrow" w:hAnsi="Arial Narrow" w:cs="Arial"/>
                <w:sz w:val="20"/>
                <w:szCs w:val="20"/>
              </w:rPr>
            </w:pPr>
            <w:r w:rsidRPr="008E6588">
              <w:rPr>
                <w:rFonts w:ascii="Arial Narrow" w:hAnsi="Arial Narrow" w:cs="Arial"/>
                <w:sz w:val="20"/>
                <w:szCs w:val="20"/>
              </w:rPr>
              <w:t>5</w:t>
            </w:r>
          </w:p>
        </w:tc>
        <w:tc>
          <w:tcPr>
            <w:tcW w:w="520" w:type="pct"/>
            <w:vMerge w:val="restart"/>
          </w:tcPr>
          <w:p w14:paraId="570CBB96" w14:textId="2243C7B5" w:rsidR="00322832" w:rsidRPr="008E6588" w:rsidRDefault="00322832" w:rsidP="00322832">
            <w:pPr>
              <w:keepLines/>
              <w:jc w:val="center"/>
              <w:rPr>
                <w:rFonts w:ascii="Arial Narrow" w:hAnsi="Arial Narrow" w:cs="Arial"/>
                <w:sz w:val="20"/>
                <w:szCs w:val="20"/>
              </w:rPr>
            </w:pPr>
            <w:proofErr w:type="spellStart"/>
            <w:r w:rsidRPr="008E6588">
              <w:rPr>
                <w:rFonts w:ascii="Arial Narrow" w:hAnsi="Arial Narrow" w:cs="Arial"/>
                <w:sz w:val="20"/>
                <w:szCs w:val="20"/>
                <w:vertAlign w:val="superscript"/>
              </w:rPr>
              <w:t>a</w:t>
            </w:r>
            <w:r w:rsidRPr="008E6588">
              <w:rPr>
                <w:rFonts w:ascii="Arial Narrow" w:hAnsi="Arial Narrow" w:cs="Arial"/>
                <w:sz w:val="20"/>
                <w:szCs w:val="20"/>
              </w:rPr>
              <w:t>Xolair</w:t>
            </w:r>
            <w:proofErr w:type="spellEnd"/>
          </w:p>
        </w:tc>
      </w:tr>
      <w:tr w:rsidR="00322832" w:rsidRPr="008E6588" w14:paraId="631EA032" w14:textId="77777777" w:rsidTr="006A17A2">
        <w:trPr>
          <w:cantSplit/>
          <w:trHeight w:val="20"/>
        </w:trPr>
        <w:tc>
          <w:tcPr>
            <w:tcW w:w="2608" w:type="pct"/>
            <w:gridSpan w:val="4"/>
            <w:vAlign w:val="center"/>
          </w:tcPr>
          <w:p w14:paraId="7A523B97" w14:textId="77777777" w:rsidR="00322832" w:rsidRPr="008E6588" w:rsidRDefault="00322832" w:rsidP="00836DB5">
            <w:pPr>
              <w:keepLines/>
              <w:rPr>
                <w:rFonts w:ascii="Arial Narrow" w:hAnsi="Arial Narrow" w:cs="Arial"/>
                <w:sz w:val="20"/>
                <w:szCs w:val="20"/>
              </w:rPr>
            </w:pPr>
            <w:r w:rsidRPr="008E6588">
              <w:rPr>
                <w:rFonts w:ascii="Arial Narrow" w:hAnsi="Arial Narrow" w:cs="Arial"/>
                <w:sz w:val="20"/>
                <w:szCs w:val="20"/>
              </w:rPr>
              <w:t>omalizumab 150 mg/mL injection, 1 mL syringe</w:t>
            </w:r>
          </w:p>
        </w:tc>
        <w:tc>
          <w:tcPr>
            <w:tcW w:w="657" w:type="pct"/>
            <w:vAlign w:val="center"/>
          </w:tcPr>
          <w:p w14:paraId="3FC50532" w14:textId="77777777" w:rsidR="00322832" w:rsidRPr="008E6588" w:rsidRDefault="00322832" w:rsidP="00836DB5">
            <w:pPr>
              <w:keepLines/>
              <w:jc w:val="center"/>
              <w:rPr>
                <w:rFonts w:ascii="Arial Narrow" w:hAnsi="Arial Narrow" w:cs="Arial"/>
                <w:sz w:val="20"/>
                <w:szCs w:val="20"/>
              </w:rPr>
            </w:pPr>
            <w:r w:rsidRPr="008E6588">
              <w:rPr>
                <w:rFonts w:ascii="Arial Narrow" w:hAnsi="Arial Narrow" w:cs="Arial"/>
                <w:sz w:val="20"/>
                <w:szCs w:val="20"/>
              </w:rPr>
              <w:t>11163M/ Private</w:t>
            </w:r>
          </w:p>
        </w:tc>
        <w:tc>
          <w:tcPr>
            <w:tcW w:w="405" w:type="pct"/>
          </w:tcPr>
          <w:p w14:paraId="04651407" w14:textId="77777777" w:rsidR="00322832" w:rsidRPr="008E6588" w:rsidRDefault="00322832" w:rsidP="00836DB5">
            <w:pPr>
              <w:keepLines/>
              <w:jc w:val="center"/>
              <w:rPr>
                <w:rFonts w:ascii="Arial Narrow" w:hAnsi="Arial Narrow" w:cs="Arial"/>
                <w:sz w:val="20"/>
                <w:szCs w:val="20"/>
              </w:rPr>
            </w:pPr>
            <w:r w:rsidRPr="008E6588">
              <w:rPr>
                <w:rFonts w:ascii="Arial Narrow" w:hAnsi="Arial Narrow" w:cs="Arial"/>
                <w:sz w:val="20"/>
                <w:szCs w:val="20"/>
              </w:rPr>
              <w:t>2</w:t>
            </w:r>
          </w:p>
        </w:tc>
        <w:tc>
          <w:tcPr>
            <w:tcW w:w="405" w:type="pct"/>
          </w:tcPr>
          <w:p w14:paraId="34BE013F" w14:textId="77777777" w:rsidR="00322832" w:rsidRPr="008E6588" w:rsidRDefault="00322832" w:rsidP="00836DB5">
            <w:pPr>
              <w:keepLines/>
              <w:jc w:val="center"/>
              <w:rPr>
                <w:rFonts w:ascii="Arial Narrow" w:hAnsi="Arial Narrow" w:cs="Arial"/>
                <w:sz w:val="20"/>
                <w:szCs w:val="20"/>
              </w:rPr>
            </w:pPr>
            <w:r w:rsidRPr="008E6588">
              <w:rPr>
                <w:rFonts w:ascii="Arial Narrow" w:hAnsi="Arial Narrow" w:cs="Arial"/>
                <w:sz w:val="20"/>
                <w:szCs w:val="20"/>
              </w:rPr>
              <w:t>2</w:t>
            </w:r>
          </w:p>
        </w:tc>
        <w:tc>
          <w:tcPr>
            <w:tcW w:w="405" w:type="pct"/>
          </w:tcPr>
          <w:p w14:paraId="7842AA45" w14:textId="77777777" w:rsidR="00322832" w:rsidRPr="008E6588" w:rsidRDefault="00322832" w:rsidP="00836DB5">
            <w:pPr>
              <w:keepLines/>
              <w:jc w:val="center"/>
              <w:rPr>
                <w:rFonts w:ascii="Arial Narrow" w:hAnsi="Arial Narrow" w:cs="Arial"/>
                <w:sz w:val="20"/>
                <w:szCs w:val="20"/>
              </w:rPr>
            </w:pPr>
            <w:r w:rsidRPr="008E6588">
              <w:rPr>
                <w:rFonts w:ascii="Arial Narrow" w:hAnsi="Arial Narrow" w:cs="Arial"/>
                <w:sz w:val="20"/>
                <w:szCs w:val="20"/>
              </w:rPr>
              <w:t>5</w:t>
            </w:r>
          </w:p>
        </w:tc>
        <w:tc>
          <w:tcPr>
            <w:tcW w:w="520" w:type="pct"/>
            <w:vMerge/>
            <w:vAlign w:val="center"/>
          </w:tcPr>
          <w:p w14:paraId="308B17D9" w14:textId="77777777" w:rsidR="00322832" w:rsidRPr="008E6588" w:rsidRDefault="00322832" w:rsidP="00836DB5">
            <w:pPr>
              <w:keepLines/>
              <w:rPr>
                <w:rFonts w:ascii="Arial Narrow" w:hAnsi="Arial Narrow" w:cs="Arial"/>
                <w:sz w:val="20"/>
                <w:szCs w:val="20"/>
              </w:rPr>
            </w:pPr>
          </w:p>
        </w:tc>
      </w:tr>
      <w:tr w:rsidR="00322832" w:rsidRPr="008E6588" w14:paraId="16363C8E" w14:textId="77777777" w:rsidTr="006A17A2">
        <w:trPr>
          <w:cantSplit/>
          <w:trHeight w:val="20"/>
        </w:trPr>
        <w:tc>
          <w:tcPr>
            <w:tcW w:w="2608" w:type="pct"/>
            <w:gridSpan w:val="4"/>
            <w:vAlign w:val="center"/>
          </w:tcPr>
          <w:p w14:paraId="28F47921" w14:textId="77777777" w:rsidR="00322832" w:rsidRPr="008E6588" w:rsidRDefault="00322832" w:rsidP="00836DB5">
            <w:pPr>
              <w:keepLines/>
              <w:rPr>
                <w:rFonts w:ascii="Arial Narrow" w:hAnsi="Arial Narrow" w:cs="Arial"/>
                <w:sz w:val="20"/>
                <w:szCs w:val="20"/>
              </w:rPr>
            </w:pPr>
            <w:r w:rsidRPr="008E6588">
              <w:rPr>
                <w:rFonts w:ascii="Arial Narrow" w:hAnsi="Arial Narrow" w:cs="Arial"/>
                <w:sz w:val="20"/>
                <w:szCs w:val="20"/>
              </w:rPr>
              <w:t>omalizumab 150 mg/mL injection, 1 mL pen device</w:t>
            </w:r>
          </w:p>
        </w:tc>
        <w:tc>
          <w:tcPr>
            <w:tcW w:w="657" w:type="pct"/>
            <w:vAlign w:val="center"/>
          </w:tcPr>
          <w:p w14:paraId="45D7AE18" w14:textId="77777777" w:rsidR="00322832" w:rsidRPr="008E6588" w:rsidRDefault="00322832" w:rsidP="00836DB5">
            <w:pPr>
              <w:keepLines/>
              <w:jc w:val="center"/>
              <w:rPr>
                <w:rFonts w:ascii="Arial Narrow" w:hAnsi="Arial Narrow" w:cs="Arial"/>
                <w:iCs/>
                <w:sz w:val="20"/>
                <w:szCs w:val="20"/>
              </w:rPr>
            </w:pPr>
            <w:r w:rsidRPr="008E6588">
              <w:rPr>
                <w:rFonts w:ascii="Arial Narrow" w:hAnsi="Arial Narrow" w:cs="Arial"/>
                <w:iCs/>
                <w:sz w:val="20"/>
                <w:szCs w:val="20"/>
              </w:rPr>
              <w:t>NEW</w:t>
            </w:r>
          </w:p>
        </w:tc>
        <w:tc>
          <w:tcPr>
            <w:tcW w:w="405" w:type="pct"/>
          </w:tcPr>
          <w:p w14:paraId="7E3EB704" w14:textId="77777777" w:rsidR="00322832" w:rsidRPr="008E6588" w:rsidRDefault="00322832" w:rsidP="00836DB5">
            <w:pPr>
              <w:keepLines/>
              <w:jc w:val="center"/>
              <w:rPr>
                <w:rFonts w:ascii="Arial Narrow" w:hAnsi="Arial Narrow" w:cs="Arial"/>
                <w:sz w:val="20"/>
                <w:szCs w:val="20"/>
              </w:rPr>
            </w:pPr>
            <w:r w:rsidRPr="008E6588">
              <w:rPr>
                <w:rFonts w:ascii="Arial Narrow" w:hAnsi="Arial Narrow" w:cs="Arial"/>
                <w:sz w:val="20"/>
                <w:szCs w:val="20"/>
              </w:rPr>
              <w:t>2</w:t>
            </w:r>
          </w:p>
        </w:tc>
        <w:tc>
          <w:tcPr>
            <w:tcW w:w="405" w:type="pct"/>
          </w:tcPr>
          <w:p w14:paraId="47000EA9" w14:textId="77777777" w:rsidR="00322832" w:rsidRPr="008E6588" w:rsidRDefault="00322832" w:rsidP="00836DB5">
            <w:pPr>
              <w:keepLines/>
              <w:jc w:val="center"/>
              <w:rPr>
                <w:rFonts w:ascii="Arial Narrow" w:hAnsi="Arial Narrow" w:cs="Arial"/>
                <w:sz w:val="20"/>
                <w:szCs w:val="20"/>
              </w:rPr>
            </w:pPr>
            <w:r w:rsidRPr="008E6588">
              <w:rPr>
                <w:rFonts w:ascii="Arial Narrow" w:hAnsi="Arial Narrow" w:cs="Arial"/>
                <w:sz w:val="20"/>
                <w:szCs w:val="20"/>
              </w:rPr>
              <w:t>2</w:t>
            </w:r>
          </w:p>
        </w:tc>
        <w:tc>
          <w:tcPr>
            <w:tcW w:w="405" w:type="pct"/>
          </w:tcPr>
          <w:p w14:paraId="683F4D1F" w14:textId="77777777" w:rsidR="00322832" w:rsidRPr="008E6588" w:rsidRDefault="00322832" w:rsidP="00836DB5">
            <w:pPr>
              <w:keepLines/>
              <w:jc w:val="center"/>
              <w:rPr>
                <w:rFonts w:ascii="Arial Narrow" w:hAnsi="Arial Narrow" w:cs="Arial"/>
                <w:sz w:val="20"/>
                <w:szCs w:val="20"/>
              </w:rPr>
            </w:pPr>
            <w:r w:rsidRPr="008E6588">
              <w:rPr>
                <w:rFonts w:ascii="Arial Narrow" w:hAnsi="Arial Narrow" w:cs="Arial"/>
                <w:sz w:val="20"/>
                <w:szCs w:val="20"/>
              </w:rPr>
              <w:t>5</w:t>
            </w:r>
          </w:p>
        </w:tc>
        <w:tc>
          <w:tcPr>
            <w:tcW w:w="520" w:type="pct"/>
            <w:vMerge/>
            <w:vAlign w:val="center"/>
          </w:tcPr>
          <w:p w14:paraId="5F7E9565" w14:textId="77777777" w:rsidR="00322832" w:rsidRPr="008E6588" w:rsidRDefault="00322832" w:rsidP="00836DB5">
            <w:pPr>
              <w:keepLines/>
              <w:rPr>
                <w:rFonts w:ascii="Arial Narrow" w:hAnsi="Arial Narrow" w:cs="Arial"/>
                <w:sz w:val="20"/>
                <w:szCs w:val="20"/>
              </w:rPr>
            </w:pPr>
          </w:p>
        </w:tc>
      </w:tr>
      <w:tr w:rsidR="00322832" w:rsidRPr="008E6588" w14:paraId="4ED737BA" w14:textId="77777777" w:rsidTr="006A17A2">
        <w:trPr>
          <w:cantSplit/>
          <w:trHeight w:val="20"/>
        </w:trPr>
        <w:tc>
          <w:tcPr>
            <w:tcW w:w="2608" w:type="pct"/>
            <w:gridSpan w:val="4"/>
            <w:vAlign w:val="center"/>
          </w:tcPr>
          <w:p w14:paraId="39BDC68A" w14:textId="77777777" w:rsidR="00322832" w:rsidRPr="008E6588" w:rsidRDefault="00322832" w:rsidP="00836DB5">
            <w:pPr>
              <w:keepLines/>
              <w:rPr>
                <w:rFonts w:ascii="Arial Narrow" w:hAnsi="Arial Narrow" w:cs="Arial"/>
                <w:sz w:val="20"/>
                <w:szCs w:val="20"/>
              </w:rPr>
            </w:pPr>
            <w:r w:rsidRPr="008E6588">
              <w:rPr>
                <w:rFonts w:ascii="Arial Narrow" w:hAnsi="Arial Narrow" w:cs="Arial"/>
                <w:sz w:val="20"/>
                <w:szCs w:val="20"/>
              </w:rPr>
              <w:t>omalizumab 150 mg/mL injection, 1 mL pen device</w:t>
            </w:r>
          </w:p>
        </w:tc>
        <w:tc>
          <w:tcPr>
            <w:tcW w:w="657" w:type="pct"/>
            <w:vAlign w:val="center"/>
          </w:tcPr>
          <w:p w14:paraId="40766364" w14:textId="77777777" w:rsidR="00322832" w:rsidRPr="008E6588" w:rsidRDefault="00322832" w:rsidP="00836DB5">
            <w:pPr>
              <w:keepLines/>
              <w:jc w:val="center"/>
              <w:rPr>
                <w:rFonts w:ascii="Arial Narrow" w:hAnsi="Arial Narrow" w:cs="Arial"/>
                <w:iCs/>
                <w:sz w:val="20"/>
                <w:szCs w:val="20"/>
              </w:rPr>
            </w:pPr>
            <w:r w:rsidRPr="008E6588">
              <w:rPr>
                <w:rFonts w:ascii="Arial Narrow" w:hAnsi="Arial Narrow" w:cs="Arial"/>
                <w:iCs/>
                <w:sz w:val="20"/>
                <w:szCs w:val="20"/>
              </w:rPr>
              <w:t>NEW</w:t>
            </w:r>
          </w:p>
        </w:tc>
        <w:tc>
          <w:tcPr>
            <w:tcW w:w="405" w:type="pct"/>
          </w:tcPr>
          <w:p w14:paraId="18CFC334" w14:textId="77777777" w:rsidR="00322832" w:rsidRPr="008E6588" w:rsidRDefault="00322832" w:rsidP="00836DB5">
            <w:pPr>
              <w:keepLines/>
              <w:jc w:val="center"/>
              <w:rPr>
                <w:rFonts w:ascii="Arial Narrow" w:hAnsi="Arial Narrow" w:cs="Arial"/>
                <w:sz w:val="20"/>
                <w:szCs w:val="20"/>
              </w:rPr>
            </w:pPr>
            <w:r w:rsidRPr="008E6588">
              <w:rPr>
                <w:rFonts w:ascii="Arial Narrow" w:hAnsi="Arial Narrow" w:cs="Arial"/>
                <w:sz w:val="20"/>
                <w:szCs w:val="20"/>
              </w:rPr>
              <w:t>2</w:t>
            </w:r>
          </w:p>
        </w:tc>
        <w:tc>
          <w:tcPr>
            <w:tcW w:w="405" w:type="pct"/>
          </w:tcPr>
          <w:p w14:paraId="75806D7E" w14:textId="77777777" w:rsidR="00322832" w:rsidRPr="008E6588" w:rsidRDefault="00322832" w:rsidP="00836DB5">
            <w:pPr>
              <w:keepLines/>
              <w:jc w:val="center"/>
              <w:rPr>
                <w:rFonts w:ascii="Arial Narrow" w:hAnsi="Arial Narrow" w:cs="Arial"/>
                <w:sz w:val="20"/>
                <w:szCs w:val="20"/>
              </w:rPr>
            </w:pPr>
            <w:r w:rsidRPr="008E6588">
              <w:rPr>
                <w:rFonts w:ascii="Arial Narrow" w:hAnsi="Arial Narrow" w:cs="Arial"/>
                <w:sz w:val="20"/>
                <w:szCs w:val="20"/>
              </w:rPr>
              <w:t>2</w:t>
            </w:r>
          </w:p>
        </w:tc>
        <w:tc>
          <w:tcPr>
            <w:tcW w:w="405" w:type="pct"/>
          </w:tcPr>
          <w:p w14:paraId="5AF55F2D" w14:textId="77777777" w:rsidR="00322832" w:rsidRPr="008E6588" w:rsidRDefault="00322832" w:rsidP="00836DB5">
            <w:pPr>
              <w:keepLines/>
              <w:jc w:val="center"/>
              <w:rPr>
                <w:rFonts w:ascii="Arial Narrow" w:hAnsi="Arial Narrow" w:cs="Arial"/>
                <w:sz w:val="20"/>
                <w:szCs w:val="20"/>
              </w:rPr>
            </w:pPr>
            <w:r w:rsidRPr="008E6588">
              <w:rPr>
                <w:rFonts w:ascii="Arial Narrow" w:hAnsi="Arial Narrow" w:cs="Arial"/>
                <w:sz w:val="20"/>
                <w:szCs w:val="20"/>
              </w:rPr>
              <w:t>5</w:t>
            </w:r>
          </w:p>
        </w:tc>
        <w:tc>
          <w:tcPr>
            <w:tcW w:w="520" w:type="pct"/>
            <w:vMerge/>
            <w:vAlign w:val="center"/>
          </w:tcPr>
          <w:p w14:paraId="12512A7A" w14:textId="77777777" w:rsidR="00322832" w:rsidRPr="008E6588" w:rsidRDefault="00322832" w:rsidP="00836DB5">
            <w:pPr>
              <w:keepLines/>
              <w:rPr>
                <w:rFonts w:ascii="Arial Narrow" w:hAnsi="Arial Narrow" w:cs="Arial"/>
                <w:sz w:val="20"/>
                <w:szCs w:val="20"/>
              </w:rPr>
            </w:pPr>
          </w:p>
        </w:tc>
      </w:tr>
      <w:tr w:rsidR="00322832" w:rsidRPr="008E6588" w14:paraId="24F5F8ED" w14:textId="77777777" w:rsidTr="00322832">
        <w:trPr>
          <w:cantSplit/>
          <w:trHeight w:val="20"/>
        </w:trPr>
        <w:tc>
          <w:tcPr>
            <w:tcW w:w="5000" w:type="pct"/>
            <w:gridSpan w:val="9"/>
            <w:vAlign w:val="center"/>
          </w:tcPr>
          <w:p w14:paraId="2AAC0985" w14:textId="77777777" w:rsidR="00322832" w:rsidRPr="008E6588" w:rsidRDefault="00322832" w:rsidP="00836DB5">
            <w:pPr>
              <w:keepLines/>
              <w:rPr>
                <w:rFonts w:ascii="Arial Narrow" w:hAnsi="Arial Narrow" w:cs="Arial"/>
                <w:sz w:val="20"/>
                <w:szCs w:val="20"/>
              </w:rPr>
            </w:pPr>
          </w:p>
        </w:tc>
      </w:tr>
      <w:tr w:rsidR="00F7611C" w:rsidRPr="008E6588" w14:paraId="1B9CB696" w14:textId="77777777" w:rsidTr="006A17A2">
        <w:tblPrEx>
          <w:tblCellMar>
            <w:top w:w="15" w:type="dxa"/>
            <w:bottom w:w="15" w:type="dxa"/>
          </w:tblCellMar>
          <w:tblLook w:val="04A0" w:firstRow="1" w:lastRow="0" w:firstColumn="1" w:lastColumn="0" w:noHBand="0" w:noVBand="1"/>
        </w:tblPrEx>
        <w:trPr>
          <w:trHeight w:val="20"/>
        </w:trPr>
        <w:tc>
          <w:tcPr>
            <w:tcW w:w="731" w:type="pct"/>
            <w:gridSpan w:val="3"/>
            <w:vMerge w:val="restart"/>
            <w:tcBorders>
              <w:top w:val="single" w:sz="4" w:space="0" w:color="auto"/>
              <w:left w:val="single" w:sz="4" w:space="0" w:color="auto"/>
              <w:right w:val="single" w:sz="4" w:space="0" w:color="auto"/>
            </w:tcBorders>
          </w:tcPr>
          <w:p w14:paraId="0CA3D8EC" w14:textId="77777777" w:rsidR="006611FE" w:rsidRPr="008E6588" w:rsidRDefault="006611FE" w:rsidP="00836DB5">
            <w:pPr>
              <w:jc w:val="center"/>
              <w:rPr>
                <w:rFonts w:ascii="Arial Narrow" w:hAnsi="Arial Narrow" w:cs="Arial"/>
                <w:b/>
                <w:sz w:val="20"/>
                <w:szCs w:val="20"/>
              </w:rPr>
            </w:pPr>
            <w:r w:rsidRPr="008E6588">
              <w:rPr>
                <w:rFonts w:ascii="Arial Narrow" w:hAnsi="Arial Narrow" w:cs="Arial"/>
                <w:b/>
                <w:sz w:val="20"/>
                <w:szCs w:val="20"/>
              </w:rPr>
              <w:t xml:space="preserve">Concept ID </w:t>
            </w:r>
          </w:p>
          <w:p w14:paraId="04C58385" w14:textId="77777777" w:rsidR="006611FE" w:rsidRPr="008E6588" w:rsidRDefault="006611FE" w:rsidP="00836DB5">
            <w:pPr>
              <w:jc w:val="center"/>
              <w:rPr>
                <w:rFonts w:ascii="Arial Narrow" w:hAnsi="Arial Narrow" w:cs="Arial"/>
                <w:b/>
                <w:sz w:val="20"/>
                <w:szCs w:val="20"/>
              </w:rPr>
            </w:pPr>
            <w:r w:rsidRPr="008E6588">
              <w:rPr>
                <w:rFonts w:ascii="Arial Narrow" w:hAnsi="Arial Narrow" w:cs="Arial"/>
                <w:sz w:val="20"/>
                <w:szCs w:val="20"/>
              </w:rPr>
              <w:t>(for internal Dept. use)</w:t>
            </w:r>
          </w:p>
        </w:tc>
        <w:tc>
          <w:tcPr>
            <w:tcW w:w="4269" w:type="pct"/>
            <w:gridSpan w:val="6"/>
            <w:tcBorders>
              <w:top w:val="single" w:sz="4" w:space="0" w:color="auto"/>
              <w:left w:val="single" w:sz="4" w:space="0" w:color="auto"/>
              <w:bottom w:val="single" w:sz="4" w:space="0" w:color="auto"/>
              <w:right w:val="single" w:sz="4" w:space="0" w:color="auto"/>
            </w:tcBorders>
            <w:vAlign w:val="center"/>
          </w:tcPr>
          <w:p w14:paraId="2853381F" w14:textId="77777777" w:rsidR="006611FE" w:rsidRPr="008E6588" w:rsidRDefault="006611FE" w:rsidP="00836DB5">
            <w:pPr>
              <w:keepLines/>
              <w:rPr>
                <w:rFonts w:ascii="Arial Narrow" w:hAnsi="Arial Narrow" w:cs="Arial"/>
                <w:sz w:val="20"/>
                <w:szCs w:val="20"/>
              </w:rPr>
            </w:pPr>
            <w:r w:rsidRPr="008E6588">
              <w:rPr>
                <w:rFonts w:ascii="Arial Narrow" w:hAnsi="Arial Narrow" w:cs="Arial"/>
                <w:b/>
                <w:sz w:val="20"/>
                <w:szCs w:val="20"/>
              </w:rPr>
              <w:t>Category / Program:</w:t>
            </w:r>
            <w:r w:rsidRPr="008E6588">
              <w:rPr>
                <w:rFonts w:ascii="Arial Narrow" w:hAnsi="Arial Narrow" w:cs="Arial"/>
                <w:sz w:val="20"/>
                <w:szCs w:val="20"/>
              </w:rPr>
              <w:t xml:space="preserve"> </w:t>
            </w:r>
            <w:r w:rsidRPr="008E6588">
              <w:rPr>
                <w:rFonts w:ascii="Arial Narrow" w:eastAsia="Calibri" w:hAnsi="Arial Narrow" w:cs="Arial"/>
                <w:sz w:val="20"/>
                <w:szCs w:val="20"/>
              </w:rPr>
              <w:t>Section 100 – Highly Specialised Drugs Program – Public (Code HB)</w:t>
            </w:r>
            <w:r w:rsidRPr="008E6588">
              <w:rPr>
                <w:rFonts w:ascii="Arial Narrow" w:eastAsia="Calibri" w:hAnsi="Arial Narrow" w:cs="Arial"/>
                <w:color w:val="FF0000"/>
                <w:sz w:val="20"/>
                <w:szCs w:val="20"/>
              </w:rPr>
              <w:t xml:space="preserve"> </w:t>
            </w:r>
            <w:r w:rsidRPr="008E6588">
              <w:rPr>
                <w:rFonts w:ascii="Arial Narrow" w:eastAsia="Calibri" w:hAnsi="Arial Narrow" w:cs="Arial"/>
                <w:sz w:val="20"/>
                <w:szCs w:val="20"/>
              </w:rPr>
              <w:t>/ Private (Code HS)</w:t>
            </w:r>
          </w:p>
        </w:tc>
      </w:tr>
      <w:tr w:rsidR="00F7611C" w:rsidRPr="008E6588" w14:paraId="5357C71B" w14:textId="77777777">
        <w:tblPrEx>
          <w:tblCellMar>
            <w:top w:w="15" w:type="dxa"/>
            <w:bottom w:w="15" w:type="dxa"/>
          </w:tblCellMar>
          <w:tblLook w:val="04A0" w:firstRow="1" w:lastRow="0" w:firstColumn="1" w:lastColumn="0" w:noHBand="0" w:noVBand="1"/>
        </w:tblPrEx>
        <w:trPr>
          <w:trHeight w:val="20"/>
        </w:trPr>
        <w:tc>
          <w:tcPr>
            <w:tcW w:w="731" w:type="pct"/>
            <w:gridSpan w:val="3"/>
            <w:vMerge/>
            <w:tcBorders>
              <w:left w:val="single" w:sz="4" w:space="0" w:color="auto"/>
              <w:right w:val="single" w:sz="4" w:space="0" w:color="auto"/>
            </w:tcBorders>
          </w:tcPr>
          <w:p w14:paraId="66154A3E" w14:textId="77777777" w:rsidR="006611FE" w:rsidRPr="008E6588" w:rsidRDefault="006611FE" w:rsidP="00836DB5">
            <w:pPr>
              <w:rPr>
                <w:rFonts w:ascii="Arial Narrow" w:hAnsi="Arial Narrow" w:cs="Arial"/>
                <w:sz w:val="20"/>
                <w:szCs w:val="20"/>
              </w:rPr>
            </w:pPr>
          </w:p>
        </w:tc>
        <w:tc>
          <w:tcPr>
            <w:tcW w:w="4269" w:type="pct"/>
            <w:gridSpan w:val="6"/>
            <w:tcBorders>
              <w:top w:val="single" w:sz="4" w:space="0" w:color="auto"/>
              <w:left w:val="single" w:sz="4" w:space="0" w:color="auto"/>
              <w:bottom w:val="single" w:sz="4" w:space="0" w:color="auto"/>
              <w:right w:val="single" w:sz="4" w:space="0" w:color="auto"/>
            </w:tcBorders>
            <w:vAlign w:val="center"/>
          </w:tcPr>
          <w:p w14:paraId="59CE1DBD" w14:textId="77777777" w:rsidR="006611FE" w:rsidRPr="008E6588" w:rsidRDefault="006611FE" w:rsidP="00836DB5">
            <w:pPr>
              <w:keepLines/>
              <w:rPr>
                <w:rFonts w:ascii="Arial Narrow" w:hAnsi="Arial Narrow" w:cs="Arial"/>
                <w:b/>
                <w:sz w:val="20"/>
                <w:szCs w:val="20"/>
              </w:rPr>
            </w:pPr>
            <w:r w:rsidRPr="008E6588">
              <w:rPr>
                <w:rFonts w:ascii="Arial Narrow" w:hAnsi="Arial Narrow" w:cs="Arial"/>
                <w:b/>
                <w:sz w:val="20"/>
                <w:szCs w:val="20"/>
              </w:rPr>
              <w:t xml:space="preserve">Prescriber type: </w:t>
            </w:r>
            <w:r w:rsidRPr="008E6588">
              <w:rPr>
                <w:rFonts w:ascii="Arial Narrow" w:hAnsi="Arial Narrow" w:cs="Arial"/>
                <w:sz w:val="20"/>
                <w:szCs w:val="20"/>
              </w:rPr>
              <w:fldChar w:fldCharType="begin" w:fldLock="1">
                <w:ffData>
                  <w:name w:val=""/>
                  <w:enabled/>
                  <w:calcOnExit w:val="0"/>
                  <w:checkBox>
                    <w:sizeAuto/>
                    <w:default w:val="1"/>
                  </w:checkBox>
                </w:ffData>
              </w:fldChar>
            </w:r>
            <w:r w:rsidRPr="008E6588">
              <w:rPr>
                <w:rFonts w:ascii="Arial Narrow" w:hAnsi="Arial Narrow" w:cs="Arial"/>
                <w:sz w:val="20"/>
                <w:szCs w:val="20"/>
              </w:rPr>
              <w:instrText xml:space="preserve"> FORMCHECKBOX </w:instrText>
            </w:r>
            <w:r w:rsidRPr="008E6588">
              <w:rPr>
                <w:rFonts w:ascii="Arial Narrow" w:hAnsi="Arial Narrow" w:cs="Arial"/>
                <w:sz w:val="20"/>
                <w:szCs w:val="20"/>
              </w:rPr>
            </w:r>
            <w:r w:rsidRPr="008E6588">
              <w:rPr>
                <w:rFonts w:ascii="Arial Narrow" w:hAnsi="Arial Narrow" w:cs="Arial"/>
                <w:sz w:val="20"/>
                <w:szCs w:val="20"/>
              </w:rPr>
              <w:fldChar w:fldCharType="separate"/>
            </w:r>
            <w:r w:rsidRPr="008E6588">
              <w:rPr>
                <w:rFonts w:ascii="Arial Narrow" w:hAnsi="Arial Narrow" w:cs="Arial"/>
                <w:sz w:val="20"/>
                <w:szCs w:val="20"/>
              </w:rPr>
              <w:fldChar w:fldCharType="end"/>
            </w:r>
            <w:r w:rsidRPr="008E6588">
              <w:rPr>
                <w:rFonts w:ascii="Arial Narrow" w:hAnsi="Arial Narrow" w:cs="Arial"/>
                <w:sz w:val="20"/>
                <w:szCs w:val="20"/>
              </w:rPr>
              <w:t xml:space="preserve">Medical Practitioners </w:t>
            </w:r>
          </w:p>
        </w:tc>
      </w:tr>
      <w:tr w:rsidR="00F7611C" w:rsidRPr="008E6588" w14:paraId="1C3D66C1" w14:textId="77777777">
        <w:tblPrEx>
          <w:tblCellMar>
            <w:top w:w="15" w:type="dxa"/>
            <w:bottom w:w="15" w:type="dxa"/>
          </w:tblCellMar>
          <w:tblLook w:val="04A0" w:firstRow="1" w:lastRow="0" w:firstColumn="1" w:lastColumn="0" w:noHBand="0" w:noVBand="1"/>
        </w:tblPrEx>
        <w:trPr>
          <w:trHeight w:val="20"/>
        </w:trPr>
        <w:tc>
          <w:tcPr>
            <w:tcW w:w="731" w:type="pct"/>
            <w:gridSpan w:val="3"/>
            <w:vMerge/>
            <w:tcBorders>
              <w:left w:val="single" w:sz="4" w:space="0" w:color="auto"/>
              <w:right w:val="single" w:sz="4" w:space="0" w:color="auto"/>
            </w:tcBorders>
          </w:tcPr>
          <w:p w14:paraId="697E42C7" w14:textId="77777777" w:rsidR="006611FE" w:rsidRPr="008E6588" w:rsidRDefault="006611FE" w:rsidP="00836DB5">
            <w:pPr>
              <w:rPr>
                <w:rFonts w:ascii="Arial Narrow" w:hAnsi="Arial Narrow" w:cs="Arial"/>
                <w:sz w:val="20"/>
                <w:szCs w:val="20"/>
              </w:rPr>
            </w:pPr>
          </w:p>
        </w:tc>
        <w:tc>
          <w:tcPr>
            <w:tcW w:w="4269" w:type="pct"/>
            <w:gridSpan w:val="6"/>
            <w:tcBorders>
              <w:top w:val="single" w:sz="4" w:space="0" w:color="auto"/>
              <w:left w:val="single" w:sz="4" w:space="0" w:color="auto"/>
              <w:bottom w:val="single" w:sz="4" w:space="0" w:color="auto"/>
              <w:right w:val="single" w:sz="4" w:space="0" w:color="auto"/>
            </w:tcBorders>
            <w:vAlign w:val="center"/>
          </w:tcPr>
          <w:p w14:paraId="2BD4C2AE" w14:textId="416979DA" w:rsidR="006611FE" w:rsidRPr="008E6588" w:rsidRDefault="006611FE" w:rsidP="00836DB5">
            <w:pPr>
              <w:keepLines/>
              <w:rPr>
                <w:rFonts w:ascii="Arial Narrow" w:eastAsia="Calibri" w:hAnsi="Arial Narrow" w:cs="Arial"/>
                <w:color w:val="FF0000"/>
                <w:sz w:val="20"/>
                <w:szCs w:val="20"/>
              </w:rPr>
            </w:pPr>
            <w:r w:rsidRPr="008E6588">
              <w:rPr>
                <w:rFonts w:ascii="Arial Narrow" w:hAnsi="Arial Narrow" w:cs="Arial"/>
                <w:b/>
                <w:sz w:val="20"/>
                <w:szCs w:val="20"/>
              </w:rPr>
              <w:t xml:space="preserve">Restriction type: </w:t>
            </w:r>
            <w:r w:rsidRPr="008E6588">
              <w:rPr>
                <w:rFonts w:ascii="Arial Narrow" w:eastAsia="Calibri" w:hAnsi="Arial Narrow" w:cs="Arial"/>
                <w:sz w:val="20"/>
                <w:szCs w:val="20"/>
              </w:rPr>
              <w:fldChar w:fldCharType="begin" w:fldLock="1">
                <w:ffData>
                  <w:name w:val=""/>
                  <w:enabled/>
                  <w:calcOnExit w:val="0"/>
                  <w:checkBox>
                    <w:sizeAuto/>
                    <w:default w:val="1"/>
                  </w:checkBox>
                </w:ffData>
              </w:fldChar>
            </w:r>
            <w:r w:rsidRPr="008E6588">
              <w:rPr>
                <w:rFonts w:ascii="Arial Narrow" w:eastAsia="Calibri" w:hAnsi="Arial Narrow" w:cs="Arial"/>
                <w:sz w:val="20"/>
                <w:szCs w:val="20"/>
              </w:rPr>
              <w:instrText xml:space="preserve"> FORMCHECKBOX </w:instrText>
            </w:r>
            <w:r w:rsidRPr="008E6588">
              <w:rPr>
                <w:rFonts w:ascii="Arial Narrow" w:eastAsia="Calibri" w:hAnsi="Arial Narrow" w:cs="Arial"/>
                <w:sz w:val="20"/>
                <w:szCs w:val="20"/>
              </w:rPr>
            </w:r>
            <w:r w:rsidRPr="008E6588">
              <w:rPr>
                <w:rFonts w:ascii="Arial Narrow" w:eastAsia="Calibri" w:hAnsi="Arial Narrow" w:cs="Arial"/>
                <w:sz w:val="20"/>
                <w:szCs w:val="20"/>
              </w:rPr>
              <w:fldChar w:fldCharType="separate"/>
            </w:r>
            <w:r w:rsidRPr="008E6588">
              <w:rPr>
                <w:rFonts w:ascii="Arial Narrow" w:eastAsia="Calibri" w:hAnsi="Arial Narrow" w:cs="Arial"/>
                <w:sz w:val="20"/>
                <w:szCs w:val="20"/>
              </w:rPr>
              <w:fldChar w:fldCharType="end"/>
            </w:r>
            <w:r w:rsidR="00F7611C" w:rsidRPr="008E6588">
              <w:rPr>
                <w:rFonts w:ascii="Arial Narrow" w:eastAsia="Calibri" w:hAnsi="Arial Narrow" w:cs="Arial"/>
                <w:sz w:val="20"/>
                <w:szCs w:val="20"/>
              </w:rPr>
              <w:t xml:space="preserve"> Authority Required (telephone/online PBS Authorities system)</w:t>
            </w:r>
          </w:p>
        </w:tc>
      </w:tr>
      <w:tr w:rsidR="00A32CF4" w:rsidRPr="008E6588" w14:paraId="57EACC77" w14:textId="77777777">
        <w:tblPrEx>
          <w:tblCellMar>
            <w:top w:w="15" w:type="dxa"/>
            <w:bottom w:w="15" w:type="dxa"/>
          </w:tblCellMar>
          <w:tblLook w:val="04A0" w:firstRow="1" w:lastRow="0" w:firstColumn="1" w:lastColumn="0" w:noHBand="0" w:noVBand="1"/>
        </w:tblPrEx>
        <w:trPr>
          <w:trHeight w:val="20"/>
        </w:trPr>
        <w:tc>
          <w:tcPr>
            <w:tcW w:w="731" w:type="pct"/>
            <w:gridSpan w:val="3"/>
            <w:vMerge/>
            <w:tcBorders>
              <w:left w:val="single" w:sz="4" w:space="0" w:color="auto"/>
              <w:right w:val="single" w:sz="4" w:space="0" w:color="auto"/>
            </w:tcBorders>
          </w:tcPr>
          <w:p w14:paraId="411435B0" w14:textId="77777777" w:rsidR="00A32CF4" w:rsidRPr="008E6588" w:rsidRDefault="00A32CF4">
            <w:pPr>
              <w:rPr>
                <w:rFonts w:ascii="Arial Narrow" w:hAnsi="Arial Narrow" w:cs="Arial"/>
                <w:sz w:val="20"/>
                <w:szCs w:val="20"/>
              </w:rPr>
            </w:pPr>
          </w:p>
        </w:tc>
        <w:tc>
          <w:tcPr>
            <w:tcW w:w="4269" w:type="pct"/>
            <w:gridSpan w:val="6"/>
            <w:tcBorders>
              <w:top w:val="single" w:sz="4" w:space="0" w:color="auto"/>
              <w:left w:val="single" w:sz="4" w:space="0" w:color="auto"/>
              <w:bottom w:val="single" w:sz="4" w:space="0" w:color="auto"/>
              <w:right w:val="single" w:sz="4" w:space="0" w:color="auto"/>
            </w:tcBorders>
            <w:vAlign w:val="center"/>
          </w:tcPr>
          <w:p w14:paraId="3F5C6DBD" w14:textId="470E21E8" w:rsidR="00A32CF4" w:rsidRPr="008E6588" w:rsidRDefault="00A32CF4">
            <w:pPr>
              <w:keepLines/>
              <w:rPr>
                <w:rFonts w:ascii="Arial Narrow" w:hAnsi="Arial Narrow" w:cs="Arial"/>
                <w:b/>
                <w:sz w:val="20"/>
                <w:szCs w:val="20"/>
              </w:rPr>
            </w:pPr>
            <w:r w:rsidRPr="008E6588">
              <w:rPr>
                <w:rFonts w:ascii="Arial Narrow" w:hAnsi="Arial Narrow"/>
                <w:b/>
                <w:sz w:val="20"/>
                <w:szCs w:val="20"/>
              </w:rPr>
              <w:t xml:space="preserve">Authority type: </w:t>
            </w:r>
            <w:r w:rsidRPr="008E6588">
              <w:rPr>
                <w:rFonts w:ascii="Arial Narrow" w:eastAsia="Calibri" w:hAnsi="Arial Narrow"/>
                <w:sz w:val="20"/>
                <w:szCs w:val="20"/>
              </w:rPr>
              <w:fldChar w:fldCharType="begin" w:fldLock="1">
                <w:ffData>
                  <w:name w:val=""/>
                  <w:enabled/>
                  <w:calcOnExit w:val="0"/>
                  <w:checkBox>
                    <w:sizeAuto/>
                    <w:default w:val="1"/>
                  </w:checkBox>
                </w:ffData>
              </w:fldChar>
            </w:r>
            <w:r w:rsidRPr="008E6588">
              <w:rPr>
                <w:rFonts w:ascii="Arial Narrow" w:eastAsia="Calibri" w:hAnsi="Arial Narrow"/>
                <w:sz w:val="20"/>
                <w:szCs w:val="20"/>
              </w:rPr>
              <w:instrText xml:space="preserve"> FORMCHECKBOX </w:instrText>
            </w:r>
            <w:r w:rsidRPr="008E6588">
              <w:rPr>
                <w:rFonts w:ascii="Arial Narrow" w:eastAsia="Calibri" w:hAnsi="Arial Narrow"/>
                <w:sz w:val="20"/>
                <w:szCs w:val="20"/>
              </w:rPr>
            </w:r>
            <w:r w:rsidRPr="008E6588">
              <w:rPr>
                <w:rFonts w:ascii="Arial Narrow" w:eastAsia="Calibri" w:hAnsi="Arial Narrow"/>
                <w:sz w:val="20"/>
                <w:szCs w:val="20"/>
              </w:rPr>
              <w:fldChar w:fldCharType="separate"/>
            </w:r>
            <w:r w:rsidRPr="008E6588">
              <w:rPr>
                <w:rFonts w:ascii="Arial Narrow" w:eastAsia="Calibri" w:hAnsi="Arial Narrow"/>
                <w:sz w:val="20"/>
                <w:szCs w:val="20"/>
              </w:rPr>
              <w:fldChar w:fldCharType="end"/>
            </w:r>
            <w:r w:rsidRPr="008E6588">
              <w:rPr>
                <w:rFonts w:ascii="Arial Narrow" w:eastAsia="Calibri" w:hAnsi="Arial Narrow"/>
                <w:sz w:val="20"/>
                <w:szCs w:val="20"/>
              </w:rPr>
              <w:t xml:space="preserve"> Complex Authority Required (CAR)</w:t>
            </w:r>
          </w:p>
        </w:tc>
      </w:tr>
      <w:tr w:rsidR="00844409" w:rsidRPr="008E6588" w14:paraId="2BE48153" w14:textId="77777777" w:rsidTr="006A17A2">
        <w:tblPrEx>
          <w:tblCellMar>
            <w:top w:w="15" w:type="dxa"/>
            <w:bottom w:w="15" w:type="dxa"/>
          </w:tblCellMar>
        </w:tblPrEx>
        <w:trPr>
          <w:cantSplit/>
          <w:trHeight w:val="57"/>
        </w:trPr>
        <w:tc>
          <w:tcPr>
            <w:tcW w:w="311" w:type="pct"/>
            <w:vMerge w:val="restart"/>
            <w:tcBorders>
              <w:left w:val="single" w:sz="4" w:space="0" w:color="auto"/>
              <w:right w:val="single" w:sz="4" w:space="0" w:color="auto"/>
            </w:tcBorders>
            <w:textDirection w:val="btLr"/>
          </w:tcPr>
          <w:p w14:paraId="33EE9C1F" w14:textId="05BB79DB" w:rsidR="0094652E" w:rsidRPr="008E6588" w:rsidRDefault="00844409" w:rsidP="00836DB5">
            <w:pPr>
              <w:ind w:left="113" w:right="113"/>
              <w:jc w:val="center"/>
              <w:rPr>
                <w:rFonts w:ascii="Arial Narrow" w:hAnsi="Arial Narrow" w:cs="Arial"/>
                <w:sz w:val="20"/>
                <w:szCs w:val="20"/>
              </w:rPr>
            </w:pPr>
            <w:r w:rsidRPr="008E6588">
              <w:rPr>
                <w:rFonts w:ascii="Arial Narrow" w:hAnsi="Arial Narrow" w:cs="Arial"/>
                <w:sz w:val="20"/>
                <w:szCs w:val="20"/>
              </w:rPr>
              <w:t>Prescribing rule level</w:t>
            </w:r>
          </w:p>
        </w:tc>
        <w:tc>
          <w:tcPr>
            <w:tcW w:w="420" w:type="pct"/>
            <w:gridSpan w:val="2"/>
            <w:tcBorders>
              <w:left w:val="single" w:sz="4" w:space="0" w:color="auto"/>
              <w:right w:val="single" w:sz="4" w:space="0" w:color="auto"/>
            </w:tcBorders>
          </w:tcPr>
          <w:p w14:paraId="63E8313E" w14:textId="4B448B56" w:rsidR="0094652E" w:rsidRPr="008E6588" w:rsidRDefault="0094652E" w:rsidP="00836DB5">
            <w:pPr>
              <w:jc w:val="left"/>
              <w:rPr>
                <w:rFonts w:ascii="Arial Narrow" w:hAnsi="Arial Narrow" w:cs="Arial"/>
                <w:sz w:val="20"/>
                <w:szCs w:val="20"/>
              </w:rPr>
            </w:pPr>
          </w:p>
        </w:tc>
        <w:tc>
          <w:tcPr>
            <w:tcW w:w="4269" w:type="pct"/>
            <w:gridSpan w:val="6"/>
            <w:tcBorders>
              <w:top w:val="single" w:sz="4" w:space="0" w:color="auto"/>
              <w:left w:val="single" w:sz="4" w:space="0" w:color="auto"/>
              <w:bottom w:val="single" w:sz="4" w:space="0" w:color="auto"/>
              <w:right w:val="single" w:sz="4" w:space="0" w:color="auto"/>
            </w:tcBorders>
          </w:tcPr>
          <w:p w14:paraId="5DB60B83" w14:textId="7E7F8BC3" w:rsidR="0094652E" w:rsidRPr="008E6588" w:rsidRDefault="0094652E" w:rsidP="00836DB5">
            <w:pPr>
              <w:keepLines/>
              <w:jc w:val="left"/>
              <w:rPr>
                <w:rFonts w:ascii="Arial Narrow" w:hAnsi="Arial Narrow" w:cs="Arial"/>
                <w:b/>
                <w:sz w:val="20"/>
                <w:szCs w:val="20"/>
              </w:rPr>
            </w:pPr>
            <w:r w:rsidRPr="008E6588">
              <w:rPr>
                <w:rFonts w:ascii="Arial Narrow" w:hAnsi="Arial Narrow" w:cs="Arial"/>
                <w:b/>
                <w:sz w:val="20"/>
                <w:szCs w:val="20"/>
              </w:rPr>
              <w:t>Administrative Advice</w:t>
            </w:r>
            <w:r w:rsidRPr="008E6588">
              <w:rPr>
                <w:rFonts w:ascii="Arial Narrow" w:hAnsi="Arial Narrow" w:cs="Arial"/>
                <w:sz w:val="20"/>
                <w:szCs w:val="20"/>
              </w:rPr>
              <w:t>:</w:t>
            </w:r>
            <w:r w:rsidRPr="008E6588">
              <w:rPr>
                <w:rFonts w:ascii="Arial Narrow" w:hAnsi="Arial Narrow" w:cs="Open Sans"/>
                <w:color w:val="333333"/>
                <w:sz w:val="20"/>
                <w:szCs w:val="20"/>
                <w:shd w:val="clear" w:color="auto" w:fill="FFFFFF"/>
              </w:rPr>
              <w:t xml:space="preserve"> </w:t>
            </w:r>
            <w:r w:rsidR="00CE7DBD" w:rsidRPr="008E6588">
              <w:rPr>
                <w:rFonts w:ascii="Arial Narrow" w:hAnsi="Arial Narrow" w:cs="Open Sans"/>
                <w:color w:val="333333"/>
                <w:sz w:val="20"/>
                <w:szCs w:val="20"/>
                <w:shd w:val="clear" w:color="auto" w:fill="FFFFFF"/>
              </w:rPr>
              <w:t>A proportion of patients respond to 150 mg 4-weekly so where a substantial improvement has been obtained with a 300 mg dose it is reasonable to back-titrate dose after initial treatment.</w:t>
            </w:r>
          </w:p>
        </w:tc>
      </w:tr>
      <w:tr w:rsidR="00844409" w:rsidRPr="008E6588" w14:paraId="19AECA53" w14:textId="77777777" w:rsidTr="006A17A2">
        <w:tblPrEx>
          <w:tblCellMar>
            <w:top w:w="15" w:type="dxa"/>
            <w:bottom w:w="15" w:type="dxa"/>
          </w:tblCellMar>
        </w:tblPrEx>
        <w:trPr>
          <w:cantSplit/>
          <w:trHeight w:val="57"/>
        </w:trPr>
        <w:tc>
          <w:tcPr>
            <w:tcW w:w="311" w:type="pct"/>
            <w:vMerge/>
            <w:tcBorders>
              <w:left w:val="single" w:sz="4" w:space="0" w:color="auto"/>
              <w:right w:val="single" w:sz="4" w:space="0" w:color="auto"/>
            </w:tcBorders>
            <w:textDirection w:val="btLr"/>
          </w:tcPr>
          <w:p w14:paraId="784213BB" w14:textId="77777777" w:rsidR="0094652E" w:rsidRPr="008E6588" w:rsidRDefault="0094652E" w:rsidP="00836DB5">
            <w:pPr>
              <w:ind w:left="113" w:right="113"/>
              <w:jc w:val="center"/>
              <w:rPr>
                <w:rFonts w:ascii="Arial Narrow" w:hAnsi="Arial Narrow" w:cs="Arial"/>
                <w:sz w:val="20"/>
                <w:szCs w:val="20"/>
              </w:rPr>
            </w:pPr>
          </w:p>
        </w:tc>
        <w:tc>
          <w:tcPr>
            <w:tcW w:w="420" w:type="pct"/>
            <w:gridSpan w:val="2"/>
            <w:tcBorders>
              <w:left w:val="single" w:sz="4" w:space="0" w:color="auto"/>
              <w:right w:val="single" w:sz="4" w:space="0" w:color="auto"/>
            </w:tcBorders>
          </w:tcPr>
          <w:p w14:paraId="19FBF12F" w14:textId="1FA241B4" w:rsidR="0094652E" w:rsidRPr="008E6588" w:rsidRDefault="0094652E" w:rsidP="00836DB5">
            <w:pPr>
              <w:jc w:val="left"/>
              <w:rPr>
                <w:rFonts w:ascii="Arial Narrow" w:hAnsi="Arial Narrow" w:cs="Arial"/>
                <w:sz w:val="20"/>
                <w:szCs w:val="20"/>
              </w:rPr>
            </w:pPr>
          </w:p>
        </w:tc>
        <w:tc>
          <w:tcPr>
            <w:tcW w:w="4269" w:type="pct"/>
            <w:gridSpan w:val="6"/>
            <w:tcBorders>
              <w:top w:val="single" w:sz="4" w:space="0" w:color="auto"/>
              <w:left w:val="single" w:sz="4" w:space="0" w:color="auto"/>
              <w:bottom w:val="single" w:sz="4" w:space="0" w:color="auto"/>
              <w:right w:val="single" w:sz="4" w:space="0" w:color="auto"/>
            </w:tcBorders>
          </w:tcPr>
          <w:p w14:paraId="7160627A" w14:textId="542C8413" w:rsidR="0094652E" w:rsidRPr="008E6588" w:rsidRDefault="0094652E" w:rsidP="00836DB5">
            <w:pPr>
              <w:keepLines/>
              <w:jc w:val="left"/>
              <w:rPr>
                <w:rFonts w:ascii="Arial Narrow" w:hAnsi="Arial Narrow" w:cs="Arial"/>
                <w:b/>
                <w:sz w:val="20"/>
                <w:szCs w:val="20"/>
              </w:rPr>
            </w:pPr>
            <w:r w:rsidRPr="008E6588">
              <w:rPr>
                <w:rFonts w:ascii="Arial Narrow" w:hAnsi="Arial Narrow" w:cs="Arial"/>
                <w:b/>
                <w:sz w:val="20"/>
                <w:szCs w:val="20"/>
              </w:rPr>
              <w:t>Administrative Advice</w:t>
            </w:r>
            <w:r w:rsidR="00B01F7E" w:rsidRPr="008E6588">
              <w:rPr>
                <w:rFonts w:ascii="Arial Narrow" w:hAnsi="Arial Narrow" w:cs="Arial"/>
                <w:sz w:val="20"/>
                <w:szCs w:val="20"/>
              </w:rPr>
              <w:t>: Cessation of therapy should be considered after the patient has demonstrated clinical benefit with omalizumab to re-evaluate the need for continued therapy. Any patient who ceases therapy and whose CSU relapses will need to re-initiate PBS-subsidised omalizumab as a new patient.</w:t>
            </w:r>
          </w:p>
        </w:tc>
      </w:tr>
      <w:tr w:rsidR="00844409" w:rsidRPr="008E6588" w14:paraId="36ABA848" w14:textId="77777777" w:rsidTr="006A17A2">
        <w:tblPrEx>
          <w:tblCellMar>
            <w:top w:w="15" w:type="dxa"/>
            <w:bottom w:w="15" w:type="dxa"/>
          </w:tblCellMar>
        </w:tblPrEx>
        <w:trPr>
          <w:cantSplit/>
          <w:trHeight w:val="57"/>
        </w:trPr>
        <w:tc>
          <w:tcPr>
            <w:tcW w:w="311" w:type="pct"/>
            <w:vMerge/>
            <w:tcBorders>
              <w:left w:val="single" w:sz="4" w:space="0" w:color="auto"/>
              <w:right w:val="single" w:sz="4" w:space="0" w:color="auto"/>
            </w:tcBorders>
          </w:tcPr>
          <w:p w14:paraId="61948A1F" w14:textId="77777777" w:rsidR="0094652E" w:rsidRPr="008E6588" w:rsidRDefault="0094652E" w:rsidP="00836DB5">
            <w:pPr>
              <w:jc w:val="left"/>
              <w:rPr>
                <w:rFonts w:ascii="Arial Narrow" w:hAnsi="Arial Narrow" w:cs="Arial"/>
                <w:sz w:val="20"/>
                <w:szCs w:val="20"/>
              </w:rPr>
            </w:pPr>
          </w:p>
        </w:tc>
        <w:tc>
          <w:tcPr>
            <w:tcW w:w="420" w:type="pct"/>
            <w:gridSpan w:val="2"/>
            <w:tcBorders>
              <w:left w:val="single" w:sz="4" w:space="0" w:color="auto"/>
              <w:right w:val="single" w:sz="4" w:space="0" w:color="auto"/>
            </w:tcBorders>
          </w:tcPr>
          <w:p w14:paraId="4AB926B9" w14:textId="39D06F55" w:rsidR="0094652E" w:rsidRPr="008E6588" w:rsidRDefault="0094652E" w:rsidP="00836DB5">
            <w:pPr>
              <w:jc w:val="left"/>
              <w:textAlignment w:val="baseline"/>
              <w:rPr>
                <w:rFonts w:ascii="Arial Narrow" w:hAnsi="Arial Narrow" w:cs="Open Sans"/>
                <w:color w:val="333333"/>
                <w:sz w:val="20"/>
                <w:szCs w:val="20"/>
              </w:rPr>
            </w:pPr>
          </w:p>
        </w:tc>
        <w:tc>
          <w:tcPr>
            <w:tcW w:w="4269" w:type="pct"/>
            <w:gridSpan w:val="6"/>
            <w:tcBorders>
              <w:top w:val="single" w:sz="4" w:space="0" w:color="auto"/>
              <w:left w:val="single" w:sz="4" w:space="0" w:color="auto"/>
              <w:bottom w:val="single" w:sz="4" w:space="0" w:color="auto"/>
              <w:right w:val="single" w:sz="4" w:space="0" w:color="auto"/>
            </w:tcBorders>
          </w:tcPr>
          <w:p w14:paraId="3C0F6BE9" w14:textId="26312710" w:rsidR="0094652E" w:rsidRPr="008E6588" w:rsidRDefault="0094652E" w:rsidP="00836DB5">
            <w:pPr>
              <w:keepLines/>
              <w:rPr>
                <w:rFonts w:ascii="Arial Narrow" w:hAnsi="Arial Narrow" w:cs="Arial"/>
                <w:sz w:val="20"/>
                <w:szCs w:val="20"/>
              </w:rPr>
            </w:pPr>
            <w:r w:rsidRPr="008E6588">
              <w:rPr>
                <w:rFonts w:ascii="Arial Narrow" w:hAnsi="Arial Narrow" w:cs="Arial"/>
                <w:b/>
                <w:sz w:val="20"/>
                <w:szCs w:val="20"/>
              </w:rPr>
              <w:t>Administrative Advice</w:t>
            </w:r>
            <w:r w:rsidRPr="008E6588">
              <w:rPr>
                <w:rFonts w:ascii="Arial Narrow" w:hAnsi="Arial Narrow" w:cs="Arial"/>
                <w:sz w:val="20"/>
                <w:szCs w:val="20"/>
              </w:rPr>
              <w:t xml:space="preserve">: </w:t>
            </w:r>
            <w:r w:rsidR="00844409" w:rsidRPr="008E6588">
              <w:rPr>
                <w:rFonts w:ascii="Arial Narrow" w:hAnsi="Arial Narrow" w:cs="Arial"/>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r w:rsidR="00844409" w:rsidRPr="008E6588" w14:paraId="46F4627E" w14:textId="77777777" w:rsidTr="006A17A2">
        <w:tblPrEx>
          <w:tblCellMar>
            <w:top w:w="15" w:type="dxa"/>
            <w:bottom w:w="15" w:type="dxa"/>
          </w:tblCellMar>
        </w:tblPrEx>
        <w:trPr>
          <w:cantSplit/>
          <w:trHeight w:val="57"/>
        </w:trPr>
        <w:tc>
          <w:tcPr>
            <w:tcW w:w="311" w:type="pct"/>
            <w:vMerge/>
            <w:tcBorders>
              <w:left w:val="single" w:sz="4" w:space="0" w:color="auto"/>
              <w:right w:val="single" w:sz="4" w:space="0" w:color="auto"/>
            </w:tcBorders>
          </w:tcPr>
          <w:p w14:paraId="72639570" w14:textId="77777777" w:rsidR="0094652E" w:rsidRPr="008E6588" w:rsidRDefault="0094652E" w:rsidP="00836DB5">
            <w:pPr>
              <w:jc w:val="left"/>
              <w:rPr>
                <w:rFonts w:ascii="Arial Narrow" w:hAnsi="Arial Narrow" w:cs="Arial"/>
                <w:sz w:val="20"/>
                <w:szCs w:val="20"/>
              </w:rPr>
            </w:pPr>
          </w:p>
        </w:tc>
        <w:tc>
          <w:tcPr>
            <w:tcW w:w="420" w:type="pct"/>
            <w:gridSpan w:val="2"/>
            <w:tcBorders>
              <w:left w:val="single" w:sz="4" w:space="0" w:color="auto"/>
              <w:right w:val="single" w:sz="4" w:space="0" w:color="auto"/>
            </w:tcBorders>
          </w:tcPr>
          <w:p w14:paraId="7168EE3C" w14:textId="558A0161" w:rsidR="0094652E" w:rsidRPr="008E6588" w:rsidRDefault="0094652E" w:rsidP="00836DB5">
            <w:pPr>
              <w:jc w:val="left"/>
              <w:outlineLvl w:val="4"/>
              <w:rPr>
                <w:rFonts w:ascii="Arial Narrow" w:hAnsi="Arial Narrow"/>
                <w:b/>
                <w:sz w:val="20"/>
                <w:szCs w:val="20"/>
              </w:rPr>
            </w:pPr>
          </w:p>
        </w:tc>
        <w:tc>
          <w:tcPr>
            <w:tcW w:w="4269" w:type="pct"/>
            <w:gridSpan w:val="6"/>
            <w:tcBorders>
              <w:top w:val="single" w:sz="4" w:space="0" w:color="auto"/>
              <w:left w:val="single" w:sz="4" w:space="0" w:color="auto"/>
              <w:bottom w:val="single" w:sz="4" w:space="0" w:color="auto"/>
              <w:right w:val="single" w:sz="4" w:space="0" w:color="auto"/>
            </w:tcBorders>
          </w:tcPr>
          <w:p w14:paraId="61885A13" w14:textId="5DC47EB6" w:rsidR="0094652E" w:rsidRPr="008E6588" w:rsidRDefault="0094652E" w:rsidP="00844409">
            <w:pPr>
              <w:textAlignment w:val="baseline"/>
              <w:rPr>
                <w:rFonts w:ascii="Arial Narrow" w:hAnsi="Arial Narrow" w:cs="Arial"/>
                <w:b/>
                <w:sz w:val="20"/>
                <w:szCs w:val="20"/>
              </w:rPr>
            </w:pPr>
            <w:r w:rsidRPr="008E6588">
              <w:rPr>
                <w:rFonts w:ascii="Arial Narrow" w:hAnsi="Arial Narrow"/>
                <w:b/>
                <w:bCs/>
                <w:sz w:val="20"/>
                <w:szCs w:val="20"/>
              </w:rPr>
              <w:t>Administrative Advice</w:t>
            </w:r>
            <w:r w:rsidR="00844409" w:rsidRPr="008E6588">
              <w:rPr>
                <w:rFonts w:ascii="Arial Narrow" w:hAnsi="Arial Narrow"/>
                <w:b/>
                <w:bCs/>
                <w:sz w:val="20"/>
                <w:szCs w:val="20"/>
              </w:rPr>
              <w:t xml:space="preserve">: </w:t>
            </w:r>
            <w:r w:rsidR="00844409" w:rsidRPr="008E6588">
              <w:rPr>
                <w:rFonts w:ascii="Arial Narrow" w:hAnsi="Arial Narrow"/>
                <w:iCs/>
                <w:sz w:val="20"/>
                <w:szCs w:val="20"/>
              </w:rPr>
              <w:t xml:space="preserve">Pharmaceutical benefits that have the form omalizumab </w:t>
            </w:r>
            <w:r w:rsidR="00844409" w:rsidRPr="008E6588">
              <w:rPr>
                <w:rFonts w:ascii="Arial Narrow" w:hAnsi="Arial Narrow" w:cs="Arial"/>
                <w:iCs/>
                <w:sz w:val="20"/>
                <w:szCs w:val="20"/>
              </w:rPr>
              <w:t xml:space="preserve">150 mg/mL </w:t>
            </w:r>
            <w:r w:rsidR="00844409" w:rsidRPr="008E6588">
              <w:rPr>
                <w:rFonts w:ascii="Arial Narrow" w:hAnsi="Arial Narrow"/>
                <w:iCs/>
                <w:sz w:val="20"/>
                <w:szCs w:val="20"/>
              </w:rPr>
              <w:t xml:space="preserve">syringes and pharmaceutical benefits that have the form omalizumab </w:t>
            </w:r>
            <w:r w:rsidR="00844409" w:rsidRPr="008E6588">
              <w:rPr>
                <w:rFonts w:ascii="Arial Narrow" w:hAnsi="Arial Narrow" w:cs="Arial"/>
                <w:iCs/>
                <w:sz w:val="20"/>
                <w:szCs w:val="20"/>
              </w:rPr>
              <w:t xml:space="preserve">150 mg/mL </w:t>
            </w:r>
            <w:r w:rsidR="00844409" w:rsidRPr="008E6588">
              <w:rPr>
                <w:rFonts w:ascii="Arial Narrow" w:hAnsi="Arial Narrow"/>
                <w:iCs/>
                <w:sz w:val="20"/>
                <w:szCs w:val="20"/>
              </w:rPr>
              <w:t>pen devices are equivalent for the purposes of substitution.</w:t>
            </w:r>
          </w:p>
        </w:tc>
      </w:tr>
      <w:tr w:rsidR="004730C7" w:rsidRPr="008E6588" w14:paraId="0FC4E430" w14:textId="77777777" w:rsidTr="006A17A2">
        <w:tblPrEx>
          <w:tblCellMar>
            <w:top w:w="15" w:type="dxa"/>
            <w:bottom w:w="15" w:type="dxa"/>
          </w:tblCellMar>
          <w:tblLook w:val="04A0" w:firstRow="1" w:lastRow="0" w:firstColumn="1" w:lastColumn="0" w:noHBand="0" w:noVBand="1"/>
        </w:tblPrEx>
        <w:trPr>
          <w:trHeight w:val="20"/>
        </w:trPr>
        <w:tc>
          <w:tcPr>
            <w:tcW w:w="5000" w:type="pct"/>
            <w:gridSpan w:val="9"/>
            <w:tcBorders>
              <w:right w:val="single" w:sz="4" w:space="0" w:color="auto"/>
            </w:tcBorders>
          </w:tcPr>
          <w:p w14:paraId="62AFDD2D" w14:textId="77777777" w:rsidR="004730C7" w:rsidRPr="008E6588" w:rsidRDefault="004730C7" w:rsidP="00836DB5">
            <w:pPr>
              <w:keepLines/>
              <w:rPr>
                <w:rFonts w:ascii="Arial Narrow" w:hAnsi="Arial Narrow" w:cs="Arial"/>
                <w:b/>
                <w:sz w:val="20"/>
                <w:szCs w:val="20"/>
              </w:rPr>
            </w:pPr>
          </w:p>
        </w:tc>
      </w:tr>
      <w:tr w:rsidR="00FA459D" w:rsidRPr="008E6588" w14:paraId="1A9A22B4" w14:textId="77777777" w:rsidTr="006A17A2">
        <w:tblPrEx>
          <w:tblCellMar>
            <w:top w:w="15" w:type="dxa"/>
            <w:bottom w:w="15" w:type="dxa"/>
          </w:tblCellMar>
          <w:tblLook w:val="04A0" w:firstRow="1" w:lastRow="0" w:firstColumn="1" w:lastColumn="0" w:noHBand="0" w:noVBand="1"/>
        </w:tblPrEx>
        <w:trPr>
          <w:trHeight w:val="20"/>
        </w:trPr>
        <w:tc>
          <w:tcPr>
            <w:tcW w:w="5000" w:type="pct"/>
            <w:gridSpan w:val="9"/>
            <w:tcBorders>
              <w:right w:val="single" w:sz="4" w:space="0" w:color="auto"/>
            </w:tcBorders>
            <w:vAlign w:val="center"/>
          </w:tcPr>
          <w:p w14:paraId="7DCC1DA4" w14:textId="570A9E0D" w:rsidR="00FA459D" w:rsidRPr="008E6588" w:rsidRDefault="00FA459D" w:rsidP="00FA459D">
            <w:pPr>
              <w:keepLines/>
              <w:rPr>
                <w:rFonts w:ascii="Arial Narrow" w:hAnsi="Arial Narrow" w:cs="Arial"/>
                <w:b/>
                <w:sz w:val="20"/>
                <w:szCs w:val="20"/>
              </w:rPr>
            </w:pPr>
            <w:r w:rsidRPr="008E6588">
              <w:rPr>
                <w:rFonts w:ascii="Arial Narrow" w:hAnsi="Arial Narrow"/>
                <w:b/>
                <w:sz w:val="20"/>
                <w:szCs w:val="20"/>
              </w:rPr>
              <w:t>Restriction Summary 10734/ Treatment of Concept:7046</w:t>
            </w:r>
            <w:r w:rsidR="008C68A1" w:rsidRPr="008E6588">
              <w:rPr>
                <w:rFonts w:ascii="Arial Narrow" w:hAnsi="Arial Narrow"/>
                <w:b/>
                <w:sz w:val="20"/>
                <w:szCs w:val="20"/>
              </w:rPr>
              <w:t>: Authority Required</w:t>
            </w:r>
          </w:p>
        </w:tc>
      </w:tr>
      <w:tr w:rsidR="00FA459D" w:rsidRPr="008E6588" w14:paraId="56613B81" w14:textId="77777777" w:rsidTr="00B923E6">
        <w:tblPrEx>
          <w:tblCellMar>
            <w:top w:w="15" w:type="dxa"/>
            <w:bottom w:w="15" w:type="dxa"/>
          </w:tblCellMar>
        </w:tblPrEx>
        <w:trPr>
          <w:cantSplit/>
          <w:trHeight w:val="20"/>
        </w:trPr>
        <w:tc>
          <w:tcPr>
            <w:tcW w:w="704" w:type="pct"/>
            <w:gridSpan w:val="2"/>
            <w:vAlign w:val="center"/>
          </w:tcPr>
          <w:p w14:paraId="2054D3E2" w14:textId="2A63BB49" w:rsidR="00FA459D" w:rsidRPr="008E6588" w:rsidRDefault="00FA459D" w:rsidP="00FA459D">
            <w:pPr>
              <w:keepLines/>
              <w:jc w:val="center"/>
              <w:rPr>
                <w:rFonts w:ascii="Arial Narrow" w:hAnsi="Arial Narrow"/>
                <w:sz w:val="20"/>
                <w:szCs w:val="20"/>
              </w:rPr>
            </w:pPr>
          </w:p>
        </w:tc>
        <w:tc>
          <w:tcPr>
            <w:tcW w:w="4296" w:type="pct"/>
            <w:gridSpan w:val="7"/>
            <w:vAlign w:val="center"/>
            <w:hideMark/>
          </w:tcPr>
          <w:p w14:paraId="715148C2" w14:textId="77777777" w:rsidR="00FA459D" w:rsidRPr="008E6588" w:rsidRDefault="00FA459D" w:rsidP="00FA459D">
            <w:pPr>
              <w:keepLines/>
              <w:rPr>
                <w:rFonts w:ascii="Arial Narrow" w:hAnsi="Arial Narrow"/>
                <w:color w:val="333333"/>
                <w:sz w:val="20"/>
                <w:szCs w:val="20"/>
              </w:rPr>
            </w:pPr>
            <w:r w:rsidRPr="008E6588">
              <w:rPr>
                <w:rFonts w:ascii="Arial Narrow" w:hAnsi="Arial Narrow"/>
                <w:b/>
                <w:bCs/>
                <w:sz w:val="20"/>
                <w:szCs w:val="20"/>
              </w:rPr>
              <w:t>Indication:</w:t>
            </w:r>
            <w:r w:rsidRPr="008E6588">
              <w:rPr>
                <w:rFonts w:ascii="Arial Narrow" w:hAnsi="Arial Narrow"/>
                <w:sz w:val="20"/>
                <w:szCs w:val="20"/>
              </w:rPr>
              <w:t xml:space="preserve"> Severe chronic spontaneous urticaria</w:t>
            </w:r>
          </w:p>
        </w:tc>
      </w:tr>
      <w:tr w:rsidR="00FA459D" w:rsidRPr="008E6588" w14:paraId="0229972A" w14:textId="77777777" w:rsidTr="00B923E6">
        <w:tblPrEx>
          <w:tblCellMar>
            <w:top w:w="15" w:type="dxa"/>
            <w:bottom w:w="15" w:type="dxa"/>
          </w:tblCellMar>
        </w:tblPrEx>
        <w:trPr>
          <w:cantSplit/>
          <w:trHeight w:val="20"/>
        </w:trPr>
        <w:tc>
          <w:tcPr>
            <w:tcW w:w="704" w:type="pct"/>
            <w:gridSpan w:val="2"/>
            <w:vAlign w:val="center"/>
          </w:tcPr>
          <w:p w14:paraId="6B34959C" w14:textId="77777777" w:rsidR="00FA459D" w:rsidRPr="008E6588" w:rsidRDefault="00FA459D" w:rsidP="00FA459D">
            <w:pPr>
              <w:jc w:val="center"/>
              <w:rPr>
                <w:rFonts w:ascii="Arial Narrow" w:hAnsi="Arial Narrow"/>
                <w:sz w:val="20"/>
                <w:szCs w:val="20"/>
              </w:rPr>
            </w:pPr>
          </w:p>
        </w:tc>
        <w:tc>
          <w:tcPr>
            <w:tcW w:w="4296" w:type="pct"/>
            <w:gridSpan w:val="7"/>
            <w:vAlign w:val="center"/>
            <w:hideMark/>
          </w:tcPr>
          <w:p w14:paraId="5B5C6207" w14:textId="77777777" w:rsidR="00FA459D" w:rsidRPr="008E6588" w:rsidRDefault="00FA459D" w:rsidP="00FA459D">
            <w:pPr>
              <w:rPr>
                <w:rFonts w:ascii="Arial Narrow" w:hAnsi="Arial Narrow"/>
                <w:sz w:val="20"/>
                <w:szCs w:val="20"/>
              </w:rPr>
            </w:pPr>
            <w:r w:rsidRPr="008E6588">
              <w:rPr>
                <w:rFonts w:ascii="Arial Narrow" w:hAnsi="Arial Narrow"/>
                <w:b/>
                <w:bCs/>
                <w:sz w:val="20"/>
                <w:szCs w:val="20"/>
              </w:rPr>
              <w:t>Treatment Phase:</w:t>
            </w:r>
            <w:r w:rsidRPr="008E6588">
              <w:rPr>
                <w:rFonts w:ascii="Arial Narrow" w:hAnsi="Arial Narrow"/>
                <w:sz w:val="20"/>
                <w:szCs w:val="20"/>
              </w:rPr>
              <w:t xml:space="preserve"> </w:t>
            </w:r>
            <w:bookmarkStart w:id="14" w:name="_Hlk193900027"/>
            <w:r w:rsidRPr="008E6588">
              <w:rPr>
                <w:rFonts w:ascii="Arial Narrow" w:hAnsi="Arial Narrow"/>
                <w:sz w:val="20"/>
                <w:szCs w:val="20"/>
              </w:rPr>
              <w:t>Continuing</w:t>
            </w:r>
            <w:bookmarkEnd w:id="14"/>
            <w:r w:rsidRPr="008E6588">
              <w:rPr>
                <w:rFonts w:ascii="Arial Narrow" w:hAnsi="Arial Narrow"/>
                <w:sz w:val="20"/>
                <w:szCs w:val="20"/>
              </w:rPr>
              <w:t xml:space="preserve"> treatment</w:t>
            </w:r>
          </w:p>
        </w:tc>
      </w:tr>
      <w:tr w:rsidR="006A17A2" w:rsidRPr="008E6588" w14:paraId="6B8E2D79" w14:textId="77777777" w:rsidTr="006A17A2">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3DF71" w14:textId="4F149937" w:rsidR="006A17A2" w:rsidRPr="008E6588" w:rsidRDefault="006A17A2" w:rsidP="006A17A2">
            <w:pPr>
              <w:jc w:val="center"/>
              <w:rPr>
                <w:rFonts w:ascii="Arial Narrow" w:hAnsi="Arial Narrow"/>
                <w:sz w:val="20"/>
                <w:szCs w:val="20"/>
              </w:rPr>
            </w:pPr>
          </w:p>
        </w:tc>
        <w:tc>
          <w:tcPr>
            <w:tcW w:w="429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5FC179" w14:textId="77777777" w:rsidR="006A17A2" w:rsidRPr="008E6588" w:rsidRDefault="006A17A2" w:rsidP="006A17A2">
            <w:pPr>
              <w:rPr>
                <w:rFonts w:ascii="Arial Narrow" w:hAnsi="Arial Narrow"/>
                <w:b/>
                <w:bCs/>
                <w:sz w:val="20"/>
                <w:szCs w:val="20"/>
              </w:rPr>
            </w:pPr>
            <w:r w:rsidRPr="008E6588">
              <w:rPr>
                <w:rFonts w:ascii="Arial Narrow" w:hAnsi="Arial Narrow"/>
                <w:b/>
                <w:bCs/>
                <w:sz w:val="20"/>
                <w:szCs w:val="20"/>
              </w:rPr>
              <w:t>Treatment criteria:</w:t>
            </w:r>
          </w:p>
        </w:tc>
      </w:tr>
      <w:tr w:rsidR="006A17A2" w:rsidRPr="008E6588" w14:paraId="01C34F4B" w14:textId="77777777" w:rsidTr="006A17A2">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37816" w14:textId="6446A793" w:rsidR="006A17A2" w:rsidRPr="008E6588" w:rsidRDefault="006A17A2" w:rsidP="006A17A2">
            <w:pPr>
              <w:jc w:val="center"/>
              <w:rPr>
                <w:rFonts w:ascii="Arial Narrow" w:hAnsi="Arial Narrow"/>
                <w:sz w:val="20"/>
                <w:szCs w:val="20"/>
              </w:rPr>
            </w:pPr>
          </w:p>
        </w:tc>
        <w:tc>
          <w:tcPr>
            <w:tcW w:w="429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D2CB06" w14:textId="22C3A20C" w:rsidR="006A17A2" w:rsidRPr="008E6588" w:rsidRDefault="006A17A2" w:rsidP="006A17A2">
            <w:pPr>
              <w:rPr>
                <w:rFonts w:ascii="Arial Narrow" w:hAnsi="Arial Narrow"/>
                <w:sz w:val="20"/>
                <w:szCs w:val="20"/>
              </w:rPr>
            </w:pPr>
            <w:r w:rsidRPr="008E6588">
              <w:rPr>
                <w:rFonts w:ascii="Arial Narrow" w:hAnsi="Arial Narrow"/>
                <w:sz w:val="20"/>
                <w:szCs w:val="20"/>
              </w:rPr>
              <w:t>Must be treated by a clinical immunologist; or</w:t>
            </w:r>
          </w:p>
        </w:tc>
      </w:tr>
      <w:tr w:rsidR="006A17A2" w:rsidRPr="008E6588" w14:paraId="5276248A" w14:textId="77777777" w:rsidTr="006A17A2">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5A6DF" w14:textId="05978F05" w:rsidR="006A17A2" w:rsidRPr="008E6588" w:rsidRDefault="006A17A2" w:rsidP="006A17A2">
            <w:pPr>
              <w:jc w:val="center"/>
              <w:rPr>
                <w:rFonts w:ascii="Arial Narrow" w:hAnsi="Arial Narrow"/>
                <w:sz w:val="20"/>
                <w:szCs w:val="20"/>
              </w:rPr>
            </w:pPr>
          </w:p>
        </w:tc>
        <w:tc>
          <w:tcPr>
            <w:tcW w:w="429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9F7C74" w14:textId="378352A2" w:rsidR="006A17A2" w:rsidRPr="008E6588" w:rsidRDefault="006A17A2" w:rsidP="006A17A2">
            <w:pPr>
              <w:rPr>
                <w:rFonts w:ascii="Arial Narrow" w:hAnsi="Arial Narrow"/>
                <w:sz w:val="20"/>
                <w:szCs w:val="20"/>
              </w:rPr>
            </w:pPr>
            <w:r w:rsidRPr="008E6588">
              <w:rPr>
                <w:rFonts w:ascii="Arial Narrow" w:hAnsi="Arial Narrow"/>
                <w:sz w:val="20"/>
                <w:szCs w:val="20"/>
              </w:rPr>
              <w:t>Must be treated by an allergist; or</w:t>
            </w:r>
          </w:p>
        </w:tc>
      </w:tr>
      <w:tr w:rsidR="006A17A2" w:rsidRPr="008E6588" w14:paraId="5A998B98" w14:textId="77777777" w:rsidTr="006A17A2">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49707" w14:textId="2256536A" w:rsidR="006A17A2" w:rsidRPr="008E6588" w:rsidRDefault="006A17A2" w:rsidP="006A17A2">
            <w:pPr>
              <w:jc w:val="center"/>
              <w:rPr>
                <w:rFonts w:ascii="Arial Narrow" w:hAnsi="Arial Narrow"/>
                <w:sz w:val="20"/>
                <w:szCs w:val="20"/>
              </w:rPr>
            </w:pPr>
          </w:p>
        </w:tc>
        <w:tc>
          <w:tcPr>
            <w:tcW w:w="429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02B9AA" w14:textId="61387B63" w:rsidR="006A17A2" w:rsidRPr="008E6588" w:rsidRDefault="006A17A2" w:rsidP="006A17A2">
            <w:pPr>
              <w:rPr>
                <w:rFonts w:ascii="Arial Narrow" w:hAnsi="Arial Narrow"/>
                <w:sz w:val="20"/>
                <w:szCs w:val="20"/>
              </w:rPr>
            </w:pPr>
            <w:r w:rsidRPr="008E6588">
              <w:rPr>
                <w:rFonts w:ascii="Arial Narrow" w:hAnsi="Arial Narrow"/>
                <w:sz w:val="20"/>
                <w:szCs w:val="20"/>
              </w:rPr>
              <w:t>Must be treated by a dermatologist; or</w:t>
            </w:r>
          </w:p>
        </w:tc>
      </w:tr>
      <w:tr w:rsidR="006A17A2" w:rsidRPr="008E6588" w14:paraId="53EBF6B3" w14:textId="77777777" w:rsidTr="006A17A2">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D2215" w14:textId="64CABD82" w:rsidR="006A17A2" w:rsidRPr="008E6588" w:rsidRDefault="006A17A2" w:rsidP="006A17A2">
            <w:pPr>
              <w:jc w:val="center"/>
              <w:rPr>
                <w:rFonts w:ascii="Arial Narrow" w:hAnsi="Arial Narrow"/>
                <w:sz w:val="20"/>
                <w:szCs w:val="20"/>
              </w:rPr>
            </w:pPr>
          </w:p>
        </w:tc>
        <w:tc>
          <w:tcPr>
            <w:tcW w:w="429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614DA0" w14:textId="075D7451" w:rsidR="006A17A2" w:rsidRPr="008E6588" w:rsidRDefault="006A17A2" w:rsidP="006A17A2">
            <w:pPr>
              <w:rPr>
                <w:rFonts w:ascii="Arial Narrow" w:hAnsi="Arial Narrow"/>
                <w:sz w:val="20"/>
                <w:szCs w:val="20"/>
              </w:rPr>
            </w:pPr>
            <w:r w:rsidRPr="008E6588">
              <w:rPr>
                <w:rFonts w:ascii="Arial Narrow" w:hAnsi="Arial Narrow"/>
                <w:sz w:val="20"/>
                <w:szCs w:val="20"/>
              </w:rPr>
              <w:t>Must be treated by a general physician with expertise in the management of chronic spontaneous urticaria (CSU)</w:t>
            </w:r>
          </w:p>
        </w:tc>
      </w:tr>
      <w:tr w:rsidR="006A17A2" w:rsidRPr="008E6588" w14:paraId="6288B55D" w14:textId="77777777" w:rsidTr="006A17A2">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4095F" w14:textId="50D50050" w:rsidR="006A17A2" w:rsidRPr="008E6588" w:rsidRDefault="006A17A2" w:rsidP="006A17A2">
            <w:pPr>
              <w:jc w:val="center"/>
              <w:rPr>
                <w:rFonts w:ascii="Arial Narrow" w:hAnsi="Arial Narrow"/>
                <w:sz w:val="20"/>
                <w:szCs w:val="20"/>
              </w:rPr>
            </w:pPr>
          </w:p>
        </w:tc>
        <w:tc>
          <w:tcPr>
            <w:tcW w:w="429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C83AE7" w14:textId="77777777" w:rsidR="006A17A2" w:rsidRPr="008E6588" w:rsidRDefault="006A17A2" w:rsidP="006A17A2">
            <w:pPr>
              <w:rPr>
                <w:rFonts w:ascii="Arial Narrow" w:hAnsi="Arial Narrow"/>
                <w:b/>
                <w:bCs/>
                <w:sz w:val="20"/>
                <w:szCs w:val="20"/>
              </w:rPr>
            </w:pPr>
            <w:r w:rsidRPr="008E6588">
              <w:rPr>
                <w:rFonts w:ascii="Arial Narrow" w:hAnsi="Arial Narrow"/>
                <w:b/>
                <w:bCs/>
                <w:sz w:val="20"/>
                <w:szCs w:val="20"/>
              </w:rPr>
              <w:t>Clinical criteria:</w:t>
            </w:r>
          </w:p>
        </w:tc>
      </w:tr>
      <w:tr w:rsidR="006A17A2" w:rsidRPr="008E6588" w14:paraId="7F223C49" w14:textId="77777777" w:rsidTr="006A17A2">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29DF5" w14:textId="1679DFF9" w:rsidR="006A17A2" w:rsidRPr="008E6588" w:rsidRDefault="006A17A2" w:rsidP="006A17A2">
            <w:pPr>
              <w:jc w:val="center"/>
              <w:rPr>
                <w:rFonts w:ascii="Arial Narrow" w:hAnsi="Arial Narrow"/>
                <w:sz w:val="20"/>
                <w:szCs w:val="20"/>
              </w:rPr>
            </w:pPr>
          </w:p>
        </w:tc>
        <w:tc>
          <w:tcPr>
            <w:tcW w:w="429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928C6E" w14:textId="120E52A2" w:rsidR="006A17A2" w:rsidRPr="008E6588" w:rsidRDefault="006A17A2" w:rsidP="006A17A2">
            <w:pPr>
              <w:rPr>
                <w:rFonts w:ascii="Arial Narrow" w:hAnsi="Arial Narrow"/>
                <w:sz w:val="20"/>
                <w:szCs w:val="20"/>
              </w:rPr>
            </w:pPr>
            <w:r w:rsidRPr="008E6588">
              <w:rPr>
                <w:rFonts w:ascii="Arial Narrow" w:hAnsi="Arial Narrow"/>
                <w:sz w:val="20"/>
                <w:szCs w:val="20"/>
              </w:rPr>
              <w:t>Patient must have demonstrated a response to the most recent PBS-subsidised treatment with this drug for this condition</w:t>
            </w:r>
          </w:p>
        </w:tc>
      </w:tr>
      <w:tr w:rsidR="006A17A2" w:rsidRPr="008E6588" w14:paraId="7E78F8BB" w14:textId="77777777" w:rsidTr="006A17A2">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FC50A" w14:textId="77777777" w:rsidR="006A17A2" w:rsidRPr="008E6588" w:rsidRDefault="006A17A2" w:rsidP="006A17A2">
            <w:pPr>
              <w:jc w:val="center"/>
              <w:rPr>
                <w:rFonts w:ascii="Arial Narrow" w:hAnsi="Arial Narrow"/>
                <w:sz w:val="20"/>
                <w:szCs w:val="20"/>
              </w:rPr>
            </w:pPr>
          </w:p>
        </w:tc>
        <w:tc>
          <w:tcPr>
            <w:tcW w:w="429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E6E8AC" w14:textId="77777777" w:rsidR="006A17A2" w:rsidRPr="008E6588" w:rsidRDefault="006A17A2" w:rsidP="006A17A2">
            <w:pPr>
              <w:rPr>
                <w:rFonts w:ascii="Arial Narrow" w:hAnsi="Arial Narrow"/>
                <w:b/>
                <w:bCs/>
                <w:sz w:val="20"/>
                <w:szCs w:val="20"/>
              </w:rPr>
            </w:pPr>
            <w:r w:rsidRPr="008E6588">
              <w:rPr>
                <w:rFonts w:ascii="Arial Narrow" w:hAnsi="Arial Narrow"/>
                <w:b/>
                <w:bCs/>
                <w:sz w:val="20"/>
                <w:szCs w:val="20"/>
              </w:rPr>
              <w:t>AND</w:t>
            </w:r>
          </w:p>
        </w:tc>
      </w:tr>
      <w:tr w:rsidR="006A17A2" w:rsidRPr="008E6588" w14:paraId="76BF197F" w14:textId="77777777" w:rsidTr="006A17A2">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B0D82" w14:textId="5C91FDF1" w:rsidR="006A17A2" w:rsidRPr="008E6588" w:rsidRDefault="006A17A2" w:rsidP="006A17A2">
            <w:pPr>
              <w:jc w:val="center"/>
              <w:rPr>
                <w:rFonts w:ascii="Arial Narrow" w:hAnsi="Arial Narrow"/>
                <w:sz w:val="20"/>
                <w:szCs w:val="20"/>
              </w:rPr>
            </w:pPr>
          </w:p>
        </w:tc>
        <w:tc>
          <w:tcPr>
            <w:tcW w:w="429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71D32C" w14:textId="77777777" w:rsidR="006A17A2" w:rsidRPr="008E6588" w:rsidRDefault="006A17A2" w:rsidP="006A17A2">
            <w:pPr>
              <w:rPr>
                <w:rFonts w:ascii="Arial Narrow" w:hAnsi="Arial Narrow"/>
                <w:b/>
                <w:bCs/>
                <w:sz w:val="20"/>
                <w:szCs w:val="20"/>
              </w:rPr>
            </w:pPr>
            <w:r w:rsidRPr="008E6588">
              <w:rPr>
                <w:rFonts w:ascii="Arial Narrow" w:hAnsi="Arial Narrow"/>
                <w:b/>
                <w:bCs/>
                <w:sz w:val="20"/>
                <w:szCs w:val="20"/>
              </w:rPr>
              <w:t>Clinical criteria:</w:t>
            </w:r>
          </w:p>
        </w:tc>
      </w:tr>
      <w:tr w:rsidR="006A17A2" w:rsidRPr="008E6588" w14:paraId="295C1DB9" w14:textId="77777777" w:rsidTr="006A17A2">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21E2A" w14:textId="67C7E003" w:rsidR="006A17A2" w:rsidRPr="008E6588" w:rsidRDefault="006A17A2" w:rsidP="006A17A2">
            <w:pPr>
              <w:jc w:val="center"/>
              <w:rPr>
                <w:rFonts w:ascii="Arial Narrow" w:hAnsi="Arial Narrow"/>
                <w:sz w:val="20"/>
                <w:szCs w:val="20"/>
              </w:rPr>
            </w:pPr>
          </w:p>
        </w:tc>
        <w:tc>
          <w:tcPr>
            <w:tcW w:w="429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8C0302" w14:textId="38982685" w:rsidR="006A17A2" w:rsidRPr="008E6588" w:rsidRDefault="006A17A2" w:rsidP="006A17A2">
            <w:pPr>
              <w:rPr>
                <w:rFonts w:ascii="Arial Narrow" w:hAnsi="Arial Narrow"/>
                <w:sz w:val="20"/>
                <w:szCs w:val="20"/>
              </w:rPr>
            </w:pPr>
            <w:r w:rsidRPr="008E6588">
              <w:rPr>
                <w:rFonts w:ascii="Arial Narrow" w:hAnsi="Arial Narrow"/>
                <w:sz w:val="20"/>
                <w:szCs w:val="20"/>
              </w:rPr>
              <w:t>Patient must not receive more than 24 weeks per authorised course of treatment under this restriction</w:t>
            </w:r>
          </w:p>
        </w:tc>
      </w:tr>
    </w:tbl>
    <w:p w14:paraId="2BB85148" w14:textId="77777777" w:rsidR="008C68A1" w:rsidRPr="008E6588" w:rsidRDefault="008C68A1">
      <w:pPr>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commended listing"/>
        <w:tblDescription w:val="Severe chronic spontaneous urticaria - continuing treatment &#10;omalizumab 300 mg/2 mL injection, 2 mL syringe - NEW listing / Public&#10;omalizumab 300 mg/2 mL injection, 2 mL syringe - NEW listing / Private&#10;omalizumab 300 mg/2 mL injection, 2 mL pen device - NEW listing / Public&#10;omalizumab 300 mg/2 mL injection, 2 mL pen device - NEW listing / Private&#10;"/>
      </w:tblPr>
      <w:tblGrid>
        <w:gridCol w:w="560"/>
        <w:gridCol w:w="709"/>
        <w:gridCol w:w="49"/>
        <w:gridCol w:w="3385"/>
        <w:gridCol w:w="1185"/>
        <w:gridCol w:w="730"/>
        <w:gridCol w:w="730"/>
        <w:gridCol w:w="730"/>
        <w:gridCol w:w="938"/>
      </w:tblGrid>
      <w:tr w:rsidR="006A17A2" w:rsidRPr="008E6588" w14:paraId="4AE0ECAA" w14:textId="77777777" w:rsidTr="00836DB5">
        <w:trPr>
          <w:cantSplit/>
          <w:trHeight w:val="20"/>
        </w:trPr>
        <w:tc>
          <w:tcPr>
            <w:tcW w:w="2608" w:type="pct"/>
            <w:gridSpan w:val="4"/>
            <w:vAlign w:val="center"/>
          </w:tcPr>
          <w:p w14:paraId="33C0724D" w14:textId="77777777" w:rsidR="006A17A2" w:rsidRPr="008E6588" w:rsidRDefault="006A17A2" w:rsidP="00836DB5">
            <w:pPr>
              <w:keepLines/>
              <w:rPr>
                <w:rFonts w:ascii="Arial Narrow" w:hAnsi="Arial Narrow" w:cs="Arial"/>
                <w:b/>
                <w:bCs/>
                <w:sz w:val="20"/>
                <w:szCs w:val="20"/>
              </w:rPr>
            </w:pPr>
            <w:r w:rsidRPr="008E6588">
              <w:rPr>
                <w:rFonts w:ascii="Arial Narrow" w:hAnsi="Arial Narrow" w:cs="Arial"/>
                <w:b/>
                <w:bCs/>
                <w:sz w:val="20"/>
                <w:szCs w:val="20"/>
              </w:rPr>
              <w:t>MEDICINAL PRODUCT</w:t>
            </w:r>
          </w:p>
          <w:p w14:paraId="78EDC69E" w14:textId="77777777" w:rsidR="006A17A2" w:rsidRPr="008E6588" w:rsidRDefault="006A17A2" w:rsidP="00836DB5">
            <w:pPr>
              <w:keepLines/>
              <w:rPr>
                <w:rFonts w:ascii="Arial Narrow" w:hAnsi="Arial Narrow" w:cs="Arial"/>
                <w:b/>
                <w:sz w:val="20"/>
                <w:szCs w:val="20"/>
              </w:rPr>
            </w:pPr>
            <w:r w:rsidRPr="008E6588">
              <w:rPr>
                <w:rFonts w:ascii="Arial Narrow" w:hAnsi="Arial Narrow" w:cs="Arial"/>
                <w:b/>
                <w:bCs/>
                <w:sz w:val="20"/>
                <w:szCs w:val="20"/>
              </w:rPr>
              <w:t>medicinal product pack</w:t>
            </w:r>
          </w:p>
        </w:tc>
        <w:tc>
          <w:tcPr>
            <w:tcW w:w="657" w:type="pct"/>
            <w:vAlign w:val="center"/>
          </w:tcPr>
          <w:p w14:paraId="54E982A6" w14:textId="77777777" w:rsidR="006A17A2" w:rsidRPr="008E6588" w:rsidRDefault="006A17A2" w:rsidP="00836DB5">
            <w:pPr>
              <w:keepLines/>
              <w:jc w:val="center"/>
              <w:rPr>
                <w:rFonts w:ascii="Arial Narrow" w:hAnsi="Arial Narrow" w:cs="Arial"/>
                <w:b/>
                <w:sz w:val="20"/>
                <w:szCs w:val="20"/>
              </w:rPr>
            </w:pPr>
            <w:r w:rsidRPr="008E6588">
              <w:rPr>
                <w:rFonts w:ascii="Arial Narrow" w:hAnsi="Arial Narrow" w:cs="Arial"/>
                <w:b/>
                <w:sz w:val="20"/>
                <w:szCs w:val="20"/>
              </w:rPr>
              <w:t>PBS item code</w:t>
            </w:r>
          </w:p>
        </w:tc>
        <w:tc>
          <w:tcPr>
            <w:tcW w:w="405" w:type="pct"/>
            <w:vAlign w:val="center"/>
          </w:tcPr>
          <w:p w14:paraId="1D45FFD6" w14:textId="77777777" w:rsidR="006A17A2" w:rsidRPr="008E6588" w:rsidRDefault="006A17A2" w:rsidP="00836DB5">
            <w:pPr>
              <w:keepLines/>
              <w:jc w:val="center"/>
              <w:rPr>
                <w:rFonts w:ascii="Arial Narrow" w:hAnsi="Arial Narrow" w:cs="Arial"/>
                <w:b/>
                <w:sz w:val="20"/>
                <w:szCs w:val="20"/>
              </w:rPr>
            </w:pPr>
            <w:r w:rsidRPr="008E6588">
              <w:rPr>
                <w:rFonts w:ascii="Arial Narrow" w:hAnsi="Arial Narrow" w:cs="Arial"/>
                <w:b/>
                <w:sz w:val="20"/>
                <w:szCs w:val="20"/>
              </w:rPr>
              <w:t>Max. qty packs</w:t>
            </w:r>
          </w:p>
        </w:tc>
        <w:tc>
          <w:tcPr>
            <w:tcW w:w="405" w:type="pct"/>
            <w:vAlign w:val="center"/>
          </w:tcPr>
          <w:p w14:paraId="21746CF1" w14:textId="77777777" w:rsidR="006A17A2" w:rsidRPr="008E6588" w:rsidRDefault="006A17A2" w:rsidP="00836DB5">
            <w:pPr>
              <w:keepLines/>
              <w:jc w:val="center"/>
              <w:rPr>
                <w:rFonts w:ascii="Arial Narrow" w:hAnsi="Arial Narrow" w:cs="Arial"/>
                <w:b/>
                <w:sz w:val="20"/>
                <w:szCs w:val="20"/>
              </w:rPr>
            </w:pPr>
            <w:r w:rsidRPr="008E6588">
              <w:rPr>
                <w:rFonts w:ascii="Arial Narrow" w:hAnsi="Arial Narrow" w:cs="Arial"/>
                <w:b/>
                <w:sz w:val="20"/>
                <w:szCs w:val="20"/>
              </w:rPr>
              <w:t>Max. qty units</w:t>
            </w:r>
          </w:p>
        </w:tc>
        <w:tc>
          <w:tcPr>
            <w:tcW w:w="405" w:type="pct"/>
            <w:vAlign w:val="center"/>
          </w:tcPr>
          <w:p w14:paraId="0A8415DF" w14:textId="77777777" w:rsidR="006A17A2" w:rsidRPr="008E6588" w:rsidRDefault="006A17A2" w:rsidP="00836DB5">
            <w:pPr>
              <w:keepLines/>
              <w:jc w:val="center"/>
              <w:rPr>
                <w:rFonts w:ascii="Arial Narrow" w:hAnsi="Arial Narrow" w:cs="Arial"/>
                <w:b/>
                <w:bCs/>
                <w:sz w:val="20"/>
                <w:szCs w:val="20"/>
              </w:rPr>
            </w:pPr>
            <w:proofErr w:type="gramStart"/>
            <w:r w:rsidRPr="008E6588">
              <w:rPr>
                <w:rFonts w:ascii="Arial Narrow" w:hAnsi="Arial Narrow" w:cs="Arial"/>
                <w:b/>
                <w:bCs/>
                <w:sz w:val="20"/>
                <w:szCs w:val="20"/>
              </w:rPr>
              <w:t>№.of</w:t>
            </w:r>
            <w:proofErr w:type="gramEnd"/>
          </w:p>
          <w:p w14:paraId="0847C7F5" w14:textId="77777777" w:rsidR="006A17A2" w:rsidRPr="008E6588" w:rsidRDefault="006A17A2" w:rsidP="00836DB5">
            <w:pPr>
              <w:keepLines/>
              <w:jc w:val="center"/>
              <w:rPr>
                <w:rFonts w:ascii="Arial Narrow" w:hAnsi="Arial Narrow" w:cs="Arial"/>
                <w:b/>
                <w:bCs/>
                <w:sz w:val="20"/>
                <w:szCs w:val="20"/>
              </w:rPr>
            </w:pPr>
            <w:r w:rsidRPr="008E6588">
              <w:rPr>
                <w:rFonts w:ascii="Arial Narrow" w:hAnsi="Arial Narrow" w:cs="Arial"/>
                <w:b/>
                <w:bCs/>
                <w:sz w:val="20"/>
                <w:szCs w:val="20"/>
              </w:rPr>
              <w:t>Rpts</w:t>
            </w:r>
          </w:p>
        </w:tc>
        <w:tc>
          <w:tcPr>
            <w:tcW w:w="520" w:type="pct"/>
            <w:vAlign w:val="center"/>
          </w:tcPr>
          <w:p w14:paraId="44CEC178" w14:textId="77777777" w:rsidR="006A17A2" w:rsidRPr="008E6588" w:rsidRDefault="006A17A2" w:rsidP="00836DB5">
            <w:pPr>
              <w:keepLines/>
              <w:rPr>
                <w:rFonts w:ascii="Arial Narrow" w:hAnsi="Arial Narrow" w:cs="Arial"/>
                <w:b/>
                <w:sz w:val="20"/>
                <w:szCs w:val="20"/>
                <w:lang w:val="fr-FR"/>
              </w:rPr>
            </w:pPr>
            <w:r w:rsidRPr="008E6588">
              <w:rPr>
                <w:rFonts w:ascii="Arial Narrow" w:hAnsi="Arial Narrow" w:cs="Arial"/>
                <w:b/>
                <w:sz w:val="20"/>
                <w:szCs w:val="20"/>
              </w:rPr>
              <w:t>Available brands</w:t>
            </w:r>
          </w:p>
        </w:tc>
      </w:tr>
      <w:tr w:rsidR="006A17A2" w:rsidRPr="008E6588" w14:paraId="1411FF73" w14:textId="77777777" w:rsidTr="00836DB5">
        <w:trPr>
          <w:cantSplit/>
          <w:trHeight w:val="20"/>
        </w:trPr>
        <w:tc>
          <w:tcPr>
            <w:tcW w:w="5000" w:type="pct"/>
            <w:gridSpan w:val="9"/>
            <w:vAlign w:val="center"/>
          </w:tcPr>
          <w:p w14:paraId="31E407F5" w14:textId="77777777" w:rsidR="006A17A2" w:rsidRPr="008E6588" w:rsidRDefault="006A17A2" w:rsidP="00836DB5">
            <w:pPr>
              <w:keepLines/>
              <w:rPr>
                <w:rFonts w:ascii="Arial Narrow" w:hAnsi="Arial Narrow" w:cs="Arial"/>
                <w:sz w:val="20"/>
                <w:szCs w:val="20"/>
              </w:rPr>
            </w:pPr>
            <w:r w:rsidRPr="008E6588">
              <w:rPr>
                <w:rFonts w:ascii="Arial Narrow" w:hAnsi="Arial Narrow" w:cs="Arial"/>
                <w:sz w:val="20"/>
                <w:szCs w:val="20"/>
              </w:rPr>
              <w:t>OMALIZUMAB</w:t>
            </w:r>
          </w:p>
        </w:tc>
      </w:tr>
      <w:tr w:rsidR="00322832" w:rsidRPr="008E6588" w14:paraId="5EE27AED" w14:textId="77777777" w:rsidTr="00322832">
        <w:trPr>
          <w:cantSplit/>
          <w:trHeight w:val="20"/>
        </w:trPr>
        <w:tc>
          <w:tcPr>
            <w:tcW w:w="2608" w:type="pct"/>
            <w:gridSpan w:val="4"/>
            <w:vAlign w:val="center"/>
          </w:tcPr>
          <w:p w14:paraId="6D5F5DF3" w14:textId="77777777" w:rsidR="00322832" w:rsidRPr="008E6588" w:rsidRDefault="00322832" w:rsidP="00836DB5">
            <w:pPr>
              <w:keepLines/>
              <w:rPr>
                <w:rFonts w:ascii="Arial Narrow" w:hAnsi="Arial Narrow" w:cs="Arial"/>
                <w:sz w:val="20"/>
                <w:szCs w:val="20"/>
              </w:rPr>
            </w:pPr>
            <w:r w:rsidRPr="008E6588">
              <w:rPr>
                <w:rFonts w:ascii="Arial Narrow" w:hAnsi="Arial Narrow" w:cs="Arial"/>
                <w:sz w:val="20"/>
                <w:szCs w:val="20"/>
              </w:rPr>
              <w:t>omalizumab 300 mg/2 mL injection, 2 mL syringe</w:t>
            </w:r>
          </w:p>
        </w:tc>
        <w:tc>
          <w:tcPr>
            <w:tcW w:w="657" w:type="pct"/>
            <w:vAlign w:val="center"/>
          </w:tcPr>
          <w:p w14:paraId="7EA426E3" w14:textId="22CED362" w:rsidR="00322832" w:rsidRPr="008E6588" w:rsidRDefault="00322832" w:rsidP="00836DB5">
            <w:pPr>
              <w:keepLines/>
              <w:jc w:val="center"/>
              <w:rPr>
                <w:rFonts w:ascii="Arial Narrow" w:hAnsi="Arial Narrow" w:cs="Arial"/>
                <w:iCs/>
                <w:sz w:val="20"/>
                <w:szCs w:val="20"/>
              </w:rPr>
            </w:pPr>
            <w:r w:rsidRPr="008E6588">
              <w:rPr>
                <w:rFonts w:ascii="Arial Narrow" w:hAnsi="Arial Narrow" w:cs="Arial"/>
                <w:iCs/>
                <w:sz w:val="20"/>
                <w:szCs w:val="20"/>
              </w:rPr>
              <w:t>NEW</w:t>
            </w:r>
            <w:r w:rsidR="00A55867" w:rsidRPr="008E6588">
              <w:rPr>
                <w:rFonts w:ascii="Arial Narrow" w:hAnsi="Arial Narrow" w:cs="Arial"/>
                <w:iCs/>
                <w:sz w:val="20"/>
                <w:szCs w:val="20"/>
              </w:rPr>
              <w:t>/ Public</w:t>
            </w:r>
          </w:p>
        </w:tc>
        <w:tc>
          <w:tcPr>
            <w:tcW w:w="405" w:type="pct"/>
          </w:tcPr>
          <w:p w14:paraId="7A74DD27" w14:textId="77777777" w:rsidR="00322832" w:rsidRPr="008E6588" w:rsidRDefault="00322832" w:rsidP="00836DB5">
            <w:pPr>
              <w:keepLines/>
              <w:jc w:val="center"/>
              <w:rPr>
                <w:rFonts w:ascii="Arial Narrow" w:hAnsi="Arial Narrow" w:cs="Arial"/>
                <w:iCs/>
                <w:sz w:val="20"/>
                <w:szCs w:val="20"/>
              </w:rPr>
            </w:pPr>
            <w:r w:rsidRPr="008E6588">
              <w:rPr>
                <w:rFonts w:ascii="Arial Narrow" w:hAnsi="Arial Narrow" w:cs="Arial"/>
                <w:iCs/>
                <w:sz w:val="20"/>
                <w:szCs w:val="20"/>
              </w:rPr>
              <w:t>1</w:t>
            </w:r>
          </w:p>
        </w:tc>
        <w:tc>
          <w:tcPr>
            <w:tcW w:w="405" w:type="pct"/>
          </w:tcPr>
          <w:p w14:paraId="705529C2" w14:textId="77777777" w:rsidR="00322832" w:rsidRPr="008E6588" w:rsidRDefault="00322832" w:rsidP="00836DB5">
            <w:pPr>
              <w:keepLines/>
              <w:jc w:val="center"/>
              <w:rPr>
                <w:rFonts w:ascii="Arial Narrow" w:hAnsi="Arial Narrow" w:cs="Arial"/>
                <w:iCs/>
                <w:sz w:val="20"/>
                <w:szCs w:val="20"/>
              </w:rPr>
            </w:pPr>
            <w:r w:rsidRPr="008E6588">
              <w:rPr>
                <w:rFonts w:ascii="Arial Narrow" w:hAnsi="Arial Narrow" w:cs="Arial"/>
                <w:iCs/>
                <w:sz w:val="20"/>
                <w:szCs w:val="20"/>
              </w:rPr>
              <w:t>1</w:t>
            </w:r>
          </w:p>
        </w:tc>
        <w:tc>
          <w:tcPr>
            <w:tcW w:w="405" w:type="pct"/>
          </w:tcPr>
          <w:p w14:paraId="0E2FFCC7" w14:textId="77777777" w:rsidR="00322832" w:rsidRPr="008E6588" w:rsidRDefault="00322832" w:rsidP="00836DB5">
            <w:pPr>
              <w:keepLines/>
              <w:jc w:val="center"/>
              <w:rPr>
                <w:rFonts w:ascii="Arial Narrow" w:hAnsi="Arial Narrow" w:cs="Arial"/>
                <w:iCs/>
                <w:sz w:val="20"/>
                <w:szCs w:val="20"/>
              </w:rPr>
            </w:pPr>
            <w:r w:rsidRPr="008E6588">
              <w:rPr>
                <w:rFonts w:ascii="Arial Narrow" w:hAnsi="Arial Narrow" w:cs="Arial"/>
                <w:iCs/>
                <w:sz w:val="20"/>
                <w:szCs w:val="20"/>
              </w:rPr>
              <w:t>5</w:t>
            </w:r>
          </w:p>
        </w:tc>
        <w:tc>
          <w:tcPr>
            <w:tcW w:w="520" w:type="pct"/>
            <w:vMerge w:val="restart"/>
          </w:tcPr>
          <w:p w14:paraId="62011729" w14:textId="142D4A09" w:rsidR="00322832" w:rsidRPr="008E6588" w:rsidRDefault="00322832" w:rsidP="00322832">
            <w:pPr>
              <w:keepLines/>
              <w:jc w:val="center"/>
              <w:rPr>
                <w:rFonts w:ascii="Arial Narrow" w:hAnsi="Arial Narrow" w:cs="Arial"/>
                <w:sz w:val="20"/>
                <w:szCs w:val="20"/>
              </w:rPr>
            </w:pPr>
            <w:proofErr w:type="spellStart"/>
            <w:r w:rsidRPr="008E6588">
              <w:rPr>
                <w:rFonts w:ascii="Arial Narrow" w:hAnsi="Arial Narrow" w:cs="Arial"/>
                <w:sz w:val="20"/>
                <w:szCs w:val="20"/>
                <w:vertAlign w:val="superscript"/>
              </w:rPr>
              <w:t>a</w:t>
            </w:r>
            <w:r w:rsidRPr="008E6588">
              <w:rPr>
                <w:rFonts w:ascii="Arial Narrow" w:hAnsi="Arial Narrow" w:cs="Arial"/>
                <w:sz w:val="20"/>
                <w:szCs w:val="20"/>
              </w:rPr>
              <w:t>Xolair</w:t>
            </w:r>
            <w:proofErr w:type="spellEnd"/>
          </w:p>
        </w:tc>
      </w:tr>
      <w:tr w:rsidR="00322832" w:rsidRPr="008E6588" w14:paraId="5DC54322" w14:textId="77777777" w:rsidTr="00836DB5">
        <w:trPr>
          <w:cantSplit/>
          <w:trHeight w:val="20"/>
        </w:trPr>
        <w:tc>
          <w:tcPr>
            <w:tcW w:w="2608" w:type="pct"/>
            <w:gridSpan w:val="4"/>
            <w:vAlign w:val="center"/>
          </w:tcPr>
          <w:p w14:paraId="3192B9AE" w14:textId="77777777" w:rsidR="00322832" w:rsidRPr="008E6588" w:rsidRDefault="00322832" w:rsidP="00836DB5">
            <w:pPr>
              <w:keepLines/>
              <w:rPr>
                <w:rFonts w:ascii="Arial Narrow" w:hAnsi="Arial Narrow" w:cs="Arial"/>
                <w:sz w:val="20"/>
                <w:szCs w:val="20"/>
              </w:rPr>
            </w:pPr>
            <w:r w:rsidRPr="008E6588">
              <w:rPr>
                <w:rFonts w:ascii="Arial Narrow" w:hAnsi="Arial Narrow" w:cs="Arial"/>
                <w:sz w:val="20"/>
                <w:szCs w:val="20"/>
              </w:rPr>
              <w:t>omalizumab 300 mg/2 mL injection, 2 mL syringe</w:t>
            </w:r>
          </w:p>
        </w:tc>
        <w:tc>
          <w:tcPr>
            <w:tcW w:w="657" w:type="pct"/>
            <w:vAlign w:val="center"/>
          </w:tcPr>
          <w:p w14:paraId="64EA0B0C" w14:textId="2517B2DB" w:rsidR="00322832" w:rsidRPr="008E6588" w:rsidRDefault="00322832" w:rsidP="00836DB5">
            <w:pPr>
              <w:keepLines/>
              <w:jc w:val="center"/>
              <w:rPr>
                <w:rFonts w:ascii="Arial Narrow" w:hAnsi="Arial Narrow" w:cs="Arial"/>
                <w:iCs/>
                <w:sz w:val="20"/>
                <w:szCs w:val="20"/>
              </w:rPr>
            </w:pPr>
            <w:r w:rsidRPr="008E6588">
              <w:rPr>
                <w:rFonts w:ascii="Arial Narrow" w:hAnsi="Arial Narrow" w:cs="Arial"/>
                <w:iCs/>
                <w:sz w:val="20"/>
                <w:szCs w:val="20"/>
              </w:rPr>
              <w:t>NEW</w:t>
            </w:r>
            <w:r w:rsidR="00A55867" w:rsidRPr="008E6588">
              <w:rPr>
                <w:rFonts w:ascii="Arial Narrow" w:hAnsi="Arial Narrow" w:cs="Arial"/>
                <w:iCs/>
                <w:sz w:val="20"/>
                <w:szCs w:val="20"/>
              </w:rPr>
              <w:t>/ Private</w:t>
            </w:r>
          </w:p>
        </w:tc>
        <w:tc>
          <w:tcPr>
            <w:tcW w:w="405" w:type="pct"/>
          </w:tcPr>
          <w:p w14:paraId="01B6A61A" w14:textId="77777777" w:rsidR="00322832" w:rsidRPr="008E6588" w:rsidRDefault="00322832" w:rsidP="00836DB5">
            <w:pPr>
              <w:keepLines/>
              <w:jc w:val="center"/>
              <w:rPr>
                <w:rFonts w:ascii="Arial Narrow" w:hAnsi="Arial Narrow" w:cs="Arial"/>
                <w:iCs/>
                <w:sz w:val="20"/>
                <w:szCs w:val="20"/>
              </w:rPr>
            </w:pPr>
            <w:r w:rsidRPr="008E6588">
              <w:rPr>
                <w:rFonts w:ascii="Arial Narrow" w:hAnsi="Arial Narrow" w:cs="Arial"/>
                <w:iCs/>
                <w:sz w:val="20"/>
                <w:szCs w:val="20"/>
              </w:rPr>
              <w:t>1</w:t>
            </w:r>
          </w:p>
        </w:tc>
        <w:tc>
          <w:tcPr>
            <w:tcW w:w="405" w:type="pct"/>
          </w:tcPr>
          <w:p w14:paraId="570EE5A5" w14:textId="77777777" w:rsidR="00322832" w:rsidRPr="008E6588" w:rsidRDefault="00322832" w:rsidP="00836DB5">
            <w:pPr>
              <w:keepLines/>
              <w:jc w:val="center"/>
              <w:rPr>
                <w:rFonts w:ascii="Arial Narrow" w:hAnsi="Arial Narrow" w:cs="Arial"/>
                <w:iCs/>
                <w:sz w:val="20"/>
                <w:szCs w:val="20"/>
              </w:rPr>
            </w:pPr>
            <w:r w:rsidRPr="008E6588">
              <w:rPr>
                <w:rFonts w:ascii="Arial Narrow" w:hAnsi="Arial Narrow" w:cs="Arial"/>
                <w:iCs/>
                <w:sz w:val="20"/>
                <w:szCs w:val="20"/>
              </w:rPr>
              <w:t>1</w:t>
            </w:r>
          </w:p>
        </w:tc>
        <w:tc>
          <w:tcPr>
            <w:tcW w:w="405" w:type="pct"/>
          </w:tcPr>
          <w:p w14:paraId="718CDF9B" w14:textId="77777777" w:rsidR="00322832" w:rsidRPr="008E6588" w:rsidRDefault="00322832" w:rsidP="00836DB5">
            <w:pPr>
              <w:keepLines/>
              <w:jc w:val="center"/>
              <w:rPr>
                <w:rFonts w:ascii="Arial Narrow" w:hAnsi="Arial Narrow" w:cs="Arial"/>
                <w:iCs/>
                <w:sz w:val="20"/>
                <w:szCs w:val="20"/>
              </w:rPr>
            </w:pPr>
            <w:r w:rsidRPr="008E6588">
              <w:rPr>
                <w:rFonts w:ascii="Arial Narrow" w:hAnsi="Arial Narrow" w:cs="Arial"/>
                <w:iCs/>
                <w:sz w:val="20"/>
                <w:szCs w:val="20"/>
              </w:rPr>
              <w:t>5</w:t>
            </w:r>
          </w:p>
        </w:tc>
        <w:tc>
          <w:tcPr>
            <w:tcW w:w="520" w:type="pct"/>
            <w:vMerge/>
            <w:vAlign w:val="center"/>
          </w:tcPr>
          <w:p w14:paraId="446B2708" w14:textId="77777777" w:rsidR="00322832" w:rsidRPr="008E6588" w:rsidRDefault="00322832" w:rsidP="00836DB5">
            <w:pPr>
              <w:keepLines/>
              <w:rPr>
                <w:rFonts w:ascii="Arial Narrow" w:hAnsi="Arial Narrow" w:cs="Arial"/>
                <w:sz w:val="20"/>
                <w:szCs w:val="20"/>
              </w:rPr>
            </w:pPr>
          </w:p>
        </w:tc>
      </w:tr>
      <w:tr w:rsidR="00322832" w:rsidRPr="008E6588" w14:paraId="75C134C0" w14:textId="77777777" w:rsidTr="00836DB5">
        <w:trPr>
          <w:cantSplit/>
          <w:trHeight w:val="20"/>
        </w:trPr>
        <w:tc>
          <w:tcPr>
            <w:tcW w:w="2608" w:type="pct"/>
            <w:gridSpan w:val="4"/>
            <w:vAlign w:val="center"/>
          </w:tcPr>
          <w:p w14:paraId="73AD5866" w14:textId="77777777" w:rsidR="00322832" w:rsidRPr="008E6588" w:rsidRDefault="00322832" w:rsidP="00836DB5">
            <w:pPr>
              <w:keepLines/>
              <w:rPr>
                <w:rFonts w:ascii="Arial Narrow" w:hAnsi="Arial Narrow" w:cs="Arial"/>
                <w:sz w:val="20"/>
                <w:szCs w:val="20"/>
              </w:rPr>
            </w:pPr>
            <w:r w:rsidRPr="008E6588">
              <w:rPr>
                <w:rFonts w:ascii="Arial Narrow" w:hAnsi="Arial Narrow" w:cs="Arial"/>
                <w:sz w:val="20"/>
                <w:szCs w:val="20"/>
              </w:rPr>
              <w:t>omalizumab 300 mg/2 mL injection, 2 mL pen device</w:t>
            </w:r>
          </w:p>
        </w:tc>
        <w:tc>
          <w:tcPr>
            <w:tcW w:w="657" w:type="pct"/>
            <w:vAlign w:val="center"/>
          </w:tcPr>
          <w:p w14:paraId="5C253438" w14:textId="0F8A33A6" w:rsidR="00322832" w:rsidRPr="008E6588" w:rsidRDefault="00322832" w:rsidP="00836DB5">
            <w:pPr>
              <w:keepLines/>
              <w:jc w:val="center"/>
              <w:rPr>
                <w:rFonts w:ascii="Arial Narrow" w:hAnsi="Arial Narrow" w:cs="Arial"/>
                <w:iCs/>
                <w:sz w:val="20"/>
                <w:szCs w:val="20"/>
              </w:rPr>
            </w:pPr>
            <w:r w:rsidRPr="008E6588">
              <w:rPr>
                <w:rFonts w:ascii="Arial Narrow" w:hAnsi="Arial Narrow" w:cs="Arial"/>
                <w:iCs/>
                <w:sz w:val="20"/>
                <w:szCs w:val="20"/>
              </w:rPr>
              <w:t>NEW</w:t>
            </w:r>
            <w:r w:rsidR="00A55867" w:rsidRPr="008E6588">
              <w:rPr>
                <w:rFonts w:ascii="Arial Narrow" w:hAnsi="Arial Narrow" w:cs="Arial"/>
                <w:iCs/>
                <w:sz w:val="20"/>
                <w:szCs w:val="20"/>
              </w:rPr>
              <w:t>/ Public</w:t>
            </w:r>
          </w:p>
        </w:tc>
        <w:tc>
          <w:tcPr>
            <w:tcW w:w="405" w:type="pct"/>
          </w:tcPr>
          <w:p w14:paraId="1A51293B" w14:textId="77777777" w:rsidR="00322832" w:rsidRPr="008E6588" w:rsidRDefault="00322832" w:rsidP="00836DB5">
            <w:pPr>
              <w:keepLines/>
              <w:jc w:val="center"/>
              <w:rPr>
                <w:rFonts w:ascii="Arial Narrow" w:hAnsi="Arial Narrow" w:cs="Arial"/>
                <w:iCs/>
                <w:sz w:val="20"/>
                <w:szCs w:val="20"/>
              </w:rPr>
            </w:pPr>
            <w:r w:rsidRPr="008E6588">
              <w:rPr>
                <w:rFonts w:ascii="Arial Narrow" w:hAnsi="Arial Narrow" w:cs="Arial"/>
                <w:iCs/>
                <w:sz w:val="20"/>
                <w:szCs w:val="20"/>
              </w:rPr>
              <w:t>1</w:t>
            </w:r>
          </w:p>
        </w:tc>
        <w:tc>
          <w:tcPr>
            <w:tcW w:w="405" w:type="pct"/>
          </w:tcPr>
          <w:p w14:paraId="36A76A97" w14:textId="77777777" w:rsidR="00322832" w:rsidRPr="008E6588" w:rsidRDefault="00322832" w:rsidP="00836DB5">
            <w:pPr>
              <w:keepLines/>
              <w:jc w:val="center"/>
              <w:rPr>
                <w:rFonts w:ascii="Arial Narrow" w:hAnsi="Arial Narrow" w:cs="Arial"/>
                <w:iCs/>
                <w:sz w:val="20"/>
                <w:szCs w:val="20"/>
              </w:rPr>
            </w:pPr>
            <w:r w:rsidRPr="008E6588">
              <w:rPr>
                <w:rFonts w:ascii="Arial Narrow" w:hAnsi="Arial Narrow" w:cs="Arial"/>
                <w:iCs/>
                <w:sz w:val="20"/>
                <w:szCs w:val="20"/>
              </w:rPr>
              <w:t>1</w:t>
            </w:r>
          </w:p>
        </w:tc>
        <w:tc>
          <w:tcPr>
            <w:tcW w:w="405" w:type="pct"/>
          </w:tcPr>
          <w:p w14:paraId="4FB0F87F" w14:textId="77777777" w:rsidR="00322832" w:rsidRPr="008E6588" w:rsidRDefault="00322832" w:rsidP="00836DB5">
            <w:pPr>
              <w:keepLines/>
              <w:jc w:val="center"/>
              <w:rPr>
                <w:rFonts w:ascii="Arial Narrow" w:hAnsi="Arial Narrow" w:cs="Arial"/>
                <w:iCs/>
                <w:sz w:val="20"/>
                <w:szCs w:val="20"/>
              </w:rPr>
            </w:pPr>
            <w:r w:rsidRPr="008E6588">
              <w:rPr>
                <w:rFonts w:ascii="Arial Narrow" w:hAnsi="Arial Narrow" w:cs="Arial"/>
                <w:iCs/>
                <w:sz w:val="20"/>
                <w:szCs w:val="20"/>
              </w:rPr>
              <w:t>5</w:t>
            </w:r>
          </w:p>
        </w:tc>
        <w:tc>
          <w:tcPr>
            <w:tcW w:w="520" w:type="pct"/>
            <w:vMerge/>
            <w:vAlign w:val="center"/>
          </w:tcPr>
          <w:p w14:paraId="533A1194" w14:textId="77777777" w:rsidR="00322832" w:rsidRPr="008E6588" w:rsidRDefault="00322832" w:rsidP="00836DB5">
            <w:pPr>
              <w:keepLines/>
              <w:rPr>
                <w:rFonts w:ascii="Arial Narrow" w:hAnsi="Arial Narrow" w:cs="Arial"/>
                <w:sz w:val="20"/>
                <w:szCs w:val="20"/>
              </w:rPr>
            </w:pPr>
          </w:p>
        </w:tc>
      </w:tr>
      <w:tr w:rsidR="00322832" w:rsidRPr="008E6588" w14:paraId="58A4AD0A" w14:textId="77777777" w:rsidTr="00836DB5">
        <w:trPr>
          <w:cantSplit/>
          <w:trHeight w:val="20"/>
        </w:trPr>
        <w:tc>
          <w:tcPr>
            <w:tcW w:w="2608" w:type="pct"/>
            <w:gridSpan w:val="4"/>
            <w:vAlign w:val="center"/>
          </w:tcPr>
          <w:p w14:paraId="1011AFBA" w14:textId="77777777" w:rsidR="00322832" w:rsidRPr="008E6588" w:rsidRDefault="00322832" w:rsidP="00836DB5">
            <w:pPr>
              <w:keepLines/>
              <w:rPr>
                <w:rFonts w:ascii="Arial Narrow" w:hAnsi="Arial Narrow" w:cs="Arial"/>
                <w:sz w:val="20"/>
                <w:szCs w:val="20"/>
              </w:rPr>
            </w:pPr>
            <w:r w:rsidRPr="008E6588">
              <w:rPr>
                <w:rFonts w:ascii="Arial Narrow" w:hAnsi="Arial Narrow" w:cs="Arial"/>
                <w:sz w:val="20"/>
                <w:szCs w:val="20"/>
              </w:rPr>
              <w:t>omalizumab 300 mg/2 mL injection, 2 mL pen device</w:t>
            </w:r>
          </w:p>
        </w:tc>
        <w:tc>
          <w:tcPr>
            <w:tcW w:w="657" w:type="pct"/>
            <w:vAlign w:val="center"/>
          </w:tcPr>
          <w:p w14:paraId="118F1D5C" w14:textId="09BFFE63" w:rsidR="00322832" w:rsidRPr="008E6588" w:rsidRDefault="00322832" w:rsidP="00836DB5">
            <w:pPr>
              <w:keepLines/>
              <w:jc w:val="center"/>
              <w:rPr>
                <w:rFonts w:ascii="Arial Narrow" w:hAnsi="Arial Narrow" w:cs="Arial"/>
                <w:iCs/>
                <w:sz w:val="20"/>
                <w:szCs w:val="20"/>
              </w:rPr>
            </w:pPr>
            <w:r w:rsidRPr="008E6588">
              <w:rPr>
                <w:rFonts w:ascii="Arial Narrow" w:hAnsi="Arial Narrow" w:cs="Arial"/>
                <w:iCs/>
                <w:sz w:val="20"/>
                <w:szCs w:val="20"/>
              </w:rPr>
              <w:t>NEW</w:t>
            </w:r>
            <w:r w:rsidR="00A55867" w:rsidRPr="008E6588">
              <w:rPr>
                <w:rFonts w:ascii="Arial Narrow" w:hAnsi="Arial Narrow" w:cs="Arial"/>
                <w:iCs/>
                <w:sz w:val="20"/>
                <w:szCs w:val="20"/>
              </w:rPr>
              <w:t>/ Private</w:t>
            </w:r>
          </w:p>
        </w:tc>
        <w:tc>
          <w:tcPr>
            <w:tcW w:w="405" w:type="pct"/>
          </w:tcPr>
          <w:p w14:paraId="3A65FB09" w14:textId="77777777" w:rsidR="00322832" w:rsidRPr="008E6588" w:rsidRDefault="00322832" w:rsidP="00836DB5">
            <w:pPr>
              <w:keepLines/>
              <w:jc w:val="center"/>
              <w:rPr>
                <w:rFonts w:ascii="Arial Narrow" w:hAnsi="Arial Narrow" w:cs="Arial"/>
                <w:iCs/>
                <w:sz w:val="20"/>
                <w:szCs w:val="20"/>
              </w:rPr>
            </w:pPr>
            <w:r w:rsidRPr="008E6588">
              <w:rPr>
                <w:rFonts w:ascii="Arial Narrow" w:hAnsi="Arial Narrow" w:cs="Arial"/>
                <w:iCs/>
                <w:sz w:val="20"/>
                <w:szCs w:val="20"/>
              </w:rPr>
              <w:t>1</w:t>
            </w:r>
          </w:p>
        </w:tc>
        <w:tc>
          <w:tcPr>
            <w:tcW w:w="405" w:type="pct"/>
          </w:tcPr>
          <w:p w14:paraId="755C4CFA" w14:textId="77777777" w:rsidR="00322832" w:rsidRPr="008E6588" w:rsidRDefault="00322832" w:rsidP="00836DB5">
            <w:pPr>
              <w:keepLines/>
              <w:jc w:val="center"/>
              <w:rPr>
                <w:rFonts w:ascii="Arial Narrow" w:hAnsi="Arial Narrow" w:cs="Arial"/>
                <w:iCs/>
                <w:sz w:val="20"/>
                <w:szCs w:val="20"/>
              </w:rPr>
            </w:pPr>
            <w:r w:rsidRPr="008E6588">
              <w:rPr>
                <w:rFonts w:ascii="Arial Narrow" w:hAnsi="Arial Narrow" w:cs="Arial"/>
                <w:iCs/>
                <w:sz w:val="20"/>
                <w:szCs w:val="20"/>
              </w:rPr>
              <w:t>1</w:t>
            </w:r>
          </w:p>
        </w:tc>
        <w:tc>
          <w:tcPr>
            <w:tcW w:w="405" w:type="pct"/>
          </w:tcPr>
          <w:p w14:paraId="71020250" w14:textId="77777777" w:rsidR="00322832" w:rsidRPr="008E6588" w:rsidRDefault="00322832" w:rsidP="00836DB5">
            <w:pPr>
              <w:keepLines/>
              <w:jc w:val="center"/>
              <w:rPr>
                <w:rFonts w:ascii="Arial Narrow" w:hAnsi="Arial Narrow" w:cs="Arial"/>
                <w:iCs/>
                <w:sz w:val="20"/>
                <w:szCs w:val="20"/>
              </w:rPr>
            </w:pPr>
            <w:r w:rsidRPr="008E6588">
              <w:rPr>
                <w:rFonts w:ascii="Arial Narrow" w:hAnsi="Arial Narrow" w:cs="Arial"/>
                <w:iCs/>
                <w:sz w:val="20"/>
                <w:szCs w:val="20"/>
              </w:rPr>
              <w:t>5</w:t>
            </w:r>
          </w:p>
        </w:tc>
        <w:tc>
          <w:tcPr>
            <w:tcW w:w="520" w:type="pct"/>
            <w:vMerge/>
            <w:vAlign w:val="center"/>
          </w:tcPr>
          <w:p w14:paraId="751F9BB0" w14:textId="77777777" w:rsidR="00322832" w:rsidRPr="008E6588" w:rsidRDefault="00322832" w:rsidP="00836DB5">
            <w:pPr>
              <w:keepLines/>
              <w:rPr>
                <w:rFonts w:ascii="Arial Narrow" w:hAnsi="Arial Narrow" w:cs="Arial"/>
                <w:sz w:val="20"/>
                <w:szCs w:val="20"/>
              </w:rPr>
            </w:pPr>
          </w:p>
        </w:tc>
      </w:tr>
      <w:tr w:rsidR="00FA144E" w:rsidRPr="008E6588" w14:paraId="7BA25E2F" w14:textId="77777777" w:rsidTr="00FA144E">
        <w:trPr>
          <w:cantSplit/>
          <w:trHeight w:val="20"/>
        </w:trPr>
        <w:tc>
          <w:tcPr>
            <w:tcW w:w="5000" w:type="pct"/>
            <w:gridSpan w:val="9"/>
            <w:vAlign w:val="center"/>
          </w:tcPr>
          <w:p w14:paraId="4BAE5FE9" w14:textId="77777777" w:rsidR="00FA144E" w:rsidRPr="008E6588" w:rsidRDefault="00FA144E" w:rsidP="00836DB5">
            <w:pPr>
              <w:keepLines/>
              <w:rPr>
                <w:rFonts w:ascii="Arial Narrow" w:hAnsi="Arial Narrow" w:cs="Arial"/>
                <w:sz w:val="20"/>
                <w:szCs w:val="20"/>
              </w:rPr>
            </w:pPr>
          </w:p>
        </w:tc>
      </w:tr>
      <w:tr w:rsidR="006A17A2" w:rsidRPr="008E6588" w14:paraId="617388F5" w14:textId="77777777" w:rsidTr="00836DB5">
        <w:tblPrEx>
          <w:tblCellMar>
            <w:top w:w="15" w:type="dxa"/>
            <w:bottom w:w="15" w:type="dxa"/>
          </w:tblCellMar>
          <w:tblLook w:val="04A0" w:firstRow="1" w:lastRow="0" w:firstColumn="1" w:lastColumn="0" w:noHBand="0" w:noVBand="1"/>
        </w:tblPrEx>
        <w:trPr>
          <w:trHeight w:val="20"/>
        </w:trPr>
        <w:tc>
          <w:tcPr>
            <w:tcW w:w="731" w:type="pct"/>
            <w:gridSpan w:val="3"/>
            <w:vMerge w:val="restart"/>
            <w:tcBorders>
              <w:top w:val="single" w:sz="4" w:space="0" w:color="auto"/>
              <w:left w:val="single" w:sz="4" w:space="0" w:color="auto"/>
              <w:right w:val="single" w:sz="4" w:space="0" w:color="auto"/>
            </w:tcBorders>
          </w:tcPr>
          <w:p w14:paraId="408F4D72" w14:textId="77777777" w:rsidR="006A17A2" w:rsidRPr="008E6588" w:rsidRDefault="006A17A2" w:rsidP="00836DB5">
            <w:pPr>
              <w:jc w:val="center"/>
              <w:rPr>
                <w:rFonts w:ascii="Arial Narrow" w:hAnsi="Arial Narrow" w:cs="Arial"/>
                <w:b/>
                <w:sz w:val="20"/>
                <w:szCs w:val="20"/>
              </w:rPr>
            </w:pPr>
            <w:r w:rsidRPr="008E6588">
              <w:rPr>
                <w:rFonts w:ascii="Arial Narrow" w:hAnsi="Arial Narrow" w:cs="Arial"/>
                <w:b/>
                <w:sz w:val="20"/>
                <w:szCs w:val="20"/>
              </w:rPr>
              <w:t xml:space="preserve">Concept ID </w:t>
            </w:r>
          </w:p>
          <w:p w14:paraId="549AEF12" w14:textId="77777777" w:rsidR="006A17A2" w:rsidRPr="008E6588" w:rsidRDefault="006A17A2" w:rsidP="00836DB5">
            <w:pPr>
              <w:jc w:val="center"/>
              <w:rPr>
                <w:rFonts w:ascii="Arial Narrow" w:hAnsi="Arial Narrow" w:cs="Arial"/>
                <w:b/>
                <w:sz w:val="20"/>
                <w:szCs w:val="20"/>
              </w:rPr>
            </w:pPr>
            <w:r w:rsidRPr="008E6588">
              <w:rPr>
                <w:rFonts w:ascii="Arial Narrow" w:hAnsi="Arial Narrow" w:cs="Arial"/>
                <w:sz w:val="20"/>
                <w:szCs w:val="20"/>
              </w:rPr>
              <w:t>(for internal Dept. use)</w:t>
            </w:r>
          </w:p>
        </w:tc>
        <w:tc>
          <w:tcPr>
            <w:tcW w:w="4269" w:type="pct"/>
            <w:gridSpan w:val="6"/>
            <w:tcBorders>
              <w:top w:val="single" w:sz="4" w:space="0" w:color="auto"/>
              <w:left w:val="single" w:sz="4" w:space="0" w:color="auto"/>
              <w:bottom w:val="single" w:sz="4" w:space="0" w:color="auto"/>
              <w:right w:val="single" w:sz="4" w:space="0" w:color="auto"/>
            </w:tcBorders>
            <w:vAlign w:val="center"/>
          </w:tcPr>
          <w:p w14:paraId="56D26B84" w14:textId="77777777" w:rsidR="006A17A2" w:rsidRPr="008E6588" w:rsidRDefault="006A17A2" w:rsidP="00836DB5">
            <w:pPr>
              <w:keepLines/>
              <w:rPr>
                <w:rFonts w:ascii="Arial Narrow" w:hAnsi="Arial Narrow" w:cs="Arial"/>
                <w:sz w:val="20"/>
                <w:szCs w:val="20"/>
              </w:rPr>
            </w:pPr>
            <w:r w:rsidRPr="008E6588">
              <w:rPr>
                <w:rFonts w:ascii="Arial Narrow" w:hAnsi="Arial Narrow" w:cs="Arial"/>
                <w:b/>
                <w:sz w:val="20"/>
                <w:szCs w:val="20"/>
              </w:rPr>
              <w:t>Category / Program:</w:t>
            </w:r>
            <w:r w:rsidRPr="008E6588">
              <w:rPr>
                <w:rFonts w:ascii="Arial Narrow" w:hAnsi="Arial Narrow" w:cs="Arial"/>
                <w:sz w:val="20"/>
                <w:szCs w:val="20"/>
              </w:rPr>
              <w:t xml:space="preserve"> </w:t>
            </w:r>
            <w:r w:rsidRPr="008E6588">
              <w:rPr>
                <w:rFonts w:ascii="Arial Narrow" w:eastAsia="Calibri" w:hAnsi="Arial Narrow" w:cs="Arial"/>
                <w:sz w:val="20"/>
                <w:szCs w:val="20"/>
              </w:rPr>
              <w:t>Section 100 – Highly Specialised Drugs Program – Public (Code HB)</w:t>
            </w:r>
            <w:r w:rsidRPr="008E6588">
              <w:rPr>
                <w:rFonts w:ascii="Arial Narrow" w:eastAsia="Calibri" w:hAnsi="Arial Narrow" w:cs="Arial"/>
                <w:color w:val="FF0000"/>
                <w:sz w:val="20"/>
                <w:szCs w:val="20"/>
              </w:rPr>
              <w:t xml:space="preserve"> </w:t>
            </w:r>
            <w:r w:rsidRPr="008E6588">
              <w:rPr>
                <w:rFonts w:ascii="Arial Narrow" w:eastAsia="Calibri" w:hAnsi="Arial Narrow" w:cs="Arial"/>
                <w:sz w:val="20"/>
                <w:szCs w:val="20"/>
              </w:rPr>
              <w:t>/ Private (Code HS)</w:t>
            </w:r>
          </w:p>
        </w:tc>
      </w:tr>
      <w:tr w:rsidR="006A17A2" w:rsidRPr="008E6588" w14:paraId="0CDC7DAC" w14:textId="77777777">
        <w:tblPrEx>
          <w:tblCellMar>
            <w:top w:w="15" w:type="dxa"/>
            <w:bottom w:w="15" w:type="dxa"/>
          </w:tblCellMar>
          <w:tblLook w:val="04A0" w:firstRow="1" w:lastRow="0" w:firstColumn="1" w:lastColumn="0" w:noHBand="0" w:noVBand="1"/>
        </w:tblPrEx>
        <w:trPr>
          <w:trHeight w:val="20"/>
        </w:trPr>
        <w:tc>
          <w:tcPr>
            <w:tcW w:w="731" w:type="pct"/>
            <w:gridSpan w:val="3"/>
            <w:vMerge/>
            <w:tcBorders>
              <w:left w:val="single" w:sz="4" w:space="0" w:color="auto"/>
              <w:right w:val="single" w:sz="4" w:space="0" w:color="auto"/>
            </w:tcBorders>
          </w:tcPr>
          <w:p w14:paraId="285A0F53" w14:textId="77777777" w:rsidR="006A17A2" w:rsidRPr="008E6588" w:rsidRDefault="006A17A2" w:rsidP="00836DB5">
            <w:pPr>
              <w:rPr>
                <w:rFonts w:ascii="Arial Narrow" w:hAnsi="Arial Narrow" w:cs="Arial"/>
                <w:sz w:val="20"/>
                <w:szCs w:val="20"/>
              </w:rPr>
            </w:pPr>
          </w:p>
        </w:tc>
        <w:tc>
          <w:tcPr>
            <w:tcW w:w="4269" w:type="pct"/>
            <w:gridSpan w:val="6"/>
            <w:tcBorders>
              <w:top w:val="single" w:sz="4" w:space="0" w:color="auto"/>
              <w:left w:val="single" w:sz="4" w:space="0" w:color="auto"/>
              <w:bottom w:val="single" w:sz="4" w:space="0" w:color="auto"/>
              <w:right w:val="single" w:sz="4" w:space="0" w:color="auto"/>
            </w:tcBorders>
            <w:vAlign w:val="center"/>
          </w:tcPr>
          <w:p w14:paraId="220AA158" w14:textId="77777777" w:rsidR="006A17A2" w:rsidRPr="008E6588" w:rsidRDefault="006A17A2" w:rsidP="00836DB5">
            <w:pPr>
              <w:keepLines/>
              <w:rPr>
                <w:rFonts w:ascii="Arial Narrow" w:hAnsi="Arial Narrow" w:cs="Arial"/>
                <w:b/>
                <w:sz w:val="20"/>
                <w:szCs w:val="20"/>
              </w:rPr>
            </w:pPr>
            <w:r w:rsidRPr="008E6588">
              <w:rPr>
                <w:rFonts w:ascii="Arial Narrow" w:hAnsi="Arial Narrow" w:cs="Arial"/>
                <w:b/>
                <w:sz w:val="20"/>
                <w:szCs w:val="20"/>
              </w:rPr>
              <w:t xml:space="preserve">Prescriber type: </w:t>
            </w:r>
            <w:r w:rsidRPr="008E6588">
              <w:rPr>
                <w:rFonts w:ascii="Arial Narrow" w:hAnsi="Arial Narrow" w:cs="Arial"/>
                <w:sz w:val="20"/>
                <w:szCs w:val="20"/>
              </w:rPr>
              <w:fldChar w:fldCharType="begin" w:fldLock="1">
                <w:ffData>
                  <w:name w:val=""/>
                  <w:enabled/>
                  <w:calcOnExit w:val="0"/>
                  <w:checkBox>
                    <w:sizeAuto/>
                    <w:default w:val="1"/>
                  </w:checkBox>
                </w:ffData>
              </w:fldChar>
            </w:r>
            <w:r w:rsidRPr="008E6588">
              <w:rPr>
                <w:rFonts w:ascii="Arial Narrow" w:hAnsi="Arial Narrow" w:cs="Arial"/>
                <w:sz w:val="20"/>
                <w:szCs w:val="20"/>
              </w:rPr>
              <w:instrText xml:space="preserve"> FORMCHECKBOX </w:instrText>
            </w:r>
            <w:r w:rsidRPr="008E6588">
              <w:rPr>
                <w:rFonts w:ascii="Arial Narrow" w:hAnsi="Arial Narrow" w:cs="Arial"/>
                <w:sz w:val="20"/>
                <w:szCs w:val="20"/>
              </w:rPr>
            </w:r>
            <w:r w:rsidRPr="008E6588">
              <w:rPr>
                <w:rFonts w:ascii="Arial Narrow" w:hAnsi="Arial Narrow" w:cs="Arial"/>
                <w:sz w:val="20"/>
                <w:szCs w:val="20"/>
              </w:rPr>
              <w:fldChar w:fldCharType="separate"/>
            </w:r>
            <w:r w:rsidRPr="008E6588">
              <w:rPr>
                <w:rFonts w:ascii="Arial Narrow" w:hAnsi="Arial Narrow" w:cs="Arial"/>
                <w:sz w:val="20"/>
                <w:szCs w:val="20"/>
              </w:rPr>
              <w:fldChar w:fldCharType="end"/>
            </w:r>
            <w:r w:rsidRPr="008E6588">
              <w:rPr>
                <w:rFonts w:ascii="Arial Narrow" w:hAnsi="Arial Narrow" w:cs="Arial"/>
                <w:sz w:val="20"/>
                <w:szCs w:val="20"/>
              </w:rPr>
              <w:t xml:space="preserve">Medical Practitioners </w:t>
            </w:r>
          </w:p>
        </w:tc>
      </w:tr>
      <w:tr w:rsidR="006A17A2" w:rsidRPr="008E6588" w14:paraId="1E0C5CE9" w14:textId="77777777">
        <w:tblPrEx>
          <w:tblCellMar>
            <w:top w:w="15" w:type="dxa"/>
            <w:bottom w:w="15" w:type="dxa"/>
          </w:tblCellMar>
          <w:tblLook w:val="04A0" w:firstRow="1" w:lastRow="0" w:firstColumn="1" w:lastColumn="0" w:noHBand="0" w:noVBand="1"/>
        </w:tblPrEx>
        <w:trPr>
          <w:trHeight w:val="20"/>
        </w:trPr>
        <w:tc>
          <w:tcPr>
            <w:tcW w:w="731" w:type="pct"/>
            <w:gridSpan w:val="3"/>
            <w:vMerge/>
            <w:tcBorders>
              <w:left w:val="single" w:sz="4" w:space="0" w:color="auto"/>
              <w:right w:val="single" w:sz="4" w:space="0" w:color="auto"/>
            </w:tcBorders>
          </w:tcPr>
          <w:p w14:paraId="01CDD4A7" w14:textId="77777777" w:rsidR="006A17A2" w:rsidRPr="008E6588" w:rsidRDefault="006A17A2" w:rsidP="00836DB5">
            <w:pPr>
              <w:rPr>
                <w:rFonts w:ascii="Arial Narrow" w:hAnsi="Arial Narrow" w:cs="Arial"/>
                <w:sz w:val="20"/>
                <w:szCs w:val="20"/>
              </w:rPr>
            </w:pPr>
          </w:p>
        </w:tc>
        <w:tc>
          <w:tcPr>
            <w:tcW w:w="4269" w:type="pct"/>
            <w:gridSpan w:val="6"/>
            <w:tcBorders>
              <w:top w:val="single" w:sz="4" w:space="0" w:color="auto"/>
              <w:left w:val="single" w:sz="4" w:space="0" w:color="auto"/>
              <w:bottom w:val="single" w:sz="4" w:space="0" w:color="auto"/>
              <w:right w:val="single" w:sz="4" w:space="0" w:color="auto"/>
            </w:tcBorders>
            <w:vAlign w:val="center"/>
          </w:tcPr>
          <w:p w14:paraId="5063C1BD" w14:textId="77777777" w:rsidR="006A17A2" w:rsidRPr="008E6588" w:rsidRDefault="006A17A2" w:rsidP="00836DB5">
            <w:pPr>
              <w:keepLines/>
              <w:rPr>
                <w:rFonts w:ascii="Arial Narrow" w:eastAsia="Calibri" w:hAnsi="Arial Narrow" w:cs="Arial"/>
                <w:color w:val="FF0000"/>
                <w:sz w:val="20"/>
                <w:szCs w:val="20"/>
              </w:rPr>
            </w:pPr>
            <w:r w:rsidRPr="008E6588">
              <w:rPr>
                <w:rFonts w:ascii="Arial Narrow" w:hAnsi="Arial Narrow" w:cs="Arial"/>
                <w:b/>
                <w:sz w:val="20"/>
                <w:szCs w:val="20"/>
              </w:rPr>
              <w:t xml:space="preserve">Restriction type: </w:t>
            </w:r>
            <w:r w:rsidRPr="008E6588">
              <w:rPr>
                <w:rFonts w:ascii="Arial Narrow" w:eastAsia="Calibri" w:hAnsi="Arial Narrow" w:cs="Arial"/>
                <w:sz w:val="20"/>
                <w:szCs w:val="20"/>
              </w:rPr>
              <w:fldChar w:fldCharType="begin" w:fldLock="1">
                <w:ffData>
                  <w:name w:val=""/>
                  <w:enabled/>
                  <w:calcOnExit w:val="0"/>
                  <w:checkBox>
                    <w:sizeAuto/>
                    <w:default w:val="1"/>
                  </w:checkBox>
                </w:ffData>
              </w:fldChar>
            </w:r>
            <w:r w:rsidRPr="008E6588">
              <w:rPr>
                <w:rFonts w:ascii="Arial Narrow" w:eastAsia="Calibri" w:hAnsi="Arial Narrow" w:cs="Arial"/>
                <w:sz w:val="20"/>
                <w:szCs w:val="20"/>
              </w:rPr>
              <w:instrText xml:space="preserve"> FORMCHECKBOX </w:instrText>
            </w:r>
            <w:r w:rsidRPr="008E6588">
              <w:rPr>
                <w:rFonts w:ascii="Arial Narrow" w:eastAsia="Calibri" w:hAnsi="Arial Narrow" w:cs="Arial"/>
                <w:sz w:val="20"/>
                <w:szCs w:val="20"/>
              </w:rPr>
            </w:r>
            <w:r w:rsidRPr="008E6588">
              <w:rPr>
                <w:rFonts w:ascii="Arial Narrow" w:eastAsia="Calibri" w:hAnsi="Arial Narrow" w:cs="Arial"/>
                <w:sz w:val="20"/>
                <w:szCs w:val="20"/>
              </w:rPr>
              <w:fldChar w:fldCharType="separate"/>
            </w:r>
            <w:r w:rsidRPr="008E6588">
              <w:rPr>
                <w:rFonts w:ascii="Arial Narrow" w:eastAsia="Calibri" w:hAnsi="Arial Narrow" w:cs="Arial"/>
                <w:sz w:val="20"/>
                <w:szCs w:val="20"/>
              </w:rPr>
              <w:fldChar w:fldCharType="end"/>
            </w:r>
            <w:r w:rsidRPr="008E6588">
              <w:rPr>
                <w:rFonts w:ascii="Arial Narrow" w:eastAsia="Calibri" w:hAnsi="Arial Narrow" w:cs="Arial"/>
                <w:sz w:val="20"/>
                <w:szCs w:val="20"/>
              </w:rPr>
              <w:t xml:space="preserve"> Authority Required (telephone/online PBS Authorities system)</w:t>
            </w:r>
          </w:p>
        </w:tc>
      </w:tr>
      <w:tr w:rsidR="00A32CF4" w:rsidRPr="008E6588" w14:paraId="4FC14E36" w14:textId="77777777">
        <w:tblPrEx>
          <w:tblCellMar>
            <w:top w:w="15" w:type="dxa"/>
            <w:bottom w:w="15" w:type="dxa"/>
          </w:tblCellMar>
          <w:tblLook w:val="04A0" w:firstRow="1" w:lastRow="0" w:firstColumn="1" w:lastColumn="0" w:noHBand="0" w:noVBand="1"/>
        </w:tblPrEx>
        <w:trPr>
          <w:trHeight w:val="20"/>
        </w:trPr>
        <w:tc>
          <w:tcPr>
            <w:tcW w:w="731" w:type="pct"/>
            <w:gridSpan w:val="3"/>
            <w:vMerge/>
            <w:tcBorders>
              <w:left w:val="single" w:sz="4" w:space="0" w:color="auto"/>
              <w:right w:val="single" w:sz="4" w:space="0" w:color="auto"/>
            </w:tcBorders>
          </w:tcPr>
          <w:p w14:paraId="6FA6EF0A" w14:textId="77777777" w:rsidR="00A32CF4" w:rsidRPr="008E6588" w:rsidRDefault="00A32CF4">
            <w:pPr>
              <w:rPr>
                <w:rFonts w:ascii="Arial Narrow" w:hAnsi="Arial Narrow" w:cs="Arial"/>
                <w:sz w:val="20"/>
                <w:szCs w:val="20"/>
              </w:rPr>
            </w:pPr>
          </w:p>
        </w:tc>
        <w:tc>
          <w:tcPr>
            <w:tcW w:w="4269" w:type="pct"/>
            <w:gridSpan w:val="6"/>
            <w:tcBorders>
              <w:top w:val="single" w:sz="4" w:space="0" w:color="auto"/>
              <w:left w:val="single" w:sz="4" w:space="0" w:color="auto"/>
              <w:bottom w:val="single" w:sz="4" w:space="0" w:color="auto"/>
              <w:right w:val="single" w:sz="4" w:space="0" w:color="auto"/>
            </w:tcBorders>
            <w:vAlign w:val="center"/>
          </w:tcPr>
          <w:p w14:paraId="722D5275" w14:textId="06BAF643" w:rsidR="00A32CF4" w:rsidRPr="008E6588" w:rsidRDefault="00A32CF4">
            <w:pPr>
              <w:keepLines/>
              <w:rPr>
                <w:rFonts w:ascii="Arial Narrow" w:hAnsi="Arial Narrow" w:cs="Arial"/>
                <w:b/>
                <w:sz w:val="20"/>
                <w:szCs w:val="20"/>
              </w:rPr>
            </w:pPr>
            <w:r w:rsidRPr="008E6588">
              <w:rPr>
                <w:rFonts w:ascii="Arial Narrow" w:hAnsi="Arial Narrow"/>
                <w:b/>
                <w:sz w:val="20"/>
                <w:szCs w:val="20"/>
              </w:rPr>
              <w:t xml:space="preserve">Authority type: </w:t>
            </w:r>
            <w:r w:rsidRPr="008E6588">
              <w:rPr>
                <w:rFonts w:ascii="Arial Narrow" w:eastAsia="Calibri" w:hAnsi="Arial Narrow"/>
                <w:sz w:val="20"/>
                <w:szCs w:val="20"/>
              </w:rPr>
              <w:fldChar w:fldCharType="begin" w:fldLock="1">
                <w:ffData>
                  <w:name w:val=""/>
                  <w:enabled/>
                  <w:calcOnExit w:val="0"/>
                  <w:checkBox>
                    <w:sizeAuto/>
                    <w:default w:val="1"/>
                  </w:checkBox>
                </w:ffData>
              </w:fldChar>
            </w:r>
            <w:r w:rsidRPr="008E6588">
              <w:rPr>
                <w:rFonts w:ascii="Arial Narrow" w:eastAsia="Calibri" w:hAnsi="Arial Narrow"/>
                <w:sz w:val="20"/>
                <w:szCs w:val="20"/>
              </w:rPr>
              <w:instrText xml:space="preserve"> FORMCHECKBOX </w:instrText>
            </w:r>
            <w:r w:rsidRPr="008E6588">
              <w:rPr>
                <w:rFonts w:ascii="Arial Narrow" w:eastAsia="Calibri" w:hAnsi="Arial Narrow"/>
                <w:sz w:val="20"/>
                <w:szCs w:val="20"/>
              </w:rPr>
            </w:r>
            <w:r w:rsidRPr="008E6588">
              <w:rPr>
                <w:rFonts w:ascii="Arial Narrow" w:eastAsia="Calibri" w:hAnsi="Arial Narrow"/>
                <w:sz w:val="20"/>
                <w:szCs w:val="20"/>
              </w:rPr>
              <w:fldChar w:fldCharType="separate"/>
            </w:r>
            <w:r w:rsidRPr="008E6588">
              <w:rPr>
                <w:rFonts w:ascii="Arial Narrow" w:eastAsia="Calibri" w:hAnsi="Arial Narrow"/>
                <w:sz w:val="20"/>
                <w:szCs w:val="20"/>
              </w:rPr>
              <w:fldChar w:fldCharType="end"/>
            </w:r>
            <w:r w:rsidRPr="008E6588">
              <w:rPr>
                <w:rFonts w:ascii="Arial Narrow" w:eastAsia="Calibri" w:hAnsi="Arial Narrow"/>
                <w:sz w:val="20"/>
                <w:szCs w:val="20"/>
              </w:rPr>
              <w:t xml:space="preserve"> Complex Authority Required (CAR)</w:t>
            </w:r>
          </w:p>
        </w:tc>
      </w:tr>
      <w:tr w:rsidR="006A17A2" w:rsidRPr="008E6588" w14:paraId="332CE32B" w14:textId="77777777" w:rsidTr="00836DB5">
        <w:tblPrEx>
          <w:tblCellMar>
            <w:top w:w="15" w:type="dxa"/>
            <w:bottom w:w="15" w:type="dxa"/>
          </w:tblCellMar>
        </w:tblPrEx>
        <w:trPr>
          <w:cantSplit/>
          <w:trHeight w:val="57"/>
        </w:trPr>
        <w:tc>
          <w:tcPr>
            <w:tcW w:w="311" w:type="pct"/>
            <w:vMerge w:val="restart"/>
            <w:tcBorders>
              <w:left w:val="single" w:sz="4" w:space="0" w:color="auto"/>
              <w:right w:val="single" w:sz="4" w:space="0" w:color="auto"/>
            </w:tcBorders>
            <w:textDirection w:val="btLr"/>
          </w:tcPr>
          <w:p w14:paraId="5B551AAE" w14:textId="77777777" w:rsidR="006A17A2" w:rsidRPr="008E6588" w:rsidRDefault="006A17A2" w:rsidP="00836DB5">
            <w:pPr>
              <w:ind w:left="113" w:right="113"/>
              <w:jc w:val="center"/>
              <w:rPr>
                <w:rFonts w:ascii="Arial Narrow" w:hAnsi="Arial Narrow" w:cs="Arial"/>
                <w:sz w:val="20"/>
                <w:szCs w:val="20"/>
              </w:rPr>
            </w:pPr>
            <w:r w:rsidRPr="008E6588">
              <w:rPr>
                <w:rFonts w:ascii="Arial Narrow" w:hAnsi="Arial Narrow" w:cs="Arial"/>
                <w:sz w:val="20"/>
                <w:szCs w:val="20"/>
              </w:rPr>
              <w:t>Prescribing rule level</w:t>
            </w:r>
          </w:p>
        </w:tc>
        <w:tc>
          <w:tcPr>
            <w:tcW w:w="420" w:type="pct"/>
            <w:gridSpan w:val="2"/>
            <w:tcBorders>
              <w:left w:val="single" w:sz="4" w:space="0" w:color="auto"/>
              <w:right w:val="single" w:sz="4" w:space="0" w:color="auto"/>
            </w:tcBorders>
          </w:tcPr>
          <w:p w14:paraId="6AED5C5A" w14:textId="79E9CEA5" w:rsidR="006A17A2" w:rsidRPr="008E6588" w:rsidRDefault="006A17A2" w:rsidP="00836DB5">
            <w:pPr>
              <w:jc w:val="left"/>
              <w:rPr>
                <w:rFonts w:ascii="Arial Narrow" w:hAnsi="Arial Narrow" w:cs="Arial"/>
                <w:sz w:val="20"/>
                <w:szCs w:val="20"/>
              </w:rPr>
            </w:pPr>
          </w:p>
        </w:tc>
        <w:tc>
          <w:tcPr>
            <w:tcW w:w="4269" w:type="pct"/>
            <w:gridSpan w:val="6"/>
            <w:tcBorders>
              <w:top w:val="single" w:sz="4" w:space="0" w:color="auto"/>
              <w:left w:val="single" w:sz="4" w:space="0" w:color="auto"/>
              <w:bottom w:val="single" w:sz="4" w:space="0" w:color="auto"/>
              <w:right w:val="single" w:sz="4" w:space="0" w:color="auto"/>
            </w:tcBorders>
          </w:tcPr>
          <w:p w14:paraId="2EFCCC0D" w14:textId="77777777" w:rsidR="006A17A2" w:rsidRPr="008E6588" w:rsidRDefault="006A17A2" w:rsidP="00836DB5">
            <w:pPr>
              <w:keepLines/>
              <w:jc w:val="left"/>
              <w:rPr>
                <w:rFonts w:ascii="Arial Narrow" w:hAnsi="Arial Narrow" w:cs="Arial"/>
                <w:b/>
                <w:sz w:val="20"/>
                <w:szCs w:val="20"/>
              </w:rPr>
            </w:pPr>
            <w:r w:rsidRPr="008E6588">
              <w:rPr>
                <w:rFonts w:ascii="Arial Narrow" w:hAnsi="Arial Narrow" w:cs="Arial"/>
                <w:b/>
                <w:sz w:val="20"/>
                <w:szCs w:val="20"/>
              </w:rPr>
              <w:t>Administrative Advice</w:t>
            </w:r>
            <w:r w:rsidRPr="008E6588">
              <w:rPr>
                <w:rFonts w:ascii="Arial Narrow" w:hAnsi="Arial Narrow" w:cs="Arial"/>
                <w:sz w:val="20"/>
                <w:szCs w:val="20"/>
              </w:rPr>
              <w:t>:</w:t>
            </w:r>
            <w:r w:rsidRPr="008E6588">
              <w:rPr>
                <w:rFonts w:ascii="Arial Narrow" w:hAnsi="Arial Narrow" w:cs="Open Sans"/>
                <w:color w:val="333333"/>
                <w:sz w:val="20"/>
                <w:szCs w:val="20"/>
                <w:shd w:val="clear" w:color="auto" w:fill="FFFFFF"/>
              </w:rPr>
              <w:t xml:space="preserve"> A proportion of patients respond to 150 mg 4-weekly so where a substantial improvement has been obtained with a 300 mg dose it is reasonable to back-titrate dose after initial treatment.</w:t>
            </w:r>
          </w:p>
        </w:tc>
      </w:tr>
      <w:tr w:rsidR="006A17A2" w:rsidRPr="008E6588" w14:paraId="765389B1" w14:textId="77777777" w:rsidTr="00836DB5">
        <w:tblPrEx>
          <w:tblCellMar>
            <w:top w:w="15" w:type="dxa"/>
            <w:bottom w:w="15" w:type="dxa"/>
          </w:tblCellMar>
        </w:tblPrEx>
        <w:trPr>
          <w:cantSplit/>
          <w:trHeight w:val="57"/>
        </w:trPr>
        <w:tc>
          <w:tcPr>
            <w:tcW w:w="311" w:type="pct"/>
            <w:vMerge/>
            <w:tcBorders>
              <w:left w:val="single" w:sz="4" w:space="0" w:color="auto"/>
              <w:right w:val="single" w:sz="4" w:space="0" w:color="auto"/>
            </w:tcBorders>
            <w:textDirection w:val="btLr"/>
          </w:tcPr>
          <w:p w14:paraId="5C13B74B" w14:textId="77777777" w:rsidR="006A17A2" w:rsidRPr="008E6588" w:rsidRDefault="006A17A2" w:rsidP="00836DB5">
            <w:pPr>
              <w:ind w:left="113" w:right="113"/>
              <w:jc w:val="center"/>
              <w:rPr>
                <w:rFonts w:ascii="Arial Narrow" w:hAnsi="Arial Narrow" w:cs="Arial"/>
                <w:sz w:val="20"/>
                <w:szCs w:val="20"/>
              </w:rPr>
            </w:pPr>
          </w:p>
        </w:tc>
        <w:tc>
          <w:tcPr>
            <w:tcW w:w="420" w:type="pct"/>
            <w:gridSpan w:val="2"/>
            <w:tcBorders>
              <w:left w:val="single" w:sz="4" w:space="0" w:color="auto"/>
              <w:right w:val="single" w:sz="4" w:space="0" w:color="auto"/>
            </w:tcBorders>
          </w:tcPr>
          <w:p w14:paraId="7B6BADCE" w14:textId="19A97DF0" w:rsidR="006A17A2" w:rsidRPr="008E6588" w:rsidRDefault="006A17A2" w:rsidP="00836DB5">
            <w:pPr>
              <w:jc w:val="left"/>
              <w:rPr>
                <w:rFonts w:ascii="Arial Narrow" w:hAnsi="Arial Narrow" w:cs="Arial"/>
                <w:sz w:val="20"/>
                <w:szCs w:val="20"/>
              </w:rPr>
            </w:pPr>
          </w:p>
        </w:tc>
        <w:tc>
          <w:tcPr>
            <w:tcW w:w="4269" w:type="pct"/>
            <w:gridSpan w:val="6"/>
            <w:tcBorders>
              <w:top w:val="single" w:sz="4" w:space="0" w:color="auto"/>
              <w:left w:val="single" w:sz="4" w:space="0" w:color="auto"/>
              <w:bottom w:val="single" w:sz="4" w:space="0" w:color="auto"/>
              <w:right w:val="single" w:sz="4" w:space="0" w:color="auto"/>
            </w:tcBorders>
          </w:tcPr>
          <w:p w14:paraId="6CF7B7D0" w14:textId="77777777" w:rsidR="006A17A2" w:rsidRPr="008E6588" w:rsidRDefault="006A17A2" w:rsidP="00836DB5">
            <w:pPr>
              <w:keepLines/>
              <w:jc w:val="left"/>
              <w:rPr>
                <w:rFonts w:ascii="Arial Narrow" w:hAnsi="Arial Narrow" w:cs="Arial"/>
                <w:b/>
                <w:sz w:val="20"/>
                <w:szCs w:val="20"/>
              </w:rPr>
            </w:pPr>
            <w:r w:rsidRPr="008E6588">
              <w:rPr>
                <w:rFonts w:ascii="Arial Narrow" w:hAnsi="Arial Narrow" w:cs="Arial"/>
                <w:b/>
                <w:sz w:val="20"/>
                <w:szCs w:val="20"/>
              </w:rPr>
              <w:t>Administrative Advice</w:t>
            </w:r>
            <w:r w:rsidRPr="008E6588">
              <w:rPr>
                <w:rFonts w:ascii="Arial Narrow" w:hAnsi="Arial Narrow" w:cs="Arial"/>
                <w:sz w:val="20"/>
                <w:szCs w:val="20"/>
              </w:rPr>
              <w:t>: Cessation of therapy should be considered after the patient has demonstrated clinical benefit with omalizumab to re-evaluate the need for continued therapy. Any patient who ceases therapy and whose CSU relapses will need to re-initiate PBS-subsidised omalizumab as a new patient.</w:t>
            </w:r>
          </w:p>
        </w:tc>
      </w:tr>
      <w:tr w:rsidR="006A17A2" w:rsidRPr="008E6588" w14:paraId="2B9D1BC0" w14:textId="77777777" w:rsidTr="00836DB5">
        <w:tblPrEx>
          <w:tblCellMar>
            <w:top w:w="15" w:type="dxa"/>
            <w:bottom w:w="15" w:type="dxa"/>
          </w:tblCellMar>
        </w:tblPrEx>
        <w:trPr>
          <w:cantSplit/>
          <w:trHeight w:val="57"/>
        </w:trPr>
        <w:tc>
          <w:tcPr>
            <w:tcW w:w="311" w:type="pct"/>
            <w:vMerge/>
            <w:tcBorders>
              <w:left w:val="single" w:sz="4" w:space="0" w:color="auto"/>
              <w:right w:val="single" w:sz="4" w:space="0" w:color="auto"/>
            </w:tcBorders>
          </w:tcPr>
          <w:p w14:paraId="7DD63120" w14:textId="77777777" w:rsidR="006A17A2" w:rsidRPr="008E6588" w:rsidRDefault="006A17A2" w:rsidP="00836DB5">
            <w:pPr>
              <w:jc w:val="left"/>
              <w:rPr>
                <w:rFonts w:ascii="Arial Narrow" w:hAnsi="Arial Narrow" w:cs="Arial"/>
                <w:sz w:val="20"/>
                <w:szCs w:val="20"/>
              </w:rPr>
            </w:pPr>
          </w:p>
        </w:tc>
        <w:tc>
          <w:tcPr>
            <w:tcW w:w="420" w:type="pct"/>
            <w:gridSpan w:val="2"/>
            <w:tcBorders>
              <w:left w:val="single" w:sz="4" w:space="0" w:color="auto"/>
              <w:right w:val="single" w:sz="4" w:space="0" w:color="auto"/>
            </w:tcBorders>
          </w:tcPr>
          <w:p w14:paraId="31B37239" w14:textId="77777777" w:rsidR="006A17A2" w:rsidRPr="008E6588" w:rsidRDefault="006A17A2" w:rsidP="00836DB5">
            <w:pPr>
              <w:jc w:val="left"/>
              <w:textAlignment w:val="baseline"/>
              <w:rPr>
                <w:rFonts w:ascii="Arial Narrow" w:hAnsi="Arial Narrow" w:cs="Open Sans"/>
                <w:color w:val="333333"/>
                <w:sz w:val="20"/>
                <w:szCs w:val="20"/>
              </w:rPr>
            </w:pPr>
          </w:p>
        </w:tc>
        <w:tc>
          <w:tcPr>
            <w:tcW w:w="4269" w:type="pct"/>
            <w:gridSpan w:val="6"/>
            <w:tcBorders>
              <w:top w:val="single" w:sz="4" w:space="0" w:color="auto"/>
              <w:left w:val="single" w:sz="4" w:space="0" w:color="auto"/>
              <w:bottom w:val="single" w:sz="4" w:space="0" w:color="auto"/>
              <w:right w:val="single" w:sz="4" w:space="0" w:color="auto"/>
            </w:tcBorders>
          </w:tcPr>
          <w:p w14:paraId="4C31BFEF" w14:textId="77777777" w:rsidR="006A17A2" w:rsidRPr="008E6588" w:rsidRDefault="006A17A2" w:rsidP="00836DB5">
            <w:pPr>
              <w:keepLines/>
              <w:rPr>
                <w:rFonts w:ascii="Arial Narrow" w:hAnsi="Arial Narrow" w:cs="Arial"/>
                <w:sz w:val="20"/>
                <w:szCs w:val="20"/>
              </w:rPr>
            </w:pPr>
            <w:r w:rsidRPr="008E6588">
              <w:rPr>
                <w:rFonts w:ascii="Arial Narrow" w:hAnsi="Arial Narrow" w:cs="Arial"/>
                <w:b/>
                <w:sz w:val="20"/>
                <w:szCs w:val="20"/>
              </w:rPr>
              <w:t>Administrative Advice</w:t>
            </w:r>
            <w:r w:rsidRPr="008E6588">
              <w:rPr>
                <w:rFonts w:ascii="Arial Narrow" w:hAnsi="Arial Narrow" w:cs="Arial"/>
                <w:sz w:val="20"/>
                <w:szCs w:val="20"/>
              </w:rPr>
              <w:t>: 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r w:rsidR="006A17A2" w:rsidRPr="008E6588" w14:paraId="446A05DC" w14:textId="77777777" w:rsidTr="00836DB5">
        <w:tblPrEx>
          <w:tblCellMar>
            <w:top w:w="15" w:type="dxa"/>
            <w:bottom w:w="15" w:type="dxa"/>
          </w:tblCellMar>
        </w:tblPrEx>
        <w:trPr>
          <w:cantSplit/>
          <w:trHeight w:val="57"/>
        </w:trPr>
        <w:tc>
          <w:tcPr>
            <w:tcW w:w="311" w:type="pct"/>
            <w:vMerge/>
            <w:tcBorders>
              <w:left w:val="single" w:sz="4" w:space="0" w:color="auto"/>
              <w:right w:val="single" w:sz="4" w:space="0" w:color="auto"/>
            </w:tcBorders>
          </w:tcPr>
          <w:p w14:paraId="453E6C1E" w14:textId="77777777" w:rsidR="006A17A2" w:rsidRPr="008E6588" w:rsidRDefault="006A17A2" w:rsidP="00836DB5">
            <w:pPr>
              <w:jc w:val="left"/>
              <w:rPr>
                <w:rFonts w:ascii="Arial Narrow" w:hAnsi="Arial Narrow" w:cs="Arial"/>
                <w:sz w:val="20"/>
                <w:szCs w:val="20"/>
              </w:rPr>
            </w:pPr>
          </w:p>
        </w:tc>
        <w:tc>
          <w:tcPr>
            <w:tcW w:w="420" w:type="pct"/>
            <w:gridSpan w:val="2"/>
            <w:tcBorders>
              <w:left w:val="single" w:sz="4" w:space="0" w:color="auto"/>
              <w:right w:val="single" w:sz="4" w:space="0" w:color="auto"/>
            </w:tcBorders>
          </w:tcPr>
          <w:p w14:paraId="06C68CCD" w14:textId="291B5504" w:rsidR="006A17A2" w:rsidRPr="008E6588" w:rsidRDefault="006A17A2" w:rsidP="00836DB5">
            <w:pPr>
              <w:jc w:val="left"/>
              <w:outlineLvl w:val="4"/>
              <w:rPr>
                <w:rFonts w:ascii="Arial Narrow" w:hAnsi="Arial Narrow"/>
                <w:b/>
                <w:sz w:val="20"/>
                <w:szCs w:val="20"/>
              </w:rPr>
            </w:pPr>
          </w:p>
        </w:tc>
        <w:tc>
          <w:tcPr>
            <w:tcW w:w="4269" w:type="pct"/>
            <w:gridSpan w:val="6"/>
            <w:tcBorders>
              <w:top w:val="single" w:sz="4" w:space="0" w:color="auto"/>
              <w:left w:val="single" w:sz="4" w:space="0" w:color="auto"/>
              <w:bottom w:val="single" w:sz="4" w:space="0" w:color="auto"/>
              <w:right w:val="single" w:sz="4" w:space="0" w:color="auto"/>
            </w:tcBorders>
          </w:tcPr>
          <w:p w14:paraId="0A14360B" w14:textId="34AFEFC0" w:rsidR="006A17A2" w:rsidRPr="008E6588" w:rsidRDefault="006A17A2" w:rsidP="00836DB5">
            <w:pPr>
              <w:textAlignment w:val="baseline"/>
              <w:rPr>
                <w:rFonts w:ascii="Arial Narrow" w:hAnsi="Arial Narrow" w:cs="Arial"/>
                <w:b/>
                <w:sz w:val="20"/>
                <w:szCs w:val="20"/>
              </w:rPr>
            </w:pPr>
            <w:r w:rsidRPr="008E6588">
              <w:rPr>
                <w:rFonts w:ascii="Arial Narrow" w:hAnsi="Arial Narrow"/>
                <w:b/>
                <w:bCs/>
                <w:sz w:val="20"/>
                <w:szCs w:val="20"/>
              </w:rPr>
              <w:t xml:space="preserve">Administrative Advice: </w:t>
            </w:r>
            <w:r w:rsidR="00080A58" w:rsidRPr="008E6588">
              <w:rPr>
                <w:rFonts w:ascii="Arial Narrow" w:hAnsi="Arial Narrow"/>
                <w:iCs/>
                <w:sz w:val="20"/>
                <w:szCs w:val="20"/>
              </w:rPr>
              <w:t xml:space="preserve">Pharmaceutical benefits that have the form omalizumab </w:t>
            </w:r>
            <w:r w:rsidR="00080A58" w:rsidRPr="008E6588">
              <w:rPr>
                <w:rFonts w:ascii="Arial Narrow" w:hAnsi="Arial Narrow" w:cs="Arial"/>
                <w:iCs/>
                <w:sz w:val="20"/>
                <w:szCs w:val="20"/>
              </w:rPr>
              <w:t xml:space="preserve">300 mg/2 mL </w:t>
            </w:r>
            <w:r w:rsidR="00080A58" w:rsidRPr="008E6588">
              <w:rPr>
                <w:rFonts w:ascii="Arial Narrow" w:hAnsi="Arial Narrow"/>
                <w:iCs/>
                <w:sz w:val="20"/>
                <w:szCs w:val="20"/>
              </w:rPr>
              <w:t xml:space="preserve">syringes and pharmaceutical benefits that have the form omalizumab </w:t>
            </w:r>
            <w:r w:rsidR="00080A58" w:rsidRPr="008E6588">
              <w:rPr>
                <w:rFonts w:ascii="Arial Narrow" w:hAnsi="Arial Narrow" w:cs="Arial"/>
                <w:iCs/>
                <w:sz w:val="20"/>
                <w:szCs w:val="20"/>
              </w:rPr>
              <w:t xml:space="preserve">300 mg/2 mL </w:t>
            </w:r>
            <w:r w:rsidR="00080A58" w:rsidRPr="008E6588">
              <w:rPr>
                <w:rFonts w:ascii="Arial Narrow" w:hAnsi="Arial Narrow"/>
                <w:iCs/>
                <w:sz w:val="20"/>
                <w:szCs w:val="20"/>
              </w:rPr>
              <w:t>pen devices are equivalent for the purposes of substitution.</w:t>
            </w:r>
          </w:p>
        </w:tc>
      </w:tr>
      <w:tr w:rsidR="006A17A2" w:rsidRPr="008E6588" w14:paraId="7DD29AE2" w14:textId="77777777" w:rsidTr="00836DB5">
        <w:tblPrEx>
          <w:tblCellMar>
            <w:top w:w="15" w:type="dxa"/>
            <w:bottom w:w="15" w:type="dxa"/>
          </w:tblCellMar>
          <w:tblLook w:val="04A0" w:firstRow="1" w:lastRow="0" w:firstColumn="1" w:lastColumn="0" w:noHBand="0" w:noVBand="1"/>
        </w:tblPrEx>
        <w:trPr>
          <w:trHeight w:val="20"/>
        </w:trPr>
        <w:tc>
          <w:tcPr>
            <w:tcW w:w="5000" w:type="pct"/>
            <w:gridSpan w:val="9"/>
            <w:tcBorders>
              <w:right w:val="single" w:sz="4" w:space="0" w:color="auto"/>
            </w:tcBorders>
          </w:tcPr>
          <w:p w14:paraId="326F95CD" w14:textId="77777777" w:rsidR="006A17A2" w:rsidRPr="008E6588" w:rsidRDefault="006A17A2" w:rsidP="00836DB5">
            <w:pPr>
              <w:keepLines/>
              <w:rPr>
                <w:rFonts w:ascii="Arial Narrow" w:hAnsi="Arial Narrow" w:cs="Arial"/>
                <w:b/>
                <w:sz w:val="20"/>
                <w:szCs w:val="20"/>
              </w:rPr>
            </w:pPr>
          </w:p>
        </w:tc>
      </w:tr>
      <w:tr w:rsidR="006A17A2" w:rsidRPr="008E6588" w14:paraId="19AA8E55" w14:textId="77777777" w:rsidTr="00836DB5">
        <w:tblPrEx>
          <w:tblCellMar>
            <w:top w:w="15" w:type="dxa"/>
            <w:bottom w:w="15" w:type="dxa"/>
          </w:tblCellMar>
          <w:tblLook w:val="04A0" w:firstRow="1" w:lastRow="0" w:firstColumn="1" w:lastColumn="0" w:noHBand="0" w:noVBand="1"/>
        </w:tblPrEx>
        <w:trPr>
          <w:trHeight w:val="20"/>
        </w:trPr>
        <w:tc>
          <w:tcPr>
            <w:tcW w:w="5000" w:type="pct"/>
            <w:gridSpan w:val="9"/>
            <w:tcBorders>
              <w:right w:val="single" w:sz="4" w:space="0" w:color="auto"/>
            </w:tcBorders>
            <w:vAlign w:val="center"/>
          </w:tcPr>
          <w:p w14:paraId="138CBFE6" w14:textId="77777777" w:rsidR="006A17A2" w:rsidRPr="008E6588" w:rsidRDefault="006A17A2" w:rsidP="00836DB5">
            <w:pPr>
              <w:keepLines/>
              <w:rPr>
                <w:rFonts w:ascii="Arial Narrow" w:hAnsi="Arial Narrow" w:cs="Arial"/>
                <w:b/>
                <w:sz w:val="20"/>
                <w:szCs w:val="20"/>
              </w:rPr>
            </w:pPr>
            <w:r w:rsidRPr="008E6588">
              <w:rPr>
                <w:rFonts w:ascii="Arial Narrow" w:hAnsi="Arial Narrow"/>
                <w:b/>
                <w:sz w:val="20"/>
                <w:szCs w:val="20"/>
              </w:rPr>
              <w:t>Restriction Summary 10734/ Treatment of Concept:7046: Authority Required</w:t>
            </w:r>
          </w:p>
        </w:tc>
      </w:tr>
      <w:tr w:rsidR="006A17A2" w:rsidRPr="008E6588" w14:paraId="13418292" w14:textId="77777777" w:rsidTr="00B923E6">
        <w:tblPrEx>
          <w:tblCellMar>
            <w:top w:w="15" w:type="dxa"/>
            <w:bottom w:w="15" w:type="dxa"/>
          </w:tblCellMar>
        </w:tblPrEx>
        <w:trPr>
          <w:cantSplit/>
          <w:trHeight w:val="20"/>
        </w:trPr>
        <w:tc>
          <w:tcPr>
            <w:tcW w:w="704" w:type="pct"/>
            <w:gridSpan w:val="2"/>
            <w:vAlign w:val="center"/>
          </w:tcPr>
          <w:p w14:paraId="3F231A10" w14:textId="1899416A" w:rsidR="006A17A2" w:rsidRPr="008E6588" w:rsidRDefault="006A17A2" w:rsidP="00836DB5">
            <w:pPr>
              <w:keepLines/>
              <w:jc w:val="center"/>
              <w:rPr>
                <w:rFonts w:ascii="Arial Narrow" w:hAnsi="Arial Narrow"/>
                <w:sz w:val="20"/>
                <w:szCs w:val="20"/>
              </w:rPr>
            </w:pPr>
          </w:p>
        </w:tc>
        <w:tc>
          <w:tcPr>
            <w:tcW w:w="4296" w:type="pct"/>
            <w:gridSpan w:val="7"/>
            <w:vAlign w:val="center"/>
            <w:hideMark/>
          </w:tcPr>
          <w:p w14:paraId="40ABA0B8" w14:textId="77777777" w:rsidR="006A17A2" w:rsidRPr="008E6588" w:rsidRDefault="006A17A2" w:rsidP="00836DB5">
            <w:pPr>
              <w:keepLines/>
              <w:rPr>
                <w:rFonts w:ascii="Arial Narrow" w:hAnsi="Arial Narrow"/>
                <w:color w:val="333333"/>
                <w:sz w:val="20"/>
                <w:szCs w:val="20"/>
              </w:rPr>
            </w:pPr>
            <w:r w:rsidRPr="008E6588">
              <w:rPr>
                <w:rFonts w:ascii="Arial Narrow" w:hAnsi="Arial Narrow"/>
                <w:b/>
                <w:bCs/>
                <w:sz w:val="20"/>
                <w:szCs w:val="20"/>
              </w:rPr>
              <w:t>Indication:</w:t>
            </w:r>
            <w:r w:rsidRPr="008E6588">
              <w:rPr>
                <w:rFonts w:ascii="Arial Narrow" w:hAnsi="Arial Narrow"/>
                <w:sz w:val="20"/>
                <w:szCs w:val="20"/>
              </w:rPr>
              <w:t xml:space="preserve"> Severe chronic spontaneous urticaria</w:t>
            </w:r>
          </w:p>
        </w:tc>
      </w:tr>
      <w:tr w:rsidR="006A17A2" w:rsidRPr="008E6588" w14:paraId="575C67A5" w14:textId="77777777" w:rsidTr="00B923E6">
        <w:tblPrEx>
          <w:tblCellMar>
            <w:top w:w="15" w:type="dxa"/>
            <w:bottom w:w="15" w:type="dxa"/>
          </w:tblCellMar>
        </w:tblPrEx>
        <w:trPr>
          <w:cantSplit/>
          <w:trHeight w:val="20"/>
        </w:trPr>
        <w:tc>
          <w:tcPr>
            <w:tcW w:w="704" w:type="pct"/>
            <w:gridSpan w:val="2"/>
            <w:vAlign w:val="center"/>
          </w:tcPr>
          <w:p w14:paraId="533AD8B4" w14:textId="77777777" w:rsidR="006A17A2" w:rsidRPr="008E6588" w:rsidRDefault="006A17A2" w:rsidP="00836DB5">
            <w:pPr>
              <w:jc w:val="center"/>
              <w:rPr>
                <w:rFonts w:ascii="Arial Narrow" w:hAnsi="Arial Narrow"/>
                <w:sz w:val="20"/>
                <w:szCs w:val="20"/>
              </w:rPr>
            </w:pPr>
          </w:p>
        </w:tc>
        <w:tc>
          <w:tcPr>
            <w:tcW w:w="4296" w:type="pct"/>
            <w:gridSpan w:val="7"/>
            <w:vAlign w:val="center"/>
            <w:hideMark/>
          </w:tcPr>
          <w:p w14:paraId="13985E0A" w14:textId="77777777" w:rsidR="006A17A2" w:rsidRPr="008E6588" w:rsidRDefault="006A17A2" w:rsidP="00836DB5">
            <w:pPr>
              <w:rPr>
                <w:rFonts w:ascii="Arial Narrow" w:hAnsi="Arial Narrow"/>
                <w:sz w:val="20"/>
                <w:szCs w:val="20"/>
              </w:rPr>
            </w:pPr>
            <w:r w:rsidRPr="008E6588">
              <w:rPr>
                <w:rFonts w:ascii="Arial Narrow" w:hAnsi="Arial Narrow"/>
                <w:b/>
                <w:bCs/>
                <w:sz w:val="20"/>
                <w:szCs w:val="20"/>
              </w:rPr>
              <w:t>Treatment Phase:</w:t>
            </w:r>
            <w:r w:rsidRPr="008E6588">
              <w:rPr>
                <w:rFonts w:ascii="Arial Narrow" w:hAnsi="Arial Narrow"/>
                <w:sz w:val="20"/>
                <w:szCs w:val="20"/>
              </w:rPr>
              <w:t xml:space="preserve"> Continuing treatment</w:t>
            </w:r>
          </w:p>
        </w:tc>
      </w:tr>
      <w:tr w:rsidR="006A17A2" w:rsidRPr="008E6588" w14:paraId="7281A07B"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0FFC2" w14:textId="4A6F3382" w:rsidR="006A17A2" w:rsidRPr="008E6588" w:rsidRDefault="006A17A2" w:rsidP="00836DB5">
            <w:pPr>
              <w:jc w:val="center"/>
              <w:rPr>
                <w:rFonts w:ascii="Arial Narrow" w:hAnsi="Arial Narrow"/>
                <w:sz w:val="20"/>
                <w:szCs w:val="20"/>
              </w:rPr>
            </w:pPr>
          </w:p>
        </w:tc>
        <w:tc>
          <w:tcPr>
            <w:tcW w:w="429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606EA6" w14:textId="77777777" w:rsidR="006A17A2" w:rsidRPr="008E6588" w:rsidRDefault="006A17A2" w:rsidP="00836DB5">
            <w:pPr>
              <w:rPr>
                <w:rFonts w:ascii="Arial Narrow" w:hAnsi="Arial Narrow"/>
                <w:b/>
                <w:bCs/>
                <w:sz w:val="20"/>
                <w:szCs w:val="20"/>
              </w:rPr>
            </w:pPr>
            <w:r w:rsidRPr="008E6588">
              <w:rPr>
                <w:rFonts w:ascii="Arial Narrow" w:hAnsi="Arial Narrow"/>
                <w:b/>
                <w:bCs/>
                <w:sz w:val="20"/>
                <w:szCs w:val="20"/>
              </w:rPr>
              <w:t>Treatment criteria:</w:t>
            </w:r>
          </w:p>
        </w:tc>
      </w:tr>
      <w:tr w:rsidR="006A17A2" w:rsidRPr="008E6588" w14:paraId="1D86F9E5"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68824" w14:textId="2717DE51" w:rsidR="006A17A2" w:rsidRPr="008E6588" w:rsidRDefault="006A17A2" w:rsidP="00836DB5">
            <w:pPr>
              <w:jc w:val="center"/>
              <w:rPr>
                <w:rFonts w:ascii="Arial Narrow" w:hAnsi="Arial Narrow"/>
                <w:sz w:val="20"/>
                <w:szCs w:val="20"/>
              </w:rPr>
            </w:pPr>
          </w:p>
        </w:tc>
        <w:tc>
          <w:tcPr>
            <w:tcW w:w="429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D1B7DB" w14:textId="77777777" w:rsidR="006A17A2" w:rsidRPr="008E6588" w:rsidRDefault="006A17A2" w:rsidP="00836DB5">
            <w:pPr>
              <w:rPr>
                <w:rFonts w:ascii="Arial Narrow" w:hAnsi="Arial Narrow"/>
                <w:sz w:val="20"/>
                <w:szCs w:val="20"/>
              </w:rPr>
            </w:pPr>
            <w:r w:rsidRPr="008E6588">
              <w:rPr>
                <w:rFonts w:ascii="Arial Narrow" w:hAnsi="Arial Narrow"/>
                <w:sz w:val="20"/>
                <w:szCs w:val="20"/>
              </w:rPr>
              <w:t>Must be treated by a clinical immunologist; or</w:t>
            </w:r>
          </w:p>
        </w:tc>
      </w:tr>
      <w:tr w:rsidR="006A17A2" w:rsidRPr="008E6588" w14:paraId="46D09326"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D758B" w14:textId="59B885F7" w:rsidR="006A17A2" w:rsidRPr="008E6588" w:rsidRDefault="006A17A2" w:rsidP="00836DB5">
            <w:pPr>
              <w:jc w:val="center"/>
              <w:rPr>
                <w:rFonts w:ascii="Arial Narrow" w:hAnsi="Arial Narrow"/>
                <w:sz w:val="20"/>
                <w:szCs w:val="20"/>
              </w:rPr>
            </w:pPr>
          </w:p>
        </w:tc>
        <w:tc>
          <w:tcPr>
            <w:tcW w:w="429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034DE9" w14:textId="77777777" w:rsidR="006A17A2" w:rsidRPr="008E6588" w:rsidRDefault="006A17A2" w:rsidP="00836DB5">
            <w:pPr>
              <w:rPr>
                <w:rFonts w:ascii="Arial Narrow" w:hAnsi="Arial Narrow"/>
                <w:sz w:val="20"/>
                <w:szCs w:val="20"/>
              </w:rPr>
            </w:pPr>
            <w:r w:rsidRPr="008E6588">
              <w:rPr>
                <w:rFonts w:ascii="Arial Narrow" w:hAnsi="Arial Narrow"/>
                <w:sz w:val="20"/>
                <w:szCs w:val="20"/>
              </w:rPr>
              <w:t>Must be treated by an allergist; or</w:t>
            </w:r>
          </w:p>
        </w:tc>
      </w:tr>
      <w:tr w:rsidR="006A17A2" w:rsidRPr="008E6588" w14:paraId="0210CC77"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9F8CA" w14:textId="16F84BF2" w:rsidR="006A17A2" w:rsidRPr="008E6588" w:rsidRDefault="006A17A2" w:rsidP="00836DB5">
            <w:pPr>
              <w:jc w:val="center"/>
              <w:rPr>
                <w:rFonts w:ascii="Arial Narrow" w:hAnsi="Arial Narrow"/>
                <w:sz w:val="20"/>
                <w:szCs w:val="20"/>
              </w:rPr>
            </w:pPr>
          </w:p>
        </w:tc>
        <w:tc>
          <w:tcPr>
            <w:tcW w:w="429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BA2B01" w14:textId="77777777" w:rsidR="006A17A2" w:rsidRPr="008E6588" w:rsidRDefault="006A17A2" w:rsidP="00836DB5">
            <w:pPr>
              <w:rPr>
                <w:rFonts w:ascii="Arial Narrow" w:hAnsi="Arial Narrow"/>
                <w:sz w:val="20"/>
                <w:szCs w:val="20"/>
              </w:rPr>
            </w:pPr>
            <w:r w:rsidRPr="008E6588">
              <w:rPr>
                <w:rFonts w:ascii="Arial Narrow" w:hAnsi="Arial Narrow"/>
                <w:sz w:val="20"/>
                <w:szCs w:val="20"/>
              </w:rPr>
              <w:t>Must be treated by a dermatologist; or</w:t>
            </w:r>
          </w:p>
        </w:tc>
      </w:tr>
      <w:tr w:rsidR="006A17A2" w:rsidRPr="008E6588" w14:paraId="3B10B2FB"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09186" w14:textId="4E863604" w:rsidR="006A17A2" w:rsidRPr="008E6588" w:rsidRDefault="006A17A2" w:rsidP="00836DB5">
            <w:pPr>
              <w:jc w:val="center"/>
              <w:rPr>
                <w:rFonts w:ascii="Arial Narrow" w:hAnsi="Arial Narrow"/>
                <w:sz w:val="20"/>
                <w:szCs w:val="20"/>
              </w:rPr>
            </w:pPr>
          </w:p>
        </w:tc>
        <w:tc>
          <w:tcPr>
            <w:tcW w:w="429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5BA689" w14:textId="77777777" w:rsidR="006A17A2" w:rsidRPr="008E6588" w:rsidRDefault="006A17A2" w:rsidP="00836DB5">
            <w:pPr>
              <w:rPr>
                <w:rFonts w:ascii="Arial Narrow" w:hAnsi="Arial Narrow"/>
                <w:sz w:val="20"/>
                <w:szCs w:val="20"/>
              </w:rPr>
            </w:pPr>
            <w:r w:rsidRPr="008E6588">
              <w:rPr>
                <w:rFonts w:ascii="Arial Narrow" w:hAnsi="Arial Narrow"/>
                <w:sz w:val="20"/>
                <w:szCs w:val="20"/>
              </w:rPr>
              <w:t>Must be treated by a general physician with expertise in the management of chronic spontaneous urticaria (CSU)</w:t>
            </w:r>
          </w:p>
        </w:tc>
      </w:tr>
      <w:tr w:rsidR="006A17A2" w:rsidRPr="008E6588" w14:paraId="28B0A2C6"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F1F87" w14:textId="0DD30CA6" w:rsidR="006A17A2" w:rsidRPr="008E6588" w:rsidRDefault="006A17A2" w:rsidP="00836DB5">
            <w:pPr>
              <w:jc w:val="center"/>
              <w:rPr>
                <w:rFonts w:ascii="Arial Narrow" w:hAnsi="Arial Narrow"/>
                <w:sz w:val="20"/>
                <w:szCs w:val="20"/>
              </w:rPr>
            </w:pPr>
          </w:p>
        </w:tc>
        <w:tc>
          <w:tcPr>
            <w:tcW w:w="429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59376F" w14:textId="77777777" w:rsidR="006A17A2" w:rsidRPr="008E6588" w:rsidRDefault="006A17A2" w:rsidP="00836DB5">
            <w:pPr>
              <w:rPr>
                <w:rFonts w:ascii="Arial Narrow" w:hAnsi="Arial Narrow"/>
                <w:b/>
                <w:bCs/>
                <w:sz w:val="20"/>
                <w:szCs w:val="20"/>
              </w:rPr>
            </w:pPr>
            <w:r w:rsidRPr="008E6588">
              <w:rPr>
                <w:rFonts w:ascii="Arial Narrow" w:hAnsi="Arial Narrow"/>
                <w:b/>
                <w:bCs/>
                <w:sz w:val="20"/>
                <w:szCs w:val="20"/>
              </w:rPr>
              <w:t>Clinical criteria:</w:t>
            </w:r>
          </w:p>
        </w:tc>
      </w:tr>
      <w:tr w:rsidR="006A17A2" w:rsidRPr="008E6588" w14:paraId="1C1B1F53"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14CBD" w14:textId="749903EF" w:rsidR="006A17A2" w:rsidRPr="008E6588" w:rsidRDefault="006A17A2" w:rsidP="00836DB5">
            <w:pPr>
              <w:jc w:val="center"/>
              <w:rPr>
                <w:rFonts w:ascii="Arial Narrow" w:hAnsi="Arial Narrow"/>
                <w:sz w:val="20"/>
                <w:szCs w:val="20"/>
              </w:rPr>
            </w:pPr>
          </w:p>
        </w:tc>
        <w:tc>
          <w:tcPr>
            <w:tcW w:w="429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C9BB15" w14:textId="77777777" w:rsidR="006A17A2" w:rsidRPr="008E6588" w:rsidRDefault="006A17A2" w:rsidP="00836DB5">
            <w:pPr>
              <w:rPr>
                <w:rFonts w:ascii="Arial Narrow" w:hAnsi="Arial Narrow"/>
                <w:sz w:val="20"/>
                <w:szCs w:val="20"/>
              </w:rPr>
            </w:pPr>
            <w:r w:rsidRPr="008E6588">
              <w:rPr>
                <w:rFonts w:ascii="Arial Narrow" w:hAnsi="Arial Narrow"/>
                <w:sz w:val="20"/>
                <w:szCs w:val="20"/>
              </w:rPr>
              <w:t>Patient must have demonstrated a response to the most recent PBS-subsidised treatment with this drug for this condition</w:t>
            </w:r>
          </w:p>
        </w:tc>
      </w:tr>
      <w:tr w:rsidR="006A17A2" w:rsidRPr="008E6588" w14:paraId="6E8C5209"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D6F05" w14:textId="77777777" w:rsidR="006A17A2" w:rsidRPr="008E6588" w:rsidRDefault="006A17A2" w:rsidP="00836DB5">
            <w:pPr>
              <w:jc w:val="center"/>
              <w:rPr>
                <w:rFonts w:ascii="Arial Narrow" w:hAnsi="Arial Narrow"/>
                <w:sz w:val="20"/>
                <w:szCs w:val="20"/>
              </w:rPr>
            </w:pPr>
          </w:p>
        </w:tc>
        <w:tc>
          <w:tcPr>
            <w:tcW w:w="429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E8F1AC" w14:textId="77777777" w:rsidR="006A17A2" w:rsidRPr="008E6588" w:rsidRDefault="006A17A2" w:rsidP="00836DB5">
            <w:pPr>
              <w:rPr>
                <w:rFonts w:ascii="Arial Narrow" w:hAnsi="Arial Narrow"/>
                <w:b/>
                <w:bCs/>
                <w:sz w:val="20"/>
                <w:szCs w:val="20"/>
              </w:rPr>
            </w:pPr>
            <w:r w:rsidRPr="008E6588">
              <w:rPr>
                <w:rFonts w:ascii="Arial Narrow" w:hAnsi="Arial Narrow"/>
                <w:b/>
                <w:bCs/>
                <w:sz w:val="20"/>
                <w:szCs w:val="20"/>
              </w:rPr>
              <w:t>AND</w:t>
            </w:r>
          </w:p>
        </w:tc>
      </w:tr>
      <w:tr w:rsidR="006A17A2" w:rsidRPr="008E6588" w14:paraId="11CD7994"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41B75" w14:textId="2D38DA8A" w:rsidR="006A17A2" w:rsidRPr="008E6588" w:rsidRDefault="006A17A2" w:rsidP="00836DB5">
            <w:pPr>
              <w:jc w:val="center"/>
              <w:rPr>
                <w:rFonts w:ascii="Arial Narrow" w:hAnsi="Arial Narrow"/>
                <w:sz w:val="20"/>
                <w:szCs w:val="20"/>
              </w:rPr>
            </w:pPr>
          </w:p>
        </w:tc>
        <w:tc>
          <w:tcPr>
            <w:tcW w:w="429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0E1878" w14:textId="77777777" w:rsidR="006A17A2" w:rsidRPr="008E6588" w:rsidRDefault="006A17A2" w:rsidP="00836DB5">
            <w:pPr>
              <w:rPr>
                <w:rFonts w:ascii="Arial Narrow" w:hAnsi="Arial Narrow"/>
                <w:b/>
                <w:bCs/>
                <w:sz w:val="20"/>
                <w:szCs w:val="20"/>
              </w:rPr>
            </w:pPr>
            <w:r w:rsidRPr="008E6588">
              <w:rPr>
                <w:rFonts w:ascii="Arial Narrow" w:hAnsi="Arial Narrow"/>
                <w:b/>
                <w:bCs/>
                <w:sz w:val="20"/>
                <w:szCs w:val="20"/>
              </w:rPr>
              <w:t>Clinical criteria:</w:t>
            </w:r>
          </w:p>
        </w:tc>
      </w:tr>
      <w:tr w:rsidR="006A17A2" w:rsidRPr="008E6588" w14:paraId="222DB10A" w14:textId="77777777" w:rsidTr="00836DB5">
        <w:tblPrEx>
          <w:tblCellMar>
            <w:top w:w="15" w:type="dxa"/>
            <w:bottom w:w="15" w:type="dxa"/>
          </w:tblCellMar>
          <w:tblLook w:val="04A0" w:firstRow="1" w:lastRow="0" w:firstColumn="1" w:lastColumn="0" w:noHBand="0" w:noVBand="1"/>
        </w:tblPrEx>
        <w:trPr>
          <w:cantSplit/>
          <w:trHeight w:val="20"/>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DEF45" w14:textId="7924BD91" w:rsidR="006A17A2" w:rsidRPr="008E6588" w:rsidRDefault="006A17A2" w:rsidP="00836DB5">
            <w:pPr>
              <w:jc w:val="center"/>
              <w:rPr>
                <w:rFonts w:ascii="Arial Narrow" w:hAnsi="Arial Narrow"/>
                <w:sz w:val="20"/>
                <w:szCs w:val="20"/>
              </w:rPr>
            </w:pPr>
          </w:p>
        </w:tc>
        <w:tc>
          <w:tcPr>
            <w:tcW w:w="429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90EF01" w14:textId="77777777" w:rsidR="006A17A2" w:rsidRPr="008E6588" w:rsidRDefault="006A17A2" w:rsidP="00836DB5">
            <w:pPr>
              <w:rPr>
                <w:rFonts w:ascii="Arial Narrow" w:hAnsi="Arial Narrow"/>
                <w:sz w:val="20"/>
                <w:szCs w:val="20"/>
              </w:rPr>
            </w:pPr>
            <w:r w:rsidRPr="008E6588">
              <w:rPr>
                <w:rFonts w:ascii="Arial Narrow" w:hAnsi="Arial Narrow"/>
                <w:sz w:val="20"/>
                <w:szCs w:val="20"/>
              </w:rPr>
              <w:t>Patient must not receive more than 24 weeks per authorised course of treatment under this restriction</w:t>
            </w:r>
          </w:p>
        </w:tc>
      </w:tr>
    </w:tbl>
    <w:p w14:paraId="47F96F2C" w14:textId="77777777" w:rsidR="00A758AE" w:rsidRPr="00907671" w:rsidRDefault="00A758AE" w:rsidP="00A758AE">
      <w:pPr>
        <w:spacing w:before="120"/>
        <w:rPr>
          <w:rFonts w:asciiTheme="minorHAnsi" w:hAnsiTheme="minorHAnsi" w:cs="Arial"/>
          <w:b/>
          <w:i/>
          <w:iCs/>
          <w:snapToGrid w:val="0"/>
          <w:lang w:val="en-GB"/>
        </w:rPr>
      </w:pPr>
      <w:r w:rsidRPr="00907671">
        <w:rPr>
          <w:rFonts w:asciiTheme="minorHAnsi" w:hAnsiTheme="minorHAnsi" w:cs="Arial"/>
          <w:b/>
          <w:i/>
          <w:iCs/>
          <w:snapToGrid w:val="0"/>
          <w:lang w:val="en-GB"/>
        </w:rPr>
        <w:t>These restrictions may be subject to further review. Should there be any changes made to the restriction the sponsor will be informed.</w:t>
      </w:r>
    </w:p>
    <w:p w14:paraId="264C02BA" w14:textId="77777777" w:rsidR="009B1AAC" w:rsidRPr="009B1AAC" w:rsidRDefault="009B1AAC" w:rsidP="00B923E6">
      <w:pPr>
        <w:pStyle w:val="Heading1"/>
        <w:keepLines/>
        <w:numPr>
          <w:ilvl w:val="0"/>
          <w:numId w:val="3"/>
        </w:numPr>
        <w:spacing w:before="0"/>
        <w:ind w:left="709" w:hanging="709"/>
        <w:rPr>
          <w:sz w:val="32"/>
          <w:szCs w:val="32"/>
        </w:rPr>
      </w:pPr>
      <w:r w:rsidRPr="009B1AAC">
        <w:rPr>
          <w:sz w:val="32"/>
          <w:szCs w:val="32"/>
        </w:rPr>
        <w:t>Context for Decision</w:t>
      </w:r>
    </w:p>
    <w:p w14:paraId="4D115F8E" w14:textId="77777777" w:rsidR="009B1AAC" w:rsidRPr="009B1AAC" w:rsidRDefault="009B1AAC" w:rsidP="009B1AAC">
      <w:pPr>
        <w:spacing w:after="120"/>
        <w:ind w:left="720"/>
        <w:rPr>
          <w:rFonts w:asciiTheme="minorHAnsi" w:hAnsiTheme="minorHAnsi" w:cs="Arial"/>
          <w:bCs/>
          <w:lang w:val="en-GB"/>
        </w:rPr>
      </w:pPr>
      <w:r w:rsidRPr="009B1AAC">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E8B9717" w14:textId="77777777" w:rsidR="009B1AAC" w:rsidRPr="009B1AAC" w:rsidRDefault="009B1AAC" w:rsidP="00B923E6">
      <w:pPr>
        <w:pStyle w:val="Heading1"/>
        <w:keepLines/>
        <w:numPr>
          <w:ilvl w:val="0"/>
          <w:numId w:val="3"/>
        </w:numPr>
        <w:spacing w:before="0"/>
        <w:ind w:left="709" w:hanging="709"/>
        <w:rPr>
          <w:sz w:val="32"/>
          <w:szCs w:val="32"/>
        </w:rPr>
      </w:pPr>
      <w:r w:rsidRPr="009B1AAC">
        <w:rPr>
          <w:sz w:val="32"/>
          <w:szCs w:val="32"/>
        </w:rPr>
        <w:t>Sponsor’s Comment</w:t>
      </w:r>
    </w:p>
    <w:p w14:paraId="1B3A7EEC" w14:textId="77777777" w:rsidR="009B1AAC" w:rsidRPr="009B1AAC" w:rsidRDefault="009B1AAC" w:rsidP="009B1AAC">
      <w:pPr>
        <w:spacing w:after="120" w:line="276" w:lineRule="auto"/>
        <w:ind w:left="720"/>
        <w:rPr>
          <w:rFonts w:asciiTheme="minorHAnsi" w:eastAsiaTheme="minorHAnsi" w:hAnsiTheme="minorHAnsi" w:cs="Arial"/>
          <w:bCs/>
          <w:szCs w:val="22"/>
          <w:lang w:eastAsia="en-US"/>
        </w:rPr>
      </w:pPr>
      <w:r w:rsidRPr="009B1AAC">
        <w:rPr>
          <w:rFonts w:asciiTheme="minorHAnsi" w:eastAsiaTheme="minorHAnsi" w:hAnsiTheme="minorHAnsi" w:cs="Arial"/>
          <w:bCs/>
          <w:szCs w:val="22"/>
          <w:lang w:eastAsia="en-US"/>
        </w:rPr>
        <w:t>The sponsor had no comment.</w:t>
      </w:r>
    </w:p>
    <w:p w14:paraId="30FD3BD1" w14:textId="5E059B82" w:rsidR="00B149BA" w:rsidRDefault="00B149BA">
      <w:pPr>
        <w:jc w:val="left"/>
      </w:pPr>
    </w:p>
    <w:sectPr w:rsidR="00B149BA" w:rsidSect="00606A7B">
      <w:headerReference w:type="even" r:id="rId10"/>
      <w:headerReference w:type="default" r:id="rId11"/>
      <w:footerReference w:type="even" r:id="rId12"/>
      <w:footerReference w:type="defaul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01B43" w14:textId="77777777" w:rsidR="000E6CA7" w:rsidRDefault="000E6CA7">
      <w:r>
        <w:separator/>
      </w:r>
    </w:p>
    <w:p w14:paraId="4EF2B68D" w14:textId="77777777" w:rsidR="000E6CA7" w:rsidRDefault="000E6CA7"/>
  </w:endnote>
  <w:endnote w:type="continuationSeparator" w:id="0">
    <w:p w14:paraId="785ECF11" w14:textId="77777777" w:rsidR="000E6CA7" w:rsidRDefault="000E6CA7">
      <w:r>
        <w:continuationSeparator/>
      </w:r>
    </w:p>
    <w:p w14:paraId="683AC49F" w14:textId="77777777" w:rsidR="000E6CA7" w:rsidRDefault="000E6CA7"/>
  </w:endnote>
  <w:endnote w:type="continuationNotice" w:id="1">
    <w:p w14:paraId="60E24140" w14:textId="77777777" w:rsidR="000E6CA7" w:rsidRDefault="000E6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73A43F7B" w:rsidR="009C26AA" w:rsidRPr="00272DE5" w:rsidRDefault="00401640" w:rsidP="00C56D78">
    <w:pPr>
      <w:pStyle w:val="MinorOVRHeader"/>
      <w:jc w:val="center"/>
      <w:rPr>
        <w:b/>
        <w:bCs/>
        <w:i w:val="0"/>
        <w:iCs w:val="0"/>
      </w:rPr>
    </w:pPr>
    <w:r w:rsidRPr="00272DE5">
      <w:rPr>
        <w:b/>
        <w:bCs/>
        <w:i w:val="0"/>
        <w:iCs w:val="0"/>
      </w:rPr>
      <w:fldChar w:fldCharType="begin"/>
    </w:r>
    <w:r w:rsidRPr="00272DE5">
      <w:rPr>
        <w:b/>
        <w:bCs/>
        <w:i w:val="0"/>
        <w:iCs w:val="0"/>
      </w:rPr>
      <w:instrText xml:space="preserve"> PAGE   \* MERGEFORMAT </w:instrText>
    </w:r>
    <w:r w:rsidRPr="00272DE5">
      <w:rPr>
        <w:b/>
        <w:bCs/>
        <w:i w:val="0"/>
        <w:iCs w:val="0"/>
      </w:rPr>
      <w:fldChar w:fldCharType="separate"/>
    </w:r>
    <w:r w:rsidRPr="00272DE5">
      <w:rPr>
        <w:b/>
        <w:bCs/>
        <w:i w:val="0"/>
        <w:iCs w:val="0"/>
      </w:rPr>
      <w:t>1</w:t>
    </w:r>
    <w:r w:rsidRPr="00272DE5">
      <w:rPr>
        <w:b/>
        <w:bCs/>
        <w:i w:val="0"/>
        <w:iCs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5B395" w14:textId="77777777" w:rsidR="000E6CA7" w:rsidRDefault="000E6CA7">
      <w:r>
        <w:separator/>
      </w:r>
    </w:p>
    <w:p w14:paraId="0957179A" w14:textId="77777777" w:rsidR="000E6CA7" w:rsidRDefault="000E6CA7"/>
  </w:footnote>
  <w:footnote w:type="continuationSeparator" w:id="0">
    <w:p w14:paraId="0E9E1675" w14:textId="77777777" w:rsidR="000E6CA7" w:rsidRDefault="000E6CA7">
      <w:r>
        <w:continuationSeparator/>
      </w:r>
    </w:p>
    <w:p w14:paraId="61D03508" w14:textId="77777777" w:rsidR="000E6CA7" w:rsidRDefault="000E6CA7"/>
  </w:footnote>
  <w:footnote w:type="continuationNotice" w:id="1">
    <w:p w14:paraId="183E152B" w14:textId="77777777" w:rsidR="000E6CA7" w:rsidRDefault="000E6CA7"/>
  </w:footnote>
  <w:footnote w:id="2">
    <w:p w14:paraId="43222BEE" w14:textId="435D5038" w:rsidR="00E8227F" w:rsidRPr="00E51152" w:rsidRDefault="00E8227F" w:rsidP="00E51152">
      <w:pPr>
        <w:pStyle w:val="FootnoteText"/>
      </w:pPr>
      <w:r>
        <w:rPr>
          <w:rStyle w:val="FootnoteReference"/>
        </w:rPr>
        <w:footnoteRef/>
      </w:r>
      <w:r>
        <w:t xml:space="preserve"> </w:t>
      </w:r>
      <w:r w:rsidR="00F53384" w:rsidRPr="00E51152">
        <w:rPr>
          <w:lang w:val="en-US"/>
        </w:rPr>
        <w:t xml:space="preserve">ASCIA (2020) </w:t>
      </w:r>
      <w:r w:rsidR="00331089" w:rsidRPr="00E51152">
        <w:t>Position Paper - Chronic Spontaneous Urticaria (CSU)</w:t>
      </w:r>
      <w:r w:rsidR="00C71D12" w:rsidRPr="00E51152">
        <w:t xml:space="preserve">. </w:t>
      </w:r>
      <w:r w:rsidR="00C71D12" w:rsidRPr="00E51152">
        <w:rPr>
          <w:rFonts w:asciiTheme="minorHAnsi" w:hAnsiTheme="minorHAnsi" w:cstheme="minorHAnsi"/>
        </w:rPr>
        <w:t>Accessed on 25 March 2025 at:</w:t>
      </w:r>
      <w:r w:rsidR="00970ACC" w:rsidRPr="00E51152">
        <w:rPr>
          <w:rFonts w:asciiTheme="minorHAnsi" w:hAnsiTheme="minorHAnsi" w:cstheme="minorHAnsi"/>
        </w:rPr>
        <w:t xml:space="preserve"> </w:t>
      </w:r>
      <w:hyperlink r:id="rId1" w:history="1">
        <w:r w:rsidR="00970ACC" w:rsidRPr="00E51152">
          <w:rPr>
            <w:rStyle w:val="Hyperlink"/>
            <w:rFonts w:asciiTheme="minorHAnsi" w:hAnsiTheme="minorHAnsi" w:cstheme="minorHAnsi"/>
          </w:rPr>
          <w:t>https://www.allergy.org.au/images/stories/pospapers/ASCIA_HP_Position_Paper_CSU_2020.pdf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4B42" w14:textId="0EDD81B8" w:rsidR="00C56D78" w:rsidRPr="00C56D78" w:rsidRDefault="009E4016" w:rsidP="00C56D78">
    <w:pPr>
      <w:keepNext/>
      <w:tabs>
        <w:tab w:val="center" w:pos="4513"/>
        <w:tab w:val="right" w:pos="9026"/>
      </w:tabs>
      <w:jc w:val="center"/>
      <w:rPr>
        <w:rFonts w:asciiTheme="minorHAnsi" w:eastAsiaTheme="minorEastAsia" w:hAnsiTheme="minorHAnsi" w:cstheme="minorHAnsi"/>
        <w:i/>
        <w:color w:val="808080"/>
      </w:rPr>
    </w:pPr>
    <w:r w:rsidRPr="009E4016">
      <w:rPr>
        <w:rFonts w:asciiTheme="minorHAnsi" w:eastAsiaTheme="minorEastAsia" w:hAnsiTheme="minorHAnsi" w:cstheme="minorHAnsi"/>
        <w:i/>
        <w:color w:val="808080"/>
      </w:rPr>
      <w:t xml:space="preserve">Public Summary Document </w:t>
    </w:r>
    <w:r w:rsidR="00CC2224">
      <w:rPr>
        <w:rFonts w:asciiTheme="minorHAnsi" w:eastAsiaTheme="minorEastAsia" w:hAnsiTheme="minorHAnsi" w:cstheme="minorHAnsi"/>
        <w:i/>
        <w:color w:val="808080"/>
      </w:rPr>
      <w:t xml:space="preserve">– </w:t>
    </w:r>
    <w:r w:rsidR="00AF2E85">
      <w:rPr>
        <w:rFonts w:asciiTheme="minorHAnsi" w:eastAsiaTheme="minorEastAsia" w:hAnsiTheme="minorHAnsi" w:cstheme="minorHAnsi"/>
        <w:i/>
        <w:color w:val="808080"/>
      </w:rPr>
      <w:t>March</w:t>
    </w:r>
    <w:r w:rsidR="00C56D78">
      <w:rPr>
        <w:rFonts w:asciiTheme="minorHAnsi" w:eastAsiaTheme="minorEastAsia" w:hAnsiTheme="minorHAnsi" w:cstheme="minorHAnsi"/>
        <w:i/>
        <w:color w:val="808080"/>
      </w:rPr>
      <w:t xml:space="preserve"> 202</w:t>
    </w:r>
    <w:r w:rsidR="00125B3F">
      <w:rPr>
        <w:rFonts w:asciiTheme="minorHAnsi" w:eastAsiaTheme="minorEastAsia" w:hAnsiTheme="minorHAnsi" w:cstheme="minorHAnsi"/>
        <w:i/>
        <w:color w:val="808080"/>
      </w:rPr>
      <w:t>5</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6A2BA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2" w15:restartNumberingAfterBreak="0">
    <w:nsid w:val="02BC08C4"/>
    <w:multiLevelType w:val="multilevel"/>
    <w:tmpl w:val="11EE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216688"/>
    <w:multiLevelType w:val="hybridMultilevel"/>
    <w:tmpl w:val="7DE40408"/>
    <w:lvl w:ilvl="0" w:tplc="B9E29838">
      <w:start w:val="1"/>
      <w:numFmt w:val="bullet"/>
      <w:lvlText w:val=""/>
      <w:lvlJc w:val="left"/>
      <w:pPr>
        <w:ind w:left="1777"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0A7A30"/>
    <w:multiLevelType w:val="hybridMultilevel"/>
    <w:tmpl w:val="A4805A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B541CD2"/>
    <w:multiLevelType w:val="hybridMultilevel"/>
    <w:tmpl w:val="FB3A87D2"/>
    <w:lvl w:ilvl="0" w:tplc="FDE26814">
      <w:start w:val="1"/>
      <w:numFmt w:val="bullet"/>
      <w:lvlText w:val=""/>
      <w:lvlJc w:val="left"/>
      <w:pPr>
        <w:ind w:left="720" w:hanging="360"/>
      </w:pPr>
      <w:rPr>
        <w:rFonts w:ascii="Symbol" w:hAnsi="Symbol" w:hint="default"/>
      </w:rPr>
    </w:lvl>
    <w:lvl w:ilvl="1" w:tplc="4300B7C2">
      <w:start w:val="1"/>
      <w:numFmt w:val="bullet"/>
      <w:lvlText w:val="o"/>
      <w:lvlJc w:val="left"/>
      <w:pPr>
        <w:ind w:left="1440" w:hanging="360"/>
      </w:pPr>
      <w:rPr>
        <w:rFonts w:ascii="Courier New" w:hAnsi="Courier New" w:hint="default"/>
      </w:rPr>
    </w:lvl>
    <w:lvl w:ilvl="2" w:tplc="05529024">
      <w:start w:val="1"/>
      <w:numFmt w:val="bullet"/>
      <w:lvlText w:val=""/>
      <w:lvlJc w:val="left"/>
      <w:pPr>
        <w:ind w:left="2160" w:hanging="360"/>
      </w:pPr>
      <w:rPr>
        <w:rFonts w:ascii="Wingdings" w:hAnsi="Wingdings" w:hint="default"/>
      </w:rPr>
    </w:lvl>
    <w:lvl w:ilvl="3" w:tplc="20129360">
      <w:start w:val="1"/>
      <w:numFmt w:val="bullet"/>
      <w:lvlText w:val=""/>
      <w:lvlJc w:val="left"/>
      <w:pPr>
        <w:ind w:left="2880" w:hanging="360"/>
      </w:pPr>
      <w:rPr>
        <w:rFonts w:ascii="Symbol" w:hAnsi="Symbol" w:hint="default"/>
      </w:rPr>
    </w:lvl>
    <w:lvl w:ilvl="4" w:tplc="4A9CD23E">
      <w:start w:val="1"/>
      <w:numFmt w:val="bullet"/>
      <w:lvlText w:val="o"/>
      <w:lvlJc w:val="left"/>
      <w:pPr>
        <w:ind w:left="3600" w:hanging="360"/>
      </w:pPr>
      <w:rPr>
        <w:rFonts w:ascii="Courier New" w:hAnsi="Courier New" w:hint="default"/>
      </w:rPr>
    </w:lvl>
    <w:lvl w:ilvl="5" w:tplc="40EAA23A">
      <w:start w:val="1"/>
      <w:numFmt w:val="bullet"/>
      <w:lvlText w:val=""/>
      <w:lvlJc w:val="left"/>
      <w:pPr>
        <w:ind w:left="4320" w:hanging="360"/>
      </w:pPr>
      <w:rPr>
        <w:rFonts w:ascii="Wingdings" w:hAnsi="Wingdings" w:hint="default"/>
      </w:rPr>
    </w:lvl>
    <w:lvl w:ilvl="6" w:tplc="010ED23C">
      <w:start w:val="1"/>
      <w:numFmt w:val="bullet"/>
      <w:lvlText w:val=""/>
      <w:lvlJc w:val="left"/>
      <w:pPr>
        <w:ind w:left="5040" w:hanging="360"/>
      </w:pPr>
      <w:rPr>
        <w:rFonts w:ascii="Symbol" w:hAnsi="Symbol" w:hint="default"/>
      </w:rPr>
    </w:lvl>
    <w:lvl w:ilvl="7" w:tplc="D78465BE">
      <w:start w:val="1"/>
      <w:numFmt w:val="bullet"/>
      <w:lvlText w:val="o"/>
      <w:lvlJc w:val="left"/>
      <w:pPr>
        <w:ind w:left="5760" w:hanging="360"/>
      </w:pPr>
      <w:rPr>
        <w:rFonts w:ascii="Courier New" w:hAnsi="Courier New" w:hint="default"/>
      </w:rPr>
    </w:lvl>
    <w:lvl w:ilvl="8" w:tplc="9328D2E4">
      <w:start w:val="1"/>
      <w:numFmt w:val="bullet"/>
      <w:lvlText w:val=""/>
      <w:lvlJc w:val="left"/>
      <w:pPr>
        <w:ind w:left="6480" w:hanging="360"/>
      </w:pPr>
      <w:rPr>
        <w:rFonts w:ascii="Wingdings" w:hAnsi="Wingdings" w:hint="default"/>
      </w:rPr>
    </w:lvl>
  </w:abstractNum>
  <w:abstractNum w:abstractNumId="6" w15:restartNumberingAfterBreak="0">
    <w:nsid w:val="11360B1F"/>
    <w:multiLevelType w:val="multilevel"/>
    <w:tmpl w:val="3620C666"/>
    <w:lvl w:ilvl="0">
      <w:start w:val="1"/>
      <w:numFmt w:val="decimal"/>
      <w:lvlText w:val="%1"/>
      <w:lvlJc w:val="left"/>
      <w:pPr>
        <w:ind w:left="720" w:hanging="720"/>
      </w:pPr>
      <w:rPr>
        <w:rFonts w:hint="default"/>
        <w:b/>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BF1B11"/>
    <w:multiLevelType w:val="hybridMultilevel"/>
    <w:tmpl w:val="18AE48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432C47"/>
    <w:multiLevelType w:val="multilevel"/>
    <w:tmpl w:val="B886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505CB3"/>
    <w:multiLevelType w:val="multilevel"/>
    <w:tmpl w:val="35D4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139AF"/>
    <w:multiLevelType w:val="hybridMultilevel"/>
    <w:tmpl w:val="10EA25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C7555E"/>
    <w:multiLevelType w:val="multilevel"/>
    <w:tmpl w:val="8588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D24FE"/>
    <w:multiLevelType w:val="multilevel"/>
    <w:tmpl w:val="0D56E22A"/>
    <w:lvl w:ilvl="0">
      <w:start w:val="1"/>
      <w:numFmt w:val="bullet"/>
      <w:lvlText w:val=""/>
      <w:lvlJc w:val="left"/>
      <w:pPr>
        <w:ind w:left="720" w:hanging="720"/>
      </w:pPr>
      <w:rPr>
        <w:rFonts w:ascii="Symbol" w:hAnsi="Symbol" w:hint="default"/>
        <w:b/>
        <w:color w:val="auto"/>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CB1113"/>
    <w:multiLevelType w:val="hybridMultilevel"/>
    <w:tmpl w:val="90CA32AE"/>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4" w15:restartNumberingAfterBreak="0">
    <w:nsid w:val="260C59FE"/>
    <w:multiLevelType w:val="hybridMultilevel"/>
    <w:tmpl w:val="4B76711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F46545"/>
    <w:multiLevelType w:val="hybridMultilevel"/>
    <w:tmpl w:val="99061E0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9001329"/>
    <w:multiLevelType w:val="multilevel"/>
    <w:tmpl w:val="72AA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346AD7"/>
    <w:multiLevelType w:val="hybridMultilevel"/>
    <w:tmpl w:val="150CCA76"/>
    <w:lvl w:ilvl="0" w:tplc="A22E5F3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670" w:hanging="360"/>
      </w:pPr>
      <w:rPr>
        <w:rFonts w:ascii="Courier New" w:hAnsi="Courier New" w:cs="Courier New" w:hint="default"/>
      </w:rPr>
    </w:lvl>
    <w:lvl w:ilvl="2" w:tplc="0C090005" w:tentative="1">
      <w:start w:val="1"/>
      <w:numFmt w:val="bullet"/>
      <w:lvlText w:val=""/>
      <w:lvlJc w:val="left"/>
      <w:pPr>
        <w:ind w:left="2390" w:hanging="360"/>
      </w:pPr>
      <w:rPr>
        <w:rFonts w:ascii="Wingdings" w:hAnsi="Wingdings" w:hint="default"/>
      </w:rPr>
    </w:lvl>
    <w:lvl w:ilvl="3" w:tplc="0C090001" w:tentative="1">
      <w:start w:val="1"/>
      <w:numFmt w:val="bullet"/>
      <w:lvlText w:val=""/>
      <w:lvlJc w:val="left"/>
      <w:pPr>
        <w:ind w:left="3110" w:hanging="360"/>
      </w:pPr>
      <w:rPr>
        <w:rFonts w:ascii="Symbol" w:hAnsi="Symbol" w:hint="default"/>
      </w:rPr>
    </w:lvl>
    <w:lvl w:ilvl="4" w:tplc="0C090003" w:tentative="1">
      <w:start w:val="1"/>
      <w:numFmt w:val="bullet"/>
      <w:lvlText w:val="o"/>
      <w:lvlJc w:val="left"/>
      <w:pPr>
        <w:ind w:left="3830" w:hanging="360"/>
      </w:pPr>
      <w:rPr>
        <w:rFonts w:ascii="Courier New" w:hAnsi="Courier New" w:cs="Courier New" w:hint="default"/>
      </w:rPr>
    </w:lvl>
    <w:lvl w:ilvl="5" w:tplc="0C090005" w:tentative="1">
      <w:start w:val="1"/>
      <w:numFmt w:val="bullet"/>
      <w:lvlText w:val=""/>
      <w:lvlJc w:val="left"/>
      <w:pPr>
        <w:ind w:left="4550" w:hanging="360"/>
      </w:pPr>
      <w:rPr>
        <w:rFonts w:ascii="Wingdings" w:hAnsi="Wingdings" w:hint="default"/>
      </w:rPr>
    </w:lvl>
    <w:lvl w:ilvl="6" w:tplc="0C090001" w:tentative="1">
      <w:start w:val="1"/>
      <w:numFmt w:val="bullet"/>
      <w:lvlText w:val=""/>
      <w:lvlJc w:val="left"/>
      <w:pPr>
        <w:ind w:left="5270" w:hanging="360"/>
      </w:pPr>
      <w:rPr>
        <w:rFonts w:ascii="Symbol" w:hAnsi="Symbol" w:hint="default"/>
      </w:rPr>
    </w:lvl>
    <w:lvl w:ilvl="7" w:tplc="0C090003" w:tentative="1">
      <w:start w:val="1"/>
      <w:numFmt w:val="bullet"/>
      <w:lvlText w:val="o"/>
      <w:lvlJc w:val="left"/>
      <w:pPr>
        <w:ind w:left="5990" w:hanging="360"/>
      </w:pPr>
      <w:rPr>
        <w:rFonts w:ascii="Courier New" w:hAnsi="Courier New" w:cs="Courier New" w:hint="default"/>
      </w:rPr>
    </w:lvl>
    <w:lvl w:ilvl="8" w:tplc="0C090005" w:tentative="1">
      <w:start w:val="1"/>
      <w:numFmt w:val="bullet"/>
      <w:lvlText w:val=""/>
      <w:lvlJc w:val="left"/>
      <w:pPr>
        <w:ind w:left="6710" w:hanging="360"/>
      </w:pPr>
      <w:rPr>
        <w:rFonts w:ascii="Wingdings" w:hAnsi="Wingdings" w:hint="default"/>
      </w:rPr>
    </w:lvl>
  </w:abstractNum>
  <w:abstractNum w:abstractNumId="18" w15:restartNumberingAfterBreak="0">
    <w:nsid w:val="36244933"/>
    <w:multiLevelType w:val="hybridMultilevel"/>
    <w:tmpl w:val="554CD896"/>
    <w:lvl w:ilvl="0" w:tplc="E6D04AC0">
      <w:start w:val="1"/>
      <w:numFmt w:val="upperLetter"/>
      <w:lvlText w:val="%1."/>
      <w:lvlJc w:val="left"/>
      <w:pPr>
        <w:ind w:left="360" w:hanging="360"/>
      </w:pPr>
      <w:rPr>
        <w:i w:val="0"/>
        <w:iCs w:val="0"/>
        <w:color w:val="auto"/>
      </w:rPr>
    </w:lvl>
    <w:lvl w:ilvl="1" w:tplc="442A8F9A">
      <w:start w:val="1"/>
      <w:numFmt w:val="lowerLetter"/>
      <w:lvlText w:val="%2."/>
      <w:lvlJc w:val="left"/>
      <w:pPr>
        <w:ind w:left="1080" w:hanging="360"/>
      </w:p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19" w15:restartNumberingAfterBreak="0">
    <w:nsid w:val="36F35836"/>
    <w:multiLevelType w:val="multilevel"/>
    <w:tmpl w:val="A81C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16177A"/>
    <w:multiLevelType w:val="multilevel"/>
    <w:tmpl w:val="B98E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22" w15:restartNumberingAfterBreak="0">
    <w:nsid w:val="436A6FC2"/>
    <w:multiLevelType w:val="hybridMultilevel"/>
    <w:tmpl w:val="3A4E0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AE386E"/>
    <w:multiLevelType w:val="multilevel"/>
    <w:tmpl w:val="3620C666"/>
    <w:lvl w:ilvl="0">
      <w:start w:val="1"/>
      <w:numFmt w:val="decimal"/>
      <w:lvlText w:val="%1"/>
      <w:lvlJc w:val="left"/>
      <w:pPr>
        <w:ind w:left="720" w:hanging="720"/>
      </w:pPr>
      <w:rPr>
        <w:rFonts w:hint="default"/>
        <w:b/>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5"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EA79DD"/>
    <w:multiLevelType w:val="hybridMultilevel"/>
    <w:tmpl w:val="D58854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DC30591"/>
    <w:multiLevelType w:val="hybridMultilevel"/>
    <w:tmpl w:val="5D1461BC"/>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345387A"/>
    <w:multiLevelType w:val="multilevel"/>
    <w:tmpl w:val="8AE01382"/>
    <w:lvl w:ilvl="0">
      <w:start w:val="1"/>
      <w:numFmt w:val="decimal"/>
      <w:lvlText w:val="%1"/>
      <w:lvlJc w:val="left"/>
      <w:pPr>
        <w:ind w:left="720" w:hanging="720"/>
      </w:pPr>
      <w:rPr>
        <w:rFonts w:hint="default"/>
        <w:b/>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6C3C2F"/>
    <w:multiLevelType w:val="multilevel"/>
    <w:tmpl w:val="3006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184A24"/>
    <w:multiLevelType w:val="hybridMultilevel"/>
    <w:tmpl w:val="E55A350E"/>
    <w:lvl w:ilvl="0" w:tplc="C6DA0D24">
      <w:start w:val="1"/>
      <w:numFmt w:val="upperLetter"/>
      <w:lvlText w:val="%1."/>
      <w:lvlJc w:val="left"/>
      <w:pPr>
        <w:ind w:left="360" w:hanging="360"/>
      </w:pPr>
      <w:rPr>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70A480A"/>
    <w:multiLevelType w:val="hybridMultilevel"/>
    <w:tmpl w:val="B3F2E7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945511A"/>
    <w:multiLevelType w:val="hybridMultilevel"/>
    <w:tmpl w:val="07022646"/>
    <w:lvl w:ilvl="0" w:tplc="A9189A1E">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A312D1F"/>
    <w:multiLevelType w:val="multilevel"/>
    <w:tmpl w:val="85D6D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EC02A8"/>
    <w:multiLevelType w:val="hybridMultilevel"/>
    <w:tmpl w:val="6BD08E70"/>
    <w:lvl w:ilvl="0" w:tplc="F6FCDD8C">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3804271"/>
    <w:multiLevelType w:val="hybridMultilevel"/>
    <w:tmpl w:val="6BD08E70"/>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75D66104"/>
    <w:multiLevelType w:val="hybridMultilevel"/>
    <w:tmpl w:val="4A8401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84D033C"/>
    <w:multiLevelType w:val="multilevel"/>
    <w:tmpl w:val="6882D492"/>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i w:val="0"/>
        <w:strike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CAF2975"/>
    <w:multiLevelType w:val="hybridMultilevel"/>
    <w:tmpl w:val="9DC8AE16"/>
    <w:lvl w:ilvl="0" w:tplc="F19CB50E">
      <w:start w:val="1"/>
      <w:numFmt w:val="upperLetter"/>
      <w:lvlText w:val="%1."/>
      <w:lvlJc w:val="left"/>
      <w:pPr>
        <w:ind w:left="360" w:hanging="360"/>
      </w:pPr>
      <w:rPr>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6058111">
    <w:abstractNumId w:val="5"/>
  </w:num>
  <w:num w:numId="2" w16cid:durableId="1533498588">
    <w:abstractNumId w:val="18"/>
  </w:num>
  <w:num w:numId="3" w16cid:durableId="957570559">
    <w:abstractNumId w:val="39"/>
  </w:num>
  <w:num w:numId="4" w16cid:durableId="1159004663">
    <w:abstractNumId w:val="31"/>
  </w:num>
  <w:num w:numId="5" w16cid:durableId="418600173">
    <w:abstractNumId w:val="40"/>
  </w:num>
  <w:num w:numId="6" w16cid:durableId="34236669">
    <w:abstractNumId w:val="36"/>
  </w:num>
  <w:num w:numId="7" w16cid:durableId="1279799443">
    <w:abstractNumId w:val="25"/>
  </w:num>
  <w:num w:numId="8" w16cid:durableId="495537779">
    <w:abstractNumId w:val="21"/>
  </w:num>
  <w:num w:numId="9" w16cid:durableId="1468400811">
    <w:abstractNumId w:val="0"/>
  </w:num>
  <w:num w:numId="10" w16cid:durableId="1915313393">
    <w:abstractNumId w:val="34"/>
  </w:num>
  <w:num w:numId="11" w16cid:durableId="1751541441">
    <w:abstractNumId w:val="1"/>
  </w:num>
  <w:num w:numId="12" w16cid:durableId="9394593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2348298">
    <w:abstractNumId w:val="24"/>
  </w:num>
  <w:num w:numId="14" w16cid:durableId="670838392">
    <w:abstractNumId w:val="37"/>
  </w:num>
  <w:num w:numId="15" w16cid:durableId="1103570019">
    <w:abstractNumId w:val="17"/>
  </w:num>
  <w:num w:numId="16" w16cid:durableId="2041346921">
    <w:abstractNumId w:val="39"/>
  </w:num>
  <w:num w:numId="17" w16cid:durableId="212892038">
    <w:abstractNumId w:val="32"/>
  </w:num>
  <w:num w:numId="18" w16cid:durableId="392510494">
    <w:abstractNumId w:val="3"/>
  </w:num>
  <w:num w:numId="19" w16cid:durableId="586378347">
    <w:abstractNumId w:val="13"/>
  </w:num>
  <w:num w:numId="20" w16cid:durableId="478767780">
    <w:abstractNumId w:val="38"/>
  </w:num>
  <w:num w:numId="21" w16cid:durableId="248582181">
    <w:abstractNumId w:val="16"/>
  </w:num>
  <w:num w:numId="22" w16cid:durableId="1796409477">
    <w:abstractNumId w:val="12"/>
  </w:num>
  <w:num w:numId="23" w16cid:durableId="2003579357">
    <w:abstractNumId w:val="39"/>
  </w:num>
  <w:num w:numId="24" w16cid:durableId="1446465385">
    <w:abstractNumId w:val="39"/>
  </w:num>
  <w:num w:numId="25" w16cid:durableId="506411893">
    <w:abstractNumId w:val="39"/>
  </w:num>
  <w:num w:numId="26" w16cid:durableId="2117552857">
    <w:abstractNumId w:val="11"/>
  </w:num>
  <w:num w:numId="27" w16cid:durableId="1466509668">
    <w:abstractNumId w:val="19"/>
  </w:num>
  <w:num w:numId="28" w16cid:durableId="777606784">
    <w:abstractNumId w:val="20"/>
  </w:num>
  <w:num w:numId="29" w16cid:durableId="1233344567">
    <w:abstractNumId w:val="4"/>
  </w:num>
  <w:num w:numId="30" w16cid:durableId="1585801039">
    <w:abstractNumId w:val="39"/>
  </w:num>
  <w:num w:numId="31" w16cid:durableId="446781987">
    <w:abstractNumId w:val="39"/>
  </w:num>
  <w:num w:numId="32" w16cid:durableId="1983003080">
    <w:abstractNumId w:val="39"/>
  </w:num>
  <w:num w:numId="33" w16cid:durableId="370543084">
    <w:abstractNumId w:val="39"/>
  </w:num>
  <w:num w:numId="34" w16cid:durableId="2005816021">
    <w:abstractNumId w:val="8"/>
  </w:num>
  <w:num w:numId="35" w16cid:durableId="2083601046">
    <w:abstractNumId w:val="29"/>
  </w:num>
  <w:num w:numId="36" w16cid:durableId="793330662">
    <w:abstractNumId w:val="2"/>
  </w:num>
  <w:num w:numId="37" w16cid:durableId="1658681066">
    <w:abstractNumId w:val="35"/>
  </w:num>
  <w:num w:numId="38" w16cid:durableId="376125213">
    <w:abstractNumId w:val="7"/>
  </w:num>
  <w:num w:numId="39" w16cid:durableId="475536749">
    <w:abstractNumId w:val="17"/>
  </w:num>
  <w:num w:numId="40" w16cid:durableId="288439453">
    <w:abstractNumId w:val="10"/>
  </w:num>
  <w:num w:numId="41" w16cid:durableId="431895670">
    <w:abstractNumId w:val="22"/>
  </w:num>
  <w:num w:numId="42" w16cid:durableId="2031449423">
    <w:abstractNumId w:val="17"/>
  </w:num>
  <w:num w:numId="43" w16cid:durableId="498542568">
    <w:abstractNumId w:val="23"/>
  </w:num>
  <w:num w:numId="44" w16cid:durableId="1027634791">
    <w:abstractNumId w:val="39"/>
  </w:num>
  <w:num w:numId="45" w16cid:durableId="240601973">
    <w:abstractNumId w:val="6"/>
  </w:num>
  <w:num w:numId="46" w16cid:durableId="1800411834">
    <w:abstractNumId w:val="39"/>
  </w:num>
  <w:num w:numId="47" w16cid:durableId="576475465">
    <w:abstractNumId w:val="15"/>
  </w:num>
  <w:num w:numId="48" w16cid:durableId="685785884">
    <w:abstractNumId w:val="27"/>
  </w:num>
  <w:num w:numId="49" w16cid:durableId="828597920">
    <w:abstractNumId w:val="30"/>
  </w:num>
  <w:num w:numId="50" w16cid:durableId="583340184">
    <w:abstractNumId w:val="39"/>
  </w:num>
  <w:num w:numId="51" w16cid:durableId="914709211">
    <w:abstractNumId w:val="39"/>
  </w:num>
  <w:num w:numId="52" w16cid:durableId="1326397846">
    <w:abstractNumId w:val="41"/>
  </w:num>
  <w:num w:numId="53" w16cid:durableId="515651788">
    <w:abstractNumId w:val="14"/>
  </w:num>
  <w:num w:numId="54" w16cid:durableId="836654841">
    <w:abstractNumId w:val="26"/>
  </w:num>
  <w:num w:numId="55" w16cid:durableId="1705863817">
    <w:abstractNumId w:val="28"/>
  </w:num>
  <w:num w:numId="56" w16cid:durableId="2007437057">
    <w:abstractNumId w:val="39"/>
  </w:num>
  <w:num w:numId="57" w16cid:durableId="1966234880">
    <w:abstractNumId w:val="9"/>
  </w:num>
  <w:num w:numId="58" w16cid:durableId="591280005">
    <w:abstractNumId w:val="39"/>
  </w:num>
  <w:num w:numId="59" w16cid:durableId="1089816052">
    <w:abstractNumId w:val="39"/>
  </w:num>
  <w:num w:numId="60" w16cid:durableId="642153840">
    <w:abstractNumId w:val="17"/>
  </w:num>
  <w:num w:numId="61" w16cid:durableId="1400599">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0BA5"/>
    <w:rsid w:val="0000165E"/>
    <w:rsid w:val="00001663"/>
    <w:rsid w:val="000025AD"/>
    <w:rsid w:val="00002F44"/>
    <w:rsid w:val="0000335D"/>
    <w:rsid w:val="00003A6A"/>
    <w:rsid w:val="00003EC5"/>
    <w:rsid w:val="00003F29"/>
    <w:rsid w:val="00004FA6"/>
    <w:rsid w:val="000056F0"/>
    <w:rsid w:val="00005FF2"/>
    <w:rsid w:val="00006308"/>
    <w:rsid w:val="00006782"/>
    <w:rsid w:val="00006C84"/>
    <w:rsid w:val="00006EA7"/>
    <w:rsid w:val="00006F8F"/>
    <w:rsid w:val="0000797A"/>
    <w:rsid w:val="00010D2B"/>
    <w:rsid w:val="0001179A"/>
    <w:rsid w:val="00011A59"/>
    <w:rsid w:val="00011EA1"/>
    <w:rsid w:val="0001323D"/>
    <w:rsid w:val="00014D69"/>
    <w:rsid w:val="00015128"/>
    <w:rsid w:val="00016A41"/>
    <w:rsid w:val="00020120"/>
    <w:rsid w:val="00021452"/>
    <w:rsid w:val="000214D1"/>
    <w:rsid w:val="00021ADC"/>
    <w:rsid w:val="00021F20"/>
    <w:rsid w:val="000229F1"/>
    <w:rsid w:val="00023A90"/>
    <w:rsid w:val="00023D81"/>
    <w:rsid w:val="00023FEA"/>
    <w:rsid w:val="000240A7"/>
    <w:rsid w:val="0002464A"/>
    <w:rsid w:val="00025612"/>
    <w:rsid w:val="00025A04"/>
    <w:rsid w:val="0002693D"/>
    <w:rsid w:val="00027332"/>
    <w:rsid w:val="00027A58"/>
    <w:rsid w:val="00027C16"/>
    <w:rsid w:val="00027CEE"/>
    <w:rsid w:val="0003050E"/>
    <w:rsid w:val="00030AB6"/>
    <w:rsid w:val="00030BEA"/>
    <w:rsid w:val="0003106B"/>
    <w:rsid w:val="0003195E"/>
    <w:rsid w:val="000335B9"/>
    <w:rsid w:val="00033C7E"/>
    <w:rsid w:val="000342DE"/>
    <w:rsid w:val="0003486D"/>
    <w:rsid w:val="00034905"/>
    <w:rsid w:val="00036AFD"/>
    <w:rsid w:val="00037906"/>
    <w:rsid w:val="00040A30"/>
    <w:rsid w:val="00040F6E"/>
    <w:rsid w:val="000414C9"/>
    <w:rsid w:val="000421A1"/>
    <w:rsid w:val="00042360"/>
    <w:rsid w:val="0004240E"/>
    <w:rsid w:val="000425A2"/>
    <w:rsid w:val="00043021"/>
    <w:rsid w:val="000436FE"/>
    <w:rsid w:val="00043943"/>
    <w:rsid w:val="00044430"/>
    <w:rsid w:val="00044582"/>
    <w:rsid w:val="00044E52"/>
    <w:rsid w:val="00044EC4"/>
    <w:rsid w:val="00045102"/>
    <w:rsid w:val="0004528A"/>
    <w:rsid w:val="00045E26"/>
    <w:rsid w:val="00046903"/>
    <w:rsid w:val="00047247"/>
    <w:rsid w:val="0005033B"/>
    <w:rsid w:val="000514B5"/>
    <w:rsid w:val="000521ED"/>
    <w:rsid w:val="000523B4"/>
    <w:rsid w:val="0005322E"/>
    <w:rsid w:val="000546CF"/>
    <w:rsid w:val="00054E2B"/>
    <w:rsid w:val="00055A8E"/>
    <w:rsid w:val="00056132"/>
    <w:rsid w:val="000578B1"/>
    <w:rsid w:val="00060993"/>
    <w:rsid w:val="00060E64"/>
    <w:rsid w:val="00061839"/>
    <w:rsid w:val="000621AB"/>
    <w:rsid w:val="00062AE2"/>
    <w:rsid w:val="00062B5B"/>
    <w:rsid w:val="00062C03"/>
    <w:rsid w:val="00062E88"/>
    <w:rsid w:val="00062EB0"/>
    <w:rsid w:val="00063AFC"/>
    <w:rsid w:val="00064313"/>
    <w:rsid w:val="00064996"/>
    <w:rsid w:val="00066193"/>
    <w:rsid w:val="00066755"/>
    <w:rsid w:val="00066B92"/>
    <w:rsid w:val="00066FB9"/>
    <w:rsid w:val="00070C54"/>
    <w:rsid w:val="00071159"/>
    <w:rsid w:val="00071A5B"/>
    <w:rsid w:val="00071D09"/>
    <w:rsid w:val="00072730"/>
    <w:rsid w:val="0007337F"/>
    <w:rsid w:val="0007373E"/>
    <w:rsid w:val="00073986"/>
    <w:rsid w:val="000741E5"/>
    <w:rsid w:val="00074320"/>
    <w:rsid w:val="000751DE"/>
    <w:rsid w:val="000763D5"/>
    <w:rsid w:val="00076C38"/>
    <w:rsid w:val="00077143"/>
    <w:rsid w:val="00077DF7"/>
    <w:rsid w:val="0008050C"/>
    <w:rsid w:val="00080A58"/>
    <w:rsid w:val="00081BDF"/>
    <w:rsid w:val="00082127"/>
    <w:rsid w:val="00082168"/>
    <w:rsid w:val="00082169"/>
    <w:rsid w:val="000834BE"/>
    <w:rsid w:val="00083F01"/>
    <w:rsid w:val="00085A01"/>
    <w:rsid w:val="000864E7"/>
    <w:rsid w:val="000867CA"/>
    <w:rsid w:val="000874B7"/>
    <w:rsid w:val="00087C4C"/>
    <w:rsid w:val="00087E15"/>
    <w:rsid w:val="00090018"/>
    <w:rsid w:val="00091109"/>
    <w:rsid w:val="0009114F"/>
    <w:rsid w:val="000918CB"/>
    <w:rsid w:val="00091B06"/>
    <w:rsid w:val="00091B71"/>
    <w:rsid w:val="00092705"/>
    <w:rsid w:val="00092713"/>
    <w:rsid w:val="00093767"/>
    <w:rsid w:val="000946A5"/>
    <w:rsid w:val="000951C4"/>
    <w:rsid w:val="00095ADA"/>
    <w:rsid w:val="00095F3A"/>
    <w:rsid w:val="0009640D"/>
    <w:rsid w:val="0009656E"/>
    <w:rsid w:val="000969AD"/>
    <w:rsid w:val="00096B74"/>
    <w:rsid w:val="00096C38"/>
    <w:rsid w:val="00096E70"/>
    <w:rsid w:val="000971B9"/>
    <w:rsid w:val="00097319"/>
    <w:rsid w:val="000975FB"/>
    <w:rsid w:val="000A0033"/>
    <w:rsid w:val="000A02F8"/>
    <w:rsid w:val="000A1050"/>
    <w:rsid w:val="000A3AA2"/>
    <w:rsid w:val="000A42EF"/>
    <w:rsid w:val="000A44B2"/>
    <w:rsid w:val="000A4E3D"/>
    <w:rsid w:val="000A52F6"/>
    <w:rsid w:val="000A58B8"/>
    <w:rsid w:val="000A63FA"/>
    <w:rsid w:val="000A773E"/>
    <w:rsid w:val="000A7867"/>
    <w:rsid w:val="000A78B8"/>
    <w:rsid w:val="000B0F18"/>
    <w:rsid w:val="000B2CB8"/>
    <w:rsid w:val="000B34E4"/>
    <w:rsid w:val="000B42AC"/>
    <w:rsid w:val="000B44C3"/>
    <w:rsid w:val="000B558D"/>
    <w:rsid w:val="000B57B2"/>
    <w:rsid w:val="000B5937"/>
    <w:rsid w:val="000B5A89"/>
    <w:rsid w:val="000B60D7"/>
    <w:rsid w:val="000B6592"/>
    <w:rsid w:val="000B65F6"/>
    <w:rsid w:val="000B673E"/>
    <w:rsid w:val="000B7767"/>
    <w:rsid w:val="000B7DD2"/>
    <w:rsid w:val="000C04C8"/>
    <w:rsid w:val="000C056C"/>
    <w:rsid w:val="000C0A9B"/>
    <w:rsid w:val="000C1AFF"/>
    <w:rsid w:val="000C3B14"/>
    <w:rsid w:val="000C42ED"/>
    <w:rsid w:val="000C46DD"/>
    <w:rsid w:val="000C4A7D"/>
    <w:rsid w:val="000C4C18"/>
    <w:rsid w:val="000C4E9F"/>
    <w:rsid w:val="000C5740"/>
    <w:rsid w:val="000C5C9A"/>
    <w:rsid w:val="000C5D1A"/>
    <w:rsid w:val="000C5F95"/>
    <w:rsid w:val="000C6996"/>
    <w:rsid w:val="000C731F"/>
    <w:rsid w:val="000C7C46"/>
    <w:rsid w:val="000D022F"/>
    <w:rsid w:val="000D09E9"/>
    <w:rsid w:val="000D1085"/>
    <w:rsid w:val="000D113F"/>
    <w:rsid w:val="000D23BA"/>
    <w:rsid w:val="000D2F86"/>
    <w:rsid w:val="000D36DB"/>
    <w:rsid w:val="000D3DC1"/>
    <w:rsid w:val="000D4F18"/>
    <w:rsid w:val="000D6318"/>
    <w:rsid w:val="000D6F11"/>
    <w:rsid w:val="000E0067"/>
    <w:rsid w:val="000E0F2F"/>
    <w:rsid w:val="000E19B7"/>
    <w:rsid w:val="000E20FC"/>
    <w:rsid w:val="000E2569"/>
    <w:rsid w:val="000E29A1"/>
    <w:rsid w:val="000E3168"/>
    <w:rsid w:val="000E3256"/>
    <w:rsid w:val="000E3C1D"/>
    <w:rsid w:val="000E3DFB"/>
    <w:rsid w:val="000E4CF4"/>
    <w:rsid w:val="000E5EA1"/>
    <w:rsid w:val="000E681E"/>
    <w:rsid w:val="000E696B"/>
    <w:rsid w:val="000E6A7B"/>
    <w:rsid w:val="000E6BA7"/>
    <w:rsid w:val="000E6CA7"/>
    <w:rsid w:val="000E70F8"/>
    <w:rsid w:val="000E7B76"/>
    <w:rsid w:val="000E7E52"/>
    <w:rsid w:val="000E7E90"/>
    <w:rsid w:val="000EE1C7"/>
    <w:rsid w:val="000F0003"/>
    <w:rsid w:val="000F1AAB"/>
    <w:rsid w:val="000F1B58"/>
    <w:rsid w:val="000F282A"/>
    <w:rsid w:val="000F2853"/>
    <w:rsid w:val="000F2EF3"/>
    <w:rsid w:val="000F3384"/>
    <w:rsid w:val="000F3438"/>
    <w:rsid w:val="000F3A05"/>
    <w:rsid w:val="000F4A51"/>
    <w:rsid w:val="000F4E6A"/>
    <w:rsid w:val="000F6461"/>
    <w:rsid w:val="000F6ABB"/>
    <w:rsid w:val="000F7354"/>
    <w:rsid w:val="000F7689"/>
    <w:rsid w:val="000F7C27"/>
    <w:rsid w:val="00100299"/>
    <w:rsid w:val="00101098"/>
    <w:rsid w:val="001012F2"/>
    <w:rsid w:val="00101ABE"/>
    <w:rsid w:val="00102202"/>
    <w:rsid w:val="00102700"/>
    <w:rsid w:val="00102A78"/>
    <w:rsid w:val="00103118"/>
    <w:rsid w:val="001039DC"/>
    <w:rsid w:val="00103F1B"/>
    <w:rsid w:val="00104227"/>
    <w:rsid w:val="001052F7"/>
    <w:rsid w:val="001053D5"/>
    <w:rsid w:val="00105610"/>
    <w:rsid w:val="00105999"/>
    <w:rsid w:val="00106A6E"/>
    <w:rsid w:val="00107409"/>
    <w:rsid w:val="00110397"/>
    <w:rsid w:val="001107BF"/>
    <w:rsid w:val="00110D3F"/>
    <w:rsid w:val="001110BA"/>
    <w:rsid w:val="001132F6"/>
    <w:rsid w:val="00113495"/>
    <w:rsid w:val="00113649"/>
    <w:rsid w:val="001136EB"/>
    <w:rsid w:val="00113D5C"/>
    <w:rsid w:val="00114373"/>
    <w:rsid w:val="00114E18"/>
    <w:rsid w:val="00114FE7"/>
    <w:rsid w:val="0011519B"/>
    <w:rsid w:val="00115CD3"/>
    <w:rsid w:val="0011661C"/>
    <w:rsid w:val="00116B03"/>
    <w:rsid w:val="001178EC"/>
    <w:rsid w:val="001203D5"/>
    <w:rsid w:val="001209A5"/>
    <w:rsid w:val="00120AA6"/>
    <w:rsid w:val="00121F3B"/>
    <w:rsid w:val="001239DB"/>
    <w:rsid w:val="0012417C"/>
    <w:rsid w:val="00124354"/>
    <w:rsid w:val="00124BF2"/>
    <w:rsid w:val="00125837"/>
    <w:rsid w:val="0012597F"/>
    <w:rsid w:val="00125B3F"/>
    <w:rsid w:val="00126B19"/>
    <w:rsid w:val="00126D3A"/>
    <w:rsid w:val="00127266"/>
    <w:rsid w:val="0012749D"/>
    <w:rsid w:val="0012757C"/>
    <w:rsid w:val="00127708"/>
    <w:rsid w:val="00127A23"/>
    <w:rsid w:val="00127D9B"/>
    <w:rsid w:val="001306A5"/>
    <w:rsid w:val="00130918"/>
    <w:rsid w:val="001311AE"/>
    <w:rsid w:val="00131807"/>
    <w:rsid w:val="00132399"/>
    <w:rsid w:val="00133D97"/>
    <w:rsid w:val="00133D9A"/>
    <w:rsid w:val="00134994"/>
    <w:rsid w:val="00135839"/>
    <w:rsid w:val="001366C2"/>
    <w:rsid w:val="00136A3A"/>
    <w:rsid w:val="00136C17"/>
    <w:rsid w:val="00137C3B"/>
    <w:rsid w:val="00137C71"/>
    <w:rsid w:val="00140155"/>
    <w:rsid w:val="00140793"/>
    <w:rsid w:val="00140B74"/>
    <w:rsid w:val="00140CFC"/>
    <w:rsid w:val="00140D94"/>
    <w:rsid w:val="00141B80"/>
    <w:rsid w:val="00141E09"/>
    <w:rsid w:val="00142395"/>
    <w:rsid w:val="0014250D"/>
    <w:rsid w:val="00142714"/>
    <w:rsid w:val="0014446D"/>
    <w:rsid w:val="001448FC"/>
    <w:rsid w:val="00144D09"/>
    <w:rsid w:val="00144E06"/>
    <w:rsid w:val="001451C7"/>
    <w:rsid w:val="001451E5"/>
    <w:rsid w:val="001452ED"/>
    <w:rsid w:val="00145D91"/>
    <w:rsid w:val="00145E3A"/>
    <w:rsid w:val="00147D84"/>
    <w:rsid w:val="00150AE4"/>
    <w:rsid w:val="001513BB"/>
    <w:rsid w:val="001515DD"/>
    <w:rsid w:val="00151CBD"/>
    <w:rsid w:val="0015225C"/>
    <w:rsid w:val="001522EA"/>
    <w:rsid w:val="00153009"/>
    <w:rsid w:val="00153114"/>
    <w:rsid w:val="001533C3"/>
    <w:rsid w:val="0015360F"/>
    <w:rsid w:val="001549C1"/>
    <w:rsid w:val="00154FD3"/>
    <w:rsid w:val="00155208"/>
    <w:rsid w:val="001560C8"/>
    <w:rsid w:val="00156379"/>
    <w:rsid w:val="00156892"/>
    <w:rsid w:val="00156C8D"/>
    <w:rsid w:val="001603EB"/>
    <w:rsid w:val="00160456"/>
    <w:rsid w:val="00160881"/>
    <w:rsid w:val="00160DF3"/>
    <w:rsid w:val="00160F4D"/>
    <w:rsid w:val="00161FBF"/>
    <w:rsid w:val="00162BDD"/>
    <w:rsid w:val="00162D4E"/>
    <w:rsid w:val="00163329"/>
    <w:rsid w:val="00163B5F"/>
    <w:rsid w:val="00164478"/>
    <w:rsid w:val="00164623"/>
    <w:rsid w:val="00164D88"/>
    <w:rsid w:val="0016524C"/>
    <w:rsid w:val="001652DE"/>
    <w:rsid w:val="001653EC"/>
    <w:rsid w:val="00165B64"/>
    <w:rsid w:val="00165E57"/>
    <w:rsid w:val="001661F3"/>
    <w:rsid w:val="00166A7C"/>
    <w:rsid w:val="00166C21"/>
    <w:rsid w:val="00167A69"/>
    <w:rsid w:val="00167C39"/>
    <w:rsid w:val="00167E2D"/>
    <w:rsid w:val="00167EF9"/>
    <w:rsid w:val="00170C4D"/>
    <w:rsid w:val="00171053"/>
    <w:rsid w:val="0017149A"/>
    <w:rsid w:val="00172426"/>
    <w:rsid w:val="001726B4"/>
    <w:rsid w:val="00172B2F"/>
    <w:rsid w:val="00172F9E"/>
    <w:rsid w:val="00174456"/>
    <w:rsid w:val="00174EB8"/>
    <w:rsid w:val="001756CB"/>
    <w:rsid w:val="0017601D"/>
    <w:rsid w:val="00176B9D"/>
    <w:rsid w:val="001776A0"/>
    <w:rsid w:val="00180713"/>
    <w:rsid w:val="00180720"/>
    <w:rsid w:val="00181E92"/>
    <w:rsid w:val="001830CE"/>
    <w:rsid w:val="001836E3"/>
    <w:rsid w:val="001840DB"/>
    <w:rsid w:val="001840F4"/>
    <w:rsid w:val="001843EC"/>
    <w:rsid w:val="00184659"/>
    <w:rsid w:val="00184E36"/>
    <w:rsid w:val="001860E5"/>
    <w:rsid w:val="001862DE"/>
    <w:rsid w:val="0018643B"/>
    <w:rsid w:val="00186479"/>
    <w:rsid w:val="00186EAC"/>
    <w:rsid w:val="00186EDB"/>
    <w:rsid w:val="001900EC"/>
    <w:rsid w:val="00190AC1"/>
    <w:rsid w:val="00190DCE"/>
    <w:rsid w:val="00192166"/>
    <w:rsid w:val="001933E7"/>
    <w:rsid w:val="00193E3B"/>
    <w:rsid w:val="001954ED"/>
    <w:rsid w:val="00196307"/>
    <w:rsid w:val="0019673D"/>
    <w:rsid w:val="00196CF5"/>
    <w:rsid w:val="00197903"/>
    <w:rsid w:val="00197C70"/>
    <w:rsid w:val="00197CBF"/>
    <w:rsid w:val="00197DA8"/>
    <w:rsid w:val="00197F03"/>
    <w:rsid w:val="001A098A"/>
    <w:rsid w:val="001A0D10"/>
    <w:rsid w:val="001A148D"/>
    <w:rsid w:val="001A1511"/>
    <w:rsid w:val="001A186C"/>
    <w:rsid w:val="001A1EDB"/>
    <w:rsid w:val="001A20B6"/>
    <w:rsid w:val="001A20FB"/>
    <w:rsid w:val="001A33EA"/>
    <w:rsid w:val="001A3589"/>
    <w:rsid w:val="001A3615"/>
    <w:rsid w:val="001A3A62"/>
    <w:rsid w:val="001A4316"/>
    <w:rsid w:val="001A4413"/>
    <w:rsid w:val="001A4C4F"/>
    <w:rsid w:val="001A5A2B"/>
    <w:rsid w:val="001A5D23"/>
    <w:rsid w:val="001A60D4"/>
    <w:rsid w:val="001A66C7"/>
    <w:rsid w:val="001A76FB"/>
    <w:rsid w:val="001A7A90"/>
    <w:rsid w:val="001B017F"/>
    <w:rsid w:val="001B0B79"/>
    <w:rsid w:val="001B0C16"/>
    <w:rsid w:val="001B11F8"/>
    <w:rsid w:val="001B19EA"/>
    <w:rsid w:val="001B2819"/>
    <w:rsid w:val="001B2BBC"/>
    <w:rsid w:val="001B2BCD"/>
    <w:rsid w:val="001B3A40"/>
    <w:rsid w:val="001B3FFE"/>
    <w:rsid w:val="001B5129"/>
    <w:rsid w:val="001B5868"/>
    <w:rsid w:val="001B63F3"/>
    <w:rsid w:val="001B68D0"/>
    <w:rsid w:val="001B6D74"/>
    <w:rsid w:val="001B6E3A"/>
    <w:rsid w:val="001B7122"/>
    <w:rsid w:val="001C0B4C"/>
    <w:rsid w:val="001C0EC4"/>
    <w:rsid w:val="001C1195"/>
    <w:rsid w:val="001C12AE"/>
    <w:rsid w:val="001C1B42"/>
    <w:rsid w:val="001C1E84"/>
    <w:rsid w:val="001C20E1"/>
    <w:rsid w:val="001C2A0F"/>
    <w:rsid w:val="001C2E42"/>
    <w:rsid w:val="001C3C41"/>
    <w:rsid w:val="001C3C88"/>
    <w:rsid w:val="001C43A1"/>
    <w:rsid w:val="001C4A35"/>
    <w:rsid w:val="001C4C28"/>
    <w:rsid w:val="001C4E0C"/>
    <w:rsid w:val="001C574F"/>
    <w:rsid w:val="001D1727"/>
    <w:rsid w:val="001D1F5F"/>
    <w:rsid w:val="001D2854"/>
    <w:rsid w:val="001D2C91"/>
    <w:rsid w:val="001D4E9C"/>
    <w:rsid w:val="001D595B"/>
    <w:rsid w:val="001D6909"/>
    <w:rsid w:val="001D6C90"/>
    <w:rsid w:val="001D7250"/>
    <w:rsid w:val="001D72F2"/>
    <w:rsid w:val="001E06D2"/>
    <w:rsid w:val="001E07CA"/>
    <w:rsid w:val="001E17C4"/>
    <w:rsid w:val="001E2A47"/>
    <w:rsid w:val="001E2D65"/>
    <w:rsid w:val="001E3BD8"/>
    <w:rsid w:val="001E47BA"/>
    <w:rsid w:val="001E5F3A"/>
    <w:rsid w:val="001F005B"/>
    <w:rsid w:val="001F0266"/>
    <w:rsid w:val="001F11C4"/>
    <w:rsid w:val="001F14C0"/>
    <w:rsid w:val="001F1850"/>
    <w:rsid w:val="001F1A0A"/>
    <w:rsid w:val="001F1BD8"/>
    <w:rsid w:val="001F1FBF"/>
    <w:rsid w:val="001F2311"/>
    <w:rsid w:val="001F2B80"/>
    <w:rsid w:val="001F2F1C"/>
    <w:rsid w:val="001F3189"/>
    <w:rsid w:val="001F35F5"/>
    <w:rsid w:val="001F3981"/>
    <w:rsid w:val="0020058D"/>
    <w:rsid w:val="00200BEA"/>
    <w:rsid w:val="0020106D"/>
    <w:rsid w:val="00201183"/>
    <w:rsid w:val="00201188"/>
    <w:rsid w:val="00201FB8"/>
    <w:rsid w:val="002028EF"/>
    <w:rsid w:val="00202A6C"/>
    <w:rsid w:val="00202DC4"/>
    <w:rsid w:val="002039F7"/>
    <w:rsid w:val="00203FAC"/>
    <w:rsid w:val="0020460A"/>
    <w:rsid w:val="002046A0"/>
    <w:rsid w:val="002053C8"/>
    <w:rsid w:val="00205772"/>
    <w:rsid w:val="00205E23"/>
    <w:rsid w:val="00206272"/>
    <w:rsid w:val="00207716"/>
    <w:rsid w:val="00211A4B"/>
    <w:rsid w:val="00212AD2"/>
    <w:rsid w:val="0021330C"/>
    <w:rsid w:val="002133FB"/>
    <w:rsid w:val="00213CFB"/>
    <w:rsid w:val="0021444F"/>
    <w:rsid w:val="0021553C"/>
    <w:rsid w:val="0021557B"/>
    <w:rsid w:val="002162F4"/>
    <w:rsid w:val="00216B87"/>
    <w:rsid w:val="002174FD"/>
    <w:rsid w:val="00217BE1"/>
    <w:rsid w:val="002206D5"/>
    <w:rsid w:val="00221361"/>
    <w:rsid w:val="002214B9"/>
    <w:rsid w:val="002217BE"/>
    <w:rsid w:val="002217C9"/>
    <w:rsid w:val="00222680"/>
    <w:rsid w:val="0022279D"/>
    <w:rsid w:val="002230B3"/>
    <w:rsid w:val="00223370"/>
    <w:rsid w:val="00223405"/>
    <w:rsid w:val="00223FE7"/>
    <w:rsid w:val="00224B89"/>
    <w:rsid w:val="00224D1E"/>
    <w:rsid w:val="00225AD7"/>
    <w:rsid w:val="00226611"/>
    <w:rsid w:val="00227BC5"/>
    <w:rsid w:val="00227DC4"/>
    <w:rsid w:val="00230F63"/>
    <w:rsid w:val="00231E2F"/>
    <w:rsid w:val="00233D85"/>
    <w:rsid w:val="00234252"/>
    <w:rsid w:val="0023466E"/>
    <w:rsid w:val="002348DC"/>
    <w:rsid w:val="00235833"/>
    <w:rsid w:val="00235913"/>
    <w:rsid w:val="0023593C"/>
    <w:rsid w:val="00237AC6"/>
    <w:rsid w:val="00240266"/>
    <w:rsid w:val="00240FF2"/>
    <w:rsid w:val="00241683"/>
    <w:rsid w:val="00242585"/>
    <w:rsid w:val="002425FC"/>
    <w:rsid w:val="00242716"/>
    <w:rsid w:val="00242B64"/>
    <w:rsid w:val="00242BFD"/>
    <w:rsid w:val="0024409B"/>
    <w:rsid w:val="00244139"/>
    <w:rsid w:val="002441E6"/>
    <w:rsid w:val="00244490"/>
    <w:rsid w:val="00244BEC"/>
    <w:rsid w:val="00244C09"/>
    <w:rsid w:val="00245444"/>
    <w:rsid w:val="002455DE"/>
    <w:rsid w:val="00245B9C"/>
    <w:rsid w:val="00246E84"/>
    <w:rsid w:val="00247E3B"/>
    <w:rsid w:val="00250874"/>
    <w:rsid w:val="00250AAC"/>
    <w:rsid w:val="00251539"/>
    <w:rsid w:val="00251B85"/>
    <w:rsid w:val="00252587"/>
    <w:rsid w:val="002526C8"/>
    <w:rsid w:val="00253499"/>
    <w:rsid w:val="0025387E"/>
    <w:rsid w:val="00254FCB"/>
    <w:rsid w:val="002551A4"/>
    <w:rsid w:val="0025753D"/>
    <w:rsid w:val="00257664"/>
    <w:rsid w:val="00257D6F"/>
    <w:rsid w:val="00260165"/>
    <w:rsid w:val="00260953"/>
    <w:rsid w:val="002620DC"/>
    <w:rsid w:val="002644D1"/>
    <w:rsid w:val="00265151"/>
    <w:rsid w:val="0026593B"/>
    <w:rsid w:val="00265C2C"/>
    <w:rsid w:val="002664A0"/>
    <w:rsid w:val="00266509"/>
    <w:rsid w:val="00267098"/>
    <w:rsid w:val="002708C4"/>
    <w:rsid w:val="00271BA1"/>
    <w:rsid w:val="00272739"/>
    <w:rsid w:val="00272BEA"/>
    <w:rsid w:val="00272CBF"/>
    <w:rsid w:val="00272DE5"/>
    <w:rsid w:val="002738E5"/>
    <w:rsid w:val="00273AC5"/>
    <w:rsid w:val="0027417A"/>
    <w:rsid w:val="00275D4D"/>
    <w:rsid w:val="002762FA"/>
    <w:rsid w:val="00276B9A"/>
    <w:rsid w:val="00276BE3"/>
    <w:rsid w:val="00277505"/>
    <w:rsid w:val="00277873"/>
    <w:rsid w:val="00277C96"/>
    <w:rsid w:val="00280147"/>
    <w:rsid w:val="002806E9"/>
    <w:rsid w:val="0028158C"/>
    <w:rsid w:val="002823B6"/>
    <w:rsid w:val="00283A59"/>
    <w:rsid w:val="00283DAA"/>
    <w:rsid w:val="0028419C"/>
    <w:rsid w:val="0028508E"/>
    <w:rsid w:val="00285BC2"/>
    <w:rsid w:val="00285C88"/>
    <w:rsid w:val="002861E9"/>
    <w:rsid w:val="002876A3"/>
    <w:rsid w:val="00290921"/>
    <w:rsid w:val="00290C03"/>
    <w:rsid w:val="00290D15"/>
    <w:rsid w:val="00291B9B"/>
    <w:rsid w:val="00292392"/>
    <w:rsid w:val="00292E3B"/>
    <w:rsid w:val="002933A8"/>
    <w:rsid w:val="00293E68"/>
    <w:rsid w:val="00294274"/>
    <w:rsid w:val="0029458F"/>
    <w:rsid w:val="0029551D"/>
    <w:rsid w:val="00295D04"/>
    <w:rsid w:val="00296048"/>
    <w:rsid w:val="002960F3"/>
    <w:rsid w:val="00296165"/>
    <w:rsid w:val="00297A63"/>
    <w:rsid w:val="002A018F"/>
    <w:rsid w:val="002A03FD"/>
    <w:rsid w:val="002A0E04"/>
    <w:rsid w:val="002A104C"/>
    <w:rsid w:val="002A1EF7"/>
    <w:rsid w:val="002A2B7B"/>
    <w:rsid w:val="002A346C"/>
    <w:rsid w:val="002A3F4B"/>
    <w:rsid w:val="002A494D"/>
    <w:rsid w:val="002A4960"/>
    <w:rsid w:val="002A4A03"/>
    <w:rsid w:val="002A4CA6"/>
    <w:rsid w:val="002A5C6C"/>
    <w:rsid w:val="002A626E"/>
    <w:rsid w:val="002A636A"/>
    <w:rsid w:val="002A73A4"/>
    <w:rsid w:val="002A7449"/>
    <w:rsid w:val="002A755F"/>
    <w:rsid w:val="002A7787"/>
    <w:rsid w:val="002A7F1B"/>
    <w:rsid w:val="002B0028"/>
    <w:rsid w:val="002B04E4"/>
    <w:rsid w:val="002B0609"/>
    <w:rsid w:val="002B06A9"/>
    <w:rsid w:val="002B0AE0"/>
    <w:rsid w:val="002B0B2B"/>
    <w:rsid w:val="002B0F5F"/>
    <w:rsid w:val="002B18D5"/>
    <w:rsid w:val="002B1AE6"/>
    <w:rsid w:val="002B1D51"/>
    <w:rsid w:val="002B2287"/>
    <w:rsid w:val="002B2AAC"/>
    <w:rsid w:val="002B2CDC"/>
    <w:rsid w:val="002B2DE8"/>
    <w:rsid w:val="002B30D2"/>
    <w:rsid w:val="002B30F8"/>
    <w:rsid w:val="002B3624"/>
    <w:rsid w:val="002B388A"/>
    <w:rsid w:val="002B3BFE"/>
    <w:rsid w:val="002B3C14"/>
    <w:rsid w:val="002B3C1A"/>
    <w:rsid w:val="002B4C2A"/>
    <w:rsid w:val="002B4F95"/>
    <w:rsid w:val="002B5596"/>
    <w:rsid w:val="002B6AC2"/>
    <w:rsid w:val="002B7303"/>
    <w:rsid w:val="002B77D7"/>
    <w:rsid w:val="002C0763"/>
    <w:rsid w:val="002C212F"/>
    <w:rsid w:val="002C2390"/>
    <w:rsid w:val="002C273D"/>
    <w:rsid w:val="002C2F35"/>
    <w:rsid w:val="002C34CA"/>
    <w:rsid w:val="002C5622"/>
    <w:rsid w:val="002C5850"/>
    <w:rsid w:val="002C60BF"/>
    <w:rsid w:val="002C6AA9"/>
    <w:rsid w:val="002C7485"/>
    <w:rsid w:val="002D1226"/>
    <w:rsid w:val="002D1287"/>
    <w:rsid w:val="002D13A2"/>
    <w:rsid w:val="002D2641"/>
    <w:rsid w:val="002D283A"/>
    <w:rsid w:val="002D4543"/>
    <w:rsid w:val="002D45CA"/>
    <w:rsid w:val="002D460B"/>
    <w:rsid w:val="002D59C2"/>
    <w:rsid w:val="002D5D0F"/>
    <w:rsid w:val="002D6691"/>
    <w:rsid w:val="002D68EF"/>
    <w:rsid w:val="002D6CB5"/>
    <w:rsid w:val="002D715F"/>
    <w:rsid w:val="002D7276"/>
    <w:rsid w:val="002D7408"/>
    <w:rsid w:val="002E022A"/>
    <w:rsid w:val="002E0BA0"/>
    <w:rsid w:val="002E19CE"/>
    <w:rsid w:val="002E1A3E"/>
    <w:rsid w:val="002E1C95"/>
    <w:rsid w:val="002E3153"/>
    <w:rsid w:val="002E38B2"/>
    <w:rsid w:val="002E3FD4"/>
    <w:rsid w:val="002E40A7"/>
    <w:rsid w:val="002E4A02"/>
    <w:rsid w:val="002E5135"/>
    <w:rsid w:val="002E5292"/>
    <w:rsid w:val="002E7006"/>
    <w:rsid w:val="002E72CA"/>
    <w:rsid w:val="002E73AF"/>
    <w:rsid w:val="002E748F"/>
    <w:rsid w:val="002E75DD"/>
    <w:rsid w:val="002E7F6B"/>
    <w:rsid w:val="002F0811"/>
    <w:rsid w:val="002F0CFD"/>
    <w:rsid w:val="002F0F23"/>
    <w:rsid w:val="002F175D"/>
    <w:rsid w:val="002F1D07"/>
    <w:rsid w:val="002F2B6F"/>
    <w:rsid w:val="002F3326"/>
    <w:rsid w:val="002F3E2A"/>
    <w:rsid w:val="002F49A5"/>
    <w:rsid w:val="002F51D3"/>
    <w:rsid w:val="002F5C5B"/>
    <w:rsid w:val="002F600D"/>
    <w:rsid w:val="002F6A4C"/>
    <w:rsid w:val="002F6F0F"/>
    <w:rsid w:val="002F77A2"/>
    <w:rsid w:val="002F7E47"/>
    <w:rsid w:val="00300AD6"/>
    <w:rsid w:val="00300B1B"/>
    <w:rsid w:val="003019D0"/>
    <w:rsid w:val="003019DE"/>
    <w:rsid w:val="00302610"/>
    <w:rsid w:val="0030311E"/>
    <w:rsid w:val="00303631"/>
    <w:rsid w:val="00303B15"/>
    <w:rsid w:val="00303CFE"/>
    <w:rsid w:val="003042E7"/>
    <w:rsid w:val="003064AF"/>
    <w:rsid w:val="00306940"/>
    <w:rsid w:val="00307189"/>
    <w:rsid w:val="00307DC6"/>
    <w:rsid w:val="00310563"/>
    <w:rsid w:val="00310A8B"/>
    <w:rsid w:val="00310B24"/>
    <w:rsid w:val="00310B68"/>
    <w:rsid w:val="00310EFA"/>
    <w:rsid w:val="00311096"/>
    <w:rsid w:val="00311CD2"/>
    <w:rsid w:val="00313BCF"/>
    <w:rsid w:val="003142B9"/>
    <w:rsid w:val="003160D2"/>
    <w:rsid w:val="00316E34"/>
    <w:rsid w:val="00316EA4"/>
    <w:rsid w:val="003173FC"/>
    <w:rsid w:val="00317730"/>
    <w:rsid w:val="00317C6C"/>
    <w:rsid w:val="00320B80"/>
    <w:rsid w:val="00320CD3"/>
    <w:rsid w:val="003215FF"/>
    <w:rsid w:val="00321E2A"/>
    <w:rsid w:val="00322667"/>
    <w:rsid w:val="00322832"/>
    <w:rsid w:val="003239B9"/>
    <w:rsid w:val="00324B2C"/>
    <w:rsid w:val="0032524C"/>
    <w:rsid w:val="0032607C"/>
    <w:rsid w:val="00326E79"/>
    <w:rsid w:val="0032748A"/>
    <w:rsid w:val="003301B1"/>
    <w:rsid w:val="00331089"/>
    <w:rsid w:val="00331189"/>
    <w:rsid w:val="00331411"/>
    <w:rsid w:val="003323AC"/>
    <w:rsid w:val="0033263D"/>
    <w:rsid w:val="00332BE6"/>
    <w:rsid w:val="00334B2A"/>
    <w:rsid w:val="00334E69"/>
    <w:rsid w:val="0033518A"/>
    <w:rsid w:val="00335535"/>
    <w:rsid w:val="003356EA"/>
    <w:rsid w:val="00336348"/>
    <w:rsid w:val="003367EF"/>
    <w:rsid w:val="00337BB7"/>
    <w:rsid w:val="00341AE4"/>
    <w:rsid w:val="00341C4C"/>
    <w:rsid w:val="003425CA"/>
    <w:rsid w:val="00343FB7"/>
    <w:rsid w:val="003471E6"/>
    <w:rsid w:val="003473E5"/>
    <w:rsid w:val="003476EE"/>
    <w:rsid w:val="00347C73"/>
    <w:rsid w:val="00350592"/>
    <w:rsid w:val="00350BD0"/>
    <w:rsid w:val="00352DCF"/>
    <w:rsid w:val="00352FA5"/>
    <w:rsid w:val="003541DD"/>
    <w:rsid w:val="003555A1"/>
    <w:rsid w:val="003559A6"/>
    <w:rsid w:val="00355EC9"/>
    <w:rsid w:val="00356E34"/>
    <w:rsid w:val="00356E5B"/>
    <w:rsid w:val="0035701B"/>
    <w:rsid w:val="00357158"/>
    <w:rsid w:val="00357664"/>
    <w:rsid w:val="00360087"/>
    <w:rsid w:val="00360507"/>
    <w:rsid w:val="00360887"/>
    <w:rsid w:val="0036091B"/>
    <w:rsid w:val="00360E8C"/>
    <w:rsid w:val="00360F58"/>
    <w:rsid w:val="0036231F"/>
    <w:rsid w:val="0036249F"/>
    <w:rsid w:val="00362FC3"/>
    <w:rsid w:val="00363768"/>
    <w:rsid w:val="00363A83"/>
    <w:rsid w:val="00364374"/>
    <w:rsid w:val="00364395"/>
    <w:rsid w:val="003645D2"/>
    <w:rsid w:val="00364FD9"/>
    <w:rsid w:val="0036718C"/>
    <w:rsid w:val="0036725F"/>
    <w:rsid w:val="00371246"/>
    <w:rsid w:val="003720CD"/>
    <w:rsid w:val="00372144"/>
    <w:rsid w:val="0037239F"/>
    <w:rsid w:val="00372F44"/>
    <w:rsid w:val="003736C9"/>
    <w:rsid w:val="00373CF3"/>
    <w:rsid w:val="003759A5"/>
    <w:rsid w:val="003768CF"/>
    <w:rsid w:val="00377385"/>
    <w:rsid w:val="00380995"/>
    <w:rsid w:val="00380DE5"/>
    <w:rsid w:val="0038156B"/>
    <w:rsid w:val="003825CF"/>
    <w:rsid w:val="00383320"/>
    <w:rsid w:val="00383B77"/>
    <w:rsid w:val="00384988"/>
    <w:rsid w:val="0038598B"/>
    <w:rsid w:val="00385AA4"/>
    <w:rsid w:val="00385E3E"/>
    <w:rsid w:val="003860B4"/>
    <w:rsid w:val="003872CF"/>
    <w:rsid w:val="003874CB"/>
    <w:rsid w:val="00391016"/>
    <w:rsid w:val="00391830"/>
    <w:rsid w:val="00391BCF"/>
    <w:rsid w:val="00392659"/>
    <w:rsid w:val="003942A7"/>
    <w:rsid w:val="003951BF"/>
    <w:rsid w:val="00396E08"/>
    <w:rsid w:val="003970DD"/>
    <w:rsid w:val="0039782C"/>
    <w:rsid w:val="00397F98"/>
    <w:rsid w:val="003A13A6"/>
    <w:rsid w:val="003A2165"/>
    <w:rsid w:val="003A2AB2"/>
    <w:rsid w:val="003A2C1A"/>
    <w:rsid w:val="003A3749"/>
    <w:rsid w:val="003A3AF3"/>
    <w:rsid w:val="003A3FD4"/>
    <w:rsid w:val="003A43D8"/>
    <w:rsid w:val="003A4BAC"/>
    <w:rsid w:val="003A586A"/>
    <w:rsid w:val="003A5B4A"/>
    <w:rsid w:val="003A5D95"/>
    <w:rsid w:val="003A634F"/>
    <w:rsid w:val="003A6510"/>
    <w:rsid w:val="003A7367"/>
    <w:rsid w:val="003A74E2"/>
    <w:rsid w:val="003B0D3A"/>
    <w:rsid w:val="003B0EBF"/>
    <w:rsid w:val="003B18A5"/>
    <w:rsid w:val="003B1C6C"/>
    <w:rsid w:val="003B2302"/>
    <w:rsid w:val="003B23C5"/>
    <w:rsid w:val="003B2A75"/>
    <w:rsid w:val="003B3314"/>
    <w:rsid w:val="003B436C"/>
    <w:rsid w:val="003B49B2"/>
    <w:rsid w:val="003B5AD4"/>
    <w:rsid w:val="003B5E94"/>
    <w:rsid w:val="003B6124"/>
    <w:rsid w:val="003B7960"/>
    <w:rsid w:val="003B7C4D"/>
    <w:rsid w:val="003C0908"/>
    <w:rsid w:val="003C093A"/>
    <w:rsid w:val="003C0A9A"/>
    <w:rsid w:val="003C1B53"/>
    <w:rsid w:val="003C1ECF"/>
    <w:rsid w:val="003C1F2D"/>
    <w:rsid w:val="003C2FAA"/>
    <w:rsid w:val="003C2FB5"/>
    <w:rsid w:val="003C5FB5"/>
    <w:rsid w:val="003C70AB"/>
    <w:rsid w:val="003D1362"/>
    <w:rsid w:val="003D1C00"/>
    <w:rsid w:val="003D24C5"/>
    <w:rsid w:val="003D2845"/>
    <w:rsid w:val="003D2C3C"/>
    <w:rsid w:val="003D4089"/>
    <w:rsid w:val="003D4594"/>
    <w:rsid w:val="003D4AB5"/>
    <w:rsid w:val="003D4AC4"/>
    <w:rsid w:val="003D4AEF"/>
    <w:rsid w:val="003D5433"/>
    <w:rsid w:val="003D5F0D"/>
    <w:rsid w:val="003D63B7"/>
    <w:rsid w:val="003D7386"/>
    <w:rsid w:val="003D74A2"/>
    <w:rsid w:val="003D74C5"/>
    <w:rsid w:val="003E12A0"/>
    <w:rsid w:val="003E12F2"/>
    <w:rsid w:val="003E1ADE"/>
    <w:rsid w:val="003E1CD1"/>
    <w:rsid w:val="003E4374"/>
    <w:rsid w:val="003E468B"/>
    <w:rsid w:val="003E5FCF"/>
    <w:rsid w:val="003E62BD"/>
    <w:rsid w:val="003E658D"/>
    <w:rsid w:val="003E7869"/>
    <w:rsid w:val="003E7A0B"/>
    <w:rsid w:val="003E7D1F"/>
    <w:rsid w:val="003F044F"/>
    <w:rsid w:val="003F0C3A"/>
    <w:rsid w:val="003F15F0"/>
    <w:rsid w:val="003F1D71"/>
    <w:rsid w:val="003F2140"/>
    <w:rsid w:val="003F2AD9"/>
    <w:rsid w:val="003F2BB9"/>
    <w:rsid w:val="003F3228"/>
    <w:rsid w:val="003F34FC"/>
    <w:rsid w:val="003F3FC6"/>
    <w:rsid w:val="003F4369"/>
    <w:rsid w:val="003F441A"/>
    <w:rsid w:val="003F47BB"/>
    <w:rsid w:val="003F5186"/>
    <w:rsid w:val="003F5C8C"/>
    <w:rsid w:val="003F63CE"/>
    <w:rsid w:val="003F75EF"/>
    <w:rsid w:val="003F775A"/>
    <w:rsid w:val="00400042"/>
    <w:rsid w:val="00400AF5"/>
    <w:rsid w:val="00400E55"/>
    <w:rsid w:val="0040128E"/>
    <w:rsid w:val="00401640"/>
    <w:rsid w:val="0040216B"/>
    <w:rsid w:val="0040337D"/>
    <w:rsid w:val="00404852"/>
    <w:rsid w:val="00404BA3"/>
    <w:rsid w:val="00405299"/>
    <w:rsid w:val="004052A5"/>
    <w:rsid w:val="00405335"/>
    <w:rsid w:val="00405711"/>
    <w:rsid w:val="0040590E"/>
    <w:rsid w:val="00405D3B"/>
    <w:rsid w:val="00406240"/>
    <w:rsid w:val="004075A2"/>
    <w:rsid w:val="004077E6"/>
    <w:rsid w:val="00407CC8"/>
    <w:rsid w:val="004111A1"/>
    <w:rsid w:val="00411D3A"/>
    <w:rsid w:val="00411D72"/>
    <w:rsid w:val="00412775"/>
    <w:rsid w:val="00413ADC"/>
    <w:rsid w:val="00414495"/>
    <w:rsid w:val="00414C1E"/>
    <w:rsid w:val="00414F0C"/>
    <w:rsid w:val="0041541D"/>
    <w:rsid w:val="0041547A"/>
    <w:rsid w:val="00415C04"/>
    <w:rsid w:val="004164CF"/>
    <w:rsid w:val="004167DC"/>
    <w:rsid w:val="00417703"/>
    <w:rsid w:val="00417C60"/>
    <w:rsid w:val="0041CB4C"/>
    <w:rsid w:val="00420294"/>
    <w:rsid w:val="00420400"/>
    <w:rsid w:val="0042073E"/>
    <w:rsid w:val="00423283"/>
    <w:rsid w:val="0042375C"/>
    <w:rsid w:val="00423E78"/>
    <w:rsid w:val="00424AFE"/>
    <w:rsid w:val="004251C6"/>
    <w:rsid w:val="004252EC"/>
    <w:rsid w:val="004259B1"/>
    <w:rsid w:val="00425ABB"/>
    <w:rsid w:val="00427A0E"/>
    <w:rsid w:val="00427F3D"/>
    <w:rsid w:val="00430D39"/>
    <w:rsid w:val="00431189"/>
    <w:rsid w:val="00431F89"/>
    <w:rsid w:val="00432EBF"/>
    <w:rsid w:val="0043338C"/>
    <w:rsid w:val="00433502"/>
    <w:rsid w:val="00434542"/>
    <w:rsid w:val="00435254"/>
    <w:rsid w:val="004366FC"/>
    <w:rsid w:val="00436C16"/>
    <w:rsid w:val="00440D89"/>
    <w:rsid w:val="00440DF3"/>
    <w:rsid w:val="00441ECC"/>
    <w:rsid w:val="0044220A"/>
    <w:rsid w:val="00442C91"/>
    <w:rsid w:val="00442F36"/>
    <w:rsid w:val="00444177"/>
    <w:rsid w:val="00444BB9"/>
    <w:rsid w:val="00444E9D"/>
    <w:rsid w:val="00445047"/>
    <w:rsid w:val="00445CDC"/>
    <w:rsid w:val="004465BD"/>
    <w:rsid w:val="00446938"/>
    <w:rsid w:val="004474B3"/>
    <w:rsid w:val="00447BB4"/>
    <w:rsid w:val="00451BE0"/>
    <w:rsid w:val="0045275E"/>
    <w:rsid w:val="004528FA"/>
    <w:rsid w:val="00452A6C"/>
    <w:rsid w:val="00452DA3"/>
    <w:rsid w:val="00454663"/>
    <w:rsid w:val="00454E0D"/>
    <w:rsid w:val="00455CC1"/>
    <w:rsid w:val="0045702F"/>
    <w:rsid w:val="00460581"/>
    <w:rsid w:val="00460F1B"/>
    <w:rsid w:val="00461A44"/>
    <w:rsid w:val="00461B18"/>
    <w:rsid w:val="00462D26"/>
    <w:rsid w:val="0046368B"/>
    <w:rsid w:val="0046385A"/>
    <w:rsid w:val="00464039"/>
    <w:rsid w:val="00466ADA"/>
    <w:rsid w:val="0046737B"/>
    <w:rsid w:val="004700FB"/>
    <w:rsid w:val="004702BB"/>
    <w:rsid w:val="00470C8D"/>
    <w:rsid w:val="0047127C"/>
    <w:rsid w:val="0047211D"/>
    <w:rsid w:val="00472686"/>
    <w:rsid w:val="004730C7"/>
    <w:rsid w:val="00473138"/>
    <w:rsid w:val="004731BF"/>
    <w:rsid w:val="0047494B"/>
    <w:rsid w:val="00474D49"/>
    <w:rsid w:val="00474DF2"/>
    <w:rsid w:val="00475407"/>
    <w:rsid w:val="00476245"/>
    <w:rsid w:val="00476404"/>
    <w:rsid w:val="00476471"/>
    <w:rsid w:val="00476B47"/>
    <w:rsid w:val="004773C4"/>
    <w:rsid w:val="00477A9B"/>
    <w:rsid w:val="00477D8D"/>
    <w:rsid w:val="0048006F"/>
    <w:rsid w:val="00480CFA"/>
    <w:rsid w:val="00481186"/>
    <w:rsid w:val="00482264"/>
    <w:rsid w:val="0048237D"/>
    <w:rsid w:val="00482AE4"/>
    <w:rsid w:val="00483035"/>
    <w:rsid w:val="00483097"/>
    <w:rsid w:val="00483396"/>
    <w:rsid w:val="0048571D"/>
    <w:rsid w:val="00485940"/>
    <w:rsid w:val="00485F32"/>
    <w:rsid w:val="00486C95"/>
    <w:rsid w:val="004877C2"/>
    <w:rsid w:val="00487978"/>
    <w:rsid w:val="00487A7A"/>
    <w:rsid w:val="004904B9"/>
    <w:rsid w:val="00490A48"/>
    <w:rsid w:val="004911BC"/>
    <w:rsid w:val="0049157E"/>
    <w:rsid w:val="00491A2F"/>
    <w:rsid w:val="00491EDC"/>
    <w:rsid w:val="004928E1"/>
    <w:rsid w:val="004929F7"/>
    <w:rsid w:val="00492D8D"/>
    <w:rsid w:val="00493BF5"/>
    <w:rsid w:val="00493DEA"/>
    <w:rsid w:val="004951C6"/>
    <w:rsid w:val="0049521B"/>
    <w:rsid w:val="0049640A"/>
    <w:rsid w:val="00496662"/>
    <w:rsid w:val="004977E0"/>
    <w:rsid w:val="00497B6E"/>
    <w:rsid w:val="004A1431"/>
    <w:rsid w:val="004A2484"/>
    <w:rsid w:val="004A2D3E"/>
    <w:rsid w:val="004A31DC"/>
    <w:rsid w:val="004A33FC"/>
    <w:rsid w:val="004A378E"/>
    <w:rsid w:val="004A3E99"/>
    <w:rsid w:val="004A454F"/>
    <w:rsid w:val="004A5095"/>
    <w:rsid w:val="004A5A85"/>
    <w:rsid w:val="004A5EDE"/>
    <w:rsid w:val="004A6475"/>
    <w:rsid w:val="004A6AAE"/>
    <w:rsid w:val="004A71D1"/>
    <w:rsid w:val="004A7C5B"/>
    <w:rsid w:val="004B0525"/>
    <w:rsid w:val="004B127D"/>
    <w:rsid w:val="004B158F"/>
    <w:rsid w:val="004B1845"/>
    <w:rsid w:val="004B1920"/>
    <w:rsid w:val="004B217E"/>
    <w:rsid w:val="004B227E"/>
    <w:rsid w:val="004B2348"/>
    <w:rsid w:val="004B2E01"/>
    <w:rsid w:val="004B2E98"/>
    <w:rsid w:val="004B46F8"/>
    <w:rsid w:val="004B4835"/>
    <w:rsid w:val="004B4B1A"/>
    <w:rsid w:val="004B5353"/>
    <w:rsid w:val="004B5640"/>
    <w:rsid w:val="004B6084"/>
    <w:rsid w:val="004B6872"/>
    <w:rsid w:val="004B7838"/>
    <w:rsid w:val="004BCF29"/>
    <w:rsid w:val="004C0206"/>
    <w:rsid w:val="004C03D0"/>
    <w:rsid w:val="004C1640"/>
    <w:rsid w:val="004C1742"/>
    <w:rsid w:val="004C1BD7"/>
    <w:rsid w:val="004C1BF2"/>
    <w:rsid w:val="004C239C"/>
    <w:rsid w:val="004C31FE"/>
    <w:rsid w:val="004C372B"/>
    <w:rsid w:val="004C3814"/>
    <w:rsid w:val="004C4973"/>
    <w:rsid w:val="004C4D13"/>
    <w:rsid w:val="004C524C"/>
    <w:rsid w:val="004C5EDD"/>
    <w:rsid w:val="004C5FFA"/>
    <w:rsid w:val="004C691D"/>
    <w:rsid w:val="004C6C07"/>
    <w:rsid w:val="004C797B"/>
    <w:rsid w:val="004C7BA0"/>
    <w:rsid w:val="004C7E15"/>
    <w:rsid w:val="004C7EC6"/>
    <w:rsid w:val="004D0428"/>
    <w:rsid w:val="004D15DD"/>
    <w:rsid w:val="004D20DD"/>
    <w:rsid w:val="004D2CD1"/>
    <w:rsid w:val="004D3473"/>
    <w:rsid w:val="004D365C"/>
    <w:rsid w:val="004D39BE"/>
    <w:rsid w:val="004D3F46"/>
    <w:rsid w:val="004D46EB"/>
    <w:rsid w:val="004D4FF6"/>
    <w:rsid w:val="004D5055"/>
    <w:rsid w:val="004D5ADD"/>
    <w:rsid w:val="004E0007"/>
    <w:rsid w:val="004E0CC3"/>
    <w:rsid w:val="004E0DE6"/>
    <w:rsid w:val="004E17B6"/>
    <w:rsid w:val="004E2A04"/>
    <w:rsid w:val="004E2E18"/>
    <w:rsid w:val="004E3732"/>
    <w:rsid w:val="004E5CDE"/>
    <w:rsid w:val="004E692D"/>
    <w:rsid w:val="004E7230"/>
    <w:rsid w:val="004E7D87"/>
    <w:rsid w:val="004F1270"/>
    <w:rsid w:val="004F190E"/>
    <w:rsid w:val="004F2553"/>
    <w:rsid w:val="004F306A"/>
    <w:rsid w:val="004F38F6"/>
    <w:rsid w:val="004F3B9F"/>
    <w:rsid w:val="004F5787"/>
    <w:rsid w:val="004F60A4"/>
    <w:rsid w:val="004F7266"/>
    <w:rsid w:val="004F7FE0"/>
    <w:rsid w:val="0050103D"/>
    <w:rsid w:val="00501554"/>
    <w:rsid w:val="00501AE8"/>
    <w:rsid w:val="00502AFE"/>
    <w:rsid w:val="00502E64"/>
    <w:rsid w:val="005033D1"/>
    <w:rsid w:val="00503AD7"/>
    <w:rsid w:val="00503E89"/>
    <w:rsid w:val="00504E0C"/>
    <w:rsid w:val="00504E13"/>
    <w:rsid w:val="00505019"/>
    <w:rsid w:val="00505ACA"/>
    <w:rsid w:val="00505E77"/>
    <w:rsid w:val="00505F19"/>
    <w:rsid w:val="00506B33"/>
    <w:rsid w:val="005109D4"/>
    <w:rsid w:val="00510D72"/>
    <w:rsid w:val="005111F2"/>
    <w:rsid w:val="00511294"/>
    <w:rsid w:val="0051230A"/>
    <w:rsid w:val="00512883"/>
    <w:rsid w:val="005129D3"/>
    <w:rsid w:val="0051451E"/>
    <w:rsid w:val="00514CD7"/>
    <w:rsid w:val="00515F24"/>
    <w:rsid w:val="005162FC"/>
    <w:rsid w:val="005167EC"/>
    <w:rsid w:val="005170DA"/>
    <w:rsid w:val="00520253"/>
    <w:rsid w:val="005207C2"/>
    <w:rsid w:val="00520B49"/>
    <w:rsid w:val="00520D6A"/>
    <w:rsid w:val="00521130"/>
    <w:rsid w:val="005214AC"/>
    <w:rsid w:val="00522DB6"/>
    <w:rsid w:val="00523505"/>
    <w:rsid w:val="00524D2F"/>
    <w:rsid w:val="005254B2"/>
    <w:rsid w:val="00525C6C"/>
    <w:rsid w:val="0052604B"/>
    <w:rsid w:val="005260B4"/>
    <w:rsid w:val="00526442"/>
    <w:rsid w:val="005264A7"/>
    <w:rsid w:val="00526873"/>
    <w:rsid w:val="00527453"/>
    <w:rsid w:val="0052789B"/>
    <w:rsid w:val="0052792D"/>
    <w:rsid w:val="00530066"/>
    <w:rsid w:val="00531584"/>
    <w:rsid w:val="005319B2"/>
    <w:rsid w:val="00531CB6"/>
    <w:rsid w:val="005320E7"/>
    <w:rsid w:val="00532402"/>
    <w:rsid w:val="00532C74"/>
    <w:rsid w:val="0053319E"/>
    <w:rsid w:val="00533239"/>
    <w:rsid w:val="00534E2E"/>
    <w:rsid w:val="00535133"/>
    <w:rsid w:val="005353DE"/>
    <w:rsid w:val="00535827"/>
    <w:rsid w:val="005361B1"/>
    <w:rsid w:val="0053785A"/>
    <w:rsid w:val="0054009F"/>
    <w:rsid w:val="005402B7"/>
    <w:rsid w:val="0054064C"/>
    <w:rsid w:val="00540E9C"/>
    <w:rsid w:val="00542BBA"/>
    <w:rsid w:val="00543F97"/>
    <w:rsid w:val="00544552"/>
    <w:rsid w:val="00545121"/>
    <w:rsid w:val="00545130"/>
    <w:rsid w:val="005453C6"/>
    <w:rsid w:val="0054550B"/>
    <w:rsid w:val="00546982"/>
    <w:rsid w:val="00546B36"/>
    <w:rsid w:val="005479C2"/>
    <w:rsid w:val="00550C07"/>
    <w:rsid w:val="0055286A"/>
    <w:rsid w:val="00553A8B"/>
    <w:rsid w:val="00554A87"/>
    <w:rsid w:val="00555510"/>
    <w:rsid w:val="00555745"/>
    <w:rsid w:val="00557B87"/>
    <w:rsid w:val="00557D4F"/>
    <w:rsid w:val="00557F37"/>
    <w:rsid w:val="0056122E"/>
    <w:rsid w:val="0056137A"/>
    <w:rsid w:val="00561F0C"/>
    <w:rsid w:val="00562685"/>
    <w:rsid w:val="00562EC7"/>
    <w:rsid w:val="00563352"/>
    <w:rsid w:val="0056484E"/>
    <w:rsid w:val="00564AD8"/>
    <w:rsid w:val="00564DFE"/>
    <w:rsid w:val="00565859"/>
    <w:rsid w:val="00565999"/>
    <w:rsid w:val="00565ADA"/>
    <w:rsid w:val="00566598"/>
    <w:rsid w:val="00566947"/>
    <w:rsid w:val="0056747E"/>
    <w:rsid w:val="00567D8A"/>
    <w:rsid w:val="00570231"/>
    <w:rsid w:val="005709B0"/>
    <w:rsid w:val="00570D1E"/>
    <w:rsid w:val="005714B7"/>
    <w:rsid w:val="00572081"/>
    <w:rsid w:val="00572982"/>
    <w:rsid w:val="005750E9"/>
    <w:rsid w:val="0057516F"/>
    <w:rsid w:val="0057533C"/>
    <w:rsid w:val="0057576E"/>
    <w:rsid w:val="005761FE"/>
    <w:rsid w:val="00576442"/>
    <w:rsid w:val="005764CD"/>
    <w:rsid w:val="0057703E"/>
    <w:rsid w:val="00577B3C"/>
    <w:rsid w:val="00577C4D"/>
    <w:rsid w:val="00580532"/>
    <w:rsid w:val="00581727"/>
    <w:rsid w:val="00581932"/>
    <w:rsid w:val="00582501"/>
    <w:rsid w:val="00583002"/>
    <w:rsid w:val="005841B1"/>
    <w:rsid w:val="005842FA"/>
    <w:rsid w:val="00584822"/>
    <w:rsid w:val="00584BBC"/>
    <w:rsid w:val="00584E75"/>
    <w:rsid w:val="005856E2"/>
    <w:rsid w:val="005859BD"/>
    <w:rsid w:val="00586DC0"/>
    <w:rsid w:val="005871B7"/>
    <w:rsid w:val="00587597"/>
    <w:rsid w:val="00587910"/>
    <w:rsid w:val="00590129"/>
    <w:rsid w:val="005903BB"/>
    <w:rsid w:val="005904E6"/>
    <w:rsid w:val="00591B9F"/>
    <w:rsid w:val="00592F0D"/>
    <w:rsid w:val="00592F51"/>
    <w:rsid w:val="00593893"/>
    <w:rsid w:val="00593DDC"/>
    <w:rsid w:val="0059562C"/>
    <w:rsid w:val="00595989"/>
    <w:rsid w:val="005963BB"/>
    <w:rsid w:val="0059645C"/>
    <w:rsid w:val="00596D37"/>
    <w:rsid w:val="005A1050"/>
    <w:rsid w:val="005A15D2"/>
    <w:rsid w:val="005A3173"/>
    <w:rsid w:val="005A3223"/>
    <w:rsid w:val="005A3DA3"/>
    <w:rsid w:val="005A4831"/>
    <w:rsid w:val="005A4AD9"/>
    <w:rsid w:val="005A52C4"/>
    <w:rsid w:val="005A53D5"/>
    <w:rsid w:val="005A5D7F"/>
    <w:rsid w:val="005A63A1"/>
    <w:rsid w:val="005A753E"/>
    <w:rsid w:val="005B0403"/>
    <w:rsid w:val="005B0486"/>
    <w:rsid w:val="005B0960"/>
    <w:rsid w:val="005B0C3D"/>
    <w:rsid w:val="005B1032"/>
    <w:rsid w:val="005B140A"/>
    <w:rsid w:val="005B1473"/>
    <w:rsid w:val="005B36FA"/>
    <w:rsid w:val="005B419C"/>
    <w:rsid w:val="005B6749"/>
    <w:rsid w:val="005B796A"/>
    <w:rsid w:val="005C0E43"/>
    <w:rsid w:val="005C2F81"/>
    <w:rsid w:val="005C474D"/>
    <w:rsid w:val="005C4F73"/>
    <w:rsid w:val="005C66F9"/>
    <w:rsid w:val="005C7A63"/>
    <w:rsid w:val="005D03AB"/>
    <w:rsid w:val="005D1F9F"/>
    <w:rsid w:val="005D1FD5"/>
    <w:rsid w:val="005D23B1"/>
    <w:rsid w:val="005D387C"/>
    <w:rsid w:val="005D401D"/>
    <w:rsid w:val="005D5017"/>
    <w:rsid w:val="005D5708"/>
    <w:rsid w:val="005D61F2"/>
    <w:rsid w:val="005D63FA"/>
    <w:rsid w:val="005D643D"/>
    <w:rsid w:val="005D73C7"/>
    <w:rsid w:val="005D7D55"/>
    <w:rsid w:val="005E0050"/>
    <w:rsid w:val="005E0578"/>
    <w:rsid w:val="005E0B5A"/>
    <w:rsid w:val="005E0BB1"/>
    <w:rsid w:val="005E0C2D"/>
    <w:rsid w:val="005E0D82"/>
    <w:rsid w:val="005E0DD5"/>
    <w:rsid w:val="005E0F59"/>
    <w:rsid w:val="005E12A3"/>
    <w:rsid w:val="005E1333"/>
    <w:rsid w:val="005E2B95"/>
    <w:rsid w:val="005E3136"/>
    <w:rsid w:val="005E3CDA"/>
    <w:rsid w:val="005E3DEE"/>
    <w:rsid w:val="005E4306"/>
    <w:rsid w:val="005E507D"/>
    <w:rsid w:val="005E59DA"/>
    <w:rsid w:val="005E5A20"/>
    <w:rsid w:val="005E60EE"/>
    <w:rsid w:val="005E697A"/>
    <w:rsid w:val="005E729E"/>
    <w:rsid w:val="005F0AD0"/>
    <w:rsid w:val="005F0C3F"/>
    <w:rsid w:val="005F0CF0"/>
    <w:rsid w:val="005F168E"/>
    <w:rsid w:val="005F1AD7"/>
    <w:rsid w:val="005F1EF3"/>
    <w:rsid w:val="005F2B0C"/>
    <w:rsid w:val="005F3BC8"/>
    <w:rsid w:val="005F42CF"/>
    <w:rsid w:val="005F4D54"/>
    <w:rsid w:val="005F55A9"/>
    <w:rsid w:val="005F6759"/>
    <w:rsid w:val="005F6BCD"/>
    <w:rsid w:val="00600A18"/>
    <w:rsid w:val="006016FE"/>
    <w:rsid w:val="00601A91"/>
    <w:rsid w:val="00602063"/>
    <w:rsid w:val="00602A91"/>
    <w:rsid w:val="00602BA3"/>
    <w:rsid w:val="006036C0"/>
    <w:rsid w:val="00605B63"/>
    <w:rsid w:val="00605F9A"/>
    <w:rsid w:val="00606442"/>
    <w:rsid w:val="00606A7B"/>
    <w:rsid w:val="00606EED"/>
    <w:rsid w:val="00607DDB"/>
    <w:rsid w:val="00610ABE"/>
    <w:rsid w:val="006120C1"/>
    <w:rsid w:val="006125B1"/>
    <w:rsid w:val="00612A95"/>
    <w:rsid w:val="00612E34"/>
    <w:rsid w:val="00614159"/>
    <w:rsid w:val="006141AB"/>
    <w:rsid w:val="006141D4"/>
    <w:rsid w:val="00614AA7"/>
    <w:rsid w:val="006158A3"/>
    <w:rsid w:val="00615AD5"/>
    <w:rsid w:val="00616C5F"/>
    <w:rsid w:val="00616DAC"/>
    <w:rsid w:val="00617725"/>
    <w:rsid w:val="00617C00"/>
    <w:rsid w:val="0062192D"/>
    <w:rsid w:val="00621C1D"/>
    <w:rsid w:val="0062316F"/>
    <w:rsid w:val="0062359E"/>
    <w:rsid w:val="00624574"/>
    <w:rsid w:val="006256B9"/>
    <w:rsid w:val="006263BF"/>
    <w:rsid w:val="00626A70"/>
    <w:rsid w:val="006271E7"/>
    <w:rsid w:val="0062748A"/>
    <w:rsid w:val="00627E56"/>
    <w:rsid w:val="00630297"/>
    <w:rsid w:val="00630546"/>
    <w:rsid w:val="0063084A"/>
    <w:rsid w:val="00630A2C"/>
    <w:rsid w:val="00632180"/>
    <w:rsid w:val="0063227F"/>
    <w:rsid w:val="0063264F"/>
    <w:rsid w:val="0063273D"/>
    <w:rsid w:val="00634A75"/>
    <w:rsid w:val="00634F3A"/>
    <w:rsid w:val="0063682E"/>
    <w:rsid w:val="00636B7E"/>
    <w:rsid w:val="00636D93"/>
    <w:rsid w:val="00636E96"/>
    <w:rsid w:val="00640088"/>
    <w:rsid w:val="00640333"/>
    <w:rsid w:val="006403C6"/>
    <w:rsid w:val="00640D16"/>
    <w:rsid w:val="006418B5"/>
    <w:rsid w:val="00641BB7"/>
    <w:rsid w:val="00642672"/>
    <w:rsid w:val="006428CA"/>
    <w:rsid w:val="00642DA8"/>
    <w:rsid w:val="006436CD"/>
    <w:rsid w:val="00643BBE"/>
    <w:rsid w:val="0064561F"/>
    <w:rsid w:val="00647219"/>
    <w:rsid w:val="00647C8A"/>
    <w:rsid w:val="006504A0"/>
    <w:rsid w:val="00650976"/>
    <w:rsid w:val="00651169"/>
    <w:rsid w:val="00651EF6"/>
    <w:rsid w:val="00652858"/>
    <w:rsid w:val="0065296F"/>
    <w:rsid w:val="00653D69"/>
    <w:rsid w:val="006540BF"/>
    <w:rsid w:val="00654C80"/>
    <w:rsid w:val="006552E6"/>
    <w:rsid w:val="00655314"/>
    <w:rsid w:val="006556C5"/>
    <w:rsid w:val="00655794"/>
    <w:rsid w:val="00656607"/>
    <w:rsid w:val="00656B22"/>
    <w:rsid w:val="00656F2F"/>
    <w:rsid w:val="00657C63"/>
    <w:rsid w:val="00660A98"/>
    <w:rsid w:val="006611FE"/>
    <w:rsid w:val="00661CBC"/>
    <w:rsid w:val="00662B85"/>
    <w:rsid w:val="00662E66"/>
    <w:rsid w:val="00663EE9"/>
    <w:rsid w:val="00664987"/>
    <w:rsid w:val="006670B3"/>
    <w:rsid w:val="006670BE"/>
    <w:rsid w:val="006709B1"/>
    <w:rsid w:val="00670A76"/>
    <w:rsid w:val="00670C41"/>
    <w:rsid w:val="00670EAA"/>
    <w:rsid w:val="006711AA"/>
    <w:rsid w:val="00671718"/>
    <w:rsid w:val="00671A85"/>
    <w:rsid w:val="00672B57"/>
    <w:rsid w:val="00672DE2"/>
    <w:rsid w:val="00673F1F"/>
    <w:rsid w:val="00675622"/>
    <w:rsid w:val="00675DEB"/>
    <w:rsid w:val="00676063"/>
    <w:rsid w:val="0067747D"/>
    <w:rsid w:val="00677C5A"/>
    <w:rsid w:val="00677FA1"/>
    <w:rsid w:val="00680AC2"/>
    <w:rsid w:val="006818D5"/>
    <w:rsid w:val="00681CA4"/>
    <w:rsid w:val="00682B20"/>
    <w:rsid w:val="006840A9"/>
    <w:rsid w:val="0068594D"/>
    <w:rsid w:val="00685B22"/>
    <w:rsid w:val="00685E64"/>
    <w:rsid w:val="00686559"/>
    <w:rsid w:val="00686BEA"/>
    <w:rsid w:val="00687009"/>
    <w:rsid w:val="0069002E"/>
    <w:rsid w:val="0069039D"/>
    <w:rsid w:val="006906DB"/>
    <w:rsid w:val="006914A1"/>
    <w:rsid w:val="006914BA"/>
    <w:rsid w:val="00691900"/>
    <w:rsid w:val="00691A2C"/>
    <w:rsid w:val="00691E6C"/>
    <w:rsid w:val="00693425"/>
    <w:rsid w:val="0069342D"/>
    <w:rsid w:val="00693DFB"/>
    <w:rsid w:val="00694366"/>
    <w:rsid w:val="00694FD5"/>
    <w:rsid w:val="0069501D"/>
    <w:rsid w:val="00696129"/>
    <w:rsid w:val="00697539"/>
    <w:rsid w:val="00697CF2"/>
    <w:rsid w:val="00697FFE"/>
    <w:rsid w:val="006A12A5"/>
    <w:rsid w:val="006A17A2"/>
    <w:rsid w:val="006A2515"/>
    <w:rsid w:val="006A3085"/>
    <w:rsid w:val="006A40B5"/>
    <w:rsid w:val="006A572D"/>
    <w:rsid w:val="006A5E20"/>
    <w:rsid w:val="006A697C"/>
    <w:rsid w:val="006B0D94"/>
    <w:rsid w:val="006B1276"/>
    <w:rsid w:val="006B16B6"/>
    <w:rsid w:val="006B174A"/>
    <w:rsid w:val="006B174F"/>
    <w:rsid w:val="006B1BC3"/>
    <w:rsid w:val="006B2B52"/>
    <w:rsid w:val="006B2F91"/>
    <w:rsid w:val="006B485D"/>
    <w:rsid w:val="006B49E0"/>
    <w:rsid w:val="006B5329"/>
    <w:rsid w:val="006B583B"/>
    <w:rsid w:val="006B6AA1"/>
    <w:rsid w:val="006B7DDA"/>
    <w:rsid w:val="006C090A"/>
    <w:rsid w:val="006C0C45"/>
    <w:rsid w:val="006C0C4A"/>
    <w:rsid w:val="006C2806"/>
    <w:rsid w:val="006C334C"/>
    <w:rsid w:val="006C4119"/>
    <w:rsid w:val="006C57F0"/>
    <w:rsid w:val="006C59A6"/>
    <w:rsid w:val="006C5F92"/>
    <w:rsid w:val="006C5FE2"/>
    <w:rsid w:val="006C6467"/>
    <w:rsid w:val="006C6C10"/>
    <w:rsid w:val="006C708E"/>
    <w:rsid w:val="006D069B"/>
    <w:rsid w:val="006D14E7"/>
    <w:rsid w:val="006D173B"/>
    <w:rsid w:val="006D3258"/>
    <w:rsid w:val="006D3361"/>
    <w:rsid w:val="006D39CB"/>
    <w:rsid w:val="006D401B"/>
    <w:rsid w:val="006D4444"/>
    <w:rsid w:val="006D4B7B"/>
    <w:rsid w:val="006D51E0"/>
    <w:rsid w:val="006D6493"/>
    <w:rsid w:val="006D67CE"/>
    <w:rsid w:val="006D6EC7"/>
    <w:rsid w:val="006D7B05"/>
    <w:rsid w:val="006D7CCC"/>
    <w:rsid w:val="006D7E45"/>
    <w:rsid w:val="006E0A40"/>
    <w:rsid w:val="006E0F9E"/>
    <w:rsid w:val="006E1143"/>
    <w:rsid w:val="006E1BCD"/>
    <w:rsid w:val="006E1D82"/>
    <w:rsid w:val="006E2732"/>
    <w:rsid w:val="006E3F13"/>
    <w:rsid w:val="006E51FC"/>
    <w:rsid w:val="006E59CD"/>
    <w:rsid w:val="006E6858"/>
    <w:rsid w:val="006E6B71"/>
    <w:rsid w:val="006E7429"/>
    <w:rsid w:val="006E7C0C"/>
    <w:rsid w:val="006E7CC3"/>
    <w:rsid w:val="006F00ED"/>
    <w:rsid w:val="006F026F"/>
    <w:rsid w:val="006F0979"/>
    <w:rsid w:val="006F0A71"/>
    <w:rsid w:val="006F1C6B"/>
    <w:rsid w:val="006F2ECE"/>
    <w:rsid w:val="006F40C2"/>
    <w:rsid w:val="006F5125"/>
    <w:rsid w:val="006F531B"/>
    <w:rsid w:val="006F5511"/>
    <w:rsid w:val="006F5581"/>
    <w:rsid w:val="006F5DC1"/>
    <w:rsid w:val="006F6CF9"/>
    <w:rsid w:val="006F6D41"/>
    <w:rsid w:val="006F733D"/>
    <w:rsid w:val="00700471"/>
    <w:rsid w:val="00700765"/>
    <w:rsid w:val="007026B2"/>
    <w:rsid w:val="00702959"/>
    <w:rsid w:val="00702B6F"/>
    <w:rsid w:val="007030B4"/>
    <w:rsid w:val="007035E9"/>
    <w:rsid w:val="00703706"/>
    <w:rsid w:val="00703B86"/>
    <w:rsid w:val="00704069"/>
    <w:rsid w:val="007048B7"/>
    <w:rsid w:val="00706A2F"/>
    <w:rsid w:val="0070718E"/>
    <w:rsid w:val="007074BE"/>
    <w:rsid w:val="00707D1A"/>
    <w:rsid w:val="00707DAA"/>
    <w:rsid w:val="00707E4E"/>
    <w:rsid w:val="00707E52"/>
    <w:rsid w:val="00710259"/>
    <w:rsid w:val="0071031F"/>
    <w:rsid w:val="00710737"/>
    <w:rsid w:val="00710A5F"/>
    <w:rsid w:val="00712234"/>
    <w:rsid w:val="007125D9"/>
    <w:rsid w:val="00712892"/>
    <w:rsid w:val="00713239"/>
    <w:rsid w:val="0071340B"/>
    <w:rsid w:val="007138C8"/>
    <w:rsid w:val="00713C50"/>
    <w:rsid w:val="00714218"/>
    <w:rsid w:val="0071436D"/>
    <w:rsid w:val="007146AC"/>
    <w:rsid w:val="0071508D"/>
    <w:rsid w:val="00715BBB"/>
    <w:rsid w:val="00715DCC"/>
    <w:rsid w:val="00716356"/>
    <w:rsid w:val="00717254"/>
    <w:rsid w:val="007174BB"/>
    <w:rsid w:val="0072025D"/>
    <w:rsid w:val="0072088F"/>
    <w:rsid w:val="00720983"/>
    <w:rsid w:val="00720B1C"/>
    <w:rsid w:val="00722DE8"/>
    <w:rsid w:val="0072313F"/>
    <w:rsid w:val="00723328"/>
    <w:rsid w:val="007237DE"/>
    <w:rsid w:val="00724440"/>
    <w:rsid w:val="00724449"/>
    <w:rsid w:val="0072485B"/>
    <w:rsid w:val="00725011"/>
    <w:rsid w:val="0072502E"/>
    <w:rsid w:val="007258EA"/>
    <w:rsid w:val="007264B8"/>
    <w:rsid w:val="0072748E"/>
    <w:rsid w:val="0073137C"/>
    <w:rsid w:val="0073216C"/>
    <w:rsid w:val="007338F3"/>
    <w:rsid w:val="007340B9"/>
    <w:rsid w:val="00734305"/>
    <w:rsid w:val="007345AB"/>
    <w:rsid w:val="00734B8A"/>
    <w:rsid w:val="007353D3"/>
    <w:rsid w:val="00735496"/>
    <w:rsid w:val="007362ED"/>
    <w:rsid w:val="0073736F"/>
    <w:rsid w:val="0073776B"/>
    <w:rsid w:val="0074156B"/>
    <w:rsid w:val="00741619"/>
    <w:rsid w:val="00742775"/>
    <w:rsid w:val="00742885"/>
    <w:rsid w:val="007451F5"/>
    <w:rsid w:val="007452D0"/>
    <w:rsid w:val="007464B6"/>
    <w:rsid w:val="00747092"/>
    <w:rsid w:val="00747773"/>
    <w:rsid w:val="007477FF"/>
    <w:rsid w:val="00747AC0"/>
    <w:rsid w:val="00750195"/>
    <w:rsid w:val="00750A76"/>
    <w:rsid w:val="00750F5C"/>
    <w:rsid w:val="00751333"/>
    <w:rsid w:val="00751894"/>
    <w:rsid w:val="00751AB4"/>
    <w:rsid w:val="00751F2F"/>
    <w:rsid w:val="007526E6"/>
    <w:rsid w:val="00752B76"/>
    <w:rsid w:val="00753187"/>
    <w:rsid w:val="0075355C"/>
    <w:rsid w:val="00754233"/>
    <w:rsid w:val="00754B6B"/>
    <w:rsid w:val="00754C18"/>
    <w:rsid w:val="00754DF9"/>
    <w:rsid w:val="007555E8"/>
    <w:rsid w:val="00755CC5"/>
    <w:rsid w:val="00756DB3"/>
    <w:rsid w:val="00760A33"/>
    <w:rsid w:val="007612D8"/>
    <w:rsid w:val="00761CC4"/>
    <w:rsid w:val="007625EF"/>
    <w:rsid w:val="00762706"/>
    <w:rsid w:val="00762862"/>
    <w:rsid w:val="00762AC1"/>
    <w:rsid w:val="00763A68"/>
    <w:rsid w:val="0076420C"/>
    <w:rsid w:val="00764510"/>
    <w:rsid w:val="00766288"/>
    <w:rsid w:val="00766EEA"/>
    <w:rsid w:val="007672BD"/>
    <w:rsid w:val="00770F27"/>
    <w:rsid w:val="00771D07"/>
    <w:rsid w:val="00772649"/>
    <w:rsid w:val="007726B6"/>
    <w:rsid w:val="00772F1F"/>
    <w:rsid w:val="00772F5D"/>
    <w:rsid w:val="00773AE7"/>
    <w:rsid w:val="00773BE3"/>
    <w:rsid w:val="00773FD8"/>
    <w:rsid w:val="007743DD"/>
    <w:rsid w:val="00774B30"/>
    <w:rsid w:val="00774E2C"/>
    <w:rsid w:val="00774F0D"/>
    <w:rsid w:val="0077503C"/>
    <w:rsid w:val="0077518D"/>
    <w:rsid w:val="007753C2"/>
    <w:rsid w:val="00775B4D"/>
    <w:rsid w:val="00776068"/>
    <w:rsid w:val="00781426"/>
    <w:rsid w:val="00781A30"/>
    <w:rsid w:val="00781F11"/>
    <w:rsid w:val="007821C4"/>
    <w:rsid w:val="00782A28"/>
    <w:rsid w:val="00782D05"/>
    <w:rsid w:val="007838B8"/>
    <w:rsid w:val="00783C17"/>
    <w:rsid w:val="00783E59"/>
    <w:rsid w:val="00785779"/>
    <w:rsid w:val="00786F6A"/>
    <w:rsid w:val="00787FD8"/>
    <w:rsid w:val="007908C1"/>
    <w:rsid w:val="007915BA"/>
    <w:rsid w:val="00791844"/>
    <w:rsid w:val="0079250E"/>
    <w:rsid w:val="00793CE9"/>
    <w:rsid w:val="00795839"/>
    <w:rsid w:val="00796260"/>
    <w:rsid w:val="00796667"/>
    <w:rsid w:val="00797068"/>
    <w:rsid w:val="007979BD"/>
    <w:rsid w:val="007A0922"/>
    <w:rsid w:val="007A132F"/>
    <w:rsid w:val="007A1D0B"/>
    <w:rsid w:val="007A35BD"/>
    <w:rsid w:val="007A3792"/>
    <w:rsid w:val="007A3D8E"/>
    <w:rsid w:val="007A41CE"/>
    <w:rsid w:val="007A4C91"/>
    <w:rsid w:val="007A4DEE"/>
    <w:rsid w:val="007A53F4"/>
    <w:rsid w:val="007A584B"/>
    <w:rsid w:val="007A5C88"/>
    <w:rsid w:val="007A6094"/>
    <w:rsid w:val="007A6A2F"/>
    <w:rsid w:val="007A72A6"/>
    <w:rsid w:val="007B012D"/>
    <w:rsid w:val="007B024E"/>
    <w:rsid w:val="007B054C"/>
    <w:rsid w:val="007B21CE"/>
    <w:rsid w:val="007B32B2"/>
    <w:rsid w:val="007B3913"/>
    <w:rsid w:val="007B3BAF"/>
    <w:rsid w:val="007B3DDC"/>
    <w:rsid w:val="007B44A2"/>
    <w:rsid w:val="007B4F14"/>
    <w:rsid w:val="007B5FB5"/>
    <w:rsid w:val="007B675C"/>
    <w:rsid w:val="007B71DC"/>
    <w:rsid w:val="007B72A6"/>
    <w:rsid w:val="007C06D2"/>
    <w:rsid w:val="007C08E0"/>
    <w:rsid w:val="007C0F57"/>
    <w:rsid w:val="007C171A"/>
    <w:rsid w:val="007C1D4F"/>
    <w:rsid w:val="007C2F4B"/>
    <w:rsid w:val="007C32B3"/>
    <w:rsid w:val="007C36FD"/>
    <w:rsid w:val="007C3FA6"/>
    <w:rsid w:val="007C40B6"/>
    <w:rsid w:val="007C4973"/>
    <w:rsid w:val="007C4C9C"/>
    <w:rsid w:val="007C53FF"/>
    <w:rsid w:val="007C5975"/>
    <w:rsid w:val="007C5E49"/>
    <w:rsid w:val="007C6877"/>
    <w:rsid w:val="007C70F7"/>
    <w:rsid w:val="007C729F"/>
    <w:rsid w:val="007C72AD"/>
    <w:rsid w:val="007C72F3"/>
    <w:rsid w:val="007C7316"/>
    <w:rsid w:val="007C7FB3"/>
    <w:rsid w:val="007D1A6F"/>
    <w:rsid w:val="007D2E02"/>
    <w:rsid w:val="007D3D21"/>
    <w:rsid w:val="007D430F"/>
    <w:rsid w:val="007D4B0C"/>
    <w:rsid w:val="007D4E76"/>
    <w:rsid w:val="007D503D"/>
    <w:rsid w:val="007D59E7"/>
    <w:rsid w:val="007D5F2A"/>
    <w:rsid w:val="007D6DA4"/>
    <w:rsid w:val="007D73E4"/>
    <w:rsid w:val="007D73F7"/>
    <w:rsid w:val="007E07AC"/>
    <w:rsid w:val="007E1014"/>
    <w:rsid w:val="007E1278"/>
    <w:rsid w:val="007E12F8"/>
    <w:rsid w:val="007E14EB"/>
    <w:rsid w:val="007E1673"/>
    <w:rsid w:val="007E1D28"/>
    <w:rsid w:val="007E1D68"/>
    <w:rsid w:val="007E3C5B"/>
    <w:rsid w:val="007E41CB"/>
    <w:rsid w:val="007E4564"/>
    <w:rsid w:val="007E476A"/>
    <w:rsid w:val="007E490F"/>
    <w:rsid w:val="007E52DE"/>
    <w:rsid w:val="007E55A2"/>
    <w:rsid w:val="007E6533"/>
    <w:rsid w:val="007E6C7E"/>
    <w:rsid w:val="007E708E"/>
    <w:rsid w:val="007F0021"/>
    <w:rsid w:val="007F0917"/>
    <w:rsid w:val="007F1007"/>
    <w:rsid w:val="007F1C67"/>
    <w:rsid w:val="007F2641"/>
    <w:rsid w:val="007F2E09"/>
    <w:rsid w:val="007F444F"/>
    <w:rsid w:val="007F5BC7"/>
    <w:rsid w:val="007F6954"/>
    <w:rsid w:val="007F7C36"/>
    <w:rsid w:val="007F7E77"/>
    <w:rsid w:val="007F7F45"/>
    <w:rsid w:val="0080001F"/>
    <w:rsid w:val="00801958"/>
    <w:rsid w:val="008023EB"/>
    <w:rsid w:val="00802690"/>
    <w:rsid w:val="008035A5"/>
    <w:rsid w:val="008055AF"/>
    <w:rsid w:val="008057CD"/>
    <w:rsid w:val="00805B7C"/>
    <w:rsid w:val="008064A7"/>
    <w:rsid w:val="008066B8"/>
    <w:rsid w:val="00806796"/>
    <w:rsid w:val="00810167"/>
    <w:rsid w:val="0081039F"/>
    <w:rsid w:val="008104D0"/>
    <w:rsid w:val="008113D3"/>
    <w:rsid w:val="00811B1E"/>
    <w:rsid w:val="00811CC0"/>
    <w:rsid w:val="0081218E"/>
    <w:rsid w:val="00812401"/>
    <w:rsid w:val="00812586"/>
    <w:rsid w:val="00812C06"/>
    <w:rsid w:val="00812E6C"/>
    <w:rsid w:val="00814276"/>
    <w:rsid w:val="00814649"/>
    <w:rsid w:val="008151D6"/>
    <w:rsid w:val="00815EB3"/>
    <w:rsid w:val="00816322"/>
    <w:rsid w:val="00816D58"/>
    <w:rsid w:val="0081749A"/>
    <w:rsid w:val="00820803"/>
    <w:rsid w:val="00821527"/>
    <w:rsid w:val="00822029"/>
    <w:rsid w:val="00822162"/>
    <w:rsid w:val="00822229"/>
    <w:rsid w:val="008225CE"/>
    <w:rsid w:val="00822696"/>
    <w:rsid w:val="00822A7A"/>
    <w:rsid w:val="00824EF8"/>
    <w:rsid w:val="00825A6C"/>
    <w:rsid w:val="0082617E"/>
    <w:rsid w:val="0082642E"/>
    <w:rsid w:val="008268BB"/>
    <w:rsid w:val="00826F6D"/>
    <w:rsid w:val="00827097"/>
    <w:rsid w:val="00827810"/>
    <w:rsid w:val="008301B7"/>
    <w:rsid w:val="008302AE"/>
    <w:rsid w:val="0083065F"/>
    <w:rsid w:val="008306F3"/>
    <w:rsid w:val="00830DC8"/>
    <w:rsid w:val="00830E40"/>
    <w:rsid w:val="00831B88"/>
    <w:rsid w:val="00832863"/>
    <w:rsid w:val="00832D9A"/>
    <w:rsid w:val="00834543"/>
    <w:rsid w:val="00835C62"/>
    <w:rsid w:val="00836318"/>
    <w:rsid w:val="00836483"/>
    <w:rsid w:val="00836673"/>
    <w:rsid w:val="008368A1"/>
    <w:rsid w:val="00836DB5"/>
    <w:rsid w:val="00837968"/>
    <w:rsid w:val="00837B7F"/>
    <w:rsid w:val="00840EF7"/>
    <w:rsid w:val="00842555"/>
    <w:rsid w:val="008442BB"/>
    <w:rsid w:val="00844409"/>
    <w:rsid w:val="00844C0A"/>
    <w:rsid w:val="00844FED"/>
    <w:rsid w:val="008458DC"/>
    <w:rsid w:val="00845AB3"/>
    <w:rsid w:val="00846056"/>
    <w:rsid w:val="0084681F"/>
    <w:rsid w:val="00847D08"/>
    <w:rsid w:val="00847EC0"/>
    <w:rsid w:val="00850628"/>
    <w:rsid w:val="00851621"/>
    <w:rsid w:val="00853950"/>
    <w:rsid w:val="00854506"/>
    <w:rsid w:val="008548DF"/>
    <w:rsid w:val="00854F56"/>
    <w:rsid w:val="0085519B"/>
    <w:rsid w:val="00855FD6"/>
    <w:rsid w:val="008560BD"/>
    <w:rsid w:val="00856330"/>
    <w:rsid w:val="008564EA"/>
    <w:rsid w:val="00856DDD"/>
    <w:rsid w:val="008576B6"/>
    <w:rsid w:val="00860233"/>
    <w:rsid w:val="008602C3"/>
    <w:rsid w:val="008608AD"/>
    <w:rsid w:val="00860F22"/>
    <w:rsid w:val="00861D4C"/>
    <w:rsid w:val="00861F8C"/>
    <w:rsid w:val="008626EF"/>
    <w:rsid w:val="00862A08"/>
    <w:rsid w:val="00862DB7"/>
    <w:rsid w:val="008636BD"/>
    <w:rsid w:val="00863BA1"/>
    <w:rsid w:val="00863CDC"/>
    <w:rsid w:val="00863E68"/>
    <w:rsid w:val="008647B5"/>
    <w:rsid w:val="008647ED"/>
    <w:rsid w:val="00864A11"/>
    <w:rsid w:val="00864C33"/>
    <w:rsid w:val="00865116"/>
    <w:rsid w:val="0086536F"/>
    <w:rsid w:val="00865469"/>
    <w:rsid w:val="0086571E"/>
    <w:rsid w:val="00866607"/>
    <w:rsid w:val="00867D64"/>
    <w:rsid w:val="00867D7F"/>
    <w:rsid w:val="00867D85"/>
    <w:rsid w:val="00872E8F"/>
    <w:rsid w:val="00872FDB"/>
    <w:rsid w:val="008749B1"/>
    <w:rsid w:val="00874D14"/>
    <w:rsid w:val="00875DCB"/>
    <w:rsid w:val="00876449"/>
    <w:rsid w:val="00876FBF"/>
    <w:rsid w:val="0087755A"/>
    <w:rsid w:val="00881B72"/>
    <w:rsid w:val="00881DBC"/>
    <w:rsid w:val="00882085"/>
    <w:rsid w:val="00883188"/>
    <w:rsid w:val="0088398C"/>
    <w:rsid w:val="008849A5"/>
    <w:rsid w:val="00884A0C"/>
    <w:rsid w:val="00886ACA"/>
    <w:rsid w:val="00886B01"/>
    <w:rsid w:val="00886EFF"/>
    <w:rsid w:val="00887F8C"/>
    <w:rsid w:val="008900B0"/>
    <w:rsid w:val="0089031E"/>
    <w:rsid w:val="008904C6"/>
    <w:rsid w:val="00890A0C"/>
    <w:rsid w:val="0089109A"/>
    <w:rsid w:val="00891462"/>
    <w:rsid w:val="00892F55"/>
    <w:rsid w:val="00893D5C"/>
    <w:rsid w:val="0089460B"/>
    <w:rsid w:val="008949D7"/>
    <w:rsid w:val="008960A9"/>
    <w:rsid w:val="008967FB"/>
    <w:rsid w:val="00897838"/>
    <w:rsid w:val="00897D58"/>
    <w:rsid w:val="00897F22"/>
    <w:rsid w:val="008A063B"/>
    <w:rsid w:val="008A0B39"/>
    <w:rsid w:val="008A17A3"/>
    <w:rsid w:val="008A1956"/>
    <w:rsid w:val="008A1E85"/>
    <w:rsid w:val="008A2332"/>
    <w:rsid w:val="008A2419"/>
    <w:rsid w:val="008A39A6"/>
    <w:rsid w:val="008A3FB4"/>
    <w:rsid w:val="008A47E9"/>
    <w:rsid w:val="008A4937"/>
    <w:rsid w:val="008A50ED"/>
    <w:rsid w:val="008A50F1"/>
    <w:rsid w:val="008A51AF"/>
    <w:rsid w:val="008A59D9"/>
    <w:rsid w:val="008A5BFC"/>
    <w:rsid w:val="008A643E"/>
    <w:rsid w:val="008A6819"/>
    <w:rsid w:val="008A6946"/>
    <w:rsid w:val="008A6C70"/>
    <w:rsid w:val="008A7D89"/>
    <w:rsid w:val="008B007A"/>
    <w:rsid w:val="008B0C61"/>
    <w:rsid w:val="008B2EC0"/>
    <w:rsid w:val="008B5008"/>
    <w:rsid w:val="008B5709"/>
    <w:rsid w:val="008B5B5D"/>
    <w:rsid w:val="008B6DCF"/>
    <w:rsid w:val="008B6F13"/>
    <w:rsid w:val="008B7C59"/>
    <w:rsid w:val="008C2D4C"/>
    <w:rsid w:val="008C31CC"/>
    <w:rsid w:val="008C4D49"/>
    <w:rsid w:val="008C65D3"/>
    <w:rsid w:val="008C68A1"/>
    <w:rsid w:val="008C6F09"/>
    <w:rsid w:val="008C73FD"/>
    <w:rsid w:val="008D0531"/>
    <w:rsid w:val="008D0945"/>
    <w:rsid w:val="008D1409"/>
    <w:rsid w:val="008D15CC"/>
    <w:rsid w:val="008D1729"/>
    <w:rsid w:val="008D1B5C"/>
    <w:rsid w:val="008D1C66"/>
    <w:rsid w:val="008D366C"/>
    <w:rsid w:val="008D39FD"/>
    <w:rsid w:val="008D3C82"/>
    <w:rsid w:val="008D447E"/>
    <w:rsid w:val="008D4D05"/>
    <w:rsid w:val="008D6ACF"/>
    <w:rsid w:val="008D6CFF"/>
    <w:rsid w:val="008D6F06"/>
    <w:rsid w:val="008D7A41"/>
    <w:rsid w:val="008E039B"/>
    <w:rsid w:val="008E0644"/>
    <w:rsid w:val="008E1231"/>
    <w:rsid w:val="008E2C72"/>
    <w:rsid w:val="008E2FC7"/>
    <w:rsid w:val="008E3459"/>
    <w:rsid w:val="008E3680"/>
    <w:rsid w:val="008E3B7B"/>
    <w:rsid w:val="008E4F87"/>
    <w:rsid w:val="008E5808"/>
    <w:rsid w:val="008E5870"/>
    <w:rsid w:val="008E6588"/>
    <w:rsid w:val="008E71AA"/>
    <w:rsid w:val="008E77E4"/>
    <w:rsid w:val="008F0213"/>
    <w:rsid w:val="008F07ED"/>
    <w:rsid w:val="008F0947"/>
    <w:rsid w:val="008F11F8"/>
    <w:rsid w:val="008F1434"/>
    <w:rsid w:val="008F2205"/>
    <w:rsid w:val="008F298B"/>
    <w:rsid w:val="008F2BB9"/>
    <w:rsid w:val="008F3D6A"/>
    <w:rsid w:val="008F3E2B"/>
    <w:rsid w:val="008F4571"/>
    <w:rsid w:val="008F5212"/>
    <w:rsid w:val="008F54C3"/>
    <w:rsid w:val="008F6073"/>
    <w:rsid w:val="008F7203"/>
    <w:rsid w:val="008F7355"/>
    <w:rsid w:val="008F77F6"/>
    <w:rsid w:val="008F7BD6"/>
    <w:rsid w:val="0090174A"/>
    <w:rsid w:val="00902159"/>
    <w:rsid w:val="009023DC"/>
    <w:rsid w:val="009024C5"/>
    <w:rsid w:val="009027C5"/>
    <w:rsid w:val="0090347C"/>
    <w:rsid w:val="00904413"/>
    <w:rsid w:val="009051B4"/>
    <w:rsid w:val="00905225"/>
    <w:rsid w:val="009061AC"/>
    <w:rsid w:val="009067B7"/>
    <w:rsid w:val="00906974"/>
    <w:rsid w:val="00906C30"/>
    <w:rsid w:val="00906E7A"/>
    <w:rsid w:val="00906E7F"/>
    <w:rsid w:val="009075A7"/>
    <w:rsid w:val="0090775A"/>
    <w:rsid w:val="00907DFD"/>
    <w:rsid w:val="0091021A"/>
    <w:rsid w:val="00910A63"/>
    <w:rsid w:val="009110AB"/>
    <w:rsid w:val="009120C0"/>
    <w:rsid w:val="009123A0"/>
    <w:rsid w:val="00912E00"/>
    <w:rsid w:val="00912E3C"/>
    <w:rsid w:val="00913506"/>
    <w:rsid w:val="00913C99"/>
    <w:rsid w:val="009154BA"/>
    <w:rsid w:val="009165CC"/>
    <w:rsid w:val="0091685D"/>
    <w:rsid w:val="009169E5"/>
    <w:rsid w:val="00917A7D"/>
    <w:rsid w:val="00917D69"/>
    <w:rsid w:val="00920B6D"/>
    <w:rsid w:val="00920D15"/>
    <w:rsid w:val="0092178A"/>
    <w:rsid w:val="00921ACE"/>
    <w:rsid w:val="009224C6"/>
    <w:rsid w:val="00924B51"/>
    <w:rsid w:val="00926560"/>
    <w:rsid w:val="00926611"/>
    <w:rsid w:val="00926B15"/>
    <w:rsid w:val="00930291"/>
    <w:rsid w:val="00930937"/>
    <w:rsid w:val="009324A6"/>
    <w:rsid w:val="00932D31"/>
    <w:rsid w:val="00932EA9"/>
    <w:rsid w:val="00932F72"/>
    <w:rsid w:val="00932FA6"/>
    <w:rsid w:val="00933195"/>
    <w:rsid w:val="009332DD"/>
    <w:rsid w:val="009334DE"/>
    <w:rsid w:val="00933939"/>
    <w:rsid w:val="00933B7D"/>
    <w:rsid w:val="00933E6C"/>
    <w:rsid w:val="009344D6"/>
    <w:rsid w:val="009346F3"/>
    <w:rsid w:val="00934824"/>
    <w:rsid w:val="00934CFC"/>
    <w:rsid w:val="00935A6E"/>
    <w:rsid w:val="009365C9"/>
    <w:rsid w:val="00936BBD"/>
    <w:rsid w:val="00937958"/>
    <w:rsid w:val="00937B4B"/>
    <w:rsid w:val="00937DDD"/>
    <w:rsid w:val="009406E5"/>
    <w:rsid w:val="00940E20"/>
    <w:rsid w:val="00941602"/>
    <w:rsid w:val="00941EE2"/>
    <w:rsid w:val="00942160"/>
    <w:rsid w:val="00942B6C"/>
    <w:rsid w:val="00942FC5"/>
    <w:rsid w:val="00943356"/>
    <w:rsid w:val="009444F1"/>
    <w:rsid w:val="009448AE"/>
    <w:rsid w:val="0094571F"/>
    <w:rsid w:val="009464D2"/>
    <w:rsid w:val="0094652E"/>
    <w:rsid w:val="00946921"/>
    <w:rsid w:val="00946C03"/>
    <w:rsid w:val="00946DDD"/>
    <w:rsid w:val="009470F9"/>
    <w:rsid w:val="00947343"/>
    <w:rsid w:val="00947378"/>
    <w:rsid w:val="0094737C"/>
    <w:rsid w:val="00947401"/>
    <w:rsid w:val="0094786B"/>
    <w:rsid w:val="009500FF"/>
    <w:rsid w:val="0095024A"/>
    <w:rsid w:val="009504DB"/>
    <w:rsid w:val="0095079A"/>
    <w:rsid w:val="00950FB6"/>
    <w:rsid w:val="0095146F"/>
    <w:rsid w:val="00951F2D"/>
    <w:rsid w:val="00952839"/>
    <w:rsid w:val="00952969"/>
    <w:rsid w:val="0095344C"/>
    <w:rsid w:val="009534C7"/>
    <w:rsid w:val="00954688"/>
    <w:rsid w:val="00954E11"/>
    <w:rsid w:val="00954F56"/>
    <w:rsid w:val="009570A2"/>
    <w:rsid w:val="00957944"/>
    <w:rsid w:val="009602C5"/>
    <w:rsid w:val="0096052D"/>
    <w:rsid w:val="0096103A"/>
    <w:rsid w:val="00962223"/>
    <w:rsid w:val="0096245E"/>
    <w:rsid w:val="00962516"/>
    <w:rsid w:val="0096252B"/>
    <w:rsid w:val="00962E06"/>
    <w:rsid w:val="009635EC"/>
    <w:rsid w:val="009644D9"/>
    <w:rsid w:val="00964A9F"/>
    <w:rsid w:val="00964B6C"/>
    <w:rsid w:val="00965730"/>
    <w:rsid w:val="00965BE7"/>
    <w:rsid w:val="00966CA9"/>
    <w:rsid w:val="00966D0D"/>
    <w:rsid w:val="009675EA"/>
    <w:rsid w:val="00967732"/>
    <w:rsid w:val="0096783C"/>
    <w:rsid w:val="00967BFA"/>
    <w:rsid w:val="00970023"/>
    <w:rsid w:val="00970324"/>
    <w:rsid w:val="00970ACC"/>
    <w:rsid w:val="00970ADE"/>
    <w:rsid w:val="009722B3"/>
    <w:rsid w:val="0097307D"/>
    <w:rsid w:val="00973E24"/>
    <w:rsid w:val="009744EC"/>
    <w:rsid w:val="0097488F"/>
    <w:rsid w:val="00974C21"/>
    <w:rsid w:val="00974D5F"/>
    <w:rsid w:val="00974E64"/>
    <w:rsid w:val="0097506B"/>
    <w:rsid w:val="00975249"/>
    <w:rsid w:val="00975948"/>
    <w:rsid w:val="009772FD"/>
    <w:rsid w:val="00977BF3"/>
    <w:rsid w:val="00977C3D"/>
    <w:rsid w:val="009803E4"/>
    <w:rsid w:val="0098099D"/>
    <w:rsid w:val="00980B0E"/>
    <w:rsid w:val="00982B39"/>
    <w:rsid w:val="009836A3"/>
    <w:rsid w:val="00983FD5"/>
    <w:rsid w:val="00984C58"/>
    <w:rsid w:val="009855A8"/>
    <w:rsid w:val="00985CBE"/>
    <w:rsid w:val="00985D1A"/>
    <w:rsid w:val="00985E86"/>
    <w:rsid w:val="009863A3"/>
    <w:rsid w:val="00987045"/>
    <w:rsid w:val="00990CF8"/>
    <w:rsid w:val="009913F4"/>
    <w:rsid w:val="00991782"/>
    <w:rsid w:val="00991B6A"/>
    <w:rsid w:val="0099209C"/>
    <w:rsid w:val="00992738"/>
    <w:rsid w:val="009937F7"/>
    <w:rsid w:val="009938E8"/>
    <w:rsid w:val="0099465B"/>
    <w:rsid w:val="009949F3"/>
    <w:rsid w:val="009951A1"/>
    <w:rsid w:val="00995C51"/>
    <w:rsid w:val="00996A9A"/>
    <w:rsid w:val="00996E66"/>
    <w:rsid w:val="00997A44"/>
    <w:rsid w:val="009A0CDD"/>
    <w:rsid w:val="009A0F09"/>
    <w:rsid w:val="009A1831"/>
    <w:rsid w:val="009A26A4"/>
    <w:rsid w:val="009A3156"/>
    <w:rsid w:val="009A3168"/>
    <w:rsid w:val="009A3D5B"/>
    <w:rsid w:val="009A400C"/>
    <w:rsid w:val="009A4621"/>
    <w:rsid w:val="009A47FF"/>
    <w:rsid w:val="009A4BDF"/>
    <w:rsid w:val="009A5D04"/>
    <w:rsid w:val="009A61CA"/>
    <w:rsid w:val="009A65FF"/>
    <w:rsid w:val="009A7A55"/>
    <w:rsid w:val="009B0062"/>
    <w:rsid w:val="009B0C64"/>
    <w:rsid w:val="009B0F67"/>
    <w:rsid w:val="009B1AAC"/>
    <w:rsid w:val="009B1E14"/>
    <w:rsid w:val="009B208A"/>
    <w:rsid w:val="009B2756"/>
    <w:rsid w:val="009B3D56"/>
    <w:rsid w:val="009B3F8C"/>
    <w:rsid w:val="009B3FBA"/>
    <w:rsid w:val="009B533B"/>
    <w:rsid w:val="009B546B"/>
    <w:rsid w:val="009B5837"/>
    <w:rsid w:val="009B6632"/>
    <w:rsid w:val="009B6C3D"/>
    <w:rsid w:val="009B6EF8"/>
    <w:rsid w:val="009B725E"/>
    <w:rsid w:val="009C0C17"/>
    <w:rsid w:val="009C16A4"/>
    <w:rsid w:val="009C26AA"/>
    <w:rsid w:val="009C3EE6"/>
    <w:rsid w:val="009C4728"/>
    <w:rsid w:val="009C4C94"/>
    <w:rsid w:val="009C5CCD"/>
    <w:rsid w:val="009C703C"/>
    <w:rsid w:val="009D0C29"/>
    <w:rsid w:val="009D168E"/>
    <w:rsid w:val="009D206E"/>
    <w:rsid w:val="009D3CAA"/>
    <w:rsid w:val="009D45BB"/>
    <w:rsid w:val="009D507A"/>
    <w:rsid w:val="009D6532"/>
    <w:rsid w:val="009D6A0E"/>
    <w:rsid w:val="009D6D92"/>
    <w:rsid w:val="009D71FD"/>
    <w:rsid w:val="009E0013"/>
    <w:rsid w:val="009E0429"/>
    <w:rsid w:val="009E06F0"/>
    <w:rsid w:val="009E0755"/>
    <w:rsid w:val="009E10AD"/>
    <w:rsid w:val="009E18F3"/>
    <w:rsid w:val="009E2588"/>
    <w:rsid w:val="009E2E8E"/>
    <w:rsid w:val="009E4016"/>
    <w:rsid w:val="009E40E1"/>
    <w:rsid w:val="009E50F3"/>
    <w:rsid w:val="009E52D9"/>
    <w:rsid w:val="009E5558"/>
    <w:rsid w:val="009E620E"/>
    <w:rsid w:val="009E77BB"/>
    <w:rsid w:val="009F0EFA"/>
    <w:rsid w:val="009F1461"/>
    <w:rsid w:val="009F1DD3"/>
    <w:rsid w:val="009F2CB8"/>
    <w:rsid w:val="009F4382"/>
    <w:rsid w:val="009F4E46"/>
    <w:rsid w:val="009F52BA"/>
    <w:rsid w:val="009F54A0"/>
    <w:rsid w:val="009F5B65"/>
    <w:rsid w:val="009F5F2E"/>
    <w:rsid w:val="009F778C"/>
    <w:rsid w:val="00A01432"/>
    <w:rsid w:val="00A0167A"/>
    <w:rsid w:val="00A01980"/>
    <w:rsid w:val="00A036CA"/>
    <w:rsid w:val="00A03C36"/>
    <w:rsid w:val="00A06225"/>
    <w:rsid w:val="00A06441"/>
    <w:rsid w:val="00A066E6"/>
    <w:rsid w:val="00A10231"/>
    <w:rsid w:val="00A110D1"/>
    <w:rsid w:val="00A12587"/>
    <w:rsid w:val="00A128E6"/>
    <w:rsid w:val="00A12E3F"/>
    <w:rsid w:val="00A133C7"/>
    <w:rsid w:val="00A13679"/>
    <w:rsid w:val="00A144D3"/>
    <w:rsid w:val="00A14714"/>
    <w:rsid w:val="00A1721F"/>
    <w:rsid w:val="00A17972"/>
    <w:rsid w:val="00A17B40"/>
    <w:rsid w:val="00A17EA7"/>
    <w:rsid w:val="00A20077"/>
    <w:rsid w:val="00A21391"/>
    <w:rsid w:val="00A21D7D"/>
    <w:rsid w:val="00A21E33"/>
    <w:rsid w:val="00A228A6"/>
    <w:rsid w:val="00A22AC3"/>
    <w:rsid w:val="00A2351E"/>
    <w:rsid w:val="00A23F3F"/>
    <w:rsid w:val="00A24067"/>
    <w:rsid w:val="00A249A1"/>
    <w:rsid w:val="00A24A4B"/>
    <w:rsid w:val="00A24B4F"/>
    <w:rsid w:val="00A25981"/>
    <w:rsid w:val="00A25CC0"/>
    <w:rsid w:val="00A2625A"/>
    <w:rsid w:val="00A2744D"/>
    <w:rsid w:val="00A27A25"/>
    <w:rsid w:val="00A306F6"/>
    <w:rsid w:val="00A30D16"/>
    <w:rsid w:val="00A31AB7"/>
    <w:rsid w:val="00A325F3"/>
    <w:rsid w:val="00A32CF4"/>
    <w:rsid w:val="00A33EB7"/>
    <w:rsid w:val="00A34E6C"/>
    <w:rsid w:val="00A34FD0"/>
    <w:rsid w:val="00A361EA"/>
    <w:rsid w:val="00A36398"/>
    <w:rsid w:val="00A36CC1"/>
    <w:rsid w:val="00A3711A"/>
    <w:rsid w:val="00A37565"/>
    <w:rsid w:val="00A37633"/>
    <w:rsid w:val="00A37C8D"/>
    <w:rsid w:val="00A4020E"/>
    <w:rsid w:val="00A40493"/>
    <w:rsid w:val="00A408E8"/>
    <w:rsid w:val="00A40FB5"/>
    <w:rsid w:val="00A413D3"/>
    <w:rsid w:val="00A4140E"/>
    <w:rsid w:val="00A42826"/>
    <w:rsid w:val="00A429B3"/>
    <w:rsid w:val="00A4333B"/>
    <w:rsid w:val="00A44EC1"/>
    <w:rsid w:val="00A4603B"/>
    <w:rsid w:val="00A46F53"/>
    <w:rsid w:val="00A475BC"/>
    <w:rsid w:val="00A5052B"/>
    <w:rsid w:val="00A510E4"/>
    <w:rsid w:val="00A51195"/>
    <w:rsid w:val="00A51599"/>
    <w:rsid w:val="00A518DF"/>
    <w:rsid w:val="00A51F8C"/>
    <w:rsid w:val="00A5249C"/>
    <w:rsid w:val="00A526F7"/>
    <w:rsid w:val="00A5273B"/>
    <w:rsid w:val="00A52A52"/>
    <w:rsid w:val="00A53A9D"/>
    <w:rsid w:val="00A53CE4"/>
    <w:rsid w:val="00A53D64"/>
    <w:rsid w:val="00A54381"/>
    <w:rsid w:val="00A556B9"/>
    <w:rsid w:val="00A55867"/>
    <w:rsid w:val="00A55FEE"/>
    <w:rsid w:val="00A56304"/>
    <w:rsid w:val="00A5662F"/>
    <w:rsid w:val="00A56A99"/>
    <w:rsid w:val="00A56C8E"/>
    <w:rsid w:val="00A57422"/>
    <w:rsid w:val="00A5746A"/>
    <w:rsid w:val="00A60585"/>
    <w:rsid w:val="00A60C6C"/>
    <w:rsid w:val="00A61152"/>
    <w:rsid w:val="00A61713"/>
    <w:rsid w:val="00A621A2"/>
    <w:rsid w:val="00A62910"/>
    <w:rsid w:val="00A62C1A"/>
    <w:rsid w:val="00A63CA2"/>
    <w:rsid w:val="00A63D18"/>
    <w:rsid w:val="00A6426D"/>
    <w:rsid w:val="00A6439B"/>
    <w:rsid w:val="00A6477C"/>
    <w:rsid w:val="00A652A1"/>
    <w:rsid w:val="00A65D27"/>
    <w:rsid w:val="00A65D44"/>
    <w:rsid w:val="00A65E7B"/>
    <w:rsid w:val="00A6640F"/>
    <w:rsid w:val="00A665C1"/>
    <w:rsid w:val="00A6669A"/>
    <w:rsid w:val="00A66E1D"/>
    <w:rsid w:val="00A673A4"/>
    <w:rsid w:val="00A6758F"/>
    <w:rsid w:val="00A6781D"/>
    <w:rsid w:val="00A7001A"/>
    <w:rsid w:val="00A70622"/>
    <w:rsid w:val="00A70977"/>
    <w:rsid w:val="00A70D58"/>
    <w:rsid w:val="00A744F9"/>
    <w:rsid w:val="00A753A1"/>
    <w:rsid w:val="00A755FD"/>
    <w:rsid w:val="00A758AE"/>
    <w:rsid w:val="00A75928"/>
    <w:rsid w:val="00A7657E"/>
    <w:rsid w:val="00A76A6A"/>
    <w:rsid w:val="00A77613"/>
    <w:rsid w:val="00A77B87"/>
    <w:rsid w:val="00A77E01"/>
    <w:rsid w:val="00A801AD"/>
    <w:rsid w:val="00A803F0"/>
    <w:rsid w:val="00A816C7"/>
    <w:rsid w:val="00A81851"/>
    <w:rsid w:val="00A81C18"/>
    <w:rsid w:val="00A82BCD"/>
    <w:rsid w:val="00A82C37"/>
    <w:rsid w:val="00A8390C"/>
    <w:rsid w:val="00A84DC0"/>
    <w:rsid w:val="00A854CE"/>
    <w:rsid w:val="00A854E2"/>
    <w:rsid w:val="00A86548"/>
    <w:rsid w:val="00A867D0"/>
    <w:rsid w:val="00A86AE0"/>
    <w:rsid w:val="00A90A08"/>
    <w:rsid w:val="00A90F5A"/>
    <w:rsid w:val="00A912B0"/>
    <w:rsid w:val="00A91362"/>
    <w:rsid w:val="00A9151C"/>
    <w:rsid w:val="00A919C6"/>
    <w:rsid w:val="00A91C51"/>
    <w:rsid w:val="00A9238B"/>
    <w:rsid w:val="00A928BD"/>
    <w:rsid w:val="00A92D61"/>
    <w:rsid w:val="00A92D7E"/>
    <w:rsid w:val="00A92DE2"/>
    <w:rsid w:val="00A932A1"/>
    <w:rsid w:val="00A934DE"/>
    <w:rsid w:val="00A936B6"/>
    <w:rsid w:val="00A946CF"/>
    <w:rsid w:val="00A94E63"/>
    <w:rsid w:val="00A95A34"/>
    <w:rsid w:val="00A95D5C"/>
    <w:rsid w:val="00A971E1"/>
    <w:rsid w:val="00A97DE9"/>
    <w:rsid w:val="00AA0181"/>
    <w:rsid w:val="00AA0994"/>
    <w:rsid w:val="00AA0E49"/>
    <w:rsid w:val="00AA12CD"/>
    <w:rsid w:val="00AA200D"/>
    <w:rsid w:val="00AA24E9"/>
    <w:rsid w:val="00AA2A4C"/>
    <w:rsid w:val="00AA32EB"/>
    <w:rsid w:val="00AA3B24"/>
    <w:rsid w:val="00AA4D1C"/>
    <w:rsid w:val="00AA5229"/>
    <w:rsid w:val="00AA52FD"/>
    <w:rsid w:val="00AA5D40"/>
    <w:rsid w:val="00AA69B7"/>
    <w:rsid w:val="00AA7006"/>
    <w:rsid w:val="00AA71DA"/>
    <w:rsid w:val="00AA7915"/>
    <w:rsid w:val="00AB0AE2"/>
    <w:rsid w:val="00AB3138"/>
    <w:rsid w:val="00AB395F"/>
    <w:rsid w:val="00AB3EA3"/>
    <w:rsid w:val="00AB467B"/>
    <w:rsid w:val="00AB4684"/>
    <w:rsid w:val="00AB4B86"/>
    <w:rsid w:val="00AB4D26"/>
    <w:rsid w:val="00AB519A"/>
    <w:rsid w:val="00AB5856"/>
    <w:rsid w:val="00AB6A80"/>
    <w:rsid w:val="00AC04CA"/>
    <w:rsid w:val="00AC081D"/>
    <w:rsid w:val="00AC0C6F"/>
    <w:rsid w:val="00AC1266"/>
    <w:rsid w:val="00AC193C"/>
    <w:rsid w:val="00AC1A46"/>
    <w:rsid w:val="00AC30C1"/>
    <w:rsid w:val="00AC37FC"/>
    <w:rsid w:val="00AC3F41"/>
    <w:rsid w:val="00AC454C"/>
    <w:rsid w:val="00AC46A5"/>
    <w:rsid w:val="00AC4904"/>
    <w:rsid w:val="00AC4DE5"/>
    <w:rsid w:val="00AC5206"/>
    <w:rsid w:val="00AC6B25"/>
    <w:rsid w:val="00AD0250"/>
    <w:rsid w:val="00AD08A3"/>
    <w:rsid w:val="00AD095B"/>
    <w:rsid w:val="00AD14BB"/>
    <w:rsid w:val="00AD1AD5"/>
    <w:rsid w:val="00AD2B49"/>
    <w:rsid w:val="00AD3106"/>
    <w:rsid w:val="00AD3B73"/>
    <w:rsid w:val="00AD4322"/>
    <w:rsid w:val="00AD443F"/>
    <w:rsid w:val="00AD6719"/>
    <w:rsid w:val="00AD6841"/>
    <w:rsid w:val="00AD7802"/>
    <w:rsid w:val="00AE11A5"/>
    <w:rsid w:val="00AE13E2"/>
    <w:rsid w:val="00AE22D3"/>
    <w:rsid w:val="00AE2359"/>
    <w:rsid w:val="00AE25B2"/>
    <w:rsid w:val="00AE3983"/>
    <w:rsid w:val="00AE502D"/>
    <w:rsid w:val="00AE5987"/>
    <w:rsid w:val="00AE5A49"/>
    <w:rsid w:val="00AE6362"/>
    <w:rsid w:val="00AE72D3"/>
    <w:rsid w:val="00AE7333"/>
    <w:rsid w:val="00AF03E6"/>
    <w:rsid w:val="00AF0828"/>
    <w:rsid w:val="00AF1159"/>
    <w:rsid w:val="00AF11D8"/>
    <w:rsid w:val="00AF1BAE"/>
    <w:rsid w:val="00AF1C2C"/>
    <w:rsid w:val="00AF1FF5"/>
    <w:rsid w:val="00AF2E85"/>
    <w:rsid w:val="00AF30CB"/>
    <w:rsid w:val="00AF367F"/>
    <w:rsid w:val="00AF36A1"/>
    <w:rsid w:val="00AF4628"/>
    <w:rsid w:val="00AF5187"/>
    <w:rsid w:val="00AF5867"/>
    <w:rsid w:val="00AF62DF"/>
    <w:rsid w:val="00AF68CC"/>
    <w:rsid w:val="00AF70D7"/>
    <w:rsid w:val="00AF726C"/>
    <w:rsid w:val="00B00086"/>
    <w:rsid w:val="00B00CD0"/>
    <w:rsid w:val="00B00E7F"/>
    <w:rsid w:val="00B0118B"/>
    <w:rsid w:val="00B01F7E"/>
    <w:rsid w:val="00B01FF4"/>
    <w:rsid w:val="00B0326D"/>
    <w:rsid w:val="00B0602C"/>
    <w:rsid w:val="00B06037"/>
    <w:rsid w:val="00B06053"/>
    <w:rsid w:val="00B06478"/>
    <w:rsid w:val="00B07533"/>
    <w:rsid w:val="00B07CFB"/>
    <w:rsid w:val="00B1059E"/>
    <w:rsid w:val="00B109A7"/>
    <w:rsid w:val="00B11FF1"/>
    <w:rsid w:val="00B132F7"/>
    <w:rsid w:val="00B13442"/>
    <w:rsid w:val="00B13AD1"/>
    <w:rsid w:val="00B14657"/>
    <w:rsid w:val="00B149BA"/>
    <w:rsid w:val="00B14A36"/>
    <w:rsid w:val="00B14CA8"/>
    <w:rsid w:val="00B16273"/>
    <w:rsid w:val="00B164B4"/>
    <w:rsid w:val="00B16527"/>
    <w:rsid w:val="00B166CE"/>
    <w:rsid w:val="00B168D1"/>
    <w:rsid w:val="00B170A5"/>
    <w:rsid w:val="00B1725F"/>
    <w:rsid w:val="00B174FD"/>
    <w:rsid w:val="00B176C8"/>
    <w:rsid w:val="00B177E9"/>
    <w:rsid w:val="00B17EE5"/>
    <w:rsid w:val="00B205AA"/>
    <w:rsid w:val="00B2085B"/>
    <w:rsid w:val="00B20B02"/>
    <w:rsid w:val="00B20F22"/>
    <w:rsid w:val="00B2100A"/>
    <w:rsid w:val="00B21A91"/>
    <w:rsid w:val="00B22E84"/>
    <w:rsid w:val="00B233AD"/>
    <w:rsid w:val="00B236FC"/>
    <w:rsid w:val="00B23E25"/>
    <w:rsid w:val="00B2458F"/>
    <w:rsid w:val="00B25E9A"/>
    <w:rsid w:val="00B25F75"/>
    <w:rsid w:val="00B26496"/>
    <w:rsid w:val="00B26B3F"/>
    <w:rsid w:val="00B2772E"/>
    <w:rsid w:val="00B2778F"/>
    <w:rsid w:val="00B301F5"/>
    <w:rsid w:val="00B30D00"/>
    <w:rsid w:val="00B30E82"/>
    <w:rsid w:val="00B327E2"/>
    <w:rsid w:val="00B32F67"/>
    <w:rsid w:val="00B33635"/>
    <w:rsid w:val="00B33D46"/>
    <w:rsid w:val="00B345AB"/>
    <w:rsid w:val="00B34711"/>
    <w:rsid w:val="00B34758"/>
    <w:rsid w:val="00B34AFB"/>
    <w:rsid w:val="00B35811"/>
    <w:rsid w:val="00B37A23"/>
    <w:rsid w:val="00B37CF8"/>
    <w:rsid w:val="00B37D99"/>
    <w:rsid w:val="00B40830"/>
    <w:rsid w:val="00B40B59"/>
    <w:rsid w:val="00B4131F"/>
    <w:rsid w:val="00B42643"/>
    <w:rsid w:val="00B4280F"/>
    <w:rsid w:val="00B42A9B"/>
    <w:rsid w:val="00B42AF4"/>
    <w:rsid w:val="00B43A6A"/>
    <w:rsid w:val="00B43E90"/>
    <w:rsid w:val="00B44308"/>
    <w:rsid w:val="00B45722"/>
    <w:rsid w:val="00B460F4"/>
    <w:rsid w:val="00B467DC"/>
    <w:rsid w:val="00B472AB"/>
    <w:rsid w:val="00B477CF"/>
    <w:rsid w:val="00B47A88"/>
    <w:rsid w:val="00B50097"/>
    <w:rsid w:val="00B50844"/>
    <w:rsid w:val="00B5146E"/>
    <w:rsid w:val="00B51E09"/>
    <w:rsid w:val="00B51E1E"/>
    <w:rsid w:val="00B52303"/>
    <w:rsid w:val="00B53488"/>
    <w:rsid w:val="00B5392A"/>
    <w:rsid w:val="00B539EF"/>
    <w:rsid w:val="00B55056"/>
    <w:rsid w:val="00B56118"/>
    <w:rsid w:val="00B566C1"/>
    <w:rsid w:val="00B566E1"/>
    <w:rsid w:val="00B56AFB"/>
    <w:rsid w:val="00B56FBB"/>
    <w:rsid w:val="00B572BE"/>
    <w:rsid w:val="00B602E7"/>
    <w:rsid w:val="00B602F6"/>
    <w:rsid w:val="00B60963"/>
    <w:rsid w:val="00B60ED3"/>
    <w:rsid w:val="00B61EA6"/>
    <w:rsid w:val="00B62EC1"/>
    <w:rsid w:val="00B63251"/>
    <w:rsid w:val="00B63384"/>
    <w:rsid w:val="00B645CE"/>
    <w:rsid w:val="00B64A96"/>
    <w:rsid w:val="00B6533B"/>
    <w:rsid w:val="00B659D2"/>
    <w:rsid w:val="00B6773F"/>
    <w:rsid w:val="00B6791A"/>
    <w:rsid w:val="00B70EB3"/>
    <w:rsid w:val="00B71783"/>
    <w:rsid w:val="00B72906"/>
    <w:rsid w:val="00B74F48"/>
    <w:rsid w:val="00B7525E"/>
    <w:rsid w:val="00B75336"/>
    <w:rsid w:val="00B75433"/>
    <w:rsid w:val="00B75F70"/>
    <w:rsid w:val="00B760FB"/>
    <w:rsid w:val="00B764FB"/>
    <w:rsid w:val="00B76535"/>
    <w:rsid w:val="00B76765"/>
    <w:rsid w:val="00B767AB"/>
    <w:rsid w:val="00B77C91"/>
    <w:rsid w:val="00B801BA"/>
    <w:rsid w:val="00B80D50"/>
    <w:rsid w:val="00B812D6"/>
    <w:rsid w:val="00B835DC"/>
    <w:rsid w:val="00B846E6"/>
    <w:rsid w:val="00B84D5C"/>
    <w:rsid w:val="00B8506B"/>
    <w:rsid w:val="00B859DE"/>
    <w:rsid w:val="00B85AF6"/>
    <w:rsid w:val="00B86223"/>
    <w:rsid w:val="00B86937"/>
    <w:rsid w:val="00B905AB"/>
    <w:rsid w:val="00B90A4C"/>
    <w:rsid w:val="00B9135B"/>
    <w:rsid w:val="00B91BC7"/>
    <w:rsid w:val="00B923E6"/>
    <w:rsid w:val="00B92E46"/>
    <w:rsid w:val="00B941ED"/>
    <w:rsid w:val="00B951AA"/>
    <w:rsid w:val="00B953BE"/>
    <w:rsid w:val="00B956ED"/>
    <w:rsid w:val="00B9625F"/>
    <w:rsid w:val="00B96666"/>
    <w:rsid w:val="00B96899"/>
    <w:rsid w:val="00B96FD8"/>
    <w:rsid w:val="00BA1F49"/>
    <w:rsid w:val="00BA20CE"/>
    <w:rsid w:val="00BA290B"/>
    <w:rsid w:val="00BA2B3B"/>
    <w:rsid w:val="00BA2DA8"/>
    <w:rsid w:val="00BA2FAB"/>
    <w:rsid w:val="00BA321B"/>
    <w:rsid w:val="00BA347C"/>
    <w:rsid w:val="00BA410A"/>
    <w:rsid w:val="00BA449F"/>
    <w:rsid w:val="00BA4C79"/>
    <w:rsid w:val="00BA4D84"/>
    <w:rsid w:val="00BB02C8"/>
    <w:rsid w:val="00BB047F"/>
    <w:rsid w:val="00BB0883"/>
    <w:rsid w:val="00BB0B44"/>
    <w:rsid w:val="00BB2357"/>
    <w:rsid w:val="00BB298A"/>
    <w:rsid w:val="00BB3469"/>
    <w:rsid w:val="00BB3D04"/>
    <w:rsid w:val="00BB5C49"/>
    <w:rsid w:val="00BB6240"/>
    <w:rsid w:val="00BB6285"/>
    <w:rsid w:val="00BB6516"/>
    <w:rsid w:val="00BB69F5"/>
    <w:rsid w:val="00BB6E48"/>
    <w:rsid w:val="00BB7741"/>
    <w:rsid w:val="00BB7EC3"/>
    <w:rsid w:val="00BB7FD3"/>
    <w:rsid w:val="00BC04B1"/>
    <w:rsid w:val="00BC0D1F"/>
    <w:rsid w:val="00BC3A79"/>
    <w:rsid w:val="00BC3F3D"/>
    <w:rsid w:val="00BC3FF6"/>
    <w:rsid w:val="00BC470E"/>
    <w:rsid w:val="00BC4B9A"/>
    <w:rsid w:val="00BC70C2"/>
    <w:rsid w:val="00BD02C3"/>
    <w:rsid w:val="00BD10E6"/>
    <w:rsid w:val="00BD17C0"/>
    <w:rsid w:val="00BD3119"/>
    <w:rsid w:val="00BD4A46"/>
    <w:rsid w:val="00BD523C"/>
    <w:rsid w:val="00BD5761"/>
    <w:rsid w:val="00BD5D25"/>
    <w:rsid w:val="00BD6B72"/>
    <w:rsid w:val="00BD7483"/>
    <w:rsid w:val="00BD784C"/>
    <w:rsid w:val="00BE020A"/>
    <w:rsid w:val="00BE0F17"/>
    <w:rsid w:val="00BE13DF"/>
    <w:rsid w:val="00BE1C34"/>
    <w:rsid w:val="00BE1EF0"/>
    <w:rsid w:val="00BE25D7"/>
    <w:rsid w:val="00BE413E"/>
    <w:rsid w:val="00BE4BD0"/>
    <w:rsid w:val="00BE5CC4"/>
    <w:rsid w:val="00BE6208"/>
    <w:rsid w:val="00BE6A76"/>
    <w:rsid w:val="00BF08B5"/>
    <w:rsid w:val="00BF092C"/>
    <w:rsid w:val="00BF115E"/>
    <w:rsid w:val="00BF1BC8"/>
    <w:rsid w:val="00BF1EF2"/>
    <w:rsid w:val="00BF21D1"/>
    <w:rsid w:val="00BF2481"/>
    <w:rsid w:val="00BF27A0"/>
    <w:rsid w:val="00BF40E6"/>
    <w:rsid w:val="00BF4CB6"/>
    <w:rsid w:val="00BF5027"/>
    <w:rsid w:val="00BF51E1"/>
    <w:rsid w:val="00BF5D23"/>
    <w:rsid w:val="00BF652F"/>
    <w:rsid w:val="00BF6CBD"/>
    <w:rsid w:val="00BF6D2E"/>
    <w:rsid w:val="00BF7C01"/>
    <w:rsid w:val="00C00DA7"/>
    <w:rsid w:val="00C02F3C"/>
    <w:rsid w:val="00C034FB"/>
    <w:rsid w:val="00C0351B"/>
    <w:rsid w:val="00C04268"/>
    <w:rsid w:val="00C04B5A"/>
    <w:rsid w:val="00C04CDE"/>
    <w:rsid w:val="00C059D5"/>
    <w:rsid w:val="00C05C3E"/>
    <w:rsid w:val="00C064E2"/>
    <w:rsid w:val="00C068A6"/>
    <w:rsid w:val="00C068EA"/>
    <w:rsid w:val="00C06E0D"/>
    <w:rsid w:val="00C115CC"/>
    <w:rsid w:val="00C11721"/>
    <w:rsid w:val="00C11B0F"/>
    <w:rsid w:val="00C11DEA"/>
    <w:rsid w:val="00C12768"/>
    <w:rsid w:val="00C12D70"/>
    <w:rsid w:val="00C1352B"/>
    <w:rsid w:val="00C14957"/>
    <w:rsid w:val="00C16724"/>
    <w:rsid w:val="00C16845"/>
    <w:rsid w:val="00C174DE"/>
    <w:rsid w:val="00C1760C"/>
    <w:rsid w:val="00C17717"/>
    <w:rsid w:val="00C20030"/>
    <w:rsid w:val="00C21B09"/>
    <w:rsid w:val="00C2311C"/>
    <w:rsid w:val="00C2363A"/>
    <w:rsid w:val="00C23DBC"/>
    <w:rsid w:val="00C24C42"/>
    <w:rsid w:val="00C25B4B"/>
    <w:rsid w:val="00C25EFF"/>
    <w:rsid w:val="00C2673A"/>
    <w:rsid w:val="00C278CD"/>
    <w:rsid w:val="00C27B58"/>
    <w:rsid w:val="00C27C1C"/>
    <w:rsid w:val="00C3166C"/>
    <w:rsid w:val="00C33186"/>
    <w:rsid w:val="00C332EB"/>
    <w:rsid w:val="00C342C1"/>
    <w:rsid w:val="00C35973"/>
    <w:rsid w:val="00C35996"/>
    <w:rsid w:val="00C35FF5"/>
    <w:rsid w:val="00C36BDA"/>
    <w:rsid w:val="00C3756D"/>
    <w:rsid w:val="00C41BA6"/>
    <w:rsid w:val="00C42BCD"/>
    <w:rsid w:val="00C4485F"/>
    <w:rsid w:val="00C44B8E"/>
    <w:rsid w:val="00C44DED"/>
    <w:rsid w:val="00C44E32"/>
    <w:rsid w:val="00C45731"/>
    <w:rsid w:val="00C45D7C"/>
    <w:rsid w:val="00C45FFF"/>
    <w:rsid w:val="00C46C13"/>
    <w:rsid w:val="00C4747E"/>
    <w:rsid w:val="00C504A5"/>
    <w:rsid w:val="00C5113F"/>
    <w:rsid w:val="00C5151E"/>
    <w:rsid w:val="00C518EA"/>
    <w:rsid w:val="00C52256"/>
    <w:rsid w:val="00C5342C"/>
    <w:rsid w:val="00C53B2B"/>
    <w:rsid w:val="00C547F5"/>
    <w:rsid w:val="00C54950"/>
    <w:rsid w:val="00C56149"/>
    <w:rsid w:val="00C56D78"/>
    <w:rsid w:val="00C57465"/>
    <w:rsid w:val="00C60272"/>
    <w:rsid w:val="00C603D4"/>
    <w:rsid w:val="00C60BF2"/>
    <w:rsid w:val="00C60CB2"/>
    <w:rsid w:val="00C61785"/>
    <w:rsid w:val="00C61C91"/>
    <w:rsid w:val="00C62561"/>
    <w:rsid w:val="00C6256A"/>
    <w:rsid w:val="00C62EFF"/>
    <w:rsid w:val="00C631BC"/>
    <w:rsid w:val="00C63FA3"/>
    <w:rsid w:val="00C63FDA"/>
    <w:rsid w:val="00C64EBC"/>
    <w:rsid w:val="00C6532E"/>
    <w:rsid w:val="00C655C3"/>
    <w:rsid w:val="00C664D2"/>
    <w:rsid w:val="00C677E1"/>
    <w:rsid w:val="00C70E6E"/>
    <w:rsid w:val="00C710E2"/>
    <w:rsid w:val="00C71C3F"/>
    <w:rsid w:val="00C71D12"/>
    <w:rsid w:val="00C71D9D"/>
    <w:rsid w:val="00C7305E"/>
    <w:rsid w:val="00C7409E"/>
    <w:rsid w:val="00C7427B"/>
    <w:rsid w:val="00C745BE"/>
    <w:rsid w:val="00C74D6D"/>
    <w:rsid w:val="00C76E76"/>
    <w:rsid w:val="00C77891"/>
    <w:rsid w:val="00C77B74"/>
    <w:rsid w:val="00C80FDC"/>
    <w:rsid w:val="00C82062"/>
    <w:rsid w:val="00C829A9"/>
    <w:rsid w:val="00C82D7B"/>
    <w:rsid w:val="00C83905"/>
    <w:rsid w:val="00C857BD"/>
    <w:rsid w:val="00C871D6"/>
    <w:rsid w:val="00C87B80"/>
    <w:rsid w:val="00C87FFC"/>
    <w:rsid w:val="00C90330"/>
    <w:rsid w:val="00C9138B"/>
    <w:rsid w:val="00C91449"/>
    <w:rsid w:val="00C91EED"/>
    <w:rsid w:val="00C92D10"/>
    <w:rsid w:val="00C92F79"/>
    <w:rsid w:val="00C9437F"/>
    <w:rsid w:val="00C94672"/>
    <w:rsid w:val="00C95200"/>
    <w:rsid w:val="00C95670"/>
    <w:rsid w:val="00C96316"/>
    <w:rsid w:val="00C96EC0"/>
    <w:rsid w:val="00C97D03"/>
    <w:rsid w:val="00CA06F9"/>
    <w:rsid w:val="00CA14BB"/>
    <w:rsid w:val="00CA21A5"/>
    <w:rsid w:val="00CA2307"/>
    <w:rsid w:val="00CA230C"/>
    <w:rsid w:val="00CA23E1"/>
    <w:rsid w:val="00CA25A7"/>
    <w:rsid w:val="00CA2C0D"/>
    <w:rsid w:val="00CA48D9"/>
    <w:rsid w:val="00CA4A9C"/>
    <w:rsid w:val="00CA5718"/>
    <w:rsid w:val="00CA60DB"/>
    <w:rsid w:val="00CB0C2A"/>
    <w:rsid w:val="00CB0EAB"/>
    <w:rsid w:val="00CB1193"/>
    <w:rsid w:val="00CB15BE"/>
    <w:rsid w:val="00CB358A"/>
    <w:rsid w:val="00CB4767"/>
    <w:rsid w:val="00CB493D"/>
    <w:rsid w:val="00CB4F73"/>
    <w:rsid w:val="00CB5CF7"/>
    <w:rsid w:val="00CB6037"/>
    <w:rsid w:val="00CB68BF"/>
    <w:rsid w:val="00CB7366"/>
    <w:rsid w:val="00CB78AA"/>
    <w:rsid w:val="00CC0E25"/>
    <w:rsid w:val="00CC2224"/>
    <w:rsid w:val="00CC2EE8"/>
    <w:rsid w:val="00CC3B97"/>
    <w:rsid w:val="00CC4CAA"/>
    <w:rsid w:val="00CC59CE"/>
    <w:rsid w:val="00CD14BA"/>
    <w:rsid w:val="00CD1764"/>
    <w:rsid w:val="00CD1A06"/>
    <w:rsid w:val="00CD377D"/>
    <w:rsid w:val="00CD3D0D"/>
    <w:rsid w:val="00CD4280"/>
    <w:rsid w:val="00CD4A8C"/>
    <w:rsid w:val="00CD6257"/>
    <w:rsid w:val="00CD62A6"/>
    <w:rsid w:val="00CD665F"/>
    <w:rsid w:val="00CD7C0B"/>
    <w:rsid w:val="00CE008F"/>
    <w:rsid w:val="00CE10C4"/>
    <w:rsid w:val="00CE2343"/>
    <w:rsid w:val="00CE27B5"/>
    <w:rsid w:val="00CE2BDF"/>
    <w:rsid w:val="00CE3DAD"/>
    <w:rsid w:val="00CE4F83"/>
    <w:rsid w:val="00CE54B3"/>
    <w:rsid w:val="00CE5748"/>
    <w:rsid w:val="00CE643A"/>
    <w:rsid w:val="00CE6CC8"/>
    <w:rsid w:val="00CE6D24"/>
    <w:rsid w:val="00CE6DAF"/>
    <w:rsid w:val="00CE6E81"/>
    <w:rsid w:val="00CE7DBD"/>
    <w:rsid w:val="00CE7E91"/>
    <w:rsid w:val="00CF059F"/>
    <w:rsid w:val="00CF17D1"/>
    <w:rsid w:val="00CF1BF1"/>
    <w:rsid w:val="00CF1D28"/>
    <w:rsid w:val="00CF32A4"/>
    <w:rsid w:val="00CF3FFE"/>
    <w:rsid w:val="00CF410A"/>
    <w:rsid w:val="00CF4797"/>
    <w:rsid w:val="00CF47B8"/>
    <w:rsid w:val="00CF5036"/>
    <w:rsid w:val="00CF56C6"/>
    <w:rsid w:val="00CF7528"/>
    <w:rsid w:val="00CF7FDE"/>
    <w:rsid w:val="00D00A4E"/>
    <w:rsid w:val="00D00C3C"/>
    <w:rsid w:val="00D012AF"/>
    <w:rsid w:val="00D014FE"/>
    <w:rsid w:val="00D01E6D"/>
    <w:rsid w:val="00D021B9"/>
    <w:rsid w:val="00D02593"/>
    <w:rsid w:val="00D0321E"/>
    <w:rsid w:val="00D0386F"/>
    <w:rsid w:val="00D05457"/>
    <w:rsid w:val="00D05DAF"/>
    <w:rsid w:val="00D066FB"/>
    <w:rsid w:val="00D069EB"/>
    <w:rsid w:val="00D06D90"/>
    <w:rsid w:val="00D0782A"/>
    <w:rsid w:val="00D07A8A"/>
    <w:rsid w:val="00D10838"/>
    <w:rsid w:val="00D10E31"/>
    <w:rsid w:val="00D10F8B"/>
    <w:rsid w:val="00D11199"/>
    <w:rsid w:val="00D1455A"/>
    <w:rsid w:val="00D14573"/>
    <w:rsid w:val="00D1458E"/>
    <w:rsid w:val="00D14A70"/>
    <w:rsid w:val="00D15873"/>
    <w:rsid w:val="00D15EE9"/>
    <w:rsid w:val="00D16BFE"/>
    <w:rsid w:val="00D16CA7"/>
    <w:rsid w:val="00D207EA"/>
    <w:rsid w:val="00D211FB"/>
    <w:rsid w:val="00D216AA"/>
    <w:rsid w:val="00D2172B"/>
    <w:rsid w:val="00D22093"/>
    <w:rsid w:val="00D22150"/>
    <w:rsid w:val="00D22CDA"/>
    <w:rsid w:val="00D23F38"/>
    <w:rsid w:val="00D263D7"/>
    <w:rsid w:val="00D276A7"/>
    <w:rsid w:val="00D27AC9"/>
    <w:rsid w:val="00D27F54"/>
    <w:rsid w:val="00D30090"/>
    <w:rsid w:val="00D30106"/>
    <w:rsid w:val="00D31150"/>
    <w:rsid w:val="00D3138B"/>
    <w:rsid w:val="00D31FCE"/>
    <w:rsid w:val="00D3280C"/>
    <w:rsid w:val="00D3378F"/>
    <w:rsid w:val="00D33A00"/>
    <w:rsid w:val="00D3406A"/>
    <w:rsid w:val="00D34618"/>
    <w:rsid w:val="00D34CFA"/>
    <w:rsid w:val="00D34D24"/>
    <w:rsid w:val="00D34E0E"/>
    <w:rsid w:val="00D37833"/>
    <w:rsid w:val="00D37A0D"/>
    <w:rsid w:val="00D40644"/>
    <w:rsid w:val="00D40B11"/>
    <w:rsid w:val="00D42864"/>
    <w:rsid w:val="00D429EC"/>
    <w:rsid w:val="00D431AB"/>
    <w:rsid w:val="00D441F1"/>
    <w:rsid w:val="00D4572C"/>
    <w:rsid w:val="00D45BC8"/>
    <w:rsid w:val="00D469B2"/>
    <w:rsid w:val="00D47039"/>
    <w:rsid w:val="00D5048B"/>
    <w:rsid w:val="00D511E3"/>
    <w:rsid w:val="00D523C0"/>
    <w:rsid w:val="00D52B24"/>
    <w:rsid w:val="00D52EAA"/>
    <w:rsid w:val="00D52ECF"/>
    <w:rsid w:val="00D53235"/>
    <w:rsid w:val="00D5359C"/>
    <w:rsid w:val="00D53F0C"/>
    <w:rsid w:val="00D5411A"/>
    <w:rsid w:val="00D546FE"/>
    <w:rsid w:val="00D54B09"/>
    <w:rsid w:val="00D55517"/>
    <w:rsid w:val="00D55D5F"/>
    <w:rsid w:val="00D56458"/>
    <w:rsid w:val="00D5671D"/>
    <w:rsid w:val="00D569E1"/>
    <w:rsid w:val="00D56AEE"/>
    <w:rsid w:val="00D56EF4"/>
    <w:rsid w:val="00D57706"/>
    <w:rsid w:val="00D57CC5"/>
    <w:rsid w:val="00D61184"/>
    <w:rsid w:val="00D613B0"/>
    <w:rsid w:val="00D6227A"/>
    <w:rsid w:val="00D6243E"/>
    <w:rsid w:val="00D64568"/>
    <w:rsid w:val="00D65658"/>
    <w:rsid w:val="00D658AE"/>
    <w:rsid w:val="00D663FD"/>
    <w:rsid w:val="00D66950"/>
    <w:rsid w:val="00D67721"/>
    <w:rsid w:val="00D67EB2"/>
    <w:rsid w:val="00D70349"/>
    <w:rsid w:val="00D72B6F"/>
    <w:rsid w:val="00D740EC"/>
    <w:rsid w:val="00D741EB"/>
    <w:rsid w:val="00D74264"/>
    <w:rsid w:val="00D747FA"/>
    <w:rsid w:val="00D74CEA"/>
    <w:rsid w:val="00D74FB0"/>
    <w:rsid w:val="00D75D44"/>
    <w:rsid w:val="00D76726"/>
    <w:rsid w:val="00D7679C"/>
    <w:rsid w:val="00D773C6"/>
    <w:rsid w:val="00D7749B"/>
    <w:rsid w:val="00D775D7"/>
    <w:rsid w:val="00D7948C"/>
    <w:rsid w:val="00D8134B"/>
    <w:rsid w:val="00D817A9"/>
    <w:rsid w:val="00D820F3"/>
    <w:rsid w:val="00D822E1"/>
    <w:rsid w:val="00D83605"/>
    <w:rsid w:val="00D8400D"/>
    <w:rsid w:val="00D84693"/>
    <w:rsid w:val="00D84934"/>
    <w:rsid w:val="00D852C1"/>
    <w:rsid w:val="00D85B8E"/>
    <w:rsid w:val="00D860F5"/>
    <w:rsid w:val="00D866EB"/>
    <w:rsid w:val="00D86843"/>
    <w:rsid w:val="00D86C52"/>
    <w:rsid w:val="00D87D1A"/>
    <w:rsid w:val="00D903D5"/>
    <w:rsid w:val="00D906A2"/>
    <w:rsid w:val="00D906DA"/>
    <w:rsid w:val="00D90B65"/>
    <w:rsid w:val="00D911B7"/>
    <w:rsid w:val="00D91271"/>
    <w:rsid w:val="00D919F5"/>
    <w:rsid w:val="00D92DA7"/>
    <w:rsid w:val="00D945F6"/>
    <w:rsid w:val="00D94EE7"/>
    <w:rsid w:val="00D94F03"/>
    <w:rsid w:val="00D94FDD"/>
    <w:rsid w:val="00D95161"/>
    <w:rsid w:val="00D9522A"/>
    <w:rsid w:val="00D95C23"/>
    <w:rsid w:val="00D96325"/>
    <w:rsid w:val="00D96BBC"/>
    <w:rsid w:val="00D971AE"/>
    <w:rsid w:val="00DA0A82"/>
    <w:rsid w:val="00DA0D14"/>
    <w:rsid w:val="00DA1845"/>
    <w:rsid w:val="00DA1B13"/>
    <w:rsid w:val="00DA1FC9"/>
    <w:rsid w:val="00DA2CB5"/>
    <w:rsid w:val="00DA2CDD"/>
    <w:rsid w:val="00DA3269"/>
    <w:rsid w:val="00DA32AE"/>
    <w:rsid w:val="00DA358F"/>
    <w:rsid w:val="00DA383E"/>
    <w:rsid w:val="00DA4184"/>
    <w:rsid w:val="00DA422E"/>
    <w:rsid w:val="00DA4520"/>
    <w:rsid w:val="00DA4BAC"/>
    <w:rsid w:val="00DA520C"/>
    <w:rsid w:val="00DA52CA"/>
    <w:rsid w:val="00DA5A83"/>
    <w:rsid w:val="00DA722E"/>
    <w:rsid w:val="00DA792A"/>
    <w:rsid w:val="00DB0151"/>
    <w:rsid w:val="00DB0160"/>
    <w:rsid w:val="00DB04D7"/>
    <w:rsid w:val="00DB2E41"/>
    <w:rsid w:val="00DB2F2E"/>
    <w:rsid w:val="00DB340F"/>
    <w:rsid w:val="00DB3A32"/>
    <w:rsid w:val="00DB4B95"/>
    <w:rsid w:val="00DB4F9C"/>
    <w:rsid w:val="00DB50E1"/>
    <w:rsid w:val="00DB6EF8"/>
    <w:rsid w:val="00DB7239"/>
    <w:rsid w:val="00DB7EFA"/>
    <w:rsid w:val="00DC0064"/>
    <w:rsid w:val="00DC0566"/>
    <w:rsid w:val="00DC05E1"/>
    <w:rsid w:val="00DC080B"/>
    <w:rsid w:val="00DC083F"/>
    <w:rsid w:val="00DC0F47"/>
    <w:rsid w:val="00DC1499"/>
    <w:rsid w:val="00DC16CF"/>
    <w:rsid w:val="00DC23BA"/>
    <w:rsid w:val="00DC2C3E"/>
    <w:rsid w:val="00DC3137"/>
    <w:rsid w:val="00DC3A71"/>
    <w:rsid w:val="00DC3A87"/>
    <w:rsid w:val="00DC3B54"/>
    <w:rsid w:val="00DC4880"/>
    <w:rsid w:val="00DC581F"/>
    <w:rsid w:val="00DC5CE8"/>
    <w:rsid w:val="00DC5E90"/>
    <w:rsid w:val="00DC61B2"/>
    <w:rsid w:val="00DC6EC3"/>
    <w:rsid w:val="00DC732A"/>
    <w:rsid w:val="00DD04D7"/>
    <w:rsid w:val="00DD07B1"/>
    <w:rsid w:val="00DD08A1"/>
    <w:rsid w:val="00DD0BE9"/>
    <w:rsid w:val="00DD0DD6"/>
    <w:rsid w:val="00DD10BB"/>
    <w:rsid w:val="00DD26F9"/>
    <w:rsid w:val="00DD350E"/>
    <w:rsid w:val="00DD42AB"/>
    <w:rsid w:val="00DD42BC"/>
    <w:rsid w:val="00DD504A"/>
    <w:rsid w:val="00DD5FC7"/>
    <w:rsid w:val="00DD74AD"/>
    <w:rsid w:val="00DD74C2"/>
    <w:rsid w:val="00DD78B6"/>
    <w:rsid w:val="00DE046D"/>
    <w:rsid w:val="00DE06AF"/>
    <w:rsid w:val="00DE0DEA"/>
    <w:rsid w:val="00DE1511"/>
    <w:rsid w:val="00DE1609"/>
    <w:rsid w:val="00DE1EEB"/>
    <w:rsid w:val="00DE36C2"/>
    <w:rsid w:val="00DE44C4"/>
    <w:rsid w:val="00DE5C74"/>
    <w:rsid w:val="00DE5F2D"/>
    <w:rsid w:val="00DE61C4"/>
    <w:rsid w:val="00DE6992"/>
    <w:rsid w:val="00DE6D27"/>
    <w:rsid w:val="00DE76EA"/>
    <w:rsid w:val="00DE78CA"/>
    <w:rsid w:val="00DF01F8"/>
    <w:rsid w:val="00DF021D"/>
    <w:rsid w:val="00DF1016"/>
    <w:rsid w:val="00DF14EE"/>
    <w:rsid w:val="00DF217D"/>
    <w:rsid w:val="00DF26A7"/>
    <w:rsid w:val="00DF31D1"/>
    <w:rsid w:val="00DF31EB"/>
    <w:rsid w:val="00DF3277"/>
    <w:rsid w:val="00DF5EE1"/>
    <w:rsid w:val="00DF6A31"/>
    <w:rsid w:val="00DF6D0E"/>
    <w:rsid w:val="00DF7407"/>
    <w:rsid w:val="00DF77A1"/>
    <w:rsid w:val="00DF7919"/>
    <w:rsid w:val="00E00100"/>
    <w:rsid w:val="00E0207E"/>
    <w:rsid w:val="00E02AE6"/>
    <w:rsid w:val="00E03912"/>
    <w:rsid w:val="00E04748"/>
    <w:rsid w:val="00E04CB8"/>
    <w:rsid w:val="00E060AF"/>
    <w:rsid w:val="00E06ACF"/>
    <w:rsid w:val="00E06CE5"/>
    <w:rsid w:val="00E078D9"/>
    <w:rsid w:val="00E10293"/>
    <w:rsid w:val="00E103A0"/>
    <w:rsid w:val="00E1043F"/>
    <w:rsid w:val="00E11121"/>
    <w:rsid w:val="00E1157E"/>
    <w:rsid w:val="00E11F44"/>
    <w:rsid w:val="00E13C3A"/>
    <w:rsid w:val="00E13E60"/>
    <w:rsid w:val="00E153F6"/>
    <w:rsid w:val="00E15627"/>
    <w:rsid w:val="00E16236"/>
    <w:rsid w:val="00E16387"/>
    <w:rsid w:val="00E164B3"/>
    <w:rsid w:val="00E16910"/>
    <w:rsid w:val="00E21164"/>
    <w:rsid w:val="00E21E35"/>
    <w:rsid w:val="00E221C2"/>
    <w:rsid w:val="00E224C9"/>
    <w:rsid w:val="00E22CBF"/>
    <w:rsid w:val="00E23816"/>
    <w:rsid w:val="00E239E2"/>
    <w:rsid w:val="00E23B40"/>
    <w:rsid w:val="00E23BE0"/>
    <w:rsid w:val="00E24CB7"/>
    <w:rsid w:val="00E24E09"/>
    <w:rsid w:val="00E24FAC"/>
    <w:rsid w:val="00E25403"/>
    <w:rsid w:val="00E2605E"/>
    <w:rsid w:val="00E27094"/>
    <w:rsid w:val="00E27234"/>
    <w:rsid w:val="00E306D2"/>
    <w:rsid w:val="00E31D41"/>
    <w:rsid w:val="00E33FB5"/>
    <w:rsid w:val="00E3495C"/>
    <w:rsid w:val="00E355A2"/>
    <w:rsid w:val="00E40223"/>
    <w:rsid w:val="00E40277"/>
    <w:rsid w:val="00E40A60"/>
    <w:rsid w:val="00E41257"/>
    <w:rsid w:val="00E42578"/>
    <w:rsid w:val="00E42BDB"/>
    <w:rsid w:val="00E42C94"/>
    <w:rsid w:val="00E441A9"/>
    <w:rsid w:val="00E442B5"/>
    <w:rsid w:val="00E44390"/>
    <w:rsid w:val="00E4489F"/>
    <w:rsid w:val="00E454D3"/>
    <w:rsid w:val="00E4597B"/>
    <w:rsid w:val="00E472A0"/>
    <w:rsid w:val="00E47D21"/>
    <w:rsid w:val="00E47F4B"/>
    <w:rsid w:val="00E50552"/>
    <w:rsid w:val="00E50F18"/>
    <w:rsid w:val="00E5100E"/>
    <w:rsid w:val="00E51152"/>
    <w:rsid w:val="00E517B6"/>
    <w:rsid w:val="00E5240E"/>
    <w:rsid w:val="00E524A9"/>
    <w:rsid w:val="00E52F3F"/>
    <w:rsid w:val="00E537A5"/>
    <w:rsid w:val="00E53F1A"/>
    <w:rsid w:val="00E56A0A"/>
    <w:rsid w:val="00E5726A"/>
    <w:rsid w:val="00E5726D"/>
    <w:rsid w:val="00E57EEB"/>
    <w:rsid w:val="00E623AD"/>
    <w:rsid w:val="00E62D94"/>
    <w:rsid w:val="00E62ECC"/>
    <w:rsid w:val="00E6415D"/>
    <w:rsid w:val="00E645A2"/>
    <w:rsid w:val="00E64F37"/>
    <w:rsid w:val="00E65091"/>
    <w:rsid w:val="00E650BE"/>
    <w:rsid w:val="00E65393"/>
    <w:rsid w:val="00E65622"/>
    <w:rsid w:val="00E6584E"/>
    <w:rsid w:val="00E65E54"/>
    <w:rsid w:val="00E65F36"/>
    <w:rsid w:val="00E661C7"/>
    <w:rsid w:val="00E665AC"/>
    <w:rsid w:val="00E66679"/>
    <w:rsid w:val="00E70413"/>
    <w:rsid w:val="00E716D1"/>
    <w:rsid w:val="00E72089"/>
    <w:rsid w:val="00E732C4"/>
    <w:rsid w:val="00E7414E"/>
    <w:rsid w:val="00E74DE9"/>
    <w:rsid w:val="00E74E41"/>
    <w:rsid w:val="00E75151"/>
    <w:rsid w:val="00E7594F"/>
    <w:rsid w:val="00E76DFD"/>
    <w:rsid w:val="00E80155"/>
    <w:rsid w:val="00E80643"/>
    <w:rsid w:val="00E807D1"/>
    <w:rsid w:val="00E8134B"/>
    <w:rsid w:val="00E81E0D"/>
    <w:rsid w:val="00E81F28"/>
    <w:rsid w:val="00E82089"/>
    <w:rsid w:val="00E8227F"/>
    <w:rsid w:val="00E827AB"/>
    <w:rsid w:val="00E82DFC"/>
    <w:rsid w:val="00E83534"/>
    <w:rsid w:val="00E845E8"/>
    <w:rsid w:val="00E848C0"/>
    <w:rsid w:val="00E84BB8"/>
    <w:rsid w:val="00E86F92"/>
    <w:rsid w:val="00E87982"/>
    <w:rsid w:val="00E91112"/>
    <w:rsid w:val="00E91131"/>
    <w:rsid w:val="00E9187E"/>
    <w:rsid w:val="00E91B96"/>
    <w:rsid w:val="00E91BFE"/>
    <w:rsid w:val="00E92F2E"/>
    <w:rsid w:val="00E931B3"/>
    <w:rsid w:val="00E935DA"/>
    <w:rsid w:val="00E93D1E"/>
    <w:rsid w:val="00E941A1"/>
    <w:rsid w:val="00E94A94"/>
    <w:rsid w:val="00E95CE3"/>
    <w:rsid w:val="00E95F9A"/>
    <w:rsid w:val="00E966FD"/>
    <w:rsid w:val="00E96E99"/>
    <w:rsid w:val="00E9767F"/>
    <w:rsid w:val="00EA0856"/>
    <w:rsid w:val="00EA1DC4"/>
    <w:rsid w:val="00EA252F"/>
    <w:rsid w:val="00EA2825"/>
    <w:rsid w:val="00EA2D13"/>
    <w:rsid w:val="00EA30FD"/>
    <w:rsid w:val="00EA348D"/>
    <w:rsid w:val="00EA3553"/>
    <w:rsid w:val="00EA3628"/>
    <w:rsid w:val="00EA3B97"/>
    <w:rsid w:val="00EA4894"/>
    <w:rsid w:val="00EA5027"/>
    <w:rsid w:val="00EA52E6"/>
    <w:rsid w:val="00EA530B"/>
    <w:rsid w:val="00EA64C2"/>
    <w:rsid w:val="00EA6518"/>
    <w:rsid w:val="00EA692C"/>
    <w:rsid w:val="00EA71A2"/>
    <w:rsid w:val="00EA7466"/>
    <w:rsid w:val="00EA7C33"/>
    <w:rsid w:val="00EA7C5A"/>
    <w:rsid w:val="00EA7EDE"/>
    <w:rsid w:val="00EA7FE6"/>
    <w:rsid w:val="00EB0B63"/>
    <w:rsid w:val="00EB0EB5"/>
    <w:rsid w:val="00EB14AE"/>
    <w:rsid w:val="00EB1567"/>
    <w:rsid w:val="00EB1936"/>
    <w:rsid w:val="00EB260C"/>
    <w:rsid w:val="00EB2AB7"/>
    <w:rsid w:val="00EB3545"/>
    <w:rsid w:val="00EB37BE"/>
    <w:rsid w:val="00EB3958"/>
    <w:rsid w:val="00EB3A92"/>
    <w:rsid w:val="00EB3BD7"/>
    <w:rsid w:val="00EB4BAE"/>
    <w:rsid w:val="00EB5088"/>
    <w:rsid w:val="00EB6024"/>
    <w:rsid w:val="00EB7210"/>
    <w:rsid w:val="00EC09B8"/>
    <w:rsid w:val="00EC10D1"/>
    <w:rsid w:val="00EC1EBE"/>
    <w:rsid w:val="00EC2726"/>
    <w:rsid w:val="00EC2861"/>
    <w:rsid w:val="00EC46A4"/>
    <w:rsid w:val="00EC575E"/>
    <w:rsid w:val="00EC59D8"/>
    <w:rsid w:val="00EC681C"/>
    <w:rsid w:val="00EC6CB1"/>
    <w:rsid w:val="00EC7B87"/>
    <w:rsid w:val="00EC7CD2"/>
    <w:rsid w:val="00ED0A66"/>
    <w:rsid w:val="00ED1644"/>
    <w:rsid w:val="00ED2593"/>
    <w:rsid w:val="00ED28E5"/>
    <w:rsid w:val="00ED317B"/>
    <w:rsid w:val="00ED335F"/>
    <w:rsid w:val="00ED3709"/>
    <w:rsid w:val="00ED416D"/>
    <w:rsid w:val="00ED432F"/>
    <w:rsid w:val="00ED59B4"/>
    <w:rsid w:val="00ED5E1D"/>
    <w:rsid w:val="00ED5E5A"/>
    <w:rsid w:val="00ED60BD"/>
    <w:rsid w:val="00ED6A03"/>
    <w:rsid w:val="00ED6E34"/>
    <w:rsid w:val="00ED7D55"/>
    <w:rsid w:val="00ED7D9C"/>
    <w:rsid w:val="00EE00A7"/>
    <w:rsid w:val="00EE11E5"/>
    <w:rsid w:val="00EE2F77"/>
    <w:rsid w:val="00EE3158"/>
    <w:rsid w:val="00EE31A2"/>
    <w:rsid w:val="00EE3905"/>
    <w:rsid w:val="00EE3EF5"/>
    <w:rsid w:val="00EE4329"/>
    <w:rsid w:val="00EE4C49"/>
    <w:rsid w:val="00EE6203"/>
    <w:rsid w:val="00EE6930"/>
    <w:rsid w:val="00EE69B8"/>
    <w:rsid w:val="00EE6B39"/>
    <w:rsid w:val="00EE76FD"/>
    <w:rsid w:val="00EF0069"/>
    <w:rsid w:val="00EF0368"/>
    <w:rsid w:val="00EF113C"/>
    <w:rsid w:val="00EF12F4"/>
    <w:rsid w:val="00EF13CF"/>
    <w:rsid w:val="00EF197A"/>
    <w:rsid w:val="00EF1E83"/>
    <w:rsid w:val="00EF229C"/>
    <w:rsid w:val="00EF275E"/>
    <w:rsid w:val="00EF3C52"/>
    <w:rsid w:val="00EF44A0"/>
    <w:rsid w:val="00EF4580"/>
    <w:rsid w:val="00EF4FED"/>
    <w:rsid w:val="00EF5F45"/>
    <w:rsid w:val="00EF61F8"/>
    <w:rsid w:val="00EF65C9"/>
    <w:rsid w:val="00EF6843"/>
    <w:rsid w:val="00EF6941"/>
    <w:rsid w:val="00EF6FB3"/>
    <w:rsid w:val="00F00498"/>
    <w:rsid w:val="00F0068B"/>
    <w:rsid w:val="00F007C6"/>
    <w:rsid w:val="00F008F5"/>
    <w:rsid w:val="00F00972"/>
    <w:rsid w:val="00F00D12"/>
    <w:rsid w:val="00F0172E"/>
    <w:rsid w:val="00F02DB9"/>
    <w:rsid w:val="00F050BD"/>
    <w:rsid w:val="00F05657"/>
    <w:rsid w:val="00F05AB0"/>
    <w:rsid w:val="00F06DB4"/>
    <w:rsid w:val="00F07EEC"/>
    <w:rsid w:val="00F100F3"/>
    <w:rsid w:val="00F110E8"/>
    <w:rsid w:val="00F12C74"/>
    <w:rsid w:val="00F13214"/>
    <w:rsid w:val="00F140EB"/>
    <w:rsid w:val="00F14110"/>
    <w:rsid w:val="00F14169"/>
    <w:rsid w:val="00F1559A"/>
    <w:rsid w:val="00F15845"/>
    <w:rsid w:val="00F16D15"/>
    <w:rsid w:val="00F177BE"/>
    <w:rsid w:val="00F17A7C"/>
    <w:rsid w:val="00F17ED6"/>
    <w:rsid w:val="00F205E3"/>
    <w:rsid w:val="00F20676"/>
    <w:rsid w:val="00F209E2"/>
    <w:rsid w:val="00F20B74"/>
    <w:rsid w:val="00F20BCE"/>
    <w:rsid w:val="00F21182"/>
    <w:rsid w:val="00F226CC"/>
    <w:rsid w:val="00F22B69"/>
    <w:rsid w:val="00F22F4C"/>
    <w:rsid w:val="00F23328"/>
    <w:rsid w:val="00F2398F"/>
    <w:rsid w:val="00F251CC"/>
    <w:rsid w:val="00F25578"/>
    <w:rsid w:val="00F25707"/>
    <w:rsid w:val="00F258E5"/>
    <w:rsid w:val="00F25B9C"/>
    <w:rsid w:val="00F2675A"/>
    <w:rsid w:val="00F26C7F"/>
    <w:rsid w:val="00F26CC6"/>
    <w:rsid w:val="00F26D80"/>
    <w:rsid w:val="00F273AD"/>
    <w:rsid w:val="00F300BC"/>
    <w:rsid w:val="00F3011E"/>
    <w:rsid w:val="00F305FA"/>
    <w:rsid w:val="00F30CD3"/>
    <w:rsid w:val="00F30DB4"/>
    <w:rsid w:val="00F30E2C"/>
    <w:rsid w:val="00F3263C"/>
    <w:rsid w:val="00F3282D"/>
    <w:rsid w:val="00F330E8"/>
    <w:rsid w:val="00F3334E"/>
    <w:rsid w:val="00F3482E"/>
    <w:rsid w:val="00F3573A"/>
    <w:rsid w:val="00F361A1"/>
    <w:rsid w:val="00F36CCB"/>
    <w:rsid w:val="00F374E5"/>
    <w:rsid w:val="00F37B93"/>
    <w:rsid w:val="00F37BAD"/>
    <w:rsid w:val="00F37ECA"/>
    <w:rsid w:val="00F37FF9"/>
    <w:rsid w:val="00F40168"/>
    <w:rsid w:val="00F4072D"/>
    <w:rsid w:val="00F40A1C"/>
    <w:rsid w:val="00F40B4E"/>
    <w:rsid w:val="00F40F03"/>
    <w:rsid w:val="00F41549"/>
    <w:rsid w:val="00F43AF2"/>
    <w:rsid w:val="00F4434A"/>
    <w:rsid w:val="00F45216"/>
    <w:rsid w:val="00F470C5"/>
    <w:rsid w:val="00F47920"/>
    <w:rsid w:val="00F47D05"/>
    <w:rsid w:val="00F5007E"/>
    <w:rsid w:val="00F508F6"/>
    <w:rsid w:val="00F50EC4"/>
    <w:rsid w:val="00F5210E"/>
    <w:rsid w:val="00F52232"/>
    <w:rsid w:val="00F527B1"/>
    <w:rsid w:val="00F52DC2"/>
    <w:rsid w:val="00F53384"/>
    <w:rsid w:val="00F53B16"/>
    <w:rsid w:val="00F54AF9"/>
    <w:rsid w:val="00F550CF"/>
    <w:rsid w:val="00F553D2"/>
    <w:rsid w:val="00F55859"/>
    <w:rsid w:val="00F5624C"/>
    <w:rsid w:val="00F56A2D"/>
    <w:rsid w:val="00F57370"/>
    <w:rsid w:val="00F57A6D"/>
    <w:rsid w:val="00F6044B"/>
    <w:rsid w:val="00F6069F"/>
    <w:rsid w:val="00F60BE0"/>
    <w:rsid w:val="00F60E48"/>
    <w:rsid w:val="00F62F19"/>
    <w:rsid w:val="00F638CC"/>
    <w:rsid w:val="00F64B4C"/>
    <w:rsid w:val="00F64C9E"/>
    <w:rsid w:val="00F64CC1"/>
    <w:rsid w:val="00F64FC8"/>
    <w:rsid w:val="00F65B35"/>
    <w:rsid w:val="00F669AF"/>
    <w:rsid w:val="00F67742"/>
    <w:rsid w:val="00F708B1"/>
    <w:rsid w:val="00F70EDD"/>
    <w:rsid w:val="00F71F5C"/>
    <w:rsid w:val="00F72317"/>
    <w:rsid w:val="00F72452"/>
    <w:rsid w:val="00F73DC1"/>
    <w:rsid w:val="00F74185"/>
    <w:rsid w:val="00F754FD"/>
    <w:rsid w:val="00F75BB8"/>
    <w:rsid w:val="00F7611C"/>
    <w:rsid w:val="00F76127"/>
    <w:rsid w:val="00F763A8"/>
    <w:rsid w:val="00F77714"/>
    <w:rsid w:val="00F77C33"/>
    <w:rsid w:val="00F80475"/>
    <w:rsid w:val="00F80E6E"/>
    <w:rsid w:val="00F81390"/>
    <w:rsid w:val="00F81F7A"/>
    <w:rsid w:val="00F821F0"/>
    <w:rsid w:val="00F8247A"/>
    <w:rsid w:val="00F82B5F"/>
    <w:rsid w:val="00F82E5C"/>
    <w:rsid w:val="00F83642"/>
    <w:rsid w:val="00F838B0"/>
    <w:rsid w:val="00F83A66"/>
    <w:rsid w:val="00F83E86"/>
    <w:rsid w:val="00F83F58"/>
    <w:rsid w:val="00F84105"/>
    <w:rsid w:val="00F84346"/>
    <w:rsid w:val="00F85206"/>
    <w:rsid w:val="00F852CB"/>
    <w:rsid w:val="00F8583F"/>
    <w:rsid w:val="00F873E8"/>
    <w:rsid w:val="00F87C7A"/>
    <w:rsid w:val="00F87CEA"/>
    <w:rsid w:val="00F9040B"/>
    <w:rsid w:val="00F91214"/>
    <w:rsid w:val="00F9179C"/>
    <w:rsid w:val="00F9265D"/>
    <w:rsid w:val="00F92F46"/>
    <w:rsid w:val="00F93E94"/>
    <w:rsid w:val="00F944E2"/>
    <w:rsid w:val="00F946A8"/>
    <w:rsid w:val="00F94999"/>
    <w:rsid w:val="00F95475"/>
    <w:rsid w:val="00F95C88"/>
    <w:rsid w:val="00F9629A"/>
    <w:rsid w:val="00F9674B"/>
    <w:rsid w:val="00F96C52"/>
    <w:rsid w:val="00F96F1F"/>
    <w:rsid w:val="00F97EFC"/>
    <w:rsid w:val="00F97F28"/>
    <w:rsid w:val="00FA0B04"/>
    <w:rsid w:val="00FA0C7C"/>
    <w:rsid w:val="00FA144C"/>
    <w:rsid w:val="00FA144E"/>
    <w:rsid w:val="00FA1BDD"/>
    <w:rsid w:val="00FA3035"/>
    <w:rsid w:val="00FA305C"/>
    <w:rsid w:val="00FA31DF"/>
    <w:rsid w:val="00FA3D8A"/>
    <w:rsid w:val="00FA43D4"/>
    <w:rsid w:val="00FA459D"/>
    <w:rsid w:val="00FA462E"/>
    <w:rsid w:val="00FA4D0D"/>
    <w:rsid w:val="00FA4DD5"/>
    <w:rsid w:val="00FA5883"/>
    <w:rsid w:val="00FA6055"/>
    <w:rsid w:val="00FA6446"/>
    <w:rsid w:val="00FA6ED7"/>
    <w:rsid w:val="00FA6FA9"/>
    <w:rsid w:val="00FA7FB7"/>
    <w:rsid w:val="00FB08D5"/>
    <w:rsid w:val="00FB0B39"/>
    <w:rsid w:val="00FB1090"/>
    <w:rsid w:val="00FB15F4"/>
    <w:rsid w:val="00FB2163"/>
    <w:rsid w:val="00FB234A"/>
    <w:rsid w:val="00FB322F"/>
    <w:rsid w:val="00FB3550"/>
    <w:rsid w:val="00FB3937"/>
    <w:rsid w:val="00FB3B6F"/>
    <w:rsid w:val="00FB442F"/>
    <w:rsid w:val="00FB522C"/>
    <w:rsid w:val="00FB604A"/>
    <w:rsid w:val="00FB64C7"/>
    <w:rsid w:val="00FC118C"/>
    <w:rsid w:val="00FC18C5"/>
    <w:rsid w:val="00FC1929"/>
    <w:rsid w:val="00FC194E"/>
    <w:rsid w:val="00FC2155"/>
    <w:rsid w:val="00FC257C"/>
    <w:rsid w:val="00FC3359"/>
    <w:rsid w:val="00FC4B2F"/>
    <w:rsid w:val="00FC5004"/>
    <w:rsid w:val="00FC50BD"/>
    <w:rsid w:val="00FC5B46"/>
    <w:rsid w:val="00FC7C8D"/>
    <w:rsid w:val="00FD106B"/>
    <w:rsid w:val="00FD1D4F"/>
    <w:rsid w:val="00FD213C"/>
    <w:rsid w:val="00FD24BF"/>
    <w:rsid w:val="00FD3547"/>
    <w:rsid w:val="00FD3B6E"/>
    <w:rsid w:val="00FD4140"/>
    <w:rsid w:val="00FD46BD"/>
    <w:rsid w:val="00FD57EB"/>
    <w:rsid w:val="00FD626E"/>
    <w:rsid w:val="00FD6D8E"/>
    <w:rsid w:val="00FD7260"/>
    <w:rsid w:val="00FE0663"/>
    <w:rsid w:val="00FE0E94"/>
    <w:rsid w:val="00FE1156"/>
    <w:rsid w:val="00FE1D43"/>
    <w:rsid w:val="00FE25C6"/>
    <w:rsid w:val="00FE2A38"/>
    <w:rsid w:val="00FE2E7F"/>
    <w:rsid w:val="00FE369C"/>
    <w:rsid w:val="00FE384D"/>
    <w:rsid w:val="00FE3CD9"/>
    <w:rsid w:val="00FE3CE2"/>
    <w:rsid w:val="00FE3FB5"/>
    <w:rsid w:val="00FE5CFD"/>
    <w:rsid w:val="00FE72FD"/>
    <w:rsid w:val="00FE75F7"/>
    <w:rsid w:val="00FE7C06"/>
    <w:rsid w:val="00FF00BD"/>
    <w:rsid w:val="00FF020E"/>
    <w:rsid w:val="00FF067C"/>
    <w:rsid w:val="00FF0B13"/>
    <w:rsid w:val="00FF1672"/>
    <w:rsid w:val="00FF1ED4"/>
    <w:rsid w:val="00FF26C8"/>
    <w:rsid w:val="00FF2801"/>
    <w:rsid w:val="00FF5FC3"/>
    <w:rsid w:val="00FF6AE3"/>
    <w:rsid w:val="00FF799B"/>
    <w:rsid w:val="012A7082"/>
    <w:rsid w:val="0143FC8B"/>
    <w:rsid w:val="01472274"/>
    <w:rsid w:val="018C8D66"/>
    <w:rsid w:val="01BAC867"/>
    <w:rsid w:val="01F8D422"/>
    <w:rsid w:val="0254441C"/>
    <w:rsid w:val="02E816C3"/>
    <w:rsid w:val="031E9F7F"/>
    <w:rsid w:val="032394EB"/>
    <w:rsid w:val="033B2F40"/>
    <w:rsid w:val="03D7800D"/>
    <w:rsid w:val="04241364"/>
    <w:rsid w:val="0437B5A4"/>
    <w:rsid w:val="0450B9D4"/>
    <w:rsid w:val="049D2ACC"/>
    <w:rsid w:val="04A12F4E"/>
    <w:rsid w:val="04DBE9EA"/>
    <w:rsid w:val="04E5F0AB"/>
    <w:rsid w:val="05182518"/>
    <w:rsid w:val="051D99F9"/>
    <w:rsid w:val="054D7760"/>
    <w:rsid w:val="057817BD"/>
    <w:rsid w:val="05AF726B"/>
    <w:rsid w:val="05B612E3"/>
    <w:rsid w:val="05D7A59A"/>
    <w:rsid w:val="05E874AE"/>
    <w:rsid w:val="0605216C"/>
    <w:rsid w:val="063EE9F7"/>
    <w:rsid w:val="06985463"/>
    <w:rsid w:val="069F379E"/>
    <w:rsid w:val="06E085D4"/>
    <w:rsid w:val="06E6EC05"/>
    <w:rsid w:val="07033C7E"/>
    <w:rsid w:val="0710AA90"/>
    <w:rsid w:val="076CEE75"/>
    <w:rsid w:val="0794CE57"/>
    <w:rsid w:val="07B3AF90"/>
    <w:rsid w:val="07F5856C"/>
    <w:rsid w:val="08053007"/>
    <w:rsid w:val="08185FB9"/>
    <w:rsid w:val="082A09EB"/>
    <w:rsid w:val="0888BBCD"/>
    <w:rsid w:val="089BC592"/>
    <w:rsid w:val="096AA9C8"/>
    <w:rsid w:val="09CBB646"/>
    <w:rsid w:val="09D540F6"/>
    <w:rsid w:val="0A0C7AE1"/>
    <w:rsid w:val="0A663D94"/>
    <w:rsid w:val="0AFB1AB4"/>
    <w:rsid w:val="0B1BF5E7"/>
    <w:rsid w:val="0B266C90"/>
    <w:rsid w:val="0B361F36"/>
    <w:rsid w:val="0BE78DEC"/>
    <w:rsid w:val="0C3E2573"/>
    <w:rsid w:val="0C48ACB5"/>
    <w:rsid w:val="0CEE0598"/>
    <w:rsid w:val="0CF130DF"/>
    <w:rsid w:val="0CFE1DFD"/>
    <w:rsid w:val="0D44A3A8"/>
    <w:rsid w:val="0D4FC7CF"/>
    <w:rsid w:val="0DAF97A1"/>
    <w:rsid w:val="0DC4E36E"/>
    <w:rsid w:val="0E21778E"/>
    <w:rsid w:val="0E36D94D"/>
    <w:rsid w:val="0E37A5D2"/>
    <w:rsid w:val="0E5E506F"/>
    <w:rsid w:val="0EB75F4A"/>
    <w:rsid w:val="0F4989CD"/>
    <w:rsid w:val="0F502AC0"/>
    <w:rsid w:val="0F5B97C3"/>
    <w:rsid w:val="0F5CF529"/>
    <w:rsid w:val="0F822FEF"/>
    <w:rsid w:val="0FC31246"/>
    <w:rsid w:val="0FCAE689"/>
    <w:rsid w:val="100974BA"/>
    <w:rsid w:val="100CC48B"/>
    <w:rsid w:val="100EDDB8"/>
    <w:rsid w:val="10216004"/>
    <w:rsid w:val="1023E0F9"/>
    <w:rsid w:val="107B1293"/>
    <w:rsid w:val="10B39872"/>
    <w:rsid w:val="1129CC0E"/>
    <w:rsid w:val="11A75B3B"/>
    <w:rsid w:val="1201149B"/>
    <w:rsid w:val="1218C811"/>
    <w:rsid w:val="1233D2DB"/>
    <w:rsid w:val="1272477B"/>
    <w:rsid w:val="12B95C68"/>
    <w:rsid w:val="12CADE8D"/>
    <w:rsid w:val="12EAF85B"/>
    <w:rsid w:val="12F5BAB7"/>
    <w:rsid w:val="138F658A"/>
    <w:rsid w:val="13C7E5EE"/>
    <w:rsid w:val="141D59CF"/>
    <w:rsid w:val="1425F374"/>
    <w:rsid w:val="1438EDF0"/>
    <w:rsid w:val="144612DD"/>
    <w:rsid w:val="144CFA1E"/>
    <w:rsid w:val="148D4927"/>
    <w:rsid w:val="14F07869"/>
    <w:rsid w:val="15107A79"/>
    <w:rsid w:val="1559BAC6"/>
    <w:rsid w:val="156EB559"/>
    <w:rsid w:val="15BD5605"/>
    <w:rsid w:val="160FC32B"/>
    <w:rsid w:val="16208FF1"/>
    <w:rsid w:val="162998A6"/>
    <w:rsid w:val="16945B11"/>
    <w:rsid w:val="16A63C9F"/>
    <w:rsid w:val="16F5471A"/>
    <w:rsid w:val="173A586A"/>
    <w:rsid w:val="1757D307"/>
    <w:rsid w:val="17AAEFA8"/>
    <w:rsid w:val="17FD5F39"/>
    <w:rsid w:val="185D3A8D"/>
    <w:rsid w:val="18657CF4"/>
    <w:rsid w:val="187CC6FC"/>
    <w:rsid w:val="18EE8782"/>
    <w:rsid w:val="19414031"/>
    <w:rsid w:val="19890FA6"/>
    <w:rsid w:val="1995A60C"/>
    <w:rsid w:val="19A12D22"/>
    <w:rsid w:val="19B44400"/>
    <w:rsid w:val="19F2311B"/>
    <w:rsid w:val="19F7AA11"/>
    <w:rsid w:val="1A033DB2"/>
    <w:rsid w:val="1A0D3C6A"/>
    <w:rsid w:val="1A14BEB9"/>
    <w:rsid w:val="1A2D1BE7"/>
    <w:rsid w:val="1A81708C"/>
    <w:rsid w:val="1A8A0C43"/>
    <w:rsid w:val="1AAF3EC2"/>
    <w:rsid w:val="1B0BFFE7"/>
    <w:rsid w:val="1B2B9C6F"/>
    <w:rsid w:val="1B4DABE9"/>
    <w:rsid w:val="1C803ECF"/>
    <w:rsid w:val="1CF4B2AB"/>
    <w:rsid w:val="1D4E7C25"/>
    <w:rsid w:val="1D6033D6"/>
    <w:rsid w:val="1D9C5166"/>
    <w:rsid w:val="1DDBDA0D"/>
    <w:rsid w:val="1E382E8C"/>
    <w:rsid w:val="1E938E64"/>
    <w:rsid w:val="1EAFF635"/>
    <w:rsid w:val="1F1FBF54"/>
    <w:rsid w:val="1F3EECBD"/>
    <w:rsid w:val="1F4DDCD5"/>
    <w:rsid w:val="1F762904"/>
    <w:rsid w:val="1FB6E350"/>
    <w:rsid w:val="1FBF82F4"/>
    <w:rsid w:val="1FBFFF66"/>
    <w:rsid w:val="1FF3162D"/>
    <w:rsid w:val="2009EB8A"/>
    <w:rsid w:val="201DF03F"/>
    <w:rsid w:val="20990AA4"/>
    <w:rsid w:val="20C553F6"/>
    <w:rsid w:val="20C7DA54"/>
    <w:rsid w:val="20D2DDFE"/>
    <w:rsid w:val="210F5AF1"/>
    <w:rsid w:val="212CBC64"/>
    <w:rsid w:val="2174EAE7"/>
    <w:rsid w:val="2211F132"/>
    <w:rsid w:val="224631BE"/>
    <w:rsid w:val="2278ABAF"/>
    <w:rsid w:val="22CB9F2A"/>
    <w:rsid w:val="231AA216"/>
    <w:rsid w:val="231C3354"/>
    <w:rsid w:val="235762AE"/>
    <w:rsid w:val="238CC620"/>
    <w:rsid w:val="24030022"/>
    <w:rsid w:val="241C34D7"/>
    <w:rsid w:val="244B8CF8"/>
    <w:rsid w:val="24C0A041"/>
    <w:rsid w:val="24CA5046"/>
    <w:rsid w:val="24F49182"/>
    <w:rsid w:val="25A5C0E7"/>
    <w:rsid w:val="25BE3508"/>
    <w:rsid w:val="25C8A92A"/>
    <w:rsid w:val="2630AD59"/>
    <w:rsid w:val="26481323"/>
    <w:rsid w:val="26615FE7"/>
    <w:rsid w:val="2678B15D"/>
    <w:rsid w:val="26F6F44A"/>
    <w:rsid w:val="27313CD5"/>
    <w:rsid w:val="27394882"/>
    <w:rsid w:val="2746D376"/>
    <w:rsid w:val="274E971B"/>
    <w:rsid w:val="2796853E"/>
    <w:rsid w:val="286AE21D"/>
    <w:rsid w:val="28B11F8C"/>
    <w:rsid w:val="28B27485"/>
    <w:rsid w:val="28DD8033"/>
    <w:rsid w:val="28E2FE39"/>
    <w:rsid w:val="28E34DBF"/>
    <w:rsid w:val="290C832D"/>
    <w:rsid w:val="2927CCB4"/>
    <w:rsid w:val="292DDE32"/>
    <w:rsid w:val="29365BD7"/>
    <w:rsid w:val="2944F253"/>
    <w:rsid w:val="29882150"/>
    <w:rsid w:val="2998D972"/>
    <w:rsid w:val="29E0E709"/>
    <w:rsid w:val="2A2B88B1"/>
    <w:rsid w:val="2A828111"/>
    <w:rsid w:val="2AA490C3"/>
    <w:rsid w:val="2AB480AD"/>
    <w:rsid w:val="2AD2B453"/>
    <w:rsid w:val="2AEF23E7"/>
    <w:rsid w:val="2B19EBF7"/>
    <w:rsid w:val="2B1C7560"/>
    <w:rsid w:val="2B2E6C74"/>
    <w:rsid w:val="2B764622"/>
    <w:rsid w:val="2B828D43"/>
    <w:rsid w:val="2B84F335"/>
    <w:rsid w:val="2B8D5B09"/>
    <w:rsid w:val="2C433F28"/>
    <w:rsid w:val="2C4C1D68"/>
    <w:rsid w:val="2C7C3DFB"/>
    <w:rsid w:val="2C93D7C2"/>
    <w:rsid w:val="2CBF9875"/>
    <w:rsid w:val="2CE9F977"/>
    <w:rsid w:val="2D1D90D9"/>
    <w:rsid w:val="2D24FC61"/>
    <w:rsid w:val="2D470254"/>
    <w:rsid w:val="2D65C523"/>
    <w:rsid w:val="2D7AA1EE"/>
    <w:rsid w:val="2DD5FEDB"/>
    <w:rsid w:val="2DECC312"/>
    <w:rsid w:val="2E43AA26"/>
    <w:rsid w:val="2E4579D6"/>
    <w:rsid w:val="2E8135FA"/>
    <w:rsid w:val="2E919B90"/>
    <w:rsid w:val="2E982043"/>
    <w:rsid w:val="2EF0545B"/>
    <w:rsid w:val="2EF688A3"/>
    <w:rsid w:val="2F882780"/>
    <w:rsid w:val="2FA81B08"/>
    <w:rsid w:val="2FA8375D"/>
    <w:rsid w:val="2FC97F8A"/>
    <w:rsid w:val="3005580C"/>
    <w:rsid w:val="300EDF22"/>
    <w:rsid w:val="305DF87D"/>
    <w:rsid w:val="306B024D"/>
    <w:rsid w:val="3079EB0D"/>
    <w:rsid w:val="307D714D"/>
    <w:rsid w:val="3093AC95"/>
    <w:rsid w:val="30C1131D"/>
    <w:rsid w:val="30C90D1B"/>
    <w:rsid w:val="30E8B387"/>
    <w:rsid w:val="315B31FE"/>
    <w:rsid w:val="315BD2B9"/>
    <w:rsid w:val="31C1265F"/>
    <w:rsid w:val="31D200AF"/>
    <w:rsid w:val="321F658F"/>
    <w:rsid w:val="322D50A5"/>
    <w:rsid w:val="3267ED02"/>
    <w:rsid w:val="32A2A149"/>
    <w:rsid w:val="32C401CA"/>
    <w:rsid w:val="32E5E21B"/>
    <w:rsid w:val="32FFC29C"/>
    <w:rsid w:val="3320F36F"/>
    <w:rsid w:val="3367AFF9"/>
    <w:rsid w:val="337B341D"/>
    <w:rsid w:val="33BCEAAC"/>
    <w:rsid w:val="340D0A3D"/>
    <w:rsid w:val="343A4F58"/>
    <w:rsid w:val="34A554C5"/>
    <w:rsid w:val="34B3EAB6"/>
    <w:rsid w:val="34E7EA92"/>
    <w:rsid w:val="35192248"/>
    <w:rsid w:val="35574B84"/>
    <w:rsid w:val="363425FC"/>
    <w:rsid w:val="3677A37D"/>
    <w:rsid w:val="36DA3752"/>
    <w:rsid w:val="36E47423"/>
    <w:rsid w:val="36E8CE27"/>
    <w:rsid w:val="371B0821"/>
    <w:rsid w:val="37292421"/>
    <w:rsid w:val="373C6128"/>
    <w:rsid w:val="37C1F8E8"/>
    <w:rsid w:val="37F3AAF8"/>
    <w:rsid w:val="3805C0E7"/>
    <w:rsid w:val="38168071"/>
    <w:rsid w:val="384FA776"/>
    <w:rsid w:val="385DCC69"/>
    <w:rsid w:val="38A73540"/>
    <w:rsid w:val="38D1AF98"/>
    <w:rsid w:val="38FB70A0"/>
    <w:rsid w:val="393376D2"/>
    <w:rsid w:val="3938C3F0"/>
    <w:rsid w:val="39394FCF"/>
    <w:rsid w:val="395463D1"/>
    <w:rsid w:val="398863F1"/>
    <w:rsid w:val="39BCF7E5"/>
    <w:rsid w:val="39EDA4CC"/>
    <w:rsid w:val="3A05D8F3"/>
    <w:rsid w:val="3A150F07"/>
    <w:rsid w:val="3A20C143"/>
    <w:rsid w:val="3A4C135D"/>
    <w:rsid w:val="3AA916C1"/>
    <w:rsid w:val="3AB7C3A1"/>
    <w:rsid w:val="3AC6081D"/>
    <w:rsid w:val="3BA095AD"/>
    <w:rsid w:val="3BDBC15F"/>
    <w:rsid w:val="3CEB7F3C"/>
    <w:rsid w:val="3D0BB7F6"/>
    <w:rsid w:val="3D4587FD"/>
    <w:rsid w:val="3D6813A0"/>
    <w:rsid w:val="3E82FB1D"/>
    <w:rsid w:val="3EDC23CB"/>
    <w:rsid w:val="3F070A38"/>
    <w:rsid w:val="3F8BF716"/>
    <w:rsid w:val="3FF414CC"/>
    <w:rsid w:val="401858A4"/>
    <w:rsid w:val="405AF85B"/>
    <w:rsid w:val="40771079"/>
    <w:rsid w:val="40930EF5"/>
    <w:rsid w:val="40AA8FD0"/>
    <w:rsid w:val="40B88006"/>
    <w:rsid w:val="4110CDB4"/>
    <w:rsid w:val="41CFA965"/>
    <w:rsid w:val="42022C3B"/>
    <w:rsid w:val="42691D0F"/>
    <w:rsid w:val="42EFF329"/>
    <w:rsid w:val="42F15997"/>
    <w:rsid w:val="42F4DE39"/>
    <w:rsid w:val="4319AAA1"/>
    <w:rsid w:val="435A0957"/>
    <w:rsid w:val="43652E55"/>
    <w:rsid w:val="4372D6C2"/>
    <w:rsid w:val="439357B2"/>
    <w:rsid w:val="43F7643D"/>
    <w:rsid w:val="443448FB"/>
    <w:rsid w:val="443F7FBC"/>
    <w:rsid w:val="44505BFC"/>
    <w:rsid w:val="44853359"/>
    <w:rsid w:val="44899AAC"/>
    <w:rsid w:val="44E7305D"/>
    <w:rsid w:val="44FA48D4"/>
    <w:rsid w:val="450F5A46"/>
    <w:rsid w:val="4566901E"/>
    <w:rsid w:val="456C4AA2"/>
    <w:rsid w:val="457A6BBC"/>
    <w:rsid w:val="45880E7A"/>
    <w:rsid w:val="45B15313"/>
    <w:rsid w:val="45DAA434"/>
    <w:rsid w:val="45FC69AF"/>
    <w:rsid w:val="462054C2"/>
    <w:rsid w:val="463FF9BE"/>
    <w:rsid w:val="4641A0D0"/>
    <w:rsid w:val="4660045B"/>
    <w:rsid w:val="47038523"/>
    <w:rsid w:val="47224393"/>
    <w:rsid w:val="473777DD"/>
    <w:rsid w:val="47F2A5A7"/>
    <w:rsid w:val="4813761C"/>
    <w:rsid w:val="483DA525"/>
    <w:rsid w:val="4856A530"/>
    <w:rsid w:val="4873567A"/>
    <w:rsid w:val="48A0CAB8"/>
    <w:rsid w:val="48AF2D19"/>
    <w:rsid w:val="48E2FD9E"/>
    <w:rsid w:val="48F582C0"/>
    <w:rsid w:val="495D9BBE"/>
    <w:rsid w:val="4993A82D"/>
    <w:rsid w:val="49B7B512"/>
    <w:rsid w:val="4A7D4561"/>
    <w:rsid w:val="4A8C62AA"/>
    <w:rsid w:val="4AD65A05"/>
    <w:rsid w:val="4AE86C22"/>
    <w:rsid w:val="4B032D68"/>
    <w:rsid w:val="4C2AD620"/>
    <w:rsid w:val="4C8B405E"/>
    <w:rsid w:val="4C9B497F"/>
    <w:rsid w:val="4CA8BA21"/>
    <w:rsid w:val="4CD34D0A"/>
    <w:rsid w:val="4D21EA56"/>
    <w:rsid w:val="4D71C77A"/>
    <w:rsid w:val="4D954D6E"/>
    <w:rsid w:val="4DA14906"/>
    <w:rsid w:val="4DC82487"/>
    <w:rsid w:val="4DD74500"/>
    <w:rsid w:val="4E03C63B"/>
    <w:rsid w:val="4E5C0AE2"/>
    <w:rsid w:val="4EAFA8FD"/>
    <w:rsid w:val="4EE3854C"/>
    <w:rsid w:val="4F112442"/>
    <w:rsid w:val="4F28A562"/>
    <w:rsid w:val="4F3874F7"/>
    <w:rsid w:val="4F8764AC"/>
    <w:rsid w:val="4FC9B48E"/>
    <w:rsid w:val="5057B658"/>
    <w:rsid w:val="50BCDC08"/>
    <w:rsid w:val="50F1C25A"/>
    <w:rsid w:val="5105241F"/>
    <w:rsid w:val="51478663"/>
    <w:rsid w:val="517C50E5"/>
    <w:rsid w:val="51A107A9"/>
    <w:rsid w:val="51D0B1A1"/>
    <w:rsid w:val="521C1C44"/>
    <w:rsid w:val="528E1FFF"/>
    <w:rsid w:val="52CEDBDB"/>
    <w:rsid w:val="52F4A34B"/>
    <w:rsid w:val="53044900"/>
    <w:rsid w:val="53229BC9"/>
    <w:rsid w:val="538F475C"/>
    <w:rsid w:val="53B39A2E"/>
    <w:rsid w:val="5479B4F3"/>
    <w:rsid w:val="54B3CBD2"/>
    <w:rsid w:val="54C17BA2"/>
    <w:rsid w:val="553311EF"/>
    <w:rsid w:val="553CD710"/>
    <w:rsid w:val="5585ADA9"/>
    <w:rsid w:val="5588C698"/>
    <w:rsid w:val="558ED146"/>
    <w:rsid w:val="55ACD1A0"/>
    <w:rsid w:val="55CB8AF9"/>
    <w:rsid w:val="55F3E71D"/>
    <w:rsid w:val="5612CF14"/>
    <w:rsid w:val="5631F85A"/>
    <w:rsid w:val="568E1747"/>
    <w:rsid w:val="56AFA43F"/>
    <w:rsid w:val="5780BC93"/>
    <w:rsid w:val="57ABE72A"/>
    <w:rsid w:val="57C99C5A"/>
    <w:rsid w:val="5889DBDF"/>
    <w:rsid w:val="58952F25"/>
    <w:rsid w:val="58963761"/>
    <w:rsid w:val="59185BFB"/>
    <w:rsid w:val="593F501C"/>
    <w:rsid w:val="5995335E"/>
    <w:rsid w:val="5A05D725"/>
    <w:rsid w:val="5A12CEF4"/>
    <w:rsid w:val="5ADD90BE"/>
    <w:rsid w:val="5B0591BC"/>
    <w:rsid w:val="5B1E38D7"/>
    <w:rsid w:val="5B663F85"/>
    <w:rsid w:val="5B9D8C93"/>
    <w:rsid w:val="5BB417A9"/>
    <w:rsid w:val="5C7D5CED"/>
    <w:rsid w:val="5CB076C8"/>
    <w:rsid w:val="5D45957C"/>
    <w:rsid w:val="5D5832E9"/>
    <w:rsid w:val="5D80A09E"/>
    <w:rsid w:val="5DA69659"/>
    <w:rsid w:val="5DAFE3DD"/>
    <w:rsid w:val="5DC1C88E"/>
    <w:rsid w:val="5DF2A876"/>
    <w:rsid w:val="5E24D2BC"/>
    <w:rsid w:val="5E96CD7F"/>
    <w:rsid w:val="5EA983E0"/>
    <w:rsid w:val="5EACEEBD"/>
    <w:rsid w:val="5EBDDC85"/>
    <w:rsid w:val="5EF6BFB2"/>
    <w:rsid w:val="5F7756C0"/>
    <w:rsid w:val="5F7884C3"/>
    <w:rsid w:val="5F8C18FC"/>
    <w:rsid w:val="600E03FD"/>
    <w:rsid w:val="601D1601"/>
    <w:rsid w:val="60EAF393"/>
    <w:rsid w:val="60EEC935"/>
    <w:rsid w:val="6119E74B"/>
    <w:rsid w:val="61224B31"/>
    <w:rsid w:val="61BA2546"/>
    <w:rsid w:val="621C74EA"/>
    <w:rsid w:val="6238D218"/>
    <w:rsid w:val="627A698D"/>
    <w:rsid w:val="628CB478"/>
    <w:rsid w:val="62A62E26"/>
    <w:rsid w:val="62AD93BA"/>
    <w:rsid w:val="62D3DA31"/>
    <w:rsid w:val="62F6FA91"/>
    <w:rsid w:val="62FABD9C"/>
    <w:rsid w:val="63555756"/>
    <w:rsid w:val="63C54F82"/>
    <w:rsid w:val="644E444D"/>
    <w:rsid w:val="64599719"/>
    <w:rsid w:val="64DEF892"/>
    <w:rsid w:val="64F30F83"/>
    <w:rsid w:val="653BE9C6"/>
    <w:rsid w:val="65573E26"/>
    <w:rsid w:val="65A9DF26"/>
    <w:rsid w:val="65AD35BA"/>
    <w:rsid w:val="65C2D45A"/>
    <w:rsid w:val="6657D135"/>
    <w:rsid w:val="66D9E62A"/>
    <w:rsid w:val="66DAF803"/>
    <w:rsid w:val="66E8E023"/>
    <w:rsid w:val="66FDEE3F"/>
    <w:rsid w:val="6707EEE6"/>
    <w:rsid w:val="6728F4B3"/>
    <w:rsid w:val="673BE400"/>
    <w:rsid w:val="67887CBB"/>
    <w:rsid w:val="67B6BAF7"/>
    <w:rsid w:val="689B3789"/>
    <w:rsid w:val="68A73B34"/>
    <w:rsid w:val="68E0347C"/>
    <w:rsid w:val="68E44D10"/>
    <w:rsid w:val="68F5E140"/>
    <w:rsid w:val="690ADEEB"/>
    <w:rsid w:val="6956685D"/>
    <w:rsid w:val="6985C0D9"/>
    <w:rsid w:val="6990A652"/>
    <w:rsid w:val="699B3EBB"/>
    <w:rsid w:val="69A7D5B7"/>
    <w:rsid w:val="69AB0778"/>
    <w:rsid w:val="69BFEF36"/>
    <w:rsid w:val="6A012448"/>
    <w:rsid w:val="6A1767AD"/>
    <w:rsid w:val="6A2AAF49"/>
    <w:rsid w:val="6A7618E3"/>
    <w:rsid w:val="6A929035"/>
    <w:rsid w:val="6B1024DC"/>
    <w:rsid w:val="6B75B721"/>
    <w:rsid w:val="6BAD574D"/>
    <w:rsid w:val="6C740E5C"/>
    <w:rsid w:val="6C7E8FE7"/>
    <w:rsid w:val="6CA77350"/>
    <w:rsid w:val="6CDC1584"/>
    <w:rsid w:val="6CEBCFE9"/>
    <w:rsid w:val="6DA94C69"/>
    <w:rsid w:val="6E1ED50C"/>
    <w:rsid w:val="6E86CAB1"/>
    <w:rsid w:val="6F00A9F8"/>
    <w:rsid w:val="6F0B4B6B"/>
    <w:rsid w:val="6FAFB59F"/>
    <w:rsid w:val="6FEE00D0"/>
    <w:rsid w:val="70971A32"/>
    <w:rsid w:val="709A626A"/>
    <w:rsid w:val="70B8C3F8"/>
    <w:rsid w:val="70D8ACD7"/>
    <w:rsid w:val="70E1261D"/>
    <w:rsid w:val="71002167"/>
    <w:rsid w:val="711FFC63"/>
    <w:rsid w:val="716D6D8F"/>
    <w:rsid w:val="71AEAF4C"/>
    <w:rsid w:val="71BFB4A9"/>
    <w:rsid w:val="71ED8AA9"/>
    <w:rsid w:val="722DF115"/>
    <w:rsid w:val="723077CA"/>
    <w:rsid w:val="725CD4C9"/>
    <w:rsid w:val="72CEAFF1"/>
    <w:rsid w:val="731BA24E"/>
    <w:rsid w:val="736AC64B"/>
    <w:rsid w:val="7391F59C"/>
    <w:rsid w:val="73A828DA"/>
    <w:rsid w:val="73C929CD"/>
    <w:rsid w:val="73E7CF48"/>
    <w:rsid w:val="74067BB9"/>
    <w:rsid w:val="74748F1F"/>
    <w:rsid w:val="747568E7"/>
    <w:rsid w:val="74833B38"/>
    <w:rsid w:val="7485BFAC"/>
    <w:rsid w:val="750C5741"/>
    <w:rsid w:val="751CD0F9"/>
    <w:rsid w:val="752F9D22"/>
    <w:rsid w:val="75B5D97D"/>
    <w:rsid w:val="75B9CE48"/>
    <w:rsid w:val="75E81BA4"/>
    <w:rsid w:val="76105733"/>
    <w:rsid w:val="764DA178"/>
    <w:rsid w:val="76A65757"/>
    <w:rsid w:val="76BC119A"/>
    <w:rsid w:val="76E83D3D"/>
    <w:rsid w:val="7778EF5A"/>
    <w:rsid w:val="77A303ED"/>
    <w:rsid w:val="77B642A1"/>
    <w:rsid w:val="77C0615B"/>
    <w:rsid w:val="77C8750B"/>
    <w:rsid w:val="77ECFD7D"/>
    <w:rsid w:val="78063D85"/>
    <w:rsid w:val="78168F3E"/>
    <w:rsid w:val="785F21A6"/>
    <w:rsid w:val="78E271BD"/>
    <w:rsid w:val="78E93C4E"/>
    <w:rsid w:val="79900132"/>
    <w:rsid w:val="79E941EA"/>
    <w:rsid w:val="7A3DE86F"/>
    <w:rsid w:val="7A684893"/>
    <w:rsid w:val="7AD6838E"/>
    <w:rsid w:val="7AE53A2F"/>
    <w:rsid w:val="7B180F93"/>
    <w:rsid w:val="7B1B6DA9"/>
    <w:rsid w:val="7B2BA9E8"/>
    <w:rsid w:val="7B349606"/>
    <w:rsid w:val="7B52249A"/>
    <w:rsid w:val="7BD65BC6"/>
    <w:rsid w:val="7C13C850"/>
    <w:rsid w:val="7C1EA3EC"/>
    <w:rsid w:val="7C63B7C1"/>
    <w:rsid w:val="7C73E7A8"/>
    <w:rsid w:val="7C7878ED"/>
    <w:rsid w:val="7C8E32F8"/>
    <w:rsid w:val="7CDEBC17"/>
    <w:rsid w:val="7CE99C5C"/>
    <w:rsid w:val="7D460E2A"/>
    <w:rsid w:val="7D5A8EEE"/>
    <w:rsid w:val="7D61AEBC"/>
    <w:rsid w:val="7D9865F1"/>
    <w:rsid w:val="7D98DA3E"/>
    <w:rsid w:val="7DAC400C"/>
    <w:rsid w:val="7DBABAEB"/>
    <w:rsid w:val="7DD12B82"/>
    <w:rsid w:val="7E303FD3"/>
    <w:rsid w:val="7E3EF267"/>
    <w:rsid w:val="7E77EEEF"/>
    <w:rsid w:val="7E784689"/>
    <w:rsid w:val="7E8E0007"/>
    <w:rsid w:val="7E9A54A9"/>
    <w:rsid w:val="7F33522E"/>
    <w:rsid w:val="7F47C472"/>
    <w:rsid w:val="7F5E9AF2"/>
    <w:rsid w:val="7F5F032B"/>
    <w:rsid w:val="7F7B94D9"/>
    <w:rsid w:val="7F8CB667"/>
    <w:rsid w:val="7FA69950"/>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652E"/>
    <w:pPr>
      <w:jc w:val="both"/>
    </w:pPr>
    <w:rPr>
      <w:rFonts w:ascii="Calibri" w:hAnsi="Calibri"/>
      <w:sz w:val="24"/>
      <w:szCs w:val="24"/>
    </w:rPr>
  </w:style>
  <w:style w:type="paragraph" w:styleId="Heading1">
    <w:name w:val="heading 1"/>
    <w:basedOn w:val="ListParagraph"/>
    <w:next w:val="Normal"/>
    <w:link w:val="Heading1Char"/>
    <w:uiPriority w:val="1"/>
    <w:rsid w:val="00C603D4"/>
    <w:pPr>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B60ED3"/>
    <w:pPr>
      <w:keepNext/>
      <w:tabs>
        <w:tab w:val="center" w:pos="4513"/>
        <w:tab w:val="right" w:pos="9026"/>
      </w:tabs>
      <w:jc w:val="center"/>
    </w:pPr>
    <w:rPr>
      <w:i/>
      <w:i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B60ED3"/>
    <w:rPr>
      <w:rFonts w:ascii="Calibri" w:hAnsi="Calibri"/>
      <w:i/>
      <w:iCs/>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Styl moj,Akapit z listą1,Akapit z listą11,Figure_name,Numbered Indented Text,Bullet- First level,lp1"/>
    <w:link w:val="ListParagraphChar"/>
    <w:uiPriority w:val="34"/>
    <w:qFormat/>
    <w:rsid w:val="00D86C52"/>
    <w:pPr>
      <w:numPr>
        <w:numId w:val="15"/>
      </w:numPr>
      <w:spacing w:before="120" w:after="120"/>
      <w:jc w:val="both"/>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aliases w:val="PBAC Table Footnote"/>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Styl moj Char,Akapit z listą1 Char,Figure_name Char"/>
    <w:basedOn w:val="DefaultParagraphFont"/>
    <w:link w:val="ListParagraph"/>
    <w:uiPriority w:val="34"/>
    <w:qFormat/>
    <w:rsid w:val="00D86C52"/>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sz w:val="24"/>
      <w:szCs w:val="24"/>
      <w:lang w:eastAsia="en-AU"/>
    </w:rPr>
  </w:style>
  <w:style w:type="character" w:customStyle="1" w:styleId="NoSpacingChar">
    <w:name w:val="No Spacing Char"/>
    <w:aliases w:val="PBAC Table Footnote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B60ED3"/>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B60ED3"/>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OvrSummary-Bulletpoints">
    <w:name w:val="Ovr Summary - Bullet points"/>
    <w:basedOn w:val="ListParagraph"/>
    <w:qFormat/>
    <w:rsid w:val="00D86C52"/>
    <w:pPr>
      <w:ind w:left="754"/>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rsid w:val="00691A2C"/>
    <w:rPr>
      <w:rFonts w:ascii="Arial Narrow" w:hAnsi="Arial Narrow"/>
      <w:b/>
      <w:iCs/>
      <w:color w:val="000000" w:themeColor="text1"/>
      <w:sz w:val="20"/>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B60ED3"/>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B60ED3"/>
    <w:pPr>
      <w:keepNext/>
    </w:pPr>
    <w:rPr>
      <w:rFonts w:ascii="Arial Narrow" w:eastAsiaTheme="majorEastAsia" w:hAnsi="Arial Narrow"/>
      <w:b/>
      <w:szCs w:val="24"/>
      <w:lang w:val="en-US"/>
    </w:rPr>
  </w:style>
  <w:style w:type="paragraph" w:customStyle="1" w:styleId="2-SectionHeading">
    <w:name w:val="2-Section Heading"/>
    <w:next w:val="3-BodyText"/>
    <w:qFormat/>
    <w:rsid w:val="00B60ED3"/>
    <w:pPr>
      <w:keepNext/>
      <w:numPr>
        <w:numId w:val="16"/>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B60ED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B60ED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B60ED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60ED3"/>
    <w:rPr>
      <w:rFonts w:ascii="Arial Narrow" w:eastAsiaTheme="majorEastAsia" w:hAnsi="Arial Narrow" w:cstheme="majorBidi"/>
      <w:b/>
      <w:bCs/>
      <w:szCs w:val="24"/>
    </w:rPr>
  </w:style>
  <w:style w:type="paragraph" w:customStyle="1" w:styleId="3-BodyText">
    <w:name w:val="3-Body Text"/>
    <w:link w:val="3-BodyTextChar"/>
    <w:qFormat/>
    <w:rsid w:val="00D53F0C"/>
    <w:pPr>
      <w:numPr>
        <w:ilvl w:val="1"/>
        <w:numId w:val="16"/>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D53F0C"/>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B60ED3"/>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B60ED3"/>
    <w:rPr>
      <w:rFonts w:ascii="Calibri" w:hAnsi="Calibri" w:cs="Arial"/>
      <w:b/>
      <w:sz w:val="24"/>
      <w:szCs w:val="24"/>
    </w:rPr>
  </w:style>
  <w:style w:type="paragraph" w:customStyle="1" w:styleId="TableFigureFooter">
    <w:name w:val="Table/Figure Footer"/>
    <w:basedOn w:val="Normal"/>
    <w:next w:val="3-BodyText"/>
    <w:link w:val="TableFigureFooterChar"/>
    <w:qFormat/>
    <w:rsid w:val="00B60ED3"/>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B60ED3"/>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B60ED3"/>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B60ED3"/>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B60ED3"/>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B60ED3"/>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character" w:styleId="Strong">
    <w:name w:val="Strong"/>
    <w:basedOn w:val="DefaultParagraphFont"/>
    <w:uiPriority w:val="22"/>
    <w:qFormat/>
    <w:rsid w:val="00836483"/>
    <w:rPr>
      <w:b/>
      <w:bCs/>
    </w:rPr>
  </w:style>
  <w:style w:type="paragraph" w:styleId="NormalWeb">
    <w:name w:val="Normal (Web)"/>
    <w:basedOn w:val="Normal"/>
    <w:uiPriority w:val="99"/>
    <w:semiHidden/>
    <w:unhideWhenUsed/>
    <w:rsid w:val="00836483"/>
    <w:pPr>
      <w:spacing w:before="100" w:beforeAutospacing="1" w:after="100" w:afterAutospacing="1"/>
      <w:jc w:val="left"/>
    </w:pPr>
    <w:rPr>
      <w:rFonts w:ascii="Times New Roman" w:hAnsi="Times New Roman"/>
    </w:rPr>
  </w:style>
  <w:style w:type="paragraph" w:styleId="FootnoteText">
    <w:name w:val="footnote text"/>
    <w:basedOn w:val="Normal"/>
    <w:link w:val="FootnoteTextChar"/>
    <w:semiHidden/>
    <w:unhideWhenUsed/>
    <w:rsid w:val="00E8227F"/>
    <w:rPr>
      <w:sz w:val="20"/>
      <w:szCs w:val="20"/>
    </w:rPr>
  </w:style>
  <w:style w:type="character" w:customStyle="1" w:styleId="FootnoteTextChar">
    <w:name w:val="Footnote Text Char"/>
    <w:basedOn w:val="DefaultParagraphFont"/>
    <w:link w:val="FootnoteText"/>
    <w:semiHidden/>
    <w:rsid w:val="00E8227F"/>
    <w:rPr>
      <w:rFonts w:ascii="Calibri" w:hAnsi="Calibri"/>
    </w:rPr>
  </w:style>
  <w:style w:type="character" w:styleId="FootnoteReference">
    <w:name w:val="footnote reference"/>
    <w:basedOn w:val="DefaultParagraphFont"/>
    <w:semiHidden/>
    <w:unhideWhenUsed/>
    <w:rsid w:val="00E822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325">
      <w:bodyDiv w:val="1"/>
      <w:marLeft w:val="0"/>
      <w:marRight w:val="0"/>
      <w:marTop w:val="0"/>
      <w:marBottom w:val="0"/>
      <w:divBdr>
        <w:top w:val="none" w:sz="0" w:space="0" w:color="auto"/>
        <w:left w:val="none" w:sz="0" w:space="0" w:color="auto"/>
        <w:bottom w:val="none" w:sz="0" w:space="0" w:color="auto"/>
        <w:right w:val="none" w:sz="0" w:space="0" w:color="auto"/>
      </w:divBdr>
    </w:div>
    <w:div w:id="24839417">
      <w:bodyDiv w:val="1"/>
      <w:marLeft w:val="0"/>
      <w:marRight w:val="0"/>
      <w:marTop w:val="0"/>
      <w:marBottom w:val="0"/>
      <w:divBdr>
        <w:top w:val="none" w:sz="0" w:space="0" w:color="auto"/>
        <w:left w:val="none" w:sz="0" w:space="0" w:color="auto"/>
        <w:bottom w:val="none" w:sz="0" w:space="0" w:color="auto"/>
        <w:right w:val="none" w:sz="0" w:space="0" w:color="auto"/>
      </w:divBdr>
    </w:div>
    <w:div w:id="27486862">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39646726">
      <w:bodyDiv w:val="1"/>
      <w:marLeft w:val="0"/>
      <w:marRight w:val="0"/>
      <w:marTop w:val="0"/>
      <w:marBottom w:val="0"/>
      <w:divBdr>
        <w:top w:val="none" w:sz="0" w:space="0" w:color="auto"/>
        <w:left w:val="none" w:sz="0" w:space="0" w:color="auto"/>
        <w:bottom w:val="none" w:sz="0" w:space="0" w:color="auto"/>
        <w:right w:val="none" w:sz="0" w:space="0" w:color="auto"/>
      </w:divBdr>
      <w:divsChild>
        <w:div w:id="252320897">
          <w:marLeft w:val="0"/>
          <w:marRight w:val="0"/>
          <w:marTop w:val="0"/>
          <w:marBottom w:val="0"/>
          <w:divBdr>
            <w:top w:val="none" w:sz="0" w:space="0" w:color="auto"/>
            <w:left w:val="none" w:sz="0" w:space="0" w:color="auto"/>
            <w:bottom w:val="none" w:sz="0" w:space="0" w:color="auto"/>
            <w:right w:val="none" w:sz="0" w:space="0" w:color="auto"/>
          </w:divBdr>
        </w:div>
        <w:div w:id="1294943841">
          <w:marLeft w:val="0"/>
          <w:marRight w:val="0"/>
          <w:marTop w:val="0"/>
          <w:marBottom w:val="0"/>
          <w:divBdr>
            <w:top w:val="none" w:sz="0" w:space="0" w:color="auto"/>
            <w:left w:val="none" w:sz="0" w:space="0" w:color="auto"/>
            <w:bottom w:val="none" w:sz="0" w:space="0" w:color="auto"/>
            <w:right w:val="none" w:sz="0" w:space="0" w:color="auto"/>
          </w:divBdr>
        </w:div>
        <w:div w:id="1691956807">
          <w:marLeft w:val="0"/>
          <w:marRight w:val="0"/>
          <w:marTop w:val="0"/>
          <w:marBottom w:val="0"/>
          <w:divBdr>
            <w:top w:val="none" w:sz="0" w:space="0" w:color="auto"/>
            <w:left w:val="none" w:sz="0" w:space="0" w:color="auto"/>
            <w:bottom w:val="none" w:sz="0" w:space="0" w:color="auto"/>
            <w:right w:val="none" w:sz="0" w:space="0" w:color="auto"/>
          </w:divBdr>
        </w:div>
        <w:div w:id="1871143770">
          <w:marLeft w:val="0"/>
          <w:marRight w:val="0"/>
          <w:marTop w:val="0"/>
          <w:marBottom w:val="0"/>
          <w:divBdr>
            <w:top w:val="none" w:sz="0" w:space="0" w:color="auto"/>
            <w:left w:val="none" w:sz="0" w:space="0" w:color="auto"/>
            <w:bottom w:val="none" w:sz="0" w:space="0" w:color="auto"/>
            <w:right w:val="none" w:sz="0" w:space="0" w:color="auto"/>
          </w:divBdr>
        </w:div>
      </w:divsChild>
    </w:div>
    <w:div w:id="480005397">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67692383">
      <w:bodyDiv w:val="1"/>
      <w:marLeft w:val="0"/>
      <w:marRight w:val="0"/>
      <w:marTop w:val="0"/>
      <w:marBottom w:val="0"/>
      <w:divBdr>
        <w:top w:val="none" w:sz="0" w:space="0" w:color="auto"/>
        <w:left w:val="none" w:sz="0" w:space="0" w:color="auto"/>
        <w:bottom w:val="none" w:sz="0" w:space="0" w:color="auto"/>
        <w:right w:val="none" w:sz="0" w:space="0" w:color="auto"/>
      </w:divBdr>
      <w:divsChild>
        <w:div w:id="166022329">
          <w:marLeft w:val="0"/>
          <w:marRight w:val="0"/>
          <w:marTop w:val="0"/>
          <w:marBottom w:val="0"/>
          <w:divBdr>
            <w:top w:val="none" w:sz="0" w:space="0" w:color="auto"/>
            <w:left w:val="none" w:sz="0" w:space="0" w:color="auto"/>
            <w:bottom w:val="none" w:sz="0" w:space="0" w:color="auto"/>
            <w:right w:val="none" w:sz="0" w:space="0" w:color="auto"/>
          </w:divBdr>
          <w:divsChild>
            <w:div w:id="1281768456">
              <w:marLeft w:val="0"/>
              <w:marRight w:val="0"/>
              <w:marTop w:val="0"/>
              <w:marBottom w:val="0"/>
              <w:divBdr>
                <w:top w:val="none" w:sz="0" w:space="0" w:color="auto"/>
                <w:left w:val="none" w:sz="0" w:space="0" w:color="auto"/>
                <w:bottom w:val="none" w:sz="0" w:space="0" w:color="auto"/>
                <w:right w:val="none" w:sz="0" w:space="0" w:color="auto"/>
              </w:divBdr>
              <w:divsChild>
                <w:div w:id="19604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5077">
          <w:marLeft w:val="0"/>
          <w:marRight w:val="0"/>
          <w:marTop w:val="0"/>
          <w:marBottom w:val="0"/>
          <w:divBdr>
            <w:top w:val="none" w:sz="0" w:space="0" w:color="auto"/>
            <w:left w:val="none" w:sz="0" w:space="0" w:color="auto"/>
            <w:bottom w:val="none" w:sz="0" w:space="0" w:color="auto"/>
            <w:right w:val="none" w:sz="0" w:space="0" w:color="auto"/>
          </w:divBdr>
          <w:divsChild>
            <w:div w:id="83184066">
              <w:marLeft w:val="0"/>
              <w:marRight w:val="0"/>
              <w:marTop w:val="0"/>
              <w:marBottom w:val="0"/>
              <w:divBdr>
                <w:top w:val="none" w:sz="0" w:space="0" w:color="auto"/>
                <w:left w:val="none" w:sz="0" w:space="0" w:color="auto"/>
                <w:bottom w:val="none" w:sz="0" w:space="0" w:color="auto"/>
                <w:right w:val="none" w:sz="0" w:space="0" w:color="auto"/>
              </w:divBdr>
              <w:divsChild>
                <w:div w:id="167044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743789">
      <w:bodyDiv w:val="1"/>
      <w:marLeft w:val="0"/>
      <w:marRight w:val="0"/>
      <w:marTop w:val="0"/>
      <w:marBottom w:val="0"/>
      <w:divBdr>
        <w:top w:val="none" w:sz="0" w:space="0" w:color="auto"/>
        <w:left w:val="none" w:sz="0" w:space="0" w:color="auto"/>
        <w:bottom w:val="none" w:sz="0" w:space="0" w:color="auto"/>
        <w:right w:val="none" w:sz="0" w:space="0" w:color="auto"/>
      </w:divBdr>
    </w:div>
    <w:div w:id="598413037">
      <w:bodyDiv w:val="1"/>
      <w:marLeft w:val="0"/>
      <w:marRight w:val="0"/>
      <w:marTop w:val="0"/>
      <w:marBottom w:val="0"/>
      <w:divBdr>
        <w:top w:val="none" w:sz="0" w:space="0" w:color="auto"/>
        <w:left w:val="none" w:sz="0" w:space="0" w:color="auto"/>
        <w:bottom w:val="none" w:sz="0" w:space="0" w:color="auto"/>
        <w:right w:val="none" w:sz="0" w:space="0" w:color="auto"/>
      </w:divBdr>
      <w:divsChild>
        <w:div w:id="37973616">
          <w:marLeft w:val="0"/>
          <w:marRight w:val="0"/>
          <w:marTop w:val="0"/>
          <w:marBottom w:val="0"/>
          <w:divBdr>
            <w:top w:val="none" w:sz="0" w:space="0" w:color="auto"/>
            <w:left w:val="none" w:sz="0" w:space="0" w:color="auto"/>
            <w:bottom w:val="none" w:sz="0" w:space="0" w:color="auto"/>
            <w:right w:val="none" w:sz="0" w:space="0" w:color="auto"/>
          </w:divBdr>
        </w:div>
        <w:div w:id="338702630">
          <w:marLeft w:val="0"/>
          <w:marRight w:val="0"/>
          <w:marTop w:val="0"/>
          <w:marBottom w:val="0"/>
          <w:divBdr>
            <w:top w:val="none" w:sz="0" w:space="0" w:color="auto"/>
            <w:left w:val="none" w:sz="0" w:space="0" w:color="auto"/>
            <w:bottom w:val="none" w:sz="0" w:space="0" w:color="auto"/>
            <w:right w:val="none" w:sz="0" w:space="0" w:color="auto"/>
          </w:divBdr>
        </w:div>
        <w:div w:id="1407528446">
          <w:marLeft w:val="0"/>
          <w:marRight w:val="0"/>
          <w:marTop w:val="0"/>
          <w:marBottom w:val="0"/>
          <w:divBdr>
            <w:top w:val="none" w:sz="0" w:space="0" w:color="auto"/>
            <w:left w:val="none" w:sz="0" w:space="0" w:color="auto"/>
            <w:bottom w:val="none" w:sz="0" w:space="0" w:color="auto"/>
            <w:right w:val="none" w:sz="0" w:space="0" w:color="auto"/>
          </w:divBdr>
        </w:div>
        <w:div w:id="1535386113">
          <w:marLeft w:val="0"/>
          <w:marRight w:val="0"/>
          <w:marTop w:val="0"/>
          <w:marBottom w:val="0"/>
          <w:divBdr>
            <w:top w:val="none" w:sz="0" w:space="0" w:color="auto"/>
            <w:left w:val="none" w:sz="0" w:space="0" w:color="auto"/>
            <w:bottom w:val="none" w:sz="0" w:space="0" w:color="auto"/>
            <w:right w:val="none" w:sz="0" w:space="0" w:color="auto"/>
          </w:divBdr>
        </w:div>
      </w:divsChild>
    </w:div>
    <w:div w:id="634332886">
      <w:bodyDiv w:val="1"/>
      <w:marLeft w:val="0"/>
      <w:marRight w:val="0"/>
      <w:marTop w:val="0"/>
      <w:marBottom w:val="0"/>
      <w:divBdr>
        <w:top w:val="none" w:sz="0" w:space="0" w:color="auto"/>
        <w:left w:val="none" w:sz="0" w:space="0" w:color="auto"/>
        <w:bottom w:val="none" w:sz="0" w:space="0" w:color="auto"/>
        <w:right w:val="none" w:sz="0" w:space="0" w:color="auto"/>
      </w:divBdr>
    </w:div>
    <w:div w:id="641886252">
      <w:bodyDiv w:val="1"/>
      <w:marLeft w:val="0"/>
      <w:marRight w:val="0"/>
      <w:marTop w:val="0"/>
      <w:marBottom w:val="0"/>
      <w:divBdr>
        <w:top w:val="none" w:sz="0" w:space="0" w:color="auto"/>
        <w:left w:val="none" w:sz="0" w:space="0" w:color="auto"/>
        <w:bottom w:val="none" w:sz="0" w:space="0" w:color="auto"/>
        <w:right w:val="none" w:sz="0" w:space="0" w:color="auto"/>
      </w:divBdr>
    </w:div>
    <w:div w:id="657466659">
      <w:bodyDiv w:val="1"/>
      <w:marLeft w:val="0"/>
      <w:marRight w:val="0"/>
      <w:marTop w:val="0"/>
      <w:marBottom w:val="0"/>
      <w:divBdr>
        <w:top w:val="none" w:sz="0" w:space="0" w:color="auto"/>
        <w:left w:val="none" w:sz="0" w:space="0" w:color="auto"/>
        <w:bottom w:val="none" w:sz="0" w:space="0" w:color="auto"/>
        <w:right w:val="none" w:sz="0" w:space="0" w:color="auto"/>
      </w:divBdr>
    </w:div>
    <w:div w:id="694503715">
      <w:bodyDiv w:val="1"/>
      <w:marLeft w:val="0"/>
      <w:marRight w:val="0"/>
      <w:marTop w:val="0"/>
      <w:marBottom w:val="0"/>
      <w:divBdr>
        <w:top w:val="none" w:sz="0" w:space="0" w:color="auto"/>
        <w:left w:val="none" w:sz="0" w:space="0" w:color="auto"/>
        <w:bottom w:val="none" w:sz="0" w:space="0" w:color="auto"/>
        <w:right w:val="none" w:sz="0" w:space="0" w:color="auto"/>
      </w:divBdr>
      <w:divsChild>
        <w:div w:id="184056806">
          <w:marLeft w:val="0"/>
          <w:marRight w:val="0"/>
          <w:marTop w:val="0"/>
          <w:marBottom w:val="0"/>
          <w:divBdr>
            <w:top w:val="none" w:sz="0" w:space="0" w:color="auto"/>
            <w:left w:val="none" w:sz="0" w:space="0" w:color="auto"/>
            <w:bottom w:val="none" w:sz="0" w:space="0" w:color="auto"/>
            <w:right w:val="none" w:sz="0" w:space="0" w:color="auto"/>
          </w:divBdr>
          <w:divsChild>
            <w:div w:id="482507842">
              <w:marLeft w:val="0"/>
              <w:marRight w:val="0"/>
              <w:marTop w:val="0"/>
              <w:marBottom w:val="0"/>
              <w:divBdr>
                <w:top w:val="none" w:sz="0" w:space="0" w:color="auto"/>
                <w:left w:val="none" w:sz="0" w:space="0" w:color="auto"/>
                <w:bottom w:val="none" w:sz="0" w:space="0" w:color="auto"/>
                <w:right w:val="none" w:sz="0" w:space="0" w:color="auto"/>
              </w:divBdr>
              <w:divsChild>
                <w:div w:id="41100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5289">
          <w:marLeft w:val="0"/>
          <w:marRight w:val="0"/>
          <w:marTop w:val="0"/>
          <w:marBottom w:val="0"/>
          <w:divBdr>
            <w:top w:val="none" w:sz="0" w:space="0" w:color="auto"/>
            <w:left w:val="none" w:sz="0" w:space="0" w:color="auto"/>
            <w:bottom w:val="none" w:sz="0" w:space="0" w:color="auto"/>
            <w:right w:val="none" w:sz="0" w:space="0" w:color="auto"/>
          </w:divBdr>
          <w:divsChild>
            <w:div w:id="915481133">
              <w:marLeft w:val="0"/>
              <w:marRight w:val="0"/>
              <w:marTop w:val="0"/>
              <w:marBottom w:val="0"/>
              <w:divBdr>
                <w:top w:val="none" w:sz="0" w:space="0" w:color="auto"/>
                <w:left w:val="none" w:sz="0" w:space="0" w:color="auto"/>
                <w:bottom w:val="none" w:sz="0" w:space="0" w:color="auto"/>
                <w:right w:val="none" w:sz="0" w:space="0" w:color="auto"/>
              </w:divBdr>
              <w:divsChild>
                <w:div w:id="12376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71063">
          <w:marLeft w:val="0"/>
          <w:marRight w:val="0"/>
          <w:marTop w:val="0"/>
          <w:marBottom w:val="0"/>
          <w:divBdr>
            <w:top w:val="none" w:sz="0" w:space="0" w:color="auto"/>
            <w:left w:val="none" w:sz="0" w:space="0" w:color="auto"/>
            <w:bottom w:val="none" w:sz="0" w:space="0" w:color="auto"/>
            <w:right w:val="none" w:sz="0" w:space="0" w:color="auto"/>
          </w:divBdr>
          <w:divsChild>
            <w:div w:id="654921084">
              <w:marLeft w:val="0"/>
              <w:marRight w:val="0"/>
              <w:marTop w:val="0"/>
              <w:marBottom w:val="0"/>
              <w:divBdr>
                <w:top w:val="none" w:sz="0" w:space="0" w:color="auto"/>
                <w:left w:val="none" w:sz="0" w:space="0" w:color="auto"/>
                <w:bottom w:val="none" w:sz="0" w:space="0" w:color="auto"/>
                <w:right w:val="none" w:sz="0" w:space="0" w:color="auto"/>
              </w:divBdr>
              <w:divsChild>
                <w:div w:id="112556959">
                  <w:marLeft w:val="0"/>
                  <w:marRight w:val="0"/>
                  <w:marTop w:val="0"/>
                  <w:marBottom w:val="0"/>
                  <w:divBdr>
                    <w:top w:val="none" w:sz="0" w:space="0" w:color="auto"/>
                    <w:left w:val="none" w:sz="0" w:space="0" w:color="auto"/>
                    <w:bottom w:val="none" w:sz="0" w:space="0" w:color="auto"/>
                    <w:right w:val="none" w:sz="0" w:space="0" w:color="auto"/>
                  </w:divBdr>
                </w:div>
              </w:divsChild>
            </w:div>
            <w:div w:id="1939749926">
              <w:marLeft w:val="0"/>
              <w:marRight w:val="0"/>
              <w:marTop w:val="0"/>
              <w:marBottom w:val="0"/>
              <w:divBdr>
                <w:top w:val="none" w:sz="0" w:space="0" w:color="auto"/>
                <w:left w:val="none" w:sz="0" w:space="0" w:color="auto"/>
                <w:bottom w:val="none" w:sz="0" w:space="0" w:color="auto"/>
                <w:right w:val="none" w:sz="0" w:space="0" w:color="auto"/>
              </w:divBdr>
              <w:divsChild>
                <w:div w:id="18464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342">
          <w:marLeft w:val="0"/>
          <w:marRight w:val="0"/>
          <w:marTop w:val="0"/>
          <w:marBottom w:val="0"/>
          <w:divBdr>
            <w:top w:val="none" w:sz="0" w:space="0" w:color="auto"/>
            <w:left w:val="none" w:sz="0" w:space="0" w:color="auto"/>
            <w:bottom w:val="none" w:sz="0" w:space="0" w:color="auto"/>
            <w:right w:val="none" w:sz="0" w:space="0" w:color="auto"/>
          </w:divBdr>
          <w:divsChild>
            <w:div w:id="2033530628">
              <w:marLeft w:val="0"/>
              <w:marRight w:val="0"/>
              <w:marTop w:val="0"/>
              <w:marBottom w:val="0"/>
              <w:divBdr>
                <w:top w:val="none" w:sz="0" w:space="0" w:color="auto"/>
                <w:left w:val="none" w:sz="0" w:space="0" w:color="auto"/>
                <w:bottom w:val="none" w:sz="0" w:space="0" w:color="auto"/>
                <w:right w:val="none" w:sz="0" w:space="0" w:color="auto"/>
              </w:divBdr>
              <w:divsChild>
                <w:div w:id="13136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2164">
          <w:marLeft w:val="0"/>
          <w:marRight w:val="0"/>
          <w:marTop w:val="0"/>
          <w:marBottom w:val="0"/>
          <w:divBdr>
            <w:top w:val="none" w:sz="0" w:space="0" w:color="auto"/>
            <w:left w:val="none" w:sz="0" w:space="0" w:color="auto"/>
            <w:bottom w:val="none" w:sz="0" w:space="0" w:color="auto"/>
            <w:right w:val="none" w:sz="0" w:space="0" w:color="auto"/>
          </w:divBdr>
          <w:divsChild>
            <w:div w:id="1243176003">
              <w:marLeft w:val="0"/>
              <w:marRight w:val="0"/>
              <w:marTop w:val="0"/>
              <w:marBottom w:val="0"/>
              <w:divBdr>
                <w:top w:val="none" w:sz="0" w:space="0" w:color="auto"/>
                <w:left w:val="none" w:sz="0" w:space="0" w:color="auto"/>
                <w:bottom w:val="none" w:sz="0" w:space="0" w:color="auto"/>
                <w:right w:val="none" w:sz="0" w:space="0" w:color="auto"/>
              </w:divBdr>
              <w:divsChild>
                <w:div w:id="1148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41178">
          <w:marLeft w:val="0"/>
          <w:marRight w:val="0"/>
          <w:marTop w:val="0"/>
          <w:marBottom w:val="0"/>
          <w:divBdr>
            <w:top w:val="none" w:sz="0" w:space="0" w:color="auto"/>
            <w:left w:val="none" w:sz="0" w:space="0" w:color="auto"/>
            <w:bottom w:val="none" w:sz="0" w:space="0" w:color="auto"/>
            <w:right w:val="none" w:sz="0" w:space="0" w:color="auto"/>
          </w:divBdr>
          <w:divsChild>
            <w:div w:id="580993680">
              <w:marLeft w:val="0"/>
              <w:marRight w:val="0"/>
              <w:marTop w:val="0"/>
              <w:marBottom w:val="0"/>
              <w:divBdr>
                <w:top w:val="none" w:sz="0" w:space="0" w:color="auto"/>
                <w:left w:val="none" w:sz="0" w:space="0" w:color="auto"/>
                <w:bottom w:val="none" w:sz="0" w:space="0" w:color="auto"/>
                <w:right w:val="none" w:sz="0" w:space="0" w:color="auto"/>
              </w:divBdr>
              <w:divsChild>
                <w:div w:id="80107026">
                  <w:marLeft w:val="0"/>
                  <w:marRight w:val="0"/>
                  <w:marTop w:val="0"/>
                  <w:marBottom w:val="0"/>
                  <w:divBdr>
                    <w:top w:val="none" w:sz="0" w:space="0" w:color="auto"/>
                    <w:left w:val="none" w:sz="0" w:space="0" w:color="auto"/>
                    <w:bottom w:val="none" w:sz="0" w:space="0" w:color="auto"/>
                    <w:right w:val="none" w:sz="0" w:space="0" w:color="auto"/>
                  </w:divBdr>
                </w:div>
              </w:divsChild>
            </w:div>
            <w:div w:id="1381444257">
              <w:marLeft w:val="0"/>
              <w:marRight w:val="0"/>
              <w:marTop w:val="0"/>
              <w:marBottom w:val="0"/>
              <w:divBdr>
                <w:top w:val="none" w:sz="0" w:space="0" w:color="auto"/>
                <w:left w:val="none" w:sz="0" w:space="0" w:color="auto"/>
                <w:bottom w:val="none" w:sz="0" w:space="0" w:color="auto"/>
                <w:right w:val="none" w:sz="0" w:space="0" w:color="auto"/>
              </w:divBdr>
              <w:divsChild>
                <w:div w:id="1796825787">
                  <w:marLeft w:val="0"/>
                  <w:marRight w:val="0"/>
                  <w:marTop w:val="0"/>
                  <w:marBottom w:val="0"/>
                  <w:divBdr>
                    <w:top w:val="none" w:sz="0" w:space="0" w:color="auto"/>
                    <w:left w:val="none" w:sz="0" w:space="0" w:color="auto"/>
                    <w:bottom w:val="none" w:sz="0" w:space="0" w:color="auto"/>
                    <w:right w:val="none" w:sz="0" w:space="0" w:color="auto"/>
                  </w:divBdr>
                </w:div>
              </w:divsChild>
            </w:div>
            <w:div w:id="1844857644">
              <w:marLeft w:val="0"/>
              <w:marRight w:val="0"/>
              <w:marTop w:val="0"/>
              <w:marBottom w:val="0"/>
              <w:divBdr>
                <w:top w:val="none" w:sz="0" w:space="0" w:color="auto"/>
                <w:left w:val="none" w:sz="0" w:space="0" w:color="auto"/>
                <w:bottom w:val="none" w:sz="0" w:space="0" w:color="auto"/>
                <w:right w:val="none" w:sz="0" w:space="0" w:color="auto"/>
              </w:divBdr>
              <w:divsChild>
                <w:div w:id="91058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5274">
          <w:marLeft w:val="0"/>
          <w:marRight w:val="0"/>
          <w:marTop w:val="0"/>
          <w:marBottom w:val="0"/>
          <w:divBdr>
            <w:top w:val="none" w:sz="0" w:space="0" w:color="auto"/>
            <w:left w:val="none" w:sz="0" w:space="0" w:color="auto"/>
            <w:bottom w:val="none" w:sz="0" w:space="0" w:color="auto"/>
            <w:right w:val="none" w:sz="0" w:space="0" w:color="auto"/>
          </w:divBdr>
          <w:divsChild>
            <w:div w:id="1866870392">
              <w:marLeft w:val="0"/>
              <w:marRight w:val="0"/>
              <w:marTop w:val="0"/>
              <w:marBottom w:val="0"/>
              <w:divBdr>
                <w:top w:val="none" w:sz="0" w:space="0" w:color="auto"/>
                <w:left w:val="none" w:sz="0" w:space="0" w:color="auto"/>
                <w:bottom w:val="none" w:sz="0" w:space="0" w:color="auto"/>
                <w:right w:val="none" w:sz="0" w:space="0" w:color="auto"/>
              </w:divBdr>
              <w:divsChild>
                <w:div w:id="17225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6295">
          <w:marLeft w:val="0"/>
          <w:marRight w:val="0"/>
          <w:marTop w:val="0"/>
          <w:marBottom w:val="0"/>
          <w:divBdr>
            <w:top w:val="none" w:sz="0" w:space="0" w:color="auto"/>
            <w:left w:val="none" w:sz="0" w:space="0" w:color="auto"/>
            <w:bottom w:val="none" w:sz="0" w:space="0" w:color="auto"/>
            <w:right w:val="none" w:sz="0" w:space="0" w:color="auto"/>
          </w:divBdr>
          <w:divsChild>
            <w:div w:id="698777373">
              <w:marLeft w:val="0"/>
              <w:marRight w:val="0"/>
              <w:marTop w:val="0"/>
              <w:marBottom w:val="0"/>
              <w:divBdr>
                <w:top w:val="none" w:sz="0" w:space="0" w:color="auto"/>
                <w:left w:val="none" w:sz="0" w:space="0" w:color="auto"/>
                <w:bottom w:val="none" w:sz="0" w:space="0" w:color="auto"/>
                <w:right w:val="none" w:sz="0" w:space="0" w:color="auto"/>
              </w:divBdr>
              <w:divsChild>
                <w:div w:id="12263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95150">
          <w:marLeft w:val="0"/>
          <w:marRight w:val="0"/>
          <w:marTop w:val="0"/>
          <w:marBottom w:val="0"/>
          <w:divBdr>
            <w:top w:val="none" w:sz="0" w:space="0" w:color="auto"/>
            <w:left w:val="none" w:sz="0" w:space="0" w:color="auto"/>
            <w:bottom w:val="none" w:sz="0" w:space="0" w:color="auto"/>
            <w:right w:val="none" w:sz="0" w:space="0" w:color="auto"/>
          </w:divBdr>
          <w:divsChild>
            <w:div w:id="1325357544">
              <w:marLeft w:val="0"/>
              <w:marRight w:val="0"/>
              <w:marTop w:val="0"/>
              <w:marBottom w:val="0"/>
              <w:divBdr>
                <w:top w:val="none" w:sz="0" w:space="0" w:color="auto"/>
                <w:left w:val="none" w:sz="0" w:space="0" w:color="auto"/>
                <w:bottom w:val="none" w:sz="0" w:space="0" w:color="auto"/>
                <w:right w:val="none" w:sz="0" w:space="0" w:color="auto"/>
              </w:divBdr>
              <w:divsChild>
                <w:div w:id="8534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9046">
          <w:marLeft w:val="0"/>
          <w:marRight w:val="0"/>
          <w:marTop w:val="0"/>
          <w:marBottom w:val="0"/>
          <w:divBdr>
            <w:top w:val="none" w:sz="0" w:space="0" w:color="auto"/>
            <w:left w:val="none" w:sz="0" w:space="0" w:color="auto"/>
            <w:bottom w:val="none" w:sz="0" w:space="0" w:color="auto"/>
            <w:right w:val="none" w:sz="0" w:space="0" w:color="auto"/>
          </w:divBdr>
          <w:divsChild>
            <w:div w:id="1365982321">
              <w:marLeft w:val="0"/>
              <w:marRight w:val="0"/>
              <w:marTop w:val="0"/>
              <w:marBottom w:val="0"/>
              <w:divBdr>
                <w:top w:val="none" w:sz="0" w:space="0" w:color="auto"/>
                <w:left w:val="none" w:sz="0" w:space="0" w:color="auto"/>
                <w:bottom w:val="none" w:sz="0" w:space="0" w:color="auto"/>
                <w:right w:val="none" w:sz="0" w:space="0" w:color="auto"/>
              </w:divBdr>
              <w:divsChild>
                <w:div w:id="17081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79619">
          <w:marLeft w:val="0"/>
          <w:marRight w:val="0"/>
          <w:marTop w:val="0"/>
          <w:marBottom w:val="0"/>
          <w:divBdr>
            <w:top w:val="none" w:sz="0" w:space="0" w:color="auto"/>
            <w:left w:val="none" w:sz="0" w:space="0" w:color="auto"/>
            <w:bottom w:val="none" w:sz="0" w:space="0" w:color="auto"/>
            <w:right w:val="none" w:sz="0" w:space="0" w:color="auto"/>
          </w:divBdr>
          <w:divsChild>
            <w:div w:id="1844541113">
              <w:marLeft w:val="0"/>
              <w:marRight w:val="0"/>
              <w:marTop w:val="0"/>
              <w:marBottom w:val="0"/>
              <w:divBdr>
                <w:top w:val="none" w:sz="0" w:space="0" w:color="auto"/>
                <w:left w:val="none" w:sz="0" w:space="0" w:color="auto"/>
                <w:bottom w:val="none" w:sz="0" w:space="0" w:color="auto"/>
                <w:right w:val="none" w:sz="0" w:space="0" w:color="auto"/>
              </w:divBdr>
              <w:divsChild>
                <w:div w:id="1144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02351">
          <w:marLeft w:val="0"/>
          <w:marRight w:val="0"/>
          <w:marTop w:val="0"/>
          <w:marBottom w:val="0"/>
          <w:divBdr>
            <w:top w:val="none" w:sz="0" w:space="0" w:color="auto"/>
            <w:left w:val="none" w:sz="0" w:space="0" w:color="auto"/>
            <w:bottom w:val="none" w:sz="0" w:space="0" w:color="auto"/>
            <w:right w:val="none" w:sz="0" w:space="0" w:color="auto"/>
          </w:divBdr>
          <w:divsChild>
            <w:div w:id="153107532">
              <w:marLeft w:val="0"/>
              <w:marRight w:val="0"/>
              <w:marTop w:val="0"/>
              <w:marBottom w:val="0"/>
              <w:divBdr>
                <w:top w:val="none" w:sz="0" w:space="0" w:color="auto"/>
                <w:left w:val="none" w:sz="0" w:space="0" w:color="auto"/>
                <w:bottom w:val="none" w:sz="0" w:space="0" w:color="auto"/>
                <w:right w:val="none" w:sz="0" w:space="0" w:color="auto"/>
              </w:divBdr>
              <w:divsChild>
                <w:div w:id="18476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4987">
          <w:marLeft w:val="0"/>
          <w:marRight w:val="0"/>
          <w:marTop w:val="0"/>
          <w:marBottom w:val="0"/>
          <w:divBdr>
            <w:top w:val="none" w:sz="0" w:space="0" w:color="auto"/>
            <w:left w:val="none" w:sz="0" w:space="0" w:color="auto"/>
            <w:bottom w:val="none" w:sz="0" w:space="0" w:color="auto"/>
            <w:right w:val="none" w:sz="0" w:space="0" w:color="auto"/>
          </w:divBdr>
          <w:divsChild>
            <w:div w:id="607154023">
              <w:marLeft w:val="0"/>
              <w:marRight w:val="0"/>
              <w:marTop w:val="0"/>
              <w:marBottom w:val="0"/>
              <w:divBdr>
                <w:top w:val="none" w:sz="0" w:space="0" w:color="auto"/>
                <w:left w:val="none" w:sz="0" w:space="0" w:color="auto"/>
                <w:bottom w:val="none" w:sz="0" w:space="0" w:color="auto"/>
                <w:right w:val="none" w:sz="0" w:space="0" w:color="auto"/>
              </w:divBdr>
              <w:divsChild>
                <w:div w:id="19643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9228">
          <w:marLeft w:val="0"/>
          <w:marRight w:val="0"/>
          <w:marTop w:val="0"/>
          <w:marBottom w:val="0"/>
          <w:divBdr>
            <w:top w:val="none" w:sz="0" w:space="0" w:color="auto"/>
            <w:left w:val="none" w:sz="0" w:space="0" w:color="auto"/>
            <w:bottom w:val="none" w:sz="0" w:space="0" w:color="auto"/>
            <w:right w:val="none" w:sz="0" w:space="0" w:color="auto"/>
          </w:divBdr>
          <w:divsChild>
            <w:div w:id="2088914812">
              <w:marLeft w:val="0"/>
              <w:marRight w:val="0"/>
              <w:marTop w:val="0"/>
              <w:marBottom w:val="0"/>
              <w:divBdr>
                <w:top w:val="none" w:sz="0" w:space="0" w:color="auto"/>
                <w:left w:val="none" w:sz="0" w:space="0" w:color="auto"/>
                <w:bottom w:val="none" w:sz="0" w:space="0" w:color="auto"/>
                <w:right w:val="none" w:sz="0" w:space="0" w:color="auto"/>
              </w:divBdr>
              <w:divsChild>
                <w:div w:id="13531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1471">
          <w:marLeft w:val="0"/>
          <w:marRight w:val="0"/>
          <w:marTop w:val="0"/>
          <w:marBottom w:val="0"/>
          <w:divBdr>
            <w:top w:val="none" w:sz="0" w:space="0" w:color="auto"/>
            <w:left w:val="none" w:sz="0" w:space="0" w:color="auto"/>
            <w:bottom w:val="none" w:sz="0" w:space="0" w:color="auto"/>
            <w:right w:val="none" w:sz="0" w:space="0" w:color="auto"/>
          </w:divBdr>
          <w:divsChild>
            <w:div w:id="264965233">
              <w:marLeft w:val="0"/>
              <w:marRight w:val="0"/>
              <w:marTop w:val="0"/>
              <w:marBottom w:val="0"/>
              <w:divBdr>
                <w:top w:val="none" w:sz="0" w:space="0" w:color="auto"/>
                <w:left w:val="none" w:sz="0" w:space="0" w:color="auto"/>
                <w:bottom w:val="none" w:sz="0" w:space="0" w:color="auto"/>
                <w:right w:val="none" w:sz="0" w:space="0" w:color="auto"/>
              </w:divBdr>
              <w:divsChild>
                <w:div w:id="183699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80699">
          <w:marLeft w:val="0"/>
          <w:marRight w:val="0"/>
          <w:marTop w:val="0"/>
          <w:marBottom w:val="0"/>
          <w:divBdr>
            <w:top w:val="none" w:sz="0" w:space="0" w:color="auto"/>
            <w:left w:val="none" w:sz="0" w:space="0" w:color="auto"/>
            <w:bottom w:val="none" w:sz="0" w:space="0" w:color="auto"/>
            <w:right w:val="none" w:sz="0" w:space="0" w:color="auto"/>
          </w:divBdr>
          <w:divsChild>
            <w:div w:id="2042431785">
              <w:marLeft w:val="0"/>
              <w:marRight w:val="0"/>
              <w:marTop w:val="0"/>
              <w:marBottom w:val="0"/>
              <w:divBdr>
                <w:top w:val="none" w:sz="0" w:space="0" w:color="auto"/>
                <w:left w:val="none" w:sz="0" w:space="0" w:color="auto"/>
                <w:bottom w:val="none" w:sz="0" w:space="0" w:color="auto"/>
                <w:right w:val="none" w:sz="0" w:space="0" w:color="auto"/>
              </w:divBdr>
              <w:divsChild>
                <w:div w:id="20400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6181">
          <w:marLeft w:val="0"/>
          <w:marRight w:val="0"/>
          <w:marTop w:val="0"/>
          <w:marBottom w:val="0"/>
          <w:divBdr>
            <w:top w:val="none" w:sz="0" w:space="0" w:color="auto"/>
            <w:left w:val="none" w:sz="0" w:space="0" w:color="auto"/>
            <w:bottom w:val="none" w:sz="0" w:space="0" w:color="auto"/>
            <w:right w:val="none" w:sz="0" w:space="0" w:color="auto"/>
          </w:divBdr>
          <w:divsChild>
            <w:div w:id="1692417591">
              <w:marLeft w:val="0"/>
              <w:marRight w:val="0"/>
              <w:marTop w:val="0"/>
              <w:marBottom w:val="0"/>
              <w:divBdr>
                <w:top w:val="none" w:sz="0" w:space="0" w:color="auto"/>
                <w:left w:val="none" w:sz="0" w:space="0" w:color="auto"/>
                <w:bottom w:val="none" w:sz="0" w:space="0" w:color="auto"/>
                <w:right w:val="none" w:sz="0" w:space="0" w:color="auto"/>
              </w:divBdr>
              <w:divsChild>
                <w:div w:id="167996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4528">
          <w:marLeft w:val="0"/>
          <w:marRight w:val="0"/>
          <w:marTop w:val="0"/>
          <w:marBottom w:val="0"/>
          <w:divBdr>
            <w:top w:val="none" w:sz="0" w:space="0" w:color="auto"/>
            <w:left w:val="none" w:sz="0" w:space="0" w:color="auto"/>
            <w:bottom w:val="none" w:sz="0" w:space="0" w:color="auto"/>
            <w:right w:val="none" w:sz="0" w:space="0" w:color="auto"/>
          </w:divBdr>
          <w:divsChild>
            <w:div w:id="1989705509">
              <w:marLeft w:val="0"/>
              <w:marRight w:val="0"/>
              <w:marTop w:val="0"/>
              <w:marBottom w:val="0"/>
              <w:divBdr>
                <w:top w:val="none" w:sz="0" w:space="0" w:color="auto"/>
                <w:left w:val="none" w:sz="0" w:space="0" w:color="auto"/>
                <w:bottom w:val="none" w:sz="0" w:space="0" w:color="auto"/>
                <w:right w:val="none" w:sz="0" w:space="0" w:color="auto"/>
              </w:divBdr>
              <w:divsChild>
                <w:div w:id="6217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40174">
      <w:bodyDiv w:val="1"/>
      <w:marLeft w:val="0"/>
      <w:marRight w:val="0"/>
      <w:marTop w:val="0"/>
      <w:marBottom w:val="0"/>
      <w:divBdr>
        <w:top w:val="none" w:sz="0" w:space="0" w:color="auto"/>
        <w:left w:val="none" w:sz="0" w:space="0" w:color="auto"/>
        <w:bottom w:val="none" w:sz="0" w:space="0" w:color="auto"/>
        <w:right w:val="none" w:sz="0" w:space="0" w:color="auto"/>
      </w:divBdr>
      <w:divsChild>
        <w:div w:id="29578844">
          <w:marLeft w:val="0"/>
          <w:marRight w:val="0"/>
          <w:marTop w:val="0"/>
          <w:marBottom w:val="0"/>
          <w:divBdr>
            <w:top w:val="none" w:sz="0" w:space="0" w:color="auto"/>
            <w:left w:val="none" w:sz="0" w:space="0" w:color="auto"/>
            <w:bottom w:val="none" w:sz="0" w:space="0" w:color="auto"/>
            <w:right w:val="none" w:sz="0" w:space="0" w:color="auto"/>
          </w:divBdr>
          <w:divsChild>
            <w:div w:id="1416853359">
              <w:marLeft w:val="0"/>
              <w:marRight w:val="0"/>
              <w:marTop w:val="0"/>
              <w:marBottom w:val="0"/>
              <w:divBdr>
                <w:top w:val="none" w:sz="0" w:space="0" w:color="auto"/>
                <w:left w:val="none" w:sz="0" w:space="0" w:color="auto"/>
                <w:bottom w:val="none" w:sz="0" w:space="0" w:color="auto"/>
                <w:right w:val="none" w:sz="0" w:space="0" w:color="auto"/>
              </w:divBdr>
            </w:div>
          </w:divsChild>
        </w:div>
        <w:div w:id="361133063">
          <w:marLeft w:val="0"/>
          <w:marRight w:val="0"/>
          <w:marTop w:val="0"/>
          <w:marBottom w:val="0"/>
          <w:divBdr>
            <w:top w:val="none" w:sz="0" w:space="0" w:color="auto"/>
            <w:left w:val="none" w:sz="0" w:space="0" w:color="auto"/>
            <w:bottom w:val="none" w:sz="0" w:space="0" w:color="auto"/>
            <w:right w:val="none" w:sz="0" w:space="0" w:color="auto"/>
          </w:divBdr>
          <w:divsChild>
            <w:div w:id="1806199109">
              <w:marLeft w:val="0"/>
              <w:marRight w:val="0"/>
              <w:marTop w:val="0"/>
              <w:marBottom w:val="0"/>
              <w:divBdr>
                <w:top w:val="none" w:sz="0" w:space="0" w:color="auto"/>
                <w:left w:val="none" w:sz="0" w:space="0" w:color="auto"/>
                <w:bottom w:val="none" w:sz="0" w:space="0" w:color="auto"/>
                <w:right w:val="none" w:sz="0" w:space="0" w:color="auto"/>
              </w:divBdr>
            </w:div>
          </w:divsChild>
        </w:div>
        <w:div w:id="1780055138">
          <w:marLeft w:val="0"/>
          <w:marRight w:val="0"/>
          <w:marTop w:val="0"/>
          <w:marBottom w:val="0"/>
          <w:divBdr>
            <w:top w:val="none" w:sz="0" w:space="0" w:color="auto"/>
            <w:left w:val="none" w:sz="0" w:space="0" w:color="auto"/>
            <w:bottom w:val="none" w:sz="0" w:space="0" w:color="auto"/>
            <w:right w:val="none" w:sz="0" w:space="0" w:color="auto"/>
          </w:divBdr>
          <w:divsChild>
            <w:div w:id="18145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93520516">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44901844">
      <w:bodyDiv w:val="1"/>
      <w:marLeft w:val="0"/>
      <w:marRight w:val="0"/>
      <w:marTop w:val="0"/>
      <w:marBottom w:val="0"/>
      <w:divBdr>
        <w:top w:val="none" w:sz="0" w:space="0" w:color="auto"/>
        <w:left w:val="none" w:sz="0" w:space="0" w:color="auto"/>
        <w:bottom w:val="none" w:sz="0" w:space="0" w:color="auto"/>
        <w:right w:val="none" w:sz="0" w:space="0" w:color="auto"/>
      </w:divBdr>
    </w:div>
    <w:div w:id="859586934">
      <w:bodyDiv w:val="1"/>
      <w:marLeft w:val="0"/>
      <w:marRight w:val="0"/>
      <w:marTop w:val="0"/>
      <w:marBottom w:val="0"/>
      <w:divBdr>
        <w:top w:val="none" w:sz="0" w:space="0" w:color="auto"/>
        <w:left w:val="none" w:sz="0" w:space="0" w:color="auto"/>
        <w:bottom w:val="none" w:sz="0" w:space="0" w:color="auto"/>
        <w:right w:val="none" w:sz="0" w:space="0" w:color="auto"/>
      </w:divBdr>
    </w:div>
    <w:div w:id="889658431">
      <w:bodyDiv w:val="1"/>
      <w:marLeft w:val="0"/>
      <w:marRight w:val="0"/>
      <w:marTop w:val="0"/>
      <w:marBottom w:val="0"/>
      <w:divBdr>
        <w:top w:val="none" w:sz="0" w:space="0" w:color="auto"/>
        <w:left w:val="none" w:sz="0" w:space="0" w:color="auto"/>
        <w:bottom w:val="none" w:sz="0" w:space="0" w:color="auto"/>
        <w:right w:val="none" w:sz="0" w:space="0" w:color="auto"/>
      </w:divBdr>
    </w:div>
    <w:div w:id="900284322">
      <w:bodyDiv w:val="1"/>
      <w:marLeft w:val="0"/>
      <w:marRight w:val="0"/>
      <w:marTop w:val="0"/>
      <w:marBottom w:val="0"/>
      <w:divBdr>
        <w:top w:val="none" w:sz="0" w:space="0" w:color="auto"/>
        <w:left w:val="none" w:sz="0" w:space="0" w:color="auto"/>
        <w:bottom w:val="none" w:sz="0" w:space="0" w:color="auto"/>
        <w:right w:val="none" w:sz="0" w:space="0" w:color="auto"/>
      </w:divBdr>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16860194">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36197182">
      <w:bodyDiv w:val="1"/>
      <w:marLeft w:val="0"/>
      <w:marRight w:val="0"/>
      <w:marTop w:val="0"/>
      <w:marBottom w:val="0"/>
      <w:divBdr>
        <w:top w:val="none" w:sz="0" w:space="0" w:color="auto"/>
        <w:left w:val="none" w:sz="0" w:space="0" w:color="auto"/>
        <w:bottom w:val="none" w:sz="0" w:space="0" w:color="auto"/>
        <w:right w:val="none" w:sz="0" w:space="0" w:color="auto"/>
      </w:divBdr>
    </w:div>
    <w:div w:id="1065758910">
      <w:bodyDiv w:val="1"/>
      <w:marLeft w:val="0"/>
      <w:marRight w:val="0"/>
      <w:marTop w:val="0"/>
      <w:marBottom w:val="0"/>
      <w:divBdr>
        <w:top w:val="none" w:sz="0" w:space="0" w:color="auto"/>
        <w:left w:val="none" w:sz="0" w:space="0" w:color="auto"/>
        <w:bottom w:val="none" w:sz="0" w:space="0" w:color="auto"/>
        <w:right w:val="none" w:sz="0" w:space="0" w:color="auto"/>
      </w:divBdr>
      <w:divsChild>
        <w:div w:id="17005092">
          <w:marLeft w:val="0"/>
          <w:marRight w:val="0"/>
          <w:marTop w:val="0"/>
          <w:marBottom w:val="0"/>
          <w:divBdr>
            <w:top w:val="none" w:sz="0" w:space="0" w:color="auto"/>
            <w:left w:val="none" w:sz="0" w:space="0" w:color="auto"/>
            <w:bottom w:val="none" w:sz="0" w:space="0" w:color="auto"/>
            <w:right w:val="none" w:sz="0" w:space="0" w:color="auto"/>
          </w:divBdr>
          <w:divsChild>
            <w:div w:id="566493568">
              <w:marLeft w:val="0"/>
              <w:marRight w:val="0"/>
              <w:marTop w:val="0"/>
              <w:marBottom w:val="0"/>
              <w:divBdr>
                <w:top w:val="none" w:sz="0" w:space="0" w:color="auto"/>
                <w:left w:val="none" w:sz="0" w:space="0" w:color="auto"/>
                <w:bottom w:val="none" w:sz="0" w:space="0" w:color="auto"/>
                <w:right w:val="none" w:sz="0" w:space="0" w:color="auto"/>
              </w:divBdr>
              <w:divsChild>
                <w:div w:id="10075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0670">
          <w:marLeft w:val="0"/>
          <w:marRight w:val="0"/>
          <w:marTop w:val="0"/>
          <w:marBottom w:val="0"/>
          <w:divBdr>
            <w:top w:val="none" w:sz="0" w:space="0" w:color="auto"/>
            <w:left w:val="none" w:sz="0" w:space="0" w:color="auto"/>
            <w:bottom w:val="none" w:sz="0" w:space="0" w:color="auto"/>
            <w:right w:val="none" w:sz="0" w:space="0" w:color="auto"/>
          </w:divBdr>
          <w:divsChild>
            <w:div w:id="1286233578">
              <w:marLeft w:val="0"/>
              <w:marRight w:val="0"/>
              <w:marTop w:val="0"/>
              <w:marBottom w:val="0"/>
              <w:divBdr>
                <w:top w:val="none" w:sz="0" w:space="0" w:color="auto"/>
                <w:left w:val="none" w:sz="0" w:space="0" w:color="auto"/>
                <w:bottom w:val="none" w:sz="0" w:space="0" w:color="auto"/>
                <w:right w:val="none" w:sz="0" w:space="0" w:color="auto"/>
              </w:divBdr>
              <w:divsChild>
                <w:div w:id="18626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0836">
          <w:marLeft w:val="0"/>
          <w:marRight w:val="0"/>
          <w:marTop w:val="0"/>
          <w:marBottom w:val="0"/>
          <w:divBdr>
            <w:top w:val="none" w:sz="0" w:space="0" w:color="auto"/>
            <w:left w:val="none" w:sz="0" w:space="0" w:color="auto"/>
            <w:bottom w:val="none" w:sz="0" w:space="0" w:color="auto"/>
            <w:right w:val="none" w:sz="0" w:space="0" w:color="auto"/>
          </w:divBdr>
          <w:divsChild>
            <w:div w:id="651570046">
              <w:marLeft w:val="0"/>
              <w:marRight w:val="0"/>
              <w:marTop w:val="0"/>
              <w:marBottom w:val="0"/>
              <w:divBdr>
                <w:top w:val="none" w:sz="0" w:space="0" w:color="auto"/>
                <w:left w:val="none" w:sz="0" w:space="0" w:color="auto"/>
                <w:bottom w:val="none" w:sz="0" w:space="0" w:color="auto"/>
                <w:right w:val="none" w:sz="0" w:space="0" w:color="auto"/>
              </w:divBdr>
              <w:divsChild>
                <w:div w:id="15406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1028">
          <w:marLeft w:val="0"/>
          <w:marRight w:val="0"/>
          <w:marTop w:val="0"/>
          <w:marBottom w:val="0"/>
          <w:divBdr>
            <w:top w:val="none" w:sz="0" w:space="0" w:color="auto"/>
            <w:left w:val="none" w:sz="0" w:space="0" w:color="auto"/>
            <w:bottom w:val="none" w:sz="0" w:space="0" w:color="auto"/>
            <w:right w:val="none" w:sz="0" w:space="0" w:color="auto"/>
          </w:divBdr>
          <w:divsChild>
            <w:div w:id="2103992060">
              <w:marLeft w:val="0"/>
              <w:marRight w:val="0"/>
              <w:marTop w:val="0"/>
              <w:marBottom w:val="0"/>
              <w:divBdr>
                <w:top w:val="none" w:sz="0" w:space="0" w:color="auto"/>
                <w:left w:val="none" w:sz="0" w:space="0" w:color="auto"/>
                <w:bottom w:val="none" w:sz="0" w:space="0" w:color="auto"/>
                <w:right w:val="none" w:sz="0" w:space="0" w:color="auto"/>
              </w:divBdr>
              <w:divsChild>
                <w:div w:id="18672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56818">
          <w:marLeft w:val="0"/>
          <w:marRight w:val="0"/>
          <w:marTop w:val="0"/>
          <w:marBottom w:val="0"/>
          <w:divBdr>
            <w:top w:val="none" w:sz="0" w:space="0" w:color="auto"/>
            <w:left w:val="none" w:sz="0" w:space="0" w:color="auto"/>
            <w:bottom w:val="none" w:sz="0" w:space="0" w:color="auto"/>
            <w:right w:val="none" w:sz="0" w:space="0" w:color="auto"/>
          </w:divBdr>
          <w:divsChild>
            <w:div w:id="1425227340">
              <w:marLeft w:val="0"/>
              <w:marRight w:val="0"/>
              <w:marTop w:val="0"/>
              <w:marBottom w:val="0"/>
              <w:divBdr>
                <w:top w:val="none" w:sz="0" w:space="0" w:color="auto"/>
                <w:left w:val="none" w:sz="0" w:space="0" w:color="auto"/>
                <w:bottom w:val="none" w:sz="0" w:space="0" w:color="auto"/>
                <w:right w:val="none" w:sz="0" w:space="0" w:color="auto"/>
              </w:divBdr>
              <w:divsChild>
                <w:div w:id="12462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7026">
          <w:marLeft w:val="0"/>
          <w:marRight w:val="0"/>
          <w:marTop w:val="0"/>
          <w:marBottom w:val="0"/>
          <w:divBdr>
            <w:top w:val="none" w:sz="0" w:space="0" w:color="auto"/>
            <w:left w:val="none" w:sz="0" w:space="0" w:color="auto"/>
            <w:bottom w:val="none" w:sz="0" w:space="0" w:color="auto"/>
            <w:right w:val="none" w:sz="0" w:space="0" w:color="auto"/>
          </w:divBdr>
          <w:divsChild>
            <w:div w:id="9842081">
              <w:marLeft w:val="0"/>
              <w:marRight w:val="0"/>
              <w:marTop w:val="0"/>
              <w:marBottom w:val="0"/>
              <w:divBdr>
                <w:top w:val="none" w:sz="0" w:space="0" w:color="auto"/>
                <w:left w:val="none" w:sz="0" w:space="0" w:color="auto"/>
                <w:bottom w:val="none" w:sz="0" w:space="0" w:color="auto"/>
                <w:right w:val="none" w:sz="0" w:space="0" w:color="auto"/>
              </w:divBdr>
              <w:divsChild>
                <w:div w:id="14305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08356">
          <w:marLeft w:val="0"/>
          <w:marRight w:val="0"/>
          <w:marTop w:val="0"/>
          <w:marBottom w:val="0"/>
          <w:divBdr>
            <w:top w:val="none" w:sz="0" w:space="0" w:color="auto"/>
            <w:left w:val="none" w:sz="0" w:space="0" w:color="auto"/>
            <w:bottom w:val="none" w:sz="0" w:space="0" w:color="auto"/>
            <w:right w:val="none" w:sz="0" w:space="0" w:color="auto"/>
          </w:divBdr>
          <w:divsChild>
            <w:div w:id="594828368">
              <w:marLeft w:val="0"/>
              <w:marRight w:val="0"/>
              <w:marTop w:val="0"/>
              <w:marBottom w:val="0"/>
              <w:divBdr>
                <w:top w:val="none" w:sz="0" w:space="0" w:color="auto"/>
                <w:left w:val="none" w:sz="0" w:space="0" w:color="auto"/>
                <w:bottom w:val="none" w:sz="0" w:space="0" w:color="auto"/>
                <w:right w:val="none" w:sz="0" w:space="0" w:color="auto"/>
              </w:divBdr>
              <w:divsChild>
                <w:div w:id="5332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8666">
          <w:marLeft w:val="0"/>
          <w:marRight w:val="0"/>
          <w:marTop w:val="0"/>
          <w:marBottom w:val="0"/>
          <w:divBdr>
            <w:top w:val="none" w:sz="0" w:space="0" w:color="auto"/>
            <w:left w:val="none" w:sz="0" w:space="0" w:color="auto"/>
            <w:bottom w:val="none" w:sz="0" w:space="0" w:color="auto"/>
            <w:right w:val="none" w:sz="0" w:space="0" w:color="auto"/>
          </w:divBdr>
          <w:divsChild>
            <w:div w:id="1020207537">
              <w:marLeft w:val="0"/>
              <w:marRight w:val="0"/>
              <w:marTop w:val="0"/>
              <w:marBottom w:val="0"/>
              <w:divBdr>
                <w:top w:val="none" w:sz="0" w:space="0" w:color="auto"/>
                <w:left w:val="none" w:sz="0" w:space="0" w:color="auto"/>
                <w:bottom w:val="none" w:sz="0" w:space="0" w:color="auto"/>
                <w:right w:val="none" w:sz="0" w:space="0" w:color="auto"/>
              </w:divBdr>
              <w:divsChild>
                <w:div w:id="201013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49955">
          <w:marLeft w:val="0"/>
          <w:marRight w:val="0"/>
          <w:marTop w:val="0"/>
          <w:marBottom w:val="0"/>
          <w:divBdr>
            <w:top w:val="none" w:sz="0" w:space="0" w:color="auto"/>
            <w:left w:val="none" w:sz="0" w:space="0" w:color="auto"/>
            <w:bottom w:val="none" w:sz="0" w:space="0" w:color="auto"/>
            <w:right w:val="none" w:sz="0" w:space="0" w:color="auto"/>
          </w:divBdr>
          <w:divsChild>
            <w:div w:id="791175332">
              <w:marLeft w:val="0"/>
              <w:marRight w:val="0"/>
              <w:marTop w:val="0"/>
              <w:marBottom w:val="0"/>
              <w:divBdr>
                <w:top w:val="none" w:sz="0" w:space="0" w:color="auto"/>
                <w:left w:val="none" w:sz="0" w:space="0" w:color="auto"/>
                <w:bottom w:val="none" w:sz="0" w:space="0" w:color="auto"/>
                <w:right w:val="none" w:sz="0" w:space="0" w:color="auto"/>
              </w:divBdr>
              <w:divsChild>
                <w:div w:id="765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4162">
          <w:marLeft w:val="0"/>
          <w:marRight w:val="0"/>
          <w:marTop w:val="0"/>
          <w:marBottom w:val="0"/>
          <w:divBdr>
            <w:top w:val="none" w:sz="0" w:space="0" w:color="auto"/>
            <w:left w:val="none" w:sz="0" w:space="0" w:color="auto"/>
            <w:bottom w:val="none" w:sz="0" w:space="0" w:color="auto"/>
            <w:right w:val="none" w:sz="0" w:space="0" w:color="auto"/>
          </w:divBdr>
          <w:divsChild>
            <w:div w:id="1043793805">
              <w:marLeft w:val="0"/>
              <w:marRight w:val="0"/>
              <w:marTop w:val="0"/>
              <w:marBottom w:val="0"/>
              <w:divBdr>
                <w:top w:val="none" w:sz="0" w:space="0" w:color="auto"/>
                <w:left w:val="none" w:sz="0" w:space="0" w:color="auto"/>
                <w:bottom w:val="none" w:sz="0" w:space="0" w:color="auto"/>
                <w:right w:val="none" w:sz="0" w:space="0" w:color="auto"/>
              </w:divBdr>
              <w:divsChild>
                <w:div w:id="4039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9648">
          <w:marLeft w:val="0"/>
          <w:marRight w:val="0"/>
          <w:marTop w:val="0"/>
          <w:marBottom w:val="0"/>
          <w:divBdr>
            <w:top w:val="none" w:sz="0" w:space="0" w:color="auto"/>
            <w:left w:val="none" w:sz="0" w:space="0" w:color="auto"/>
            <w:bottom w:val="none" w:sz="0" w:space="0" w:color="auto"/>
            <w:right w:val="none" w:sz="0" w:space="0" w:color="auto"/>
          </w:divBdr>
          <w:divsChild>
            <w:div w:id="253514175">
              <w:marLeft w:val="0"/>
              <w:marRight w:val="0"/>
              <w:marTop w:val="0"/>
              <w:marBottom w:val="0"/>
              <w:divBdr>
                <w:top w:val="none" w:sz="0" w:space="0" w:color="auto"/>
                <w:left w:val="none" w:sz="0" w:space="0" w:color="auto"/>
                <w:bottom w:val="none" w:sz="0" w:space="0" w:color="auto"/>
                <w:right w:val="none" w:sz="0" w:space="0" w:color="auto"/>
              </w:divBdr>
              <w:divsChild>
                <w:div w:id="13668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6896">
          <w:marLeft w:val="0"/>
          <w:marRight w:val="0"/>
          <w:marTop w:val="0"/>
          <w:marBottom w:val="0"/>
          <w:divBdr>
            <w:top w:val="none" w:sz="0" w:space="0" w:color="auto"/>
            <w:left w:val="none" w:sz="0" w:space="0" w:color="auto"/>
            <w:bottom w:val="none" w:sz="0" w:space="0" w:color="auto"/>
            <w:right w:val="none" w:sz="0" w:space="0" w:color="auto"/>
          </w:divBdr>
          <w:divsChild>
            <w:div w:id="1531841371">
              <w:marLeft w:val="0"/>
              <w:marRight w:val="0"/>
              <w:marTop w:val="0"/>
              <w:marBottom w:val="0"/>
              <w:divBdr>
                <w:top w:val="none" w:sz="0" w:space="0" w:color="auto"/>
                <w:left w:val="none" w:sz="0" w:space="0" w:color="auto"/>
                <w:bottom w:val="none" w:sz="0" w:space="0" w:color="auto"/>
                <w:right w:val="none" w:sz="0" w:space="0" w:color="auto"/>
              </w:divBdr>
              <w:divsChild>
                <w:div w:id="6351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45472">
          <w:marLeft w:val="0"/>
          <w:marRight w:val="0"/>
          <w:marTop w:val="0"/>
          <w:marBottom w:val="0"/>
          <w:divBdr>
            <w:top w:val="none" w:sz="0" w:space="0" w:color="auto"/>
            <w:left w:val="none" w:sz="0" w:space="0" w:color="auto"/>
            <w:bottom w:val="none" w:sz="0" w:space="0" w:color="auto"/>
            <w:right w:val="none" w:sz="0" w:space="0" w:color="auto"/>
          </w:divBdr>
          <w:divsChild>
            <w:div w:id="1813475371">
              <w:marLeft w:val="0"/>
              <w:marRight w:val="0"/>
              <w:marTop w:val="0"/>
              <w:marBottom w:val="0"/>
              <w:divBdr>
                <w:top w:val="none" w:sz="0" w:space="0" w:color="auto"/>
                <w:left w:val="none" w:sz="0" w:space="0" w:color="auto"/>
                <w:bottom w:val="none" w:sz="0" w:space="0" w:color="auto"/>
                <w:right w:val="none" w:sz="0" w:space="0" w:color="auto"/>
              </w:divBdr>
              <w:divsChild>
                <w:div w:id="19552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257666">
          <w:marLeft w:val="0"/>
          <w:marRight w:val="0"/>
          <w:marTop w:val="0"/>
          <w:marBottom w:val="0"/>
          <w:divBdr>
            <w:top w:val="none" w:sz="0" w:space="0" w:color="auto"/>
            <w:left w:val="none" w:sz="0" w:space="0" w:color="auto"/>
            <w:bottom w:val="none" w:sz="0" w:space="0" w:color="auto"/>
            <w:right w:val="none" w:sz="0" w:space="0" w:color="auto"/>
          </w:divBdr>
          <w:divsChild>
            <w:div w:id="231546971">
              <w:marLeft w:val="0"/>
              <w:marRight w:val="0"/>
              <w:marTop w:val="0"/>
              <w:marBottom w:val="0"/>
              <w:divBdr>
                <w:top w:val="none" w:sz="0" w:space="0" w:color="auto"/>
                <w:left w:val="none" w:sz="0" w:space="0" w:color="auto"/>
                <w:bottom w:val="none" w:sz="0" w:space="0" w:color="auto"/>
                <w:right w:val="none" w:sz="0" w:space="0" w:color="auto"/>
              </w:divBdr>
              <w:divsChild>
                <w:div w:id="13984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4886">
          <w:marLeft w:val="0"/>
          <w:marRight w:val="0"/>
          <w:marTop w:val="0"/>
          <w:marBottom w:val="0"/>
          <w:divBdr>
            <w:top w:val="none" w:sz="0" w:space="0" w:color="auto"/>
            <w:left w:val="none" w:sz="0" w:space="0" w:color="auto"/>
            <w:bottom w:val="none" w:sz="0" w:space="0" w:color="auto"/>
            <w:right w:val="none" w:sz="0" w:space="0" w:color="auto"/>
          </w:divBdr>
          <w:divsChild>
            <w:div w:id="1878007889">
              <w:marLeft w:val="0"/>
              <w:marRight w:val="0"/>
              <w:marTop w:val="0"/>
              <w:marBottom w:val="0"/>
              <w:divBdr>
                <w:top w:val="none" w:sz="0" w:space="0" w:color="auto"/>
                <w:left w:val="none" w:sz="0" w:space="0" w:color="auto"/>
                <w:bottom w:val="none" w:sz="0" w:space="0" w:color="auto"/>
                <w:right w:val="none" w:sz="0" w:space="0" w:color="auto"/>
              </w:divBdr>
              <w:divsChild>
                <w:div w:id="19642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87485">
          <w:marLeft w:val="0"/>
          <w:marRight w:val="0"/>
          <w:marTop w:val="0"/>
          <w:marBottom w:val="0"/>
          <w:divBdr>
            <w:top w:val="none" w:sz="0" w:space="0" w:color="auto"/>
            <w:left w:val="none" w:sz="0" w:space="0" w:color="auto"/>
            <w:bottom w:val="none" w:sz="0" w:space="0" w:color="auto"/>
            <w:right w:val="none" w:sz="0" w:space="0" w:color="auto"/>
          </w:divBdr>
          <w:divsChild>
            <w:div w:id="974069070">
              <w:marLeft w:val="0"/>
              <w:marRight w:val="0"/>
              <w:marTop w:val="0"/>
              <w:marBottom w:val="0"/>
              <w:divBdr>
                <w:top w:val="none" w:sz="0" w:space="0" w:color="auto"/>
                <w:left w:val="none" w:sz="0" w:space="0" w:color="auto"/>
                <w:bottom w:val="none" w:sz="0" w:space="0" w:color="auto"/>
                <w:right w:val="none" w:sz="0" w:space="0" w:color="auto"/>
              </w:divBdr>
              <w:divsChild>
                <w:div w:id="18868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21359">
          <w:marLeft w:val="0"/>
          <w:marRight w:val="0"/>
          <w:marTop w:val="0"/>
          <w:marBottom w:val="0"/>
          <w:divBdr>
            <w:top w:val="none" w:sz="0" w:space="0" w:color="auto"/>
            <w:left w:val="none" w:sz="0" w:space="0" w:color="auto"/>
            <w:bottom w:val="none" w:sz="0" w:space="0" w:color="auto"/>
            <w:right w:val="none" w:sz="0" w:space="0" w:color="auto"/>
          </w:divBdr>
          <w:divsChild>
            <w:div w:id="1283271031">
              <w:marLeft w:val="0"/>
              <w:marRight w:val="0"/>
              <w:marTop w:val="0"/>
              <w:marBottom w:val="0"/>
              <w:divBdr>
                <w:top w:val="none" w:sz="0" w:space="0" w:color="auto"/>
                <w:left w:val="none" w:sz="0" w:space="0" w:color="auto"/>
                <w:bottom w:val="none" w:sz="0" w:space="0" w:color="auto"/>
                <w:right w:val="none" w:sz="0" w:space="0" w:color="auto"/>
              </w:divBdr>
              <w:divsChild>
                <w:div w:id="18472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1399">
          <w:marLeft w:val="0"/>
          <w:marRight w:val="0"/>
          <w:marTop w:val="0"/>
          <w:marBottom w:val="0"/>
          <w:divBdr>
            <w:top w:val="none" w:sz="0" w:space="0" w:color="auto"/>
            <w:left w:val="none" w:sz="0" w:space="0" w:color="auto"/>
            <w:bottom w:val="none" w:sz="0" w:space="0" w:color="auto"/>
            <w:right w:val="none" w:sz="0" w:space="0" w:color="auto"/>
          </w:divBdr>
          <w:divsChild>
            <w:div w:id="147405630">
              <w:marLeft w:val="0"/>
              <w:marRight w:val="0"/>
              <w:marTop w:val="0"/>
              <w:marBottom w:val="0"/>
              <w:divBdr>
                <w:top w:val="none" w:sz="0" w:space="0" w:color="auto"/>
                <w:left w:val="none" w:sz="0" w:space="0" w:color="auto"/>
                <w:bottom w:val="none" w:sz="0" w:space="0" w:color="auto"/>
                <w:right w:val="none" w:sz="0" w:space="0" w:color="auto"/>
              </w:divBdr>
              <w:divsChild>
                <w:div w:id="21403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6996">
          <w:marLeft w:val="0"/>
          <w:marRight w:val="0"/>
          <w:marTop w:val="0"/>
          <w:marBottom w:val="0"/>
          <w:divBdr>
            <w:top w:val="none" w:sz="0" w:space="0" w:color="auto"/>
            <w:left w:val="none" w:sz="0" w:space="0" w:color="auto"/>
            <w:bottom w:val="none" w:sz="0" w:space="0" w:color="auto"/>
            <w:right w:val="none" w:sz="0" w:space="0" w:color="auto"/>
          </w:divBdr>
          <w:divsChild>
            <w:div w:id="1451775565">
              <w:marLeft w:val="0"/>
              <w:marRight w:val="0"/>
              <w:marTop w:val="0"/>
              <w:marBottom w:val="0"/>
              <w:divBdr>
                <w:top w:val="none" w:sz="0" w:space="0" w:color="auto"/>
                <w:left w:val="none" w:sz="0" w:space="0" w:color="auto"/>
                <w:bottom w:val="none" w:sz="0" w:space="0" w:color="auto"/>
                <w:right w:val="none" w:sz="0" w:space="0" w:color="auto"/>
              </w:divBdr>
              <w:divsChild>
                <w:div w:id="13581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4224">
          <w:marLeft w:val="0"/>
          <w:marRight w:val="0"/>
          <w:marTop w:val="0"/>
          <w:marBottom w:val="0"/>
          <w:divBdr>
            <w:top w:val="none" w:sz="0" w:space="0" w:color="auto"/>
            <w:left w:val="none" w:sz="0" w:space="0" w:color="auto"/>
            <w:bottom w:val="none" w:sz="0" w:space="0" w:color="auto"/>
            <w:right w:val="none" w:sz="0" w:space="0" w:color="auto"/>
          </w:divBdr>
          <w:divsChild>
            <w:div w:id="1063142384">
              <w:marLeft w:val="0"/>
              <w:marRight w:val="0"/>
              <w:marTop w:val="0"/>
              <w:marBottom w:val="0"/>
              <w:divBdr>
                <w:top w:val="none" w:sz="0" w:space="0" w:color="auto"/>
                <w:left w:val="none" w:sz="0" w:space="0" w:color="auto"/>
                <w:bottom w:val="none" w:sz="0" w:space="0" w:color="auto"/>
                <w:right w:val="none" w:sz="0" w:space="0" w:color="auto"/>
              </w:divBdr>
              <w:divsChild>
                <w:div w:id="4925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9557">
          <w:marLeft w:val="0"/>
          <w:marRight w:val="0"/>
          <w:marTop w:val="0"/>
          <w:marBottom w:val="0"/>
          <w:divBdr>
            <w:top w:val="none" w:sz="0" w:space="0" w:color="auto"/>
            <w:left w:val="none" w:sz="0" w:space="0" w:color="auto"/>
            <w:bottom w:val="none" w:sz="0" w:space="0" w:color="auto"/>
            <w:right w:val="none" w:sz="0" w:space="0" w:color="auto"/>
          </w:divBdr>
          <w:divsChild>
            <w:div w:id="1714311206">
              <w:marLeft w:val="0"/>
              <w:marRight w:val="0"/>
              <w:marTop w:val="0"/>
              <w:marBottom w:val="0"/>
              <w:divBdr>
                <w:top w:val="none" w:sz="0" w:space="0" w:color="auto"/>
                <w:left w:val="none" w:sz="0" w:space="0" w:color="auto"/>
                <w:bottom w:val="none" w:sz="0" w:space="0" w:color="auto"/>
                <w:right w:val="none" w:sz="0" w:space="0" w:color="auto"/>
              </w:divBdr>
              <w:divsChild>
                <w:div w:id="6117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495">
          <w:marLeft w:val="0"/>
          <w:marRight w:val="0"/>
          <w:marTop w:val="0"/>
          <w:marBottom w:val="0"/>
          <w:divBdr>
            <w:top w:val="none" w:sz="0" w:space="0" w:color="auto"/>
            <w:left w:val="none" w:sz="0" w:space="0" w:color="auto"/>
            <w:bottom w:val="none" w:sz="0" w:space="0" w:color="auto"/>
            <w:right w:val="none" w:sz="0" w:space="0" w:color="auto"/>
          </w:divBdr>
          <w:divsChild>
            <w:div w:id="456948711">
              <w:marLeft w:val="0"/>
              <w:marRight w:val="0"/>
              <w:marTop w:val="0"/>
              <w:marBottom w:val="0"/>
              <w:divBdr>
                <w:top w:val="none" w:sz="0" w:space="0" w:color="auto"/>
                <w:left w:val="none" w:sz="0" w:space="0" w:color="auto"/>
                <w:bottom w:val="none" w:sz="0" w:space="0" w:color="auto"/>
                <w:right w:val="none" w:sz="0" w:space="0" w:color="auto"/>
              </w:divBdr>
              <w:divsChild>
                <w:div w:id="1040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9394">
          <w:marLeft w:val="0"/>
          <w:marRight w:val="0"/>
          <w:marTop w:val="0"/>
          <w:marBottom w:val="0"/>
          <w:divBdr>
            <w:top w:val="none" w:sz="0" w:space="0" w:color="auto"/>
            <w:left w:val="none" w:sz="0" w:space="0" w:color="auto"/>
            <w:bottom w:val="none" w:sz="0" w:space="0" w:color="auto"/>
            <w:right w:val="none" w:sz="0" w:space="0" w:color="auto"/>
          </w:divBdr>
          <w:divsChild>
            <w:div w:id="468672048">
              <w:marLeft w:val="0"/>
              <w:marRight w:val="0"/>
              <w:marTop w:val="0"/>
              <w:marBottom w:val="0"/>
              <w:divBdr>
                <w:top w:val="none" w:sz="0" w:space="0" w:color="auto"/>
                <w:left w:val="none" w:sz="0" w:space="0" w:color="auto"/>
                <w:bottom w:val="none" w:sz="0" w:space="0" w:color="auto"/>
                <w:right w:val="none" w:sz="0" w:space="0" w:color="auto"/>
              </w:divBdr>
              <w:divsChild>
                <w:div w:id="21235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68001">
      <w:bodyDiv w:val="1"/>
      <w:marLeft w:val="0"/>
      <w:marRight w:val="0"/>
      <w:marTop w:val="0"/>
      <w:marBottom w:val="0"/>
      <w:divBdr>
        <w:top w:val="none" w:sz="0" w:space="0" w:color="auto"/>
        <w:left w:val="none" w:sz="0" w:space="0" w:color="auto"/>
        <w:bottom w:val="none" w:sz="0" w:space="0" w:color="auto"/>
        <w:right w:val="none" w:sz="0" w:space="0" w:color="auto"/>
      </w:divBdr>
      <w:divsChild>
        <w:div w:id="8070989">
          <w:marLeft w:val="0"/>
          <w:marRight w:val="0"/>
          <w:marTop w:val="0"/>
          <w:marBottom w:val="0"/>
          <w:divBdr>
            <w:top w:val="none" w:sz="0" w:space="0" w:color="auto"/>
            <w:left w:val="none" w:sz="0" w:space="0" w:color="auto"/>
            <w:bottom w:val="none" w:sz="0" w:space="0" w:color="auto"/>
            <w:right w:val="none" w:sz="0" w:space="0" w:color="auto"/>
          </w:divBdr>
          <w:divsChild>
            <w:div w:id="415058882">
              <w:marLeft w:val="0"/>
              <w:marRight w:val="0"/>
              <w:marTop w:val="0"/>
              <w:marBottom w:val="0"/>
              <w:divBdr>
                <w:top w:val="none" w:sz="0" w:space="0" w:color="auto"/>
                <w:left w:val="none" w:sz="0" w:space="0" w:color="auto"/>
                <w:bottom w:val="none" w:sz="0" w:space="0" w:color="auto"/>
                <w:right w:val="none" w:sz="0" w:space="0" w:color="auto"/>
              </w:divBdr>
              <w:divsChild>
                <w:div w:id="13675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014">
          <w:marLeft w:val="0"/>
          <w:marRight w:val="0"/>
          <w:marTop w:val="0"/>
          <w:marBottom w:val="0"/>
          <w:divBdr>
            <w:top w:val="none" w:sz="0" w:space="0" w:color="auto"/>
            <w:left w:val="none" w:sz="0" w:space="0" w:color="auto"/>
            <w:bottom w:val="none" w:sz="0" w:space="0" w:color="auto"/>
            <w:right w:val="none" w:sz="0" w:space="0" w:color="auto"/>
          </w:divBdr>
          <w:divsChild>
            <w:div w:id="1088311438">
              <w:marLeft w:val="0"/>
              <w:marRight w:val="0"/>
              <w:marTop w:val="0"/>
              <w:marBottom w:val="0"/>
              <w:divBdr>
                <w:top w:val="none" w:sz="0" w:space="0" w:color="auto"/>
                <w:left w:val="none" w:sz="0" w:space="0" w:color="auto"/>
                <w:bottom w:val="none" w:sz="0" w:space="0" w:color="auto"/>
                <w:right w:val="none" w:sz="0" w:space="0" w:color="auto"/>
              </w:divBdr>
              <w:divsChild>
                <w:div w:id="9868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1530">
          <w:marLeft w:val="0"/>
          <w:marRight w:val="0"/>
          <w:marTop w:val="0"/>
          <w:marBottom w:val="0"/>
          <w:divBdr>
            <w:top w:val="none" w:sz="0" w:space="0" w:color="auto"/>
            <w:left w:val="none" w:sz="0" w:space="0" w:color="auto"/>
            <w:bottom w:val="none" w:sz="0" w:space="0" w:color="auto"/>
            <w:right w:val="none" w:sz="0" w:space="0" w:color="auto"/>
          </w:divBdr>
          <w:divsChild>
            <w:div w:id="2078044538">
              <w:marLeft w:val="0"/>
              <w:marRight w:val="0"/>
              <w:marTop w:val="0"/>
              <w:marBottom w:val="0"/>
              <w:divBdr>
                <w:top w:val="none" w:sz="0" w:space="0" w:color="auto"/>
                <w:left w:val="none" w:sz="0" w:space="0" w:color="auto"/>
                <w:bottom w:val="none" w:sz="0" w:space="0" w:color="auto"/>
                <w:right w:val="none" w:sz="0" w:space="0" w:color="auto"/>
              </w:divBdr>
              <w:divsChild>
                <w:div w:id="7816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56034">
          <w:marLeft w:val="0"/>
          <w:marRight w:val="0"/>
          <w:marTop w:val="0"/>
          <w:marBottom w:val="0"/>
          <w:divBdr>
            <w:top w:val="none" w:sz="0" w:space="0" w:color="auto"/>
            <w:left w:val="none" w:sz="0" w:space="0" w:color="auto"/>
            <w:bottom w:val="none" w:sz="0" w:space="0" w:color="auto"/>
            <w:right w:val="none" w:sz="0" w:space="0" w:color="auto"/>
          </w:divBdr>
          <w:divsChild>
            <w:div w:id="2053458639">
              <w:marLeft w:val="0"/>
              <w:marRight w:val="0"/>
              <w:marTop w:val="0"/>
              <w:marBottom w:val="0"/>
              <w:divBdr>
                <w:top w:val="none" w:sz="0" w:space="0" w:color="auto"/>
                <w:left w:val="none" w:sz="0" w:space="0" w:color="auto"/>
                <w:bottom w:val="none" w:sz="0" w:space="0" w:color="auto"/>
                <w:right w:val="none" w:sz="0" w:space="0" w:color="auto"/>
              </w:divBdr>
              <w:divsChild>
                <w:div w:id="7374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1964">
          <w:marLeft w:val="0"/>
          <w:marRight w:val="0"/>
          <w:marTop w:val="0"/>
          <w:marBottom w:val="0"/>
          <w:divBdr>
            <w:top w:val="none" w:sz="0" w:space="0" w:color="auto"/>
            <w:left w:val="none" w:sz="0" w:space="0" w:color="auto"/>
            <w:bottom w:val="none" w:sz="0" w:space="0" w:color="auto"/>
            <w:right w:val="none" w:sz="0" w:space="0" w:color="auto"/>
          </w:divBdr>
          <w:divsChild>
            <w:div w:id="511266598">
              <w:marLeft w:val="0"/>
              <w:marRight w:val="0"/>
              <w:marTop w:val="0"/>
              <w:marBottom w:val="0"/>
              <w:divBdr>
                <w:top w:val="none" w:sz="0" w:space="0" w:color="auto"/>
                <w:left w:val="none" w:sz="0" w:space="0" w:color="auto"/>
                <w:bottom w:val="none" w:sz="0" w:space="0" w:color="auto"/>
                <w:right w:val="none" w:sz="0" w:space="0" w:color="auto"/>
              </w:divBdr>
              <w:divsChild>
                <w:div w:id="10091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3550">
          <w:marLeft w:val="0"/>
          <w:marRight w:val="0"/>
          <w:marTop w:val="0"/>
          <w:marBottom w:val="0"/>
          <w:divBdr>
            <w:top w:val="none" w:sz="0" w:space="0" w:color="auto"/>
            <w:left w:val="none" w:sz="0" w:space="0" w:color="auto"/>
            <w:bottom w:val="none" w:sz="0" w:space="0" w:color="auto"/>
            <w:right w:val="none" w:sz="0" w:space="0" w:color="auto"/>
          </w:divBdr>
          <w:divsChild>
            <w:div w:id="1142890145">
              <w:marLeft w:val="0"/>
              <w:marRight w:val="0"/>
              <w:marTop w:val="0"/>
              <w:marBottom w:val="0"/>
              <w:divBdr>
                <w:top w:val="none" w:sz="0" w:space="0" w:color="auto"/>
                <w:left w:val="none" w:sz="0" w:space="0" w:color="auto"/>
                <w:bottom w:val="none" w:sz="0" w:space="0" w:color="auto"/>
                <w:right w:val="none" w:sz="0" w:space="0" w:color="auto"/>
              </w:divBdr>
              <w:divsChild>
                <w:div w:id="1243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0350">
          <w:marLeft w:val="0"/>
          <w:marRight w:val="0"/>
          <w:marTop w:val="0"/>
          <w:marBottom w:val="0"/>
          <w:divBdr>
            <w:top w:val="none" w:sz="0" w:space="0" w:color="auto"/>
            <w:left w:val="none" w:sz="0" w:space="0" w:color="auto"/>
            <w:bottom w:val="none" w:sz="0" w:space="0" w:color="auto"/>
            <w:right w:val="none" w:sz="0" w:space="0" w:color="auto"/>
          </w:divBdr>
          <w:divsChild>
            <w:div w:id="116460149">
              <w:marLeft w:val="0"/>
              <w:marRight w:val="0"/>
              <w:marTop w:val="0"/>
              <w:marBottom w:val="0"/>
              <w:divBdr>
                <w:top w:val="none" w:sz="0" w:space="0" w:color="auto"/>
                <w:left w:val="none" w:sz="0" w:space="0" w:color="auto"/>
                <w:bottom w:val="none" w:sz="0" w:space="0" w:color="auto"/>
                <w:right w:val="none" w:sz="0" w:space="0" w:color="auto"/>
              </w:divBdr>
              <w:divsChild>
                <w:div w:id="204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79533">
          <w:marLeft w:val="0"/>
          <w:marRight w:val="0"/>
          <w:marTop w:val="0"/>
          <w:marBottom w:val="0"/>
          <w:divBdr>
            <w:top w:val="none" w:sz="0" w:space="0" w:color="auto"/>
            <w:left w:val="none" w:sz="0" w:space="0" w:color="auto"/>
            <w:bottom w:val="none" w:sz="0" w:space="0" w:color="auto"/>
            <w:right w:val="none" w:sz="0" w:space="0" w:color="auto"/>
          </w:divBdr>
          <w:divsChild>
            <w:div w:id="1701666193">
              <w:marLeft w:val="0"/>
              <w:marRight w:val="0"/>
              <w:marTop w:val="0"/>
              <w:marBottom w:val="0"/>
              <w:divBdr>
                <w:top w:val="none" w:sz="0" w:space="0" w:color="auto"/>
                <w:left w:val="none" w:sz="0" w:space="0" w:color="auto"/>
                <w:bottom w:val="none" w:sz="0" w:space="0" w:color="auto"/>
                <w:right w:val="none" w:sz="0" w:space="0" w:color="auto"/>
              </w:divBdr>
              <w:divsChild>
                <w:div w:id="14416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629">
          <w:marLeft w:val="0"/>
          <w:marRight w:val="0"/>
          <w:marTop w:val="0"/>
          <w:marBottom w:val="0"/>
          <w:divBdr>
            <w:top w:val="none" w:sz="0" w:space="0" w:color="auto"/>
            <w:left w:val="none" w:sz="0" w:space="0" w:color="auto"/>
            <w:bottom w:val="none" w:sz="0" w:space="0" w:color="auto"/>
            <w:right w:val="none" w:sz="0" w:space="0" w:color="auto"/>
          </w:divBdr>
          <w:divsChild>
            <w:div w:id="2035112724">
              <w:marLeft w:val="0"/>
              <w:marRight w:val="0"/>
              <w:marTop w:val="0"/>
              <w:marBottom w:val="0"/>
              <w:divBdr>
                <w:top w:val="none" w:sz="0" w:space="0" w:color="auto"/>
                <w:left w:val="none" w:sz="0" w:space="0" w:color="auto"/>
                <w:bottom w:val="none" w:sz="0" w:space="0" w:color="auto"/>
                <w:right w:val="none" w:sz="0" w:space="0" w:color="auto"/>
              </w:divBdr>
              <w:divsChild>
                <w:div w:id="19286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0282">
          <w:marLeft w:val="0"/>
          <w:marRight w:val="0"/>
          <w:marTop w:val="0"/>
          <w:marBottom w:val="0"/>
          <w:divBdr>
            <w:top w:val="none" w:sz="0" w:space="0" w:color="auto"/>
            <w:left w:val="none" w:sz="0" w:space="0" w:color="auto"/>
            <w:bottom w:val="none" w:sz="0" w:space="0" w:color="auto"/>
            <w:right w:val="none" w:sz="0" w:space="0" w:color="auto"/>
          </w:divBdr>
          <w:divsChild>
            <w:div w:id="1043555583">
              <w:marLeft w:val="0"/>
              <w:marRight w:val="0"/>
              <w:marTop w:val="0"/>
              <w:marBottom w:val="0"/>
              <w:divBdr>
                <w:top w:val="none" w:sz="0" w:space="0" w:color="auto"/>
                <w:left w:val="none" w:sz="0" w:space="0" w:color="auto"/>
                <w:bottom w:val="none" w:sz="0" w:space="0" w:color="auto"/>
                <w:right w:val="none" w:sz="0" w:space="0" w:color="auto"/>
              </w:divBdr>
              <w:divsChild>
                <w:div w:id="1173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3212">
          <w:marLeft w:val="0"/>
          <w:marRight w:val="0"/>
          <w:marTop w:val="0"/>
          <w:marBottom w:val="0"/>
          <w:divBdr>
            <w:top w:val="none" w:sz="0" w:space="0" w:color="auto"/>
            <w:left w:val="none" w:sz="0" w:space="0" w:color="auto"/>
            <w:bottom w:val="none" w:sz="0" w:space="0" w:color="auto"/>
            <w:right w:val="none" w:sz="0" w:space="0" w:color="auto"/>
          </w:divBdr>
          <w:divsChild>
            <w:div w:id="768626855">
              <w:marLeft w:val="0"/>
              <w:marRight w:val="0"/>
              <w:marTop w:val="0"/>
              <w:marBottom w:val="0"/>
              <w:divBdr>
                <w:top w:val="none" w:sz="0" w:space="0" w:color="auto"/>
                <w:left w:val="none" w:sz="0" w:space="0" w:color="auto"/>
                <w:bottom w:val="none" w:sz="0" w:space="0" w:color="auto"/>
                <w:right w:val="none" w:sz="0" w:space="0" w:color="auto"/>
              </w:divBdr>
              <w:divsChild>
                <w:div w:id="4567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1496">
          <w:marLeft w:val="0"/>
          <w:marRight w:val="0"/>
          <w:marTop w:val="0"/>
          <w:marBottom w:val="0"/>
          <w:divBdr>
            <w:top w:val="none" w:sz="0" w:space="0" w:color="auto"/>
            <w:left w:val="none" w:sz="0" w:space="0" w:color="auto"/>
            <w:bottom w:val="none" w:sz="0" w:space="0" w:color="auto"/>
            <w:right w:val="none" w:sz="0" w:space="0" w:color="auto"/>
          </w:divBdr>
          <w:divsChild>
            <w:div w:id="879903634">
              <w:marLeft w:val="0"/>
              <w:marRight w:val="0"/>
              <w:marTop w:val="0"/>
              <w:marBottom w:val="0"/>
              <w:divBdr>
                <w:top w:val="none" w:sz="0" w:space="0" w:color="auto"/>
                <w:left w:val="none" w:sz="0" w:space="0" w:color="auto"/>
                <w:bottom w:val="none" w:sz="0" w:space="0" w:color="auto"/>
                <w:right w:val="none" w:sz="0" w:space="0" w:color="auto"/>
              </w:divBdr>
              <w:divsChild>
                <w:div w:id="12301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7888">
          <w:marLeft w:val="0"/>
          <w:marRight w:val="0"/>
          <w:marTop w:val="0"/>
          <w:marBottom w:val="0"/>
          <w:divBdr>
            <w:top w:val="none" w:sz="0" w:space="0" w:color="auto"/>
            <w:left w:val="none" w:sz="0" w:space="0" w:color="auto"/>
            <w:bottom w:val="none" w:sz="0" w:space="0" w:color="auto"/>
            <w:right w:val="none" w:sz="0" w:space="0" w:color="auto"/>
          </w:divBdr>
          <w:divsChild>
            <w:div w:id="1259558977">
              <w:marLeft w:val="0"/>
              <w:marRight w:val="0"/>
              <w:marTop w:val="0"/>
              <w:marBottom w:val="0"/>
              <w:divBdr>
                <w:top w:val="none" w:sz="0" w:space="0" w:color="auto"/>
                <w:left w:val="none" w:sz="0" w:space="0" w:color="auto"/>
                <w:bottom w:val="none" w:sz="0" w:space="0" w:color="auto"/>
                <w:right w:val="none" w:sz="0" w:space="0" w:color="auto"/>
              </w:divBdr>
              <w:divsChild>
                <w:div w:id="186832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98988">
          <w:marLeft w:val="0"/>
          <w:marRight w:val="0"/>
          <w:marTop w:val="0"/>
          <w:marBottom w:val="0"/>
          <w:divBdr>
            <w:top w:val="none" w:sz="0" w:space="0" w:color="auto"/>
            <w:left w:val="none" w:sz="0" w:space="0" w:color="auto"/>
            <w:bottom w:val="none" w:sz="0" w:space="0" w:color="auto"/>
            <w:right w:val="none" w:sz="0" w:space="0" w:color="auto"/>
          </w:divBdr>
          <w:divsChild>
            <w:div w:id="989408205">
              <w:marLeft w:val="0"/>
              <w:marRight w:val="0"/>
              <w:marTop w:val="0"/>
              <w:marBottom w:val="0"/>
              <w:divBdr>
                <w:top w:val="none" w:sz="0" w:space="0" w:color="auto"/>
                <w:left w:val="none" w:sz="0" w:space="0" w:color="auto"/>
                <w:bottom w:val="none" w:sz="0" w:space="0" w:color="auto"/>
                <w:right w:val="none" w:sz="0" w:space="0" w:color="auto"/>
              </w:divBdr>
              <w:divsChild>
                <w:div w:id="27506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03155">
          <w:marLeft w:val="0"/>
          <w:marRight w:val="0"/>
          <w:marTop w:val="0"/>
          <w:marBottom w:val="0"/>
          <w:divBdr>
            <w:top w:val="none" w:sz="0" w:space="0" w:color="auto"/>
            <w:left w:val="none" w:sz="0" w:space="0" w:color="auto"/>
            <w:bottom w:val="none" w:sz="0" w:space="0" w:color="auto"/>
            <w:right w:val="none" w:sz="0" w:space="0" w:color="auto"/>
          </w:divBdr>
          <w:divsChild>
            <w:div w:id="957687253">
              <w:marLeft w:val="0"/>
              <w:marRight w:val="0"/>
              <w:marTop w:val="0"/>
              <w:marBottom w:val="0"/>
              <w:divBdr>
                <w:top w:val="none" w:sz="0" w:space="0" w:color="auto"/>
                <w:left w:val="none" w:sz="0" w:space="0" w:color="auto"/>
                <w:bottom w:val="none" w:sz="0" w:space="0" w:color="auto"/>
                <w:right w:val="none" w:sz="0" w:space="0" w:color="auto"/>
              </w:divBdr>
              <w:divsChild>
                <w:div w:id="11968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78576">
      <w:bodyDiv w:val="1"/>
      <w:marLeft w:val="0"/>
      <w:marRight w:val="0"/>
      <w:marTop w:val="0"/>
      <w:marBottom w:val="0"/>
      <w:divBdr>
        <w:top w:val="none" w:sz="0" w:space="0" w:color="auto"/>
        <w:left w:val="none" w:sz="0" w:space="0" w:color="auto"/>
        <w:bottom w:val="none" w:sz="0" w:space="0" w:color="auto"/>
        <w:right w:val="none" w:sz="0" w:space="0" w:color="auto"/>
      </w:divBdr>
    </w:div>
    <w:div w:id="1129009422">
      <w:bodyDiv w:val="1"/>
      <w:marLeft w:val="0"/>
      <w:marRight w:val="0"/>
      <w:marTop w:val="0"/>
      <w:marBottom w:val="0"/>
      <w:divBdr>
        <w:top w:val="none" w:sz="0" w:space="0" w:color="auto"/>
        <w:left w:val="none" w:sz="0" w:space="0" w:color="auto"/>
        <w:bottom w:val="none" w:sz="0" w:space="0" w:color="auto"/>
        <w:right w:val="none" w:sz="0" w:space="0" w:color="auto"/>
      </w:divBdr>
      <w:divsChild>
        <w:div w:id="993409019">
          <w:marLeft w:val="0"/>
          <w:marRight w:val="0"/>
          <w:marTop w:val="0"/>
          <w:marBottom w:val="0"/>
          <w:divBdr>
            <w:top w:val="none" w:sz="0" w:space="0" w:color="auto"/>
            <w:left w:val="none" w:sz="0" w:space="0" w:color="auto"/>
            <w:bottom w:val="none" w:sz="0" w:space="0" w:color="auto"/>
            <w:right w:val="none" w:sz="0" w:space="0" w:color="auto"/>
          </w:divBdr>
          <w:divsChild>
            <w:div w:id="518083341">
              <w:marLeft w:val="0"/>
              <w:marRight w:val="0"/>
              <w:marTop w:val="0"/>
              <w:marBottom w:val="0"/>
              <w:divBdr>
                <w:top w:val="none" w:sz="0" w:space="0" w:color="auto"/>
                <w:left w:val="none" w:sz="0" w:space="0" w:color="auto"/>
                <w:bottom w:val="none" w:sz="0" w:space="0" w:color="auto"/>
                <w:right w:val="none" w:sz="0" w:space="0" w:color="auto"/>
              </w:divBdr>
            </w:div>
          </w:divsChild>
        </w:div>
        <w:div w:id="1652366571">
          <w:marLeft w:val="0"/>
          <w:marRight w:val="0"/>
          <w:marTop w:val="0"/>
          <w:marBottom w:val="0"/>
          <w:divBdr>
            <w:top w:val="none" w:sz="0" w:space="0" w:color="auto"/>
            <w:left w:val="none" w:sz="0" w:space="0" w:color="auto"/>
            <w:bottom w:val="none" w:sz="0" w:space="0" w:color="auto"/>
            <w:right w:val="none" w:sz="0" w:space="0" w:color="auto"/>
          </w:divBdr>
          <w:divsChild>
            <w:div w:id="560289624">
              <w:marLeft w:val="0"/>
              <w:marRight w:val="0"/>
              <w:marTop w:val="0"/>
              <w:marBottom w:val="0"/>
              <w:divBdr>
                <w:top w:val="none" w:sz="0" w:space="0" w:color="auto"/>
                <w:left w:val="none" w:sz="0" w:space="0" w:color="auto"/>
                <w:bottom w:val="none" w:sz="0" w:space="0" w:color="auto"/>
                <w:right w:val="none" w:sz="0" w:space="0" w:color="auto"/>
              </w:divBdr>
            </w:div>
          </w:divsChild>
        </w:div>
        <w:div w:id="1992246808">
          <w:marLeft w:val="0"/>
          <w:marRight w:val="0"/>
          <w:marTop w:val="0"/>
          <w:marBottom w:val="0"/>
          <w:divBdr>
            <w:top w:val="none" w:sz="0" w:space="0" w:color="auto"/>
            <w:left w:val="none" w:sz="0" w:space="0" w:color="auto"/>
            <w:bottom w:val="none" w:sz="0" w:space="0" w:color="auto"/>
            <w:right w:val="none" w:sz="0" w:space="0" w:color="auto"/>
          </w:divBdr>
          <w:divsChild>
            <w:div w:id="780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02092771">
      <w:bodyDiv w:val="1"/>
      <w:marLeft w:val="0"/>
      <w:marRight w:val="0"/>
      <w:marTop w:val="0"/>
      <w:marBottom w:val="0"/>
      <w:divBdr>
        <w:top w:val="none" w:sz="0" w:space="0" w:color="auto"/>
        <w:left w:val="none" w:sz="0" w:space="0" w:color="auto"/>
        <w:bottom w:val="none" w:sz="0" w:space="0" w:color="auto"/>
        <w:right w:val="none" w:sz="0" w:space="0" w:color="auto"/>
      </w:divBdr>
    </w:div>
    <w:div w:id="1241254925">
      <w:bodyDiv w:val="1"/>
      <w:marLeft w:val="0"/>
      <w:marRight w:val="0"/>
      <w:marTop w:val="0"/>
      <w:marBottom w:val="0"/>
      <w:divBdr>
        <w:top w:val="none" w:sz="0" w:space="0" w:color="auto"/>
        <w:left w:val="none" w:sz="0" w:space="0" w:color="auto"/>
        <w:bottom w:val="none" w:sz="0" w:space="0" w:color="auto"/>
        <w:right w:val="none" w:sz="0" w:space="0" w:color="auto"/>
      </w:divBdr>
      <w:divsChild>
        <w:div w:id="627050086">
          <w:marLeft w:val="0"/>
          <w:marRight w:val="0"/>
          <w:marTop w:val="0"/>
          <w:marBottom w:val="0"/>
          <w:divBdr>
            <w:top w:val="none" w:sz="0" w:space="0" w:color="auto"/>
            <w:left w:val="none" w:sz="0" w:space="0" w:color="auto"/>
            <w:bottom w:val="none" w:sz="0" w:space="0" w:color="auto"/>
            <w:right w:val="none" w:sz="0" w:space="0" w:color="auto"/>
          </w:divBdr>
          <w:divsChild>
            <w:div w:id="2000427571">
              <w:marLeft w:val="0"/>
              <w:marRight w:val="0"/>
              <w:marTop w:val="0"/>
              <w:marBottom w:val="0"/>
              <w:divBdr>
                <w:top w:val="none" w:sz="0" w:space="0" w:color="auto"/>
                <w:left w:val="none" w:sz="0" w:space="0" w:color="auto"/>
                <w:bottom w:val="none" w:sz="0" w:space="0" w:color="auto"/>
                <w:right w:val="none" w:sz="0" w:space="0" w:color="auto"/>
              </w:divBdr>
              <w:divsChild>
                <w:div w:id="18179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4413">
          <w:marLeft w:val="0"/>
          <w:marRight w:val="0"/>
          <w:marTop w:val="0"/>
          <w:marBottom w:val="0"/>
          <w:divBdr>
            <w:top w:val="none" w:sz="0" w:space="0" w:color="auto"/>
            <w:left w:val="none" w:sz="0" w:space="0" w:color="auto"/>
            <w:bottom w:val="none" w:sz="0" w:space="0" w:color="auto"/>
            <w:right w:val="none" w:sz="0" w:space="0" w:color="auto"/>
          </w:divBdr>
          <w:divsChild>
            <w:div w:id="976910736">
              <w:marLeft w:val="0"/>
              <w:marRight w:val="0"/>
              <w:marTop w:val="0"/>
              <w:marBottom w:val="0"/>
              <w:divBdr>
                <w:top w:val="none" w:sz="0" w:space="0" w:color="auto"/>
                <w:left w:val="none" w:sz="0" w:space="0" w:color="auto"/>
                <w:bottom w:val="none" w:sz="0" w:space="0" w:color="auto"/>
                <w:right w:val="none" w:sz="0" w:space="0" w:color="auto"/>
              </w:divBdr>
              <w:divsChild>
                <w:div w:id="18502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51213">
          <w:marLeft w:val="0"/>
          <w:marRight w:val="0"/>
          <w:marTop w:val="0"/>
          <w:marBottom w:val="0"/>
          <w:divBdr>
            <w:top w:val="none" w:sz="0" w:space="0" w:color="auto"/>
            <w:left w:val="none" w:sz="0" w:space="0" w:color="auto"/>
            <w:bottom w:val="none" w:sz="0" w:space="0" w:color="auto"/>
            <w:right w:val="none" w:sz="0" w:space="0" w:color="auto"/>
          </w:divBdr>
          <w:divsChild>
            <w:div w:id="351036809">
              <w:marLeft w:val="0"/>
              <w:marRight w:val="0"/>
              <w:marTop w:val="0"/>
              <w:marBottom w:val="0"/>
              <w:divBdr>
                <w:top w:val="none" w:sz="0" w:space="0" w:color="auto"/>
                <w:left w:val="none" w:sz="0" w:space="0" w:color="auto"/>
                <w:bottom w:val="none" w:sz="0" w:space="0" w:color="auto"/>
                <w:right w:val="none" w:sz="0" w:space="0" w:color="auto"/>
              </w:divBdr>
              <w:divsChild>
                <w:div w:id="24407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6205">
          <w:marLeft w:val="0"/>
          <w:marRight w:val="0"/>
          <w:marTop w:val="0"/>
          <w:marBottom w:val="0"/>
          <w:divBdr>
            <w:top w:val="none" w:sz="0" w:space="0" w:color="auto"/>
            <w:left w:val="none" w:sz="0" w:space="0" w:color="auto"/>
            <w:bottom w:val="none" w:sz="0" w:space="0" w:color="auto"/>
            <w:right w:val="none" w:sz="0" w:space="0" w:color="auto"/>
          </w:divBdr>
          <w:divsChild>
            <w:div w:id="1596014145">
              <w:marLeft w:val="0"/>
              <w:marRight w:val="0"/>
              <w:marTop w:val="0"/>
              <w:marBottom w:val="0"/>
              <w:divBdr>
                <w:top w:val="none" w:sz="0" w:space="0" w:color="auto"/>
                <w:left w:val="none" w:sz="0" w:space="0" w:color="auto"/>
                <w:bottom w:val="none" w:sz="0" w:space="0" w:color="auto"/>
                <w:right w:val="none" w:sz="0" w:space="0" w:color="auto"/>
              </w:divBdr>
              <w:divsChild>
                <w:div w:id="16258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7689">
          <w:marLeft w:val="0"/>
          <w:marRight w:val="0"/>
          <w:marTop w:val="0"/>
          <w:marBottom w:val="0"/>
          <w:divBdr>
            <w:top w:val="none" w:sz="0" w:space="0" w:color="auto"/>
            <w:left w:val="none" w:sz="0" w:space="0" w:color="auto"/>
            <w:bottom w:val="none" w:sz="0" w:space="0" w:color="auto"/>
            <w:right w:val="none" w:sz="0" w:space="0" w:color="auto"/>
          </w:divBdr>
          <w:divsChild>
            <w:div w:id="1082797398">
              <w:marLeft w:val="0"/>
              <w:marRight w:val="0"/>
              <w:marTop w:val="0"/>
              <w:marBottom w:val="0"/>
              <w:divBdr>
                <w:top w:val="none" w:sz="0" w:space="0" w:color="auto"/>
                <w:left w:val="none" w:sz="0" w:space="0" w:color="auto"/>
                <w:bottom w:val="none" w:sz="0" w:space="0" w:color="auto"/>
                <w:right w:val="none" w:sz="0" w:space="0" w:color="auto"/>
              </w:divBdr>
              <w:divsChild>
                <w:div w:id="6008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30544">
          <w:marLeft w:val="0"/>
          <w:marRight w:val="0"/>
          <w:marTop w:val="0"/>
          <w:marBottom w:val="0"/>
          <w:divBdr>
            <w:top w:val="none" w:sz="0" w:space="0" w:color="auto"/>
            <w:left w:val="none" w:sz="0" w:space="0" w:color="auto"/>
            <w:bottom w:val="none" w:sz="0" w:space="0" w:color="auto"/>
            <w:right w:val="none" w:sz="0" w:space="0" w:color="auto"/>
          </w:divBdr>
          <w:divsChild>
            <w:div w:id="2001039871">
              <w:marLeft w:val="0"/>
              <w:marRight w:val="0"/>
              <w:marTop w:val="0"/>
              <w:marBottom w:val="0"/>
              <w:divBdr>
                <w:top w:val="none" w:sz="0" w:space="0" w:color="auto"/>
                <w:left w:val="none" w:sz="0" w:space="0" w:color="auto"/>
                <w:bottom w:val="none" w:sz="0" w:space="0" w:color="auto"/>
                <w:right w:val="none" w:sz="0" w:space="0" w:color="auto"/>
              </w:divBdr>
              <w:divsChild>
                <w:div w:id="6419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13070">
          <w:marLeft w:val="0"/>
          <w:marRight w:val="0"/>
          <w:marTop w:val="0"/>
          <w:marBottom w:val="0"/>
          <w:divBdr>
            <w:top w:val="none" w:sz="0" w:space="0" w:color="auto"/>
            <w:left w:val="none" w:sz="0" w:space="0" w:color="auto"/>
            <w:bottom w:val="none" w:sz="0" w:space="0" w:color="auto"/>
            <w:right w:val="none" w:sz="0" w:space="0" w:color="auto"/>
          </w:divBdr>
          <w:divsChild>
            <w:div w:id="181674793">
              <w:marLeft w:val="0"/>
              <w:marRight w:val="0"/>
              <w:marTop w:val="0"/>
              <w:marBottom w:val="0"/>
              <w:divBdr>
                <w:top w:val="none" w:sz="0" w:space="0" w:color="auto"/>
                <w:left w:val="none" w:sz="0" w:space="0" w:color="auto"/>
                <w:bottom w:val="none" w:sz="0" w:space="0" w:color="auto"/>
                <w:right w:val="none" w:sz="0" w:space="0" w:color="auto"/>
              </w:divBdr>
              <w:divsChild>
                <w:div w:id="2824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4094">
          <w:marLeft w:val="0"/>
          <w:marRight w:val="0"/>
          <w:marTop w:val="0"/>
          <w:marBottom w:val="0"/>
          <w:divBdr>
            <w:top w:val="none" w:sz="0" w:space="0" w:color="auto"/>
            <w:left w:val="none" w:sz="0" w:space="0" w:color="auto"/>
            <w:bottom w:val="none" w:sz="0" w:space="0" w:color="auto"/>
            <w:right w:val="none" w:sz="0" w:space="0" w:color="auto"/>
          </w:divBdr>
          <w:divsChild>
            <w:div w:id="1853571063">
              <w:marLeft w:val="0"/>
              <w:marRight w:val="0"/>
              <w:marTop w:val="0"/>
              <w:marBottom w:val="0"/>
              <w:divBdr>
                <w:top w:val="none" w:sz="0" w:space="0" w:color="auto"/>
                <w:left w:val="none" w:sz="0" w:space="0" w:color="auto"/>
                <w:bottom w:val="none" w:sz="0" w:space="0" w:color="auto"/>
                <w:right w:val="none" w:sz="0" w:space="0" w:color="auto"/>
              </w:divBdr>
              <w:divsChild>
                <w:div w:id="2076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69371">
          <w:marLeft w:val="0"/>
          <w:marRight w:val="0"/>
          <w:marTop w:val="0"/>
          <w:marBottom w:val="0"/>
          <w:divBdr>
            <w:top w:val="none" w:sz="0" w:space="0" w:color="auto"/>
            <w:left w:val="none" w:sz="0" w:space="0" w:color="auto"/>
            <w:bottom w:val="none" w:sz="0" w:space="0" w:color="auto"/>
            <w:right w:val="none" w:sz="0" w:space="0" w:color="auto"/>
          </w:divBdr>
          <w:divsChild>
            <w:div w:id="440344314">
              <w:marLeft w:val="0"/>
              <w:marRight w:val="0"/>
              <w:marTop w:val="0"/>
              <w:marBottom w:val="0"/>
              <w:divBdr>
                <w:top w:val="none" w:sz="0" w:space="0" w:color="auto"/>
                <w:left w:val="none" w:sz="0" w:space="0" w:color="auto"/>
                <w:bottom w:val="none" w:sz="0" w:space="0" w:color="auto"/>
                <w:right w:val="none" w:sz="0" w:space="0" w:color="auto"/>
              </w:divBdr>
              <w:divsChild>
                <w:div w:id="21403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67233173">
      <w:bodyDiv w:val="1"/>
      <w:marLeft w:val="0"/>
      <w:marRight w:val="0"/>
      <w:marTop w:val="0"/>
      <w:marBottom w:val="0"/>
      <w:divBdr>
        <w:top w:val="none" w:sz="0" w:space="0" w:color="auto"/>
        <w:left w:val="none" w:sz="0" w:space="0" w:color="auto"/>
        <w:bottom w:val="none" w:sz="0" w:space="0" w:color="auto"/>
        <w:right w:val="none" w:sz="0" w:space="0" w:color="auto"/>
      </w:divBdr>
      <w:divsChild>
        <w:div w:id="529687876">
          <w:marLeft w:val="0"/>
          <w:marRight w:val="0"/>
          <w:marTop w:val="0"/>
          <w:marBottom w:val="0"/>
          <w:divBdr>
            <w:top w:val="none" w:sz="0" w:space="0" w:color="auto"/>
            <w:left w:val="none" w:sz="0" w:space="0" w:color="auto"/>
            <w:bottom w:val="none" w:sz="0" w:space="0" w:color="auto"/>
            <w:right w:val="none" w:sz="0" w:space="0" w:color="auto"/>
          </w:divBdr>
          <w:divsChild>
            <w:div w:id="317003258">
              <w:marLeft w:val="0"/>
              <w:marRight w:val="0"/>
              <w:marTop w:val="0"/>
              <w:marBottom w:val="0"/>
              <w:divBdr>
                <w:top w:val="none" w:sz="0" w:space="0" w:color="auto"/>
                <w:left w:val="none" w:sz="0" w:space="0" w:color="auto"/>
                <w:bottom w:val="none" w:sz="0" w:space="0" w:color="auto"/>
                <w:right w:val="none" w:sz="0" w:space="0" w:color="auto"/>
              </w:divBdr>
              <w:divsChild>
                <w:div w:id="17367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59578">
          <w:marLeft w:val="0"/>
          <w:marRight w:val="0"/>
          <w:marTop w:val="0"/>
          <w:marBottom w:val="0"/>
          <w:divBdr>
            <w:top w:val="none" w:sz="0" w:space="0" w:color="auto"/>
            <w:left w:val="none" w:sz="0" w:space="0" w:color="auto"/>
            <w:bottom w:val="none" w:sz="0" w:space="0" w:color="auto"/>
            <w:right w:val="none" w:sz="0" w:space="0" w:color="auto"/>
          </w:divBdr>
          <w:divsChild>
            <w:div w:id="738596329">
              <w:marLeft w:val="0"/>
              <w:marRight w:val="0"/>
              <w:marTop w:val="0"/>
              <w:marBottom w:val="0"/>
              <w:divBdr>
                <w:top w:val="none" w:sz="0" w:space="0" w:color="auto"/>
                <w:left w:val="none" w:sz="0" w:space="0" w:color="auto"/>
                <w:bottom w:val="none" w:sz="0" w:space="0" w:color="auto"/>
                <w:right w:val="none" w:sz="0" w:space="0" w:color="auto"/>
              </w:divBdr>
              <w:divsChild>
                <w:div w:id="183660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196">
          <w:marLeft w:val="0"/>
          <w:marRight w:val="0"/>
          <w:marTop w:val="0"/>
          <w:marBottom w:val="0"/>
          <w:divBdr>
            <w:top w:val="none" w:sz="0" w:space="0" w:color="auto"/>
            <w:left w:val="none" w:sz="0" w:space="0" w:color="auto"/>
            <w:bottom w:val="none" w:sz="0" w:space="0" w:color="auto"/>
            <w:right w:val="none" w:sz="0" w:space="0" w:color="auto"/>
          </w:divBdr>
          <w:divsChild>
            <w:div w:id="1152015825">
              <w:marLeft w:val="0"/>
              <w:marRight w:val="0"/>
              <w:marTop w:val="0"/>
              <w:marBottom w:val="0"/>
              <w:divBdr>
                <w:top w:val="none" w:sz="0" w:space="0" w:color="auto"/>
                <w:left w:val="none" w:sz="0" w:space="0" w:color="auto"/>
                <w:bottom w:val="none" w:sz="0" w:space="0" w:color="auto"/>
                <w:right w:val="none" w:sz="0" w:space="0" w:color="auto"/>
              </w:divBdr>
              <w:divsChild>
                <w:div w:id="15501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4758">
          <w:marLeft w:val="0"/>
          <w:marRight w:val="0"/>
          <w:marTop w:val="0"/>
          <w:marBottom w:val="0"/>
          <w:divBdr>
            <w:top w:val="none" w:sz="0" w:space="0" w:color="auto"/>
            <w:left w:val="none" w:sz="0" w:space="0" w:color="auto"/>
            <w:bottom w:val="none" w:sz="0" w:space="0" w:color="auto"/>
            <w:right w:val="none" w:sz="0" w:space="0" w:color="auto"/>
          </w:divBdr>
          <w:divsChild>
            <w:div w:id="1687639104">
              <w:marLeft w:val="0"/>
              <w:marRight w:val="0"/>
              <w:marTop w:val="0"/>
              <w:marBottom w:val="0"/>
              <w:divBdr>
                <w:top w:val="none" w:sz="0" w:space="0" w:color="auto"/>
                <w:left w:val="none" w:sz="0" w:space="0" w:color="auto"/>
                <w:bottom w:val="none" w:sz="0" w:space="0" w:color="auto"/>
                <w:right w:val="none" w:sz="0" w:space="0" w:color="auto"/>
              </w:divBdr>
              <w:divsChild>
                <w:div w:id="505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279">
          <w:marLeft w:val="0"/>
          <w:marRight w:val="0"/>
          <w:marTop w:val="0"/>
          <w:marBottom w:val="0"/>
          <w:divBdr>
            <w:top w:val="none" w:sz="0" w:space="0" w:color="auto"/>
            <w:left w:val="none" w:sz="0" w:space="0" w:color="auto"/>
            <w:bottom w:val="none" w:sz="0" w:space="0" w:color="auto"/>
            <w:right w:val="none" w:sz="0" w:space="0" w:color="auto"/>
          </w:divBdr>
          <w:divsChild>
            <w:div w:id="664552845">
              <w:marLeft w:val="0"/>
              <w:marRight w:val="0"/>
              <w:marTop w:val="0"/>
              <w:marBottom w:val="0"/>
              <w:divBdr>
                <w:top w:val="none" w:sz="0" w:space="0" w:color="auto"/>
                <w:left w:val="none" w:sz="0" w:space="0" w:color="auto"/>
                <w:bottom w:val="none" w:sz="0" w:space="0" w:color="auto"/>
                <w:right w:val="none" w:sz="0" w:space="0" w:color="auto"/>
              </w:divBdr>
              <w:divsChild>
                <w:div w:id="148342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4610">
          <w:marLeft w:val="0"/>
          <w:marRight w:val="0"/>
          <w:marTop w:val="0"/>
          <w:marBottom w:val="0"/>
          <w:divBdr>
            <w:top w:val="none" w:sz="0" w:space="0" w:color="auto"/>
            <w:left w:val="none" w:sz="0" w:space="0" w:color="auto"/>
            <w:bottom w:val="none" w:sz="0" w:space="0" w:color="auto"/>
            <w:right w:val="none" w:sz="0" w:space="0" w:color="auto"/>
          </w:divBdr>
          <w:divsChild>
            <w:div w:id="1087338103">
              <w:marLeft w:val="0"/>
              <w:marRight w:val="0"/>
              <w:marTop w:val="0"/>
              <w:marBottom w:val="0"/>
              <w:divBdr>
                <w:top w:val="none" w:sz="0" w:space="0" w:color="auto"/>
                <w:left w:val="none" w:sz="0" w:space="0" w:color="auto"/>
                <w:bottom w:val="none" w:sz="0" w:space="0" w:color="auto"/>
                <w:right w:val="none" w:sz="0" w:space="0" w:color="auto"/>
              </w:divBdr>
              <w:divsChild>
                <w:div w:id="12514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65092">
          <w:marLeft w:val="0"/>
          <w:marRight w:val="0"/>
          <w:marTop w:val="0"/>
          <w:marBottom w:val="0"/>
          <w:divBdr>
            <w:top w:val="none" w:sz="0" w:space="0" w:color="auto"/>
            <w:left w:val="none" w:sz="0" w:space="0" w:color="auto"/>
            <w:bottom w:val="none" w:sz="0" w:space="0" w:color="auto"/>
            <w:right w:val="none" w:sz="0" w:space="0" w:color="auto"/>
          </w:divBdr>
          <w:divsChild>
            <w:div w:id="730152219">
              <w:marLeft w:val="0"/>
              <w:marRight w:val="0"/>
              <w:marTop w:val="0"/>
              <w:marBottom w:val="0"/>
              <w:divBdr>
                <w:top w:val="none" w:sz="0" w:space="0" w:color="auto"/>
                <w:left w:val="none" w:sz="0" w:space="0" w:color="auto"/>
                <w:bottom w:val="none" w:sz="0" w:space="0" w:color="auto"/>
                <w:right w:val="none" w:sz="0" w:space="0" w:color="auto"/>
              </w:divBdr>
              <w:divsChild>
                <w:div w:id="190775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0119">
          <w:marLeft w:val="0"/>
          <w:marRight w:val="0"/>
          <w:marTop w:val="0"/>
          <w:marBottom w:val="0"/>
          <w:divBdr>
            <w:top w:val="none" w:sz="0" w:space="0" w:color="auto"/>
            <w:left w:val="none" w:sz="0" w:space="0" w:color="auto"/>
            <w:bottom w:val="none" w:sz="0" w:space="0" w:color="auto"/>
            <w:right w:val="none" w:sz="0" w:space="0" w:color="auto"/>
          </w:divBdr>
          <w:divsChild>
            <w:div w:id="1749421436">
              <w:marLeft w:val="0"/>
              <w:marRight w:val="0"/>
              <w:marTop w:val="0"/>
              <w:marBottom w:val="0"/>
              <w:divBdr>
                <w:top w:val="none" w:sz="0" w:space="0" w:color="auto"/>
                <w:left w:val="none" w:sz="0" w:space="0" w:color="auto"/>
                <w:bottom w:val="none" w:sz="0" w:space="0" w:color="auto"/>
                <w:right w:val="none" w:sz="0" w:space="0" w:color="auto"/>
              </w:divBdr>
              <w:divsChild>
                <w:div w:id="156179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98442">
          <w:marLeft w:val="0"/>
          <w:marRight w:val="0"/>
          <w:marTop w:val="0"/>
          <w:marBottom w:val="0"/>
          <w:divBdr>
            <w:top w:val="none" w:sz="0" w:space="0" w:color="auto"/>
            <w:left w:val="none" w:sz="0" w:space="0" w:color="auto"/>
            <w:bottom w:val="none" w:sz="0" w:space="0" w:color="auto"/>
            <w:right w:val="none" w:sz="0" w:space="0" w:color="auto"/>
          </w:divBdr>
          <w:divsChild>
            <w:div w:id="1657956595">
              <w:marLeft w:val="0"/>
              <w:marRight w:val="0"/>
              <w:marTop w:val="0"/>
              <w:marBottom w:val="0"/>
              <w:divBdr>
                <w:top w:val="none" w:sz="0" w:space="0" w:color="auto"/>
                <w:left w:val="none" w:sz="0" w:space="0" w:color="auto"/>
                <w:bottom w:val="none" w:sz="0" w:space="0" w:color="auto"/>
                <w:right w:val="none" w:sz="0" w:space="0" w:color="auto"/>
              </w:divBdr>
              <w:divsChild>
                <w:div w:id="6247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3514">
          <w:marLeft w:val="0"/>
          <w:marRight w:val="0"/>
          <w:marTop w:val="0"/>
          <w:marBottom w:val="0"/>
          <w:divBdr>
            <w:top w:val="none" w:sz="0" w:space="0" w:color="auto"/>
            <w:left w:val="none" w:sz="0" w:space="0" w:color="auto"/>
            <w:bottom w:val="none" w:sz="0" w:space="0" w:color="auto"/>
            <w:right w:val="none" w:sz="0" w:space="0" w:color="auto"/>
          </w:divBdr>
          <w:divsChild>
            <w:div w:id="1514876057">
              <w:marLeft w:val="0"/>
              <w:marRight w:val="0"/>
              <w:marTop w:val="0"/>
              <w:marBottom w:val="0"/>
              <w:divBdr>
                <w:top w:val="none" w:sz="0" w:space="0" w:color="auto"/>
                <w:left w:val="none" w:sz="0" w:space="0" w:color="auto"/>
                <w:bottom w:val="none" w:sz="0" w:space="0" w:color="auto"/>
                <w:right w:val="none" w:sz="0" w:space="0" w:color="auto"/>
              </w:divBdr>
              <w:divsChild>
                <w:div w:id="10198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4672">
          <w:marLeft w:val="0"/>
          <w:marRight w:val="0"/>
          <w:marTop w:val="0"/>
          <w:marBottom w:val="0"/>
          <w:divBdr>
            <w:top w:val="none" w:sz="0" w:space="0" w:color="auto"/>
            <w:left w:val="none" w:sz="0" w:space="0" w:color="auto"/>
            <w:bottom w:val="none" w:sz="0" w:space="0" w:color="auto"/>
            <w:right w:val="none" w:sz="0" w:space="0" w:color="auto"/>
          </w:divBdr>
          <w:divsChild>
            <w:div w:id="885680389">
              <w:marLeft w:val="0"/>
              <w:marRight w:val="0"/>
              <w:marTop w:val="0"/>
              <w:marBottom w:val="0"/>
              <w:divBdr>
                <w:top w:val="none" w:sz="0" w:space="0" w:color="auto"/>
                <w:left w:val="none" w:sz="0" w:space="0" w:color="auto"/>
                <w:bottom w:val="none" w:sz="0" w:space="0" w:color="auto"/>
                <w:right w:val="none" w:sz="0" w:space="0" w:color="auto"/>
              </w:divBdr>
              <w:divsChild>
                <w:div w:id="5807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11590808">
      <w:bodyDiv w:val="1"/>
      <w:marLeft w:val="0"/>
      <w:marRight w:val="0"/>
      <w:marTop w:val="0"/>
      <w:marBottom w:val="0"/>
      <w:divBdr>
        <w:top w:val="none" w:sz="0" w:space="0" w:color="auto"/>
        <w:left w:val="none" w:sz="0" w:space="0" w:color="auto"/>
        <w:bottom w:val="none" w:sz="0" w:space="0" w:color="auto"/>
        <w:right w:val="none" w:sz="0" w:space="0" w:color="auto"/>
      </w:divBdr>
    </w:div>
    <w:div w:id="1368675933">
      <w:bodyDiv w:val="1"/>
      <w:marLeft w:val="0"/>
      <w:marRight w:val="0"/>
      <w:marTop w:val="0"/>
      <w:marBottom w:val="0"/>
      <w:divBdr>
        <w:top w:val="none" w:sz="0" w:space="0" w:color="auto"/>
        <w:left w:val="none" w:sz="0" w:space="0" w:color="auto"/>
        <w:bottom w:val="none" w:sz="0" w:space="0" w:color="auto"/>
        <w:right w:val="none" w:sz="0" w:space="0" w:color="auto"/>
      </w:divBdr>
    </w:div>
    <w:div w:id="1411535565">
      <w:bodyDiv w:val="1"/>
      <w:marLeft w:val="0"/>
      <w:marRight w:val="0"/>
      <w:marTop w:val="0"/>
      <w:marBottom w:val="0"/>
      <w:divBdr>
        <w:top w:val="none" w:sz="0" w:space="0" w:color="auto"/>
        <w:left w:val="none" w:sz="0" w:space="0" w:color="auto"/>
        <w:bottom w:val="none" w:sz="0" w:space="0" w:color="auto"/>
        <w:right w:val="none" w:sz="0" w:space="0" w:color="auto"/>
      </w:divBdr>
    </w:div>
    <w:div w:id="1487284051">
      <w:bodyDiv w:val="1"/>
      <w:marLeft w:val="0"/>
      <w:marRight w:val="0"/>
      <w:marTop w:val="0"/>
      <w:marBottom w:val="0"/>
      <w:divBdr>
        <w:top w:val="none" w:sz="0" w:space="0" w:color="auto"/>
        <w:left w:val="none" w:sz="0" w:space="0" w:color="auto"/>
        <w:bottom w:val="none" w:sz="0" w:space="0" w:color="auto"/>
        <w:right w:val="none" w:sz="0" w:space="0" w:color="auto"/>
      </w:divBdr>
    </w:div>
    <w:div w:id="1512065487">
      <w:bodyDiv w:val="1"/>
      <w:marLeft w:val="0"/>
      <w:marRight w:val="0"/>
      <w:marTop w:val="0"/>
      <w:marBottom w:val="0"/>
      <w:divBdr>
        <w:top w:val="none" w:sz="0" w:space="0" w:color="auto"/>
        <w:left w:val="none" w:sz="0" w:space="0" w:color="auto"/>
        <w:bottom w:val="none" w:sz="0" w:space="0" w:color="auto"/>
        <w:right w:val="none" w:sz="0" w:space="0" w:color="auto"/>
      </w:divBdr>
    </w:div>
    <w:div w:id="151414962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73732037">
      <w:bodyDiv w:val="1"/>
      <w:marLeft w:val="0"/>
      <w:marRight w:val="0"/>
      <w:marTop w:val="0"/>
      <w:marBottom w:val="0"/>
      <w:divBdr>
        <w:top w:val="none" w:sz="0" w:space="0" w:color="auto"/>
        <w:left w:val="none" w:sz="0" w:space="0" w:color="auto"/>
        <w:bottom w:val="none" w:sz="0" w:space="0" w:color="auto"/>
        <w:right w:val="none" w:sz="0" w:space="0" w:color="auto"/>
      </w:divBdr>
    </w:div>
    <w:div w:id="1591768329">
      <w:bodyDiv w:val="1"/>
      <w:marLeft w:val="0"/>
      <w:marRight w:val="0"/>
      <w:marTop w:val="0"/>
      <w:marBottom w:val="0"/>
      <w:divBdr>
        <w:top w:val="none" w:sz="0" w:space="0" w:color="auto"/>
        <w:left w:val="none" w:sz="0" w:space="0" w:color="auto"/>
        <w:bottom w:val="none" w:sz="0" w:space="0" w:color="auto"/>
        <w:right w:val="none" w:sz="0" w:space="0" w:color="auto"/>
      </w:divBdr>
    </w:div>
    <w:div w:id="1676957744">
      <w:bodyDiv w:val="1"/>
      <w:marLeft w:val="0"/>
      <w:marRight w:val="0"/>
      <w:marTop w:val="0"/>
      <w:marBottom w:val="0"/>
      <w:divBdr>
        <w:top w:val="none" w:sz="0" w:space="0" w:color="auto"/>
        <w:left w:val="none" w:sz="0" w:space="0" w:color="auto"/>
        <w:bottom w:val="none" w:sz="0" w:space="0" w:color="auto"/>
        <w:right w:val="none" w:sz="0" w:space="0" w:color="auto"/>
      </w:divBdr>
    </w:div>
    <w:div w:id="1688022051">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67190029">
      <w:bodyDiv w:val="1"/>
      <w:marLeft w:val="0"/>
      <w:marRight w:val="0"/>
      <w:marTop w:val="0"/>
      <w:marBottom w:val="0"/>
      <w:divBdr>
        <w:top w:val="none" w:sz="0" w:space="0" w:color="auto"/>
        <w:left w:val="none" w:sz="0" w:space="0" w:color="auto"/>
        <w:bottom w:val="none" w:sz="0" w:space="0" w:color="auto"/>
        <w:right w:val="none" w:sz="0" w:space="0" w:color="auto"/>
      </w:divBdr>
      <w:divsChild>
        <w:div w:id="102188102">
          <w:marLeft w:val="0"/>
          <w:marRight w:val="0"/>
          <w:marTop w:val="0"/>
          <w:marBottom w:val="0"/>
          <w:divBdr>
            <w:top w:val="none" w:sz="0" w:space="0" w:color="auto"/>
            <w:left w:val="none" w:sz="0" w:space="0" w:color="auto"/>
            <w:bottom w:val="none" w:sz="0" w:space="0" w:color="auto"/>
            <w:right w:val="none" w:sz="0" w:space="0" w:color="auto"/>
          </w:divBdr>
          <w:divsChild>
            <w:div w:id="2092966130">
              <w:marLeft w:val="0"/>
              <w:marRight w:val="0"/>
              <w:marTop w:val="0"/>
              <w:marBottom w:val="0"/>
              <w:divBdr>
                <w:top w:val="none" w:sz="0" w:space="0" w:color="auto"/>
                <w:left w:val="none" w:sz="0" w:space="0" w:color="auto"/>
                <w:bottom w:val="none" w:sz="0" w:space="0" w:color="auto"/>
                <w:right w:val="none" w:sz="0" w:space="0" w:color="auto"/>
              </w:divBdr>
              <w:divsChild>
                <w:div w:id="23667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1259">
          <w:marLeft w:val="0"/>
          <w:marRight w:val="0"/>
          <w:marTop w:val="0"/>
          <w:marBottom w:val="0"/>
          <w:divBdr>
            <w:top w:val="none" w:sz="0" w:space="0" w:color="auto"/>
            <w:left w:val="none" w:sz="0" w:space="0" w:color="auto"/>
            <w:bottom w:val="none" w:sz="0" w:space="0" w:color="auto"/>
            <w:right w:val="none" w:sz="0" w:space="0" w:color="auto"/>
          </w:divBdr>
          <w:divsChild>
            <w:div w:id="461459325">
              <w:marLeft w:val="0"/>
              <w:marRight w:val="0"/>
              <w:marTop w:val="0"/>
              <w:marBottom w:val="0"/>
              <w:divBdr>
                <w:top w:val="none" w:sz="0" w:space="0" w:color="auto"/>
                <w:left w:val="none" w:sz="0" w:space="0" w:color="auto"/>
                <w:bottom w:val="none" w:sz="0" w:space="0" w:color="auto"/>
                <w:right w:val="none" w:sz="0" w:space="0" w:color="auto"/>
              </w:divBdr>
              <w:divsChild>
                <w:div w:id="5940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6">
          <w:marLeft w:val="0"/>
          <w:marRight w:val="0"/>
          <w:marTop w:val="0"/>
          <w:marBottom w:val="0"/>
          <w:divBdr>
            <w:top w:val="none" w:sz="0" w:space="0" w:color="auto"/>
            <w:left w:val="none" w:sz="0" w:space="0" w:color="auto"/>
            <w:bottom w:val="none" w:sz="0" w:space="0" w:color="auto"/>
            <w:right w:val="none" w:sz="0" w:space="0" w:color="auto"/>
          </w:divBdr>
          <w:divsChild>
            <w:div w:id="1187905703">
              <w:marLeft w:val="0"/>
              <w:marRight w:val="0"/>
              <w:marTop w:val="0"/>
              <w:marBottom w:val="0"/>
              <w:divBdr>
                <w:top w:val="none" w:sz="0" w:space="0" w:color="auto"/>
                <w:left w:val="none" w:sz="0" w:space="0" w:color="auto"/>
                <w:bottom w:val="none" w:sz="0" w:space="0" w:color="auto"/>
                <w:right w:val="none" w:sz="0" w:space="0" w:color="auto"/>
              </w:divBdr>
              <w:divsChild>
                <w:div w:id="109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1094">
          <w:marLeft w:val="0"/>
          <w:marRight w:val="0"/>
          <w:marTop w:val="0"/>
          <w:marBottom w:val="0"/>
          <w:divBdr>
            <w:top w:val="none" w:sz="0" w:space="0" w:color="auto"/>
            <w:left w:val="none" w:sz="0" w:space="0" w:color="auto"/>
            <w:bottom w:val="none" w:sz="0" w:space="0" w:color="auto"/>
            <w:right w:val="none" w:sz="0" w:space="0" w:color="auto"/>
          </w:divBdr>
          <w:divsChild>
            <w:div w:id="1543977822">
              <w:marLeft w:val="0"/>
              <w:marRight w:val="0"/>
              <w:marTop w:val="0"/>
              <w:marBottom w:val="0"/>
              <w:divBdr>
                <w:top w:val="none" w:sz="0" w:space="0" w:color="auto"/>
                <w:left w:val="none" w:sz="0" w:space="0" w:color="auto"/>
                <w:bottom w:val="none" w:sz="0" w:space="0" w:color="auto"/>
                <w:right w:val="none" w:sz="0" w:space="0" w:color="auto"/>
              </w:divBdr>
              <w:divsChild>
                <w:div w:id="10589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62608">
          <w:marLeft w:val="0"/>
          <w:marRight w:val="0"/>
          <w:marTop w:val="0"/>
          <w:marBottom w:val="0"/>
          <w:divBdr>
            <w:top w:val="none" w:sz="0" w:space="0" w:color="auto"/>
            <w:left w:val="none" w:sz="0" w:space="0" w:color="auto"/>
            <w:bottom w:val="none" w:sz="0" w:space="0" w:color="auto"/>
            <w:right w:val="none" w:sz="0" w:space="0" w:color="auto"/>
          </w:divBdr>
          <w:divsChild>
            <w:div w:id="575282345">
              <w:marLeft w:val="0"/>
              <w:marRight w:val="0"/>
              <w:marTop w:val="0"/>
              <w:marBottom w:val="0"/>
              <w:divBdr>
                <w:top w:val="none" w:sz="0" w:space="0" w:color="auto"/>
                <w:left w:val="none" w:sz="0" w:space="0" w:color="auto"/>
                <w:bottom w:val="none" w:sz="0" w:space="0" w:color="auto"/>
                <w:right w:val="none" w:sz="0" w:space="0" w:color="auto"/>
              </w:divBdr>
              <w:divsChild>
                <w:div w:id="5224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3207">
          <w:marLeft w:val="0"/>
          <w:marRight w:val="0"/>
          <w:marTop w:val="0"/>
          <w:marBottom w:val="0"/>
          <w:divBdr>
            <w:top w:val="none" w:sz="0" w:space="0" w:color="auto"/>
            <w:left w:val="none" w:sz="0" w:space="0" w:color="auto"/>
            <w:bottom w:val="none" w:sz="0" w:space="0" w:color="auto"/>
            <w:right w:val="none" w:sz="0" w:space="0" w:color="auto"/>
          </w:divBdr>
          <w:divsChild>
            <w:div w:id="575549698">
              <w:marLeft w:val="0"/>
              <w:marRight w:val="0"/>
              <w:marTop w:val="0"/>
              <w:marBottom w:val="0"/>
              <w:divBdr>
                <w:top w:val="none" w:sz="0" w:space="0" w:color="auto"/>
                <w:left w:val="none" w:sz="0" w:space="0" w:color="auto"/>
                <w:bottom w:val="none" w:sz="0" w:space="0" w:color="auto"/>
                <w:right w:val="none" w:sz="0" w:space="0" w:color="auto"/>
              </w:divBdr>
              <w:divsChild>
                <w:div w:id="7927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11148">
          <w:marLeft w:val="0"/>
          <w:marRight w:val="0"/>
          <w:marTop w:val="0"/>
          <w:marBottom w:val="0"/>
          <w:divBdr>
            <w:top w:val="none" w:sz="0" w:space="0" w:color="auto"/>
            <w:left w:val="none" w:sz="0" w:space="0" w:color="auto"/>
            <w:bottom w:val="none" w:sz="0" w:space="0" w:color="auto"/>
            <w:right w:val="none" w:sz="0" w:space="0" w:color="auto"/>
          </w:divBdr>
          <w:divsChild>
            <w:div w:id="455176975">
              <w:marLeft w:val="0"/>
              <w:marRight w:val="0"/>
              <w:marTop w:val="0"/>
              <w:marBottom w:val="0"/>
              <w:divBdr>
                <w:top w:val="none" w:sz="0" w:space="0" w:color="auto"/>
                <w:left w:val="none" w:sz="0" w:space="0" w:color="auto"/>
                <w:bottom w:val="none" w:sz="0" w:space="0" w:color="auto"/>
                <w:right w:val="none" w:sz="0" w:space="0" w:color="auto"/>
              </w:divBdr>
              <w:divsChild>
                <w:div w:id="18421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5228">
          <w:marLeft w:val="0"/>
          <w:marRight w:val="0"/>
          <w:marTop w:val="0"/>
          <w:marBottom w:val="0"/>
          <w:divBdr>
            <w:top w:val="none" w:sz="0" w:space="0" w:color="auto"/>
            <w:left w:val="none" w:sz="0" w:space="0" w:color="auto"/>
            <w:bottom w:val="none" w:sz="0" w:space="0" w:color="auto"/>
            <w:right w:val="none" w:sz="0" w:space="0" w:color="auto"/>
          </w:divBdr>
          <w:divsChild>
            <w:div w:id="460850514">
              <w:marLeft w:val="0"/>
              <w:marRight w:val="0"/>
              <w:marTop w:val="0"/>
              <w:marBottom w:val="0"/>
              <w:divBdr>
                <w:top w:val="none" w:sz="0" w:space="0" w:color="auto"/>
                <w:left w:val="none" w:sz="0" w:space="0" w:color="auto"/>
                <w:bottom w:val="none" w:sz="0" w:space="0" w:color="auto"/>
                <w:right w:val="none" w:sz="0" w:space="0" w:color="auto"/>
              </w:divBdr>
              <w:divsChild>
                <w:div w:id="16876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52737">
          <w:marLeft w:val="0"/>
          <w:marRight w:val="0"/>
          <w:marTop w:val="0"/>
          <w:marBottom w:val="0"/>
          <w:divBdr>
            <w:top w:val="none" w:sz="0" w:space="0" w:color="auto"/>
            <w:left w:val="none" w:sz="0" w:space="0" w:color="auto"/>
            <w:bottom w:val="none" w:sz="0" w:space="0" w:color="auto"/>
            <w:right w:val="none" w:sz="0" w:space="0" w:color="auto"/>
          </w:divBdr>
          <w:divsChild>
            <w:div w:id="30309449">
              <w:marLeft w:val="0"/>
              <w:marRight w:val="0"/>
              <w:marTop w:val="0"/>
              <w:marBottom w:val="0"/>
              <w:divBdr>
                <w:top w:val="none" w:sz="0" w:space="0" w:color="auto"/>
                <w:left w:val="none" w:sz="0" w:space="0" w:color="auto"/>
                <w:bottom w:val="none" w:sz="0" w:space="0" w:color="auto"/>
                <w:right w:val="none" w:sz="0" w:space="0" w:color="auto"/>
              </w:divBdr>
              <w:divsChild>
                <w:div w:id="18244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4021">
          <w:marLeft w:val="0"/>
          <w:marRight w:val="0"/>
          <w:marTop w:val="0"/>
          <w:marBottom w:val="0"/>
          <w:divBdr>
            <w:top w:val="none" w:sz="0" w:space="0" w:color="auto"/>
            <w:left w:val="none" w:sz="0" w:space="0" w:color="auto"/>
            <w:bottom w:val="none" w:sz="0" w:space="0" w:color="auto"/>
            <w:right w:val="none" w:sz="0" w:space="0" w:color="auto"/>
          </w:divBdr>
          <w:divsChild>
            <w:div w:id="1166476212">
              <w:marLeft w:val="0"/>
              <w:marRight w:val="0"/>
              <w:marTop w:val="0"/>
              <w:marBottom w:val="0"/>
              <w:divBdr>
                <w:top w:val="none" w:sz="0" w:space="0" w:color="auto"/>
                <w:left w:val="none" w:sz="0" w:space="0" w:color="auto"/>
                <w:bottom w:val="none" w:sz="0" w:space="0" w:color="auto"/>
                <w:right w:val="none" w:sz="0" w:space="0" w:color="auto"/>
              </w:divBdr>
              <w:divsChild>
                <w:div w:id="119839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73445">
          <w:marLeft w:val="0"/>
          <w:marRight w:val="0"/>
          <w:marTop w:val="0"/>
          <w:marBottom w:val="0"/>
          <w:divBdr>
            <w:top w:val="none" w:sz="0" w:space="0" w:color="auto"/>
            <w:left w:val="none" w:sz="0" w:space="0" w:color="auto"/>
            <w:bottom w:val="none" w:sz="0" w:space="0" w:color="auto"/>
            <w:right w:val="none" w:sz="0" w:space="0" w:color="auto"/>
          </w:divBdr>
          <w:divsChild>
            <w:div w:id="1519807223">
              <w:marLeft w:val="0"/>
              <w:marRight w:val="0"/>
              <w:marTop w:val="0"/>
              <w:marBottom w:val="0"/>
              <w:divBdr>
                <w:top w:val="none" w:sz="0" w:space="0" w:color="auto"/>
                <w:left w:val="none" w:sz="0" w:space="0" w:color="auto"/>
                <w:bottom w:val="none" w:sz="0" w:space="0" w:color="auto"/>
                <w:right w:val="none" w:sz="0" w:space="0" w:color="auto"/>
              </w:divBdr>
              <w:divsChild>
                <w:div w:id="9737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8958">
          <w:marLeft w:val="0"/>
          <w:marRight w:val="0"/>
          <w:marTop w:val="0"/>
          <w:marBottom w:val="0"/>
          <w:divBdr>
            <w:top w:val="none" w:sz="0" w:space="0" w:color="auto"/>
            <w:left w:val="none" w:sz="0" w:space="0" w:color="auto"/>
            <w:bottom w:val="none" w:sz="0" w:space="0" w:color="auto"/>
            <w:right w:val="none" w:sz="0" w:space="0" w:color="auto"/>
          </w:divBdr>
          <w:divsChild>
            <w:div w:id="905798228">
              <w:marLeft w:val="0"/>
              <w:marRight w:val="0"/>
              <w:marTop w:val="0"/>
              <w:marBottom w:val="0"/>
              <w:divBdr>
                <w:top w:val="none" w:sz="0" w:space="0" w:color="auto"/>
                <w:left w:val="none" w:sz="0" w:space="0" w:color="auto"/>
                <w:bottom w:val="none" w:sz="0" w:space="0" w:color="auto"/>
                <w:right w:val="none" w:sz="0" w:space="0" w:color="auto"/>
              </w:divBdr>
              <w:divsChild>
                <w:div w:id="693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70455">
          <w:marLeft w:val="0"/>
          <w:marRight w:val="0"/>
          <w:marTop w:val="0"/>
          <w:marBottom w:val="0"/>
          <w:divBdr>
            <w:top w:val="none" w:sz="0" w:space="0" w:color="auto"/>
            <w:left w:val="none" w:sz="0" w:space="0" w:color="auto"/>
            <w:bottom w:val="none" w:sz="0" w:space="0" w:color="auto"/>
            <w:right w:val="none" w:sz="0" w:space="0" w:color="auto"/>
          </w:divBdr>
          <w:divsChild>
            <w:div w:id="1132361508">
              <w:marLeft w:val="0"/>
              <w:marRight w:val="0"/>
              <w:marTop w:val="0"/>
              <w:marBottom w:val="0"/>
              <w:divBdr>
                <w:top w:val="none" w:sz="0" w:space="0" w:color="auto"/>
                <w:left w:val="none" w:sz="0" w:space="0" w:color="auto"/>
                <w:bottom w:val="none" w:sz="0" w:space="0" w:color="auto"/>
                <w:right w:val="none" w:sz="0" w:space="0" w:color="auto"/>
              </w:divBdr>
              <w:divsChild>
                <w:div w:id="13599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09346">
          <w:marLeft w:val="0"/>
          <w:marRight w:val="0"/>
          <w:marTop w:val="0"/>
          <w:marBottom w:val="0"/>
          <w:divBdr>
            <w:top w:val="none" w:sz="0" w:space="0" w:color="auto"/>
            <w:left w:val="none" w:sz="0" w:space="0" w:color="auto"/>
            <w:bottom w:val="none" w:sz="0" w:space="0" w:color="auto"/>
            <w:right w:val="none" w:sz="0" w:space="0" w:color="auto"/>
          </w:divBdr>
          <w:divsChild>
            <w:div w:id="1475831711">
              <w:marLeft w:val="0"/>
              <w:marRight w:val="0"/>
              <w:marTop w:val="0"/>
              <w:marBottom w:val="0"/>
              <w:divBdr>
                <w:top w:val="none" w:sz="0" w:space="0" w:color="auto"/>
                <w:left w:val="none" w:sz="0" w:space="0" w:color="auto"/>
                <w:bottom w:val="none" w:sz="0" w:space="0" w:color="auto"/>
                <w:right w:val="none" w:sz="0" w:space="0" w:color="auto"/>
              </w:divBdr>
              <w:divsChild>
                <w:div w:id="13250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6236">
          <w:marLeft w:val="0"/>
          <w:marRight w:val="0"/>
          <w:marTop w:val="0"/>
          <w:marBottom w:val="0"/>
          <w:divBdr>
            <w:top w:val="none" w:sz="0" w:space="0" w:color="auto"/>
            <w:left w:val="none" w:sz="0" w:space="0" w:color="auto"/>
            <w:bottom w:val="none" w:sz="0" w:space="0" w:color="auto"/>
            <w:right w:val="none" w:sz="0" w:space="0" w:color="auto"/>
          </w:divBdr>
          <w:divsChild>
            <w:div w:id="1232694002">
              <w:marLeft w:val="0"/>
              <w:marRight w:val="0"/>
              <w:marTop w:val="0"/>
              <w:marBottom w:val="0"/>
              <w:divBdr>
                <w:top w:val="none" w:sz="0" w:space="0" w:color="auto"/>
                <w:left w:val="none" w:sz="0" w:space="0" w:color="auto"/>
                <w:bottom w:val="none" w:sz="0" w:space="0" w:color="auto"/>
                <w:right w:val="none" w:sz="0" w:space="0" w:color="auto"/>
              </w:divBdr>
              <w:divsChild>
                <w:div w:id="8608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51297">
          <w:marLeft w:val="0"/>
          <w:marRight w:val="0"/>
          <w:marTop w:val="0"/>
          <w:marBottom w:val="0"/>
          <w:divBdr>
            <w:top w:val="none" w:sz="0" w:space="0" w:color="auto"/>
            <w:left w:val="none" w:sz="0" w:space="0" w:color="auto"/>
            <w:bottom w:val="none" w:sz="0" w:space="0" w:color="auto"/>
            <w:right w:val="none" w:sz="0" w:space="0" w:color="auto"/>
          </w:divBdr>
          <w:divsChild>
            <w:div w:id="763453780">
              <w:marLeft w:val="0"/>
              <w:marRight w:val="0"/>
              <w:marTop w:val="0"/>
              <w:marBottom w:val="0"/>
              <w:divBdr>
                <w:top w:val="none" w:sz="0" w:space="0" w:color="auto"/>
                <w:left w:val="none" w:sz="0" w:space="0" w:color="auto"/>
                <w:bottom w:val="none" w:sz="0" w:space="0" w:color="auto"/>
                <w:right w:val="none" w:sz="0" w:space="0" w:color="auto"/>
              </w:divBdr>
              <w:divsChild>
                <w:div w:id="29224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5783">
          <w:marLeft w:val="0"/>
          <w:marRight w:val="0"/>
          <w:marTop w:val="0"/>
          <w:marBottom w:val="0"/>
          <w:divBdr>
            <w:top w:val="none" w:sz="0" w:space="0" w:color="auto"/>
            <w:left w:val="none" w:sz="0" w:space="0" w:color="auto"/>
            <w:bottom w:val="none" w:sz="0" w:space="0" w:color="auto"/>
            <w:right w:val="none" w:sz="0" w:space="0" w:color="auto"/>
          </w:divBdr>
          <w:divsChild>
            <w:div w:id="2134052848">
              <w:marLeft w:val="0"/>
              <w:marRight w:val="0"/>
              <w:marTop w:val="0"/>
              <w:marBottom w:val="0"/>
              <w:divBdr>
                <w:top w:val="none" w:sz="0" w:space="0" w:color="auto"/>
                <w:left w:val="none" w:sz="0" w:space="0" w:color="auto"/>
                <w:bottom w:val="none" w:sz="0" w:space="0" w:color="auto"/>
                <w:right w:val="none" w:sz="0" w:space="0" w:color="auto"/>
              </w:divBdr>
              <w:divsChild>
                <w:div w:id="3507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01071">
          <w:marLeft w:val="0"/>
          <w:marRight w:val="0"/>
          <w:marTop w:val="0"/>
          <w:marBottom w:val="0"/>
          <w:divBdr>
            <w:top w:val="none" w:sz="0" w:space="0" w:color="auto"/>
            <w:left w:val="none" w:sz="0" w:space="0" w:color="auto"/>
            <w:bottom w:val="none" w:sz="0" w:space="0" w:color="auto"/>
            <w:right w:val="none" w:sz="0" w:space="0" w:color="auto"/>
          </w:divBdr>
          <w:divsChild>
            <w:div w:id="322778298">
              <w:marLeft w:val="0"/>
              <w:marRight w:val="0"/>
              <w:marTop w:val="0"/>
              <w:marBottom w:val="0"/>
              <w:divBdr>
                <w:top w:val="none" w:sz="0" w:space="0" w:color="auto"/>
                <w:left w:val="none" w:sz="0" w:space="0" w:color="auto"/>
                <w:bottom w:val="none" w:sz="0" w:space="0" w:color="auto"/>
                <w:right w:val="none" w:sz="0" w:space="0" w:color="auto"/>
              </w:divBdr>
              <w:divsChild>
                <w:div w:id="14163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3221">
          <w:marLeft w:val="0"/>
          <w:marRight w:val="0"/>
          <w:marTop w:val="0"/>
          <w:marBottom w:val="0"/>
          <w:divBdr>
            <w:top w:val="none" w:sz="0" w:space="0" w:color="auto"/>
            <w:left w:val="none" w:sz="0" w:space="0" w:color="auto"/>
            <w:bottom w:val="none" w:sz="0" w:space="0" w:color="auto"/>
            <w:right w:val="none" w:sz="0" w:space="0" w:color="auto"/>
          </w:divBdr>
          <w:divsChild>
            <w:div w:id="1238049478">
              <w:marLeft w:val="0"/>
              <w:marRight w:val="0"/>
              <w:marTop w:val="0"/>
              <w:marBottom w:val="0"/>
              <w:divBdr>
                <w:top w:val="none" w:sz="0" w:space="0" w:color="auto"/>
                <w:left w:val="none" w:sz="0" w:space="0" w:color="auto"/>
                <w:bottom w:val="none" w:sz="0" w:space="0" w:color="auto"/>
                <w:right w:val="none" w:sz="0" w:space="0" w:color="auto"/>
              </w:divBdr>
              <w:divsChild>
                <w:div w:id="1578512956">
                  <w:marLeft w:val="0"/>
                  <w:marRight w:val="0"/>
                  <w:marTop w:val="0"/>
                  <w:marBottom w:val="0"/>
                  <w:divBdr>
                    <w:top w:val="none" w:sz="0" w:space="0" w:color="auto"/>
                    <w:left w:val="none" w:sz="0" w:space="0" w:color="auto"/>
                    <w:bottom w:val="none" w:sz="0" w:space="0" w:color="auto"/>
                    <w:right w:val="none" w:sz="0" w:space="0" w:color="auto"/>
                  </w:divBdr>
                </w:div>
              </w:divsChild>
            </w:div>
            <w:div w:id="1699741759">
              <w:marLeft w:val="0"/>
              <w:marRight w:val="0"/>
              <w:marTop w:val="0"/>
              <w:marBottom w:val="0"/>
              <w:divBdr>
                <w:top w:val="none" w:sz="0" w:space="0" w:color="auto"/>
                <w:left w:val="none" w:sz="0" w:space="0" w:color="auto"/>
                <w:bottom w:val="none" w:sz="0" w:space="0" w:color="auto"/>
                <w:right w:val="none" w:sz="0" w:space="0" w:color="auto"/>
              </w:divBdr>
              <w:divsChild>
                <w:div w:id="4789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4772">
          <w:marLeft w:val="0"/>
          <w:marRight w:val="0"/>
          <w:marTop w:val="0"/>
          <w:marBottom w:val="0"/>
          <w:divBdr>
            <w:top w:val="none" w:sz="0" w:space="0" w:color="auto"/>
            <w:left w:val="none" w:sz="0" w:space="0" w:color="auto"/>
            <w:bottom w:val="none" w:sz="0" w:space="0" w:color="auto"/>
            <w:right w:val="none" w:sz="0" w:space="0" w:color="auto"/>
          </w:divBdr>
          <w:divsChild>
            <w:div w:id="1001660875">
              <w:marLeft w:val="0"/>
              <w:marRight w:val="0"/>
              <w:marTop w:val="0"/>
              <w:marBottom w:val="0"/>
              <w:divBdr>
                <w:top w:val="none" w:sz="0" w:space="0" w:color="auto"/>
                <w:left w:val="none" w:sz="0" w:space="0" w:color="auto"/>
                <w:bottom w:val="none" w:sz="0" w:space="0" w:color="auto"/>
                <w:right w:val="none" w:sz="0" w:space="0" w:color="auto"/>
              </w:divBdr>
              <w:divsChild>
                <w:div w:id="6775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80310">
          <w:marLeft w:val="0"/>
          <w:marRight w:val="0"/>
          <w:marTop w:val="0"/>
          <w:marBottom w:val="0"/>
          <w:divBdr>
            <w:top w:val="none" w:sz="0" w:space="0" w:color="auto"/>
            <w:left w:val="none" w:sz="0" w:space="0" w:color="auto"/>
            <w:bottom w:val="none" w:sz="0" w:space="0" w:color="auto"/>
            <w:right w:val="none" w:sz="0" w:space="0" w:color="auto"/>
          </w:divBdr>
          <w:divsChild>
            <w:div w:id="1003511998">
              <w:marLeft w:val="0"/>
              <w:marRight w:val="0"/>
              <w:marTop w:val="0"/>
              <w:marBottom w:val="0"/>
              <w:divBdr>
                <w:top w:val="none" w:sz="0" w:space="0" w:color="auto"/>
                <w:left w:val="none" w:sz="0" w:space="0" w:color="auto"/>
                <w:bottom w:val="none" w:sz="0" w:space="0" w:color="auto"/>
                <w:right w:val="none" w:sz="0" w:space="0" w:color="auto"/>
              </w:divBdr>
              <w:divsChild>
                <w:div w:id="45757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537480">
          <w:marLeft w:val="0"/>
          <w:marRight w:val="0"/>
          <w:marTop w:val="0"/>
          <w:marBottom w:val="0"/>
          <w:divBdr>
            <w:top w:val="none" w:sz="0" w:space="0" w:color="auto"/>
            <w:left w:val="none" w:sz="0" w:space="0" w:color="auto"/>
            <w:bottom w:val="none" w:sz="0" w:space="0" w:color="auto"/>
            <w:right w:val="none" w:sz="0" w:space="0" w:color="auto"/>
          </w:divBdr>
          <w:divsChild>
            <w:div w:id="1074351713">
              <w:marLeft w:val="0"/>
              <w:marRight w:val="0"/>
              <w:marTop w:val="0"/>
              <w:marBottom w:val="0"/>
              <w:divBdr>
                <w:top w:val="none" w:sz="0" w:space="0" w:color="auto"/>
                <w:left w:val="none" w:sz="0" w:space="0" w:color="auto"/>
                <w:bottom w:val="none" w:sz="0" w:space="0" w:color="auto"/>
                <w:right w:val="none" w:sz="0" w:space="0" w:color="auto"/>
              </w:divBdr>
              <w:divsChild>
                <w:div w:id="11211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91921">
      <w:bodyDiv w:val="1"/>
      <w:marLeft w:val="0"/>
      <w:marRight w:val="0"/>
      <w:marTop w:val="0"/>
      <w:marBottom w:val="0"/>
      <w:divBdr>
        <w:top w:val="none" w:sz="0" w:space="0" w:color="auto"/>
        <w:left w:val="none" w:sz="0" w:space="0" w:color="auto"/>
        <w:bottom w:val="none" w:sz="0" w:space="0" w:color="auto"/>
        <w:right w:val="none" w:sz="0" w:space="0" w:color="auto"/>
      </w:divBdr>
      <w:divsChild>
        <w:div w:id="33503292">
          <w:marLeft w:val="0"/>
          <w:marRight w:val="0"/>
          <w:marTop w:val="0"/>
          <w:marBottom w:val="0"/>
          <w:divBdr>
            <w:top w:val="none" w:sz="0" w:space="0" w:color="auto"/>
            <w:left w:val="none" w:sz="0" w:space="0" w:color="auto"/>
            <w:bottom w:val="none" w:sz="0" w:space="0" w:color="auto"/>
            <w:right w:val="none" w:sz="0" w:space="0" w:color="auto"/>
          </w:divBdr>
          <w:divsChild>
            <w:div w:id="2045326149">
              <w:marLeft w:val="0"/>
              <w:marRight w:val="0"/>
              <w:marTop w:val="0"/>
              <w:marBottom w:val="0"/>
              <w:divBdr>
                <w:top w:val="none" w:sz="0" w:space="0" w:color="auto"/>
                <w:left w:val="none" w:sz="0" w:space="0" w:color="auto"/>
                <w:bottom w:val="none" w:sz="0" w:space="0" w:color="auto"/>
                <w:right w:val="none" w:sz="0" w:space="0" w:color="auto"/>
              </w:divBdr>
              <w:divsChild>
                <w:div w:id="7219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9848">
          <w:marLeft w:val="0"/>
          <w:marRight w:val="0"/>
          <w:marTop w:val="0"/>
          <w:marBottom w:val="0"/>
          <w:divBdr>
            <w:top w:val="none" w:sz="0" w:space="0" w:color="auto"/>
            <w:left w:val="none" w:sz="0" w:space="0" w:color="auto"/>
            <w:bottom w:val="none" w:sz="0" w:space="0" w:color="auto"/>
            <w:right w:val="none" w:sz="0" w:space="0" w:color="auto"/>
          </w:divBdr>
          <w:divsChild>
            <w:div w:id="747533437">
              <w:marLeft w:val="0"/>
              <w:marRight w:val="0"/>
              <w:marTop w:val="0"/>
              <w:marBottom w:val="0"/>
              <w:divBdr>
                <w:top w:val="none" w:sz="0" w:space="0" w:color="auto"/>
                <w:left w:val="none" w:sz="0" w:space="0" w:color="auto"/>
                <w:bottom w:val="none" w:sz="0" w:space="0" w:color="auto"/>
                <w:right w:val="none" w:sz="0" w:space="0" w:color="auto"/>
              </w:divBdr>
              <w:divsChild>
                <w:div w:id="1023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7764">
          <w:marLeft w:val="0"/>
          <w:marRight w:val="0"/>
          <w:marTop w:val="0"/>
          <w:marBottom w:val="0"/>
          <w:divBdr>
            <w:top w:val="none" w:sz="0" w:space="0" w:color="auto"/>
            <w:left w:val="none" w:sz="0" w:space="0" w:color="auto"/>
            <w:bottom w:val="none" w:sz="0" w:space="0" w:color="auto"/>
            <w:right w:val="none" w:sz="0" w:space="0" w:color="auto"/>
          </w:divBdr>
          <w:divsChild>
            <w:div w:id="1607620314">
              <w:marLeft w:val="0"/>
              <w:marRight w:val="0"/>
              <w:marTop w:val="0"/>
              <w:marBottom w:val="0"/>
              <w:divBdr>
                <w:top w:val="none" w:sz="0" w:space="0" w:color="auto"/>
                <w:left w:val="none" w:sz="0" w:space="0" w:color="auto"/>
                <w:bottom w:val="none" w:sz="0" w:space="0" w:color="auto"/>
                <w:right w:val="none" w:sz="0" w:space="0" w:color="auto"/>
              </w:divBdr>
              <w:divsChild>
                <w:div w:id="603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7187">
          <w:marLeft w:val="0"/>
          <w:marRight w:val="0"/>
          <w:marTop w:val="0"/>
          <w:marBottom w:val="0"/>
          <w:divBdr>
            <w:top w:val="none" w:sz="0" w:space="0" w:color="auto"/>
            <w:left w:val="none" w:sz="0" w:space="0" w:color="auto"/>
            <w:bottom w:val="none" w:sz="0" w:space="0" w:color="auto"/>
            <w:right w:val="none" w:sz="0" w:space="0" w:color="auto"/>
          </w:divBdr>
          <w:divsChild>
            <w:div w:id="286664107">
              <w:marLeft w:val="0"/>
              <w:marRight w:val="0"/>
              <w:marTop w:val="0"/>
              <w:marBottom w:val="0"/>
              <w:divBdr>
                <w:top w:val="none" w:sz="0" w:space="0" w:color="auto"/>
                <w:left w:val="none" w:sz="0" w:space="0" w:color="auto"/>
                <w:bottom w:val="none" w:sz="0" w:space="0" w:color="auto"/>
                <w:right w:val="none" w:sz="0" w:space="0" w:color="auto"/>
              </w:divBdr>
              <w:divsChild>
                <w:div w:id="156888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2973">
          <w:marLeft w:val="0"/>
          <w:marRight w:val="0"/>
          <w:marTop w:val="0"/>
          <w:marBottom w:val="0"/>
          <w:divBdr>
            <w:top w:val="none" w:sz="0" w:space="0" w:color="auto"/>
            <w:left w:val="none" w:sz="0" w:space="0" w:color="auto"/>
            <w:bottom w:val="none" w:sz="0" w:space="0" w:color="auto"/>
            <w:right w:val="none" w:sz="0" w:space="0" w:color="auto"/>
          </w:divBdr>
          <w:divsChild>
            <w:div w:id="2109543757">
              <w:marLeft w:val="0"/>
              <w:marRight w:val="0"/>
              <w:marTop w:val="0"/>
              <w:marBottom w:val="0"/>
              <w:divBdr>
                <w:top w:val="none" w:sz="0" w:space="0" w:color="auto"/>
                <w:left w:val="none" w:sz="0" w:space="0" w:color="auto"/>
                <w:bottom w:val="none" w:sz="0" w:space="0" w:color="auto"/>
                <w:right w:val="none" w:sz="0" w:space="0" w:color="auto"/>
              </w:divBdr>
              <w:divsChild>
                <w:div w:id="21177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136">
          <w:marLeft w:val="0"/>
          <w:marRight w:val="0"/>
          <w:marTop w:val="0"/>
          <w:marBottom w:val="0"/>
          <w:divBdr>
            <w:top w:val="none" w:sz="0" w:space="0" w:color="auto"/>
            <w:left w:val="none" w:sz="0" w:space="0" w:color="auto"/>
            <w:bottom w:val="none" w:sz="0" w:space="0" w:color="auto"/>
            <w:right w:val="none" w:sz="0" w:space="0" w:color="auto"/>
          </w:divBdr>
          <w:divsChild>
            <w:div w:id="1901407466">
              <w:marLeft w:val="0"/>
              <w:marRight w:val="0"/>
              <w:marTop w:val="0"/>
              <w:marBottom w:val="0"/>
              <w:divBdr>
                <w:top w:val="none" w:sz="0" w:space="0" w:color="auto"/>
                <w:left w:val="none" w:sz="0" w:space="0" w:color="auto"/>
                <w:bottom w:val="none" w:sz="0" w:space="0" w:color="auto"/>
                <w:right w:val="none" w:sz="0" w:space="0" w:color="auto"/>
              </w:divBdr>
              <w:divsChild>
                <w:div w:id="10611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01348">
          <w:marLeft w:val="0"/>
          <w:marRight w:val="0"/>
          <w:marTop w:val="0"/>
          <w:marBottom w:val="0"/>
          <w:divBdr>
            <w:top w:val="none" w:sz="0" w:space="0" w:color="auto"/>
            <w:left w:val="none" w:sz="0" w:space="0" w:color="auto"/>
            <w:bottom w:val="none" w:sz="0" w:space="0" w:color="auto"/>
            <w:right w:val="none" w:sz="0" w:space="0" w:color="auto"/>
          </w:divBdr>
          <w:divsChild>
            <w:div w:id="55325764">
              <w:marLeft w:val="0"/>
              <w:marRight w:val="0"/>
              <w:marTop w:val="0"/>
              <w:marBottom w:val="0"/>
              <w:divBdr>
                <w:top w:val="none" w:sz="0" w:space="0" w:color="auto"/>
                <w:left w:val="none" w:sz="0" w:space="0" w:color="auto"/>
                <w:bottom w:val="none" w:sz="0" w:space="0" w:color="auto"/>
                <w:right w:val="none" w:sz="0" w:space="0" w:color="auto"/>
              </w:divBdr>
              <w:divsChild>
                <w:div w:id="7897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5641">
          <w:marLeft w:val="0"/>
          <w:marRight w:val="0"/>
          <w:marTop w:val="0"/>
          <w:marBottom w:val="0"/>
          <w:divBdr>
            <w:top w:val="none" w:sz="0" w:space="0" w:color="auto"/>
            <w:left w:val="none" w:sz="0" w:space="0" w:color="auto"/>
            <w:bottom w:val="none" w:sz="0" w:space="0" w:color="auto"/>
            <w:right w:val="none" w:sz="0" w:space="0" w:color="auto"/>
          </w:divBdr>
          <w:divsChild>
            <w:div w:id="1616642735">
              <w:marLeft w:val="0"/>
              <w:marRight w:val="0"/>
              <w:marTop w:val="0"/>
              <w:marBottom w:val="0"/>
              <w:divBdr>
                <w:top w:val="none" w:sz="0" w:space="0" w:color="auto"/>
                <w:left w:val="none" w:sz="0" w:space="0" w:color="auto"/>
                <w:bottom w:val="none" w:sz="0" w:space="0" w:color="auto"/>
                <w:right w:val="none" w:sz="0" w:space="0" w:color="auto"/>
              </w:divBdr>
              <w:divsChild>
                <w:div w:id="13600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4410">
          <w:marLeft w:val="0"/>
          <w:marRight w:val="0"/>
          <w:marTop w:val="0"/>
          <w:marBottom w:val="0"/>
          <w:divBdr>
            <w:top w:val="none" w:sz="0" w:space="0" w:color="auto"/>
            <w:left w:val="none" w:sz="0" w:space="0" w:color="auto"/>
            <w:bottom w:val="none" w:sz="0" w:space="0" w:color="auto"/>
            <w:right w:val="none" w:sz="0" w:space="0" w:color="auto"/>
          </w:divBdr>
          <w:divsChild>
            <w:div w:id="1696734413">
              <w:marLeft w:val="0"/>
              <w:marRight w:val="0"/>
              <w:marTop w:val="0"/>
              <w:marBottom w:val="0"/>
              <w:divBdr>
                <w:top w:val="none" w:sz="0" w:space="0" w:color="auto"/>
                <w:left w:val="none" w:sz="0" w:space="0" w:color="auto"/>
                <w:bottom w:val="none" w:sz="0" w:space="0" w:color="auto"/>
                <w:right w:val="none" w:sz="0" w:space="0" w:color="auto"/>
              </w:divBdr>
              <w:divsChild>
                <w:div w:id="12601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68357">
      <w:bodyDiv w:val="1"/>
      <w:marLeft w:val="0"/>
      <w:marRight w:val="0"/>
      <w:marTop w:val="0"/>
      <w:marBottom w:val="0"/>
      <w:divBdr>
        <w:top w:val="none" w:sz="0" w:space="0" w:color="auto"/>
        <w:left w:val="none" w:sz="0" w:space="0" w:color="auto"/>
        <w:bottom w:val="none" w:sz="0" w:space="0" w:color="auto"/>
        <w:right w:val="none" w:sz="0" w:space="0" w:color="auto"/>
      </w:divBdr>
    </w:div>
    <w:div w:id="1820803778">
      <w:bodyDiv w:val="1"/>
      <w:marLeft w:val="0"/>
      <w:marRight w:val="0"/>
      <w:marTop w:val="0"/>
      <w:marBottom w:val="0"/>
      <w:divBdr>
        <w:top w:val="none" w:sz="0" w:space="0" w:color="auto"/>
        <w:left w:val="none" w:sz="0" w:space="0" w:color="auto"/>
        <w:bottom w:val="none" w:sz="0" w:space="0" w:color="auto"/>
        <w:right w:val="none" w:sz="0" w:space="0" w:color="auto"/>
      </w:divBdr>
    </w:div>
    <w:div w:id="1855069795">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5893451">
      <w:bodyDiv w:val="1"/>
      <w:marLeft w:val="0"/>
      <w:marRight w:val="0"/>
      <w:marTop w:val="0"/>
      <w:marBottom w:val="0"/>
      <w:divBdr>
        <w:top w:val="none" w:sz="0" w:space="0" w:color="auto"/>
        <w:left w:val="none" w:sz="0" w:space="0" w:color="auto"/>
        <w:bottom w:val="none" w:sz="0" w:space="0" w:color="auto"/>
        <w:right w:val="none" w:sz="0" w:space="0" w:color="auto"/>
      </w:divBdr>
      <w:divsChild>
        <w:div w:id="113598033">
          <w:marLeft w:val="0"/>
          <w:marRight w:val="0"/>
          <w:marTop w:val="0"/>
          <w:marBottom w:val="0"/>
          <w:divBdr>
            <w:top w:val="none" w:sz="0" w:space="0" w:color="auto"/>
            <w:left w:val="none" w:sz="0" w:space="0" w:color="auto"/>
            <w:bottom w:val="none" w:sz="0" w:space="0" w:color="auto"/>
            <w:right w:val="none" w:sz="0" w:space="0" w:color="auto"/>
          </w:divBdr>
          <w:divsChild>
            <w:div w:id="1364750017">
              <w:marLeft w:val="0"/>
              <w:marRight w:val="0"/>
              <w:marTop w:val="0"/>
              <w:marBottom w:val="0"/>
              <w:divBdr>
                <w:top w:val="none" w:sz="0" w:space="0" w:color="auto"/>
                <w:left w:val="none" w:sz="0" w:space="0" w:color="auto"/>
                <w:bottom w:val="none" w:sz="0" w:space="0" w:color="auto"/>
                <w:right w:val="none" w:sz="0" w:space="0" w:color="auto"/>
              </w:divBdr>
              <w:divsChild>
                <w:div w:id="105789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7764">
          <w:marLeft w:val="0"/>
          <w:marRight w:val="0"/>
          <w:marTop w:val="0"/>
          <w:marBottom w:val="0"/>
          <w:divBdr>
            <w:top w:val="none" w:sz="0" w:space="0" w:color="auto"/>
            <w:left w:val="none" w:sz="0" w:space="0" w:color="auto"/>
            <w:bottom w:val="none" w:sz="0" w:space="0" w:color="auto"/>
            <w:right w:val="none" w:sz="0" w:space="0" w:color="auto"/>
          </w:divBdr>
          <w:divsChild>
            <w:div w:id="1417478815">
              <w:marLeft w:val="0"/>
              <w:marRight w:val="0"/>
              <w:marTop w:val="0"/>
              <w:marBottom w:val="0"/>
              <w:divBdr>
                <w:top w:val="none" w:sz="0" w:space="0" w:color="auto"/>
                <w:left w:val="none" w:sz="0" w:space="0" w:color="auto"/>
                <w:bottom w:val="none" w:sz="0" w:space="0" w:color="auto"/>
                <w:right w:val="none" w:sz="0" w:space="0" w:color="auto"/>
              </w:divBdr>
              <w:divsChild>
                <w:div w:id="2040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488">
          <w:marLeft w:val="0"/>
          <w:marRight w:val="0"/>
          <w:marTop w:val="0"/>
          <w:marBottom w:val="0"/>
          <w:divBdr>
            <w:top w:val="none" w:sz="0" w:space="0" w:color="auto"/>
            <w:left w:val="none" w:sz="0" w:space="0" w:color="auto"/>
            <w:bottom w:val="none" w:sz="0" w:space="0" w:color="auto"/>
            <w:right w:val="none" w:sz="0" w:space="0" w:color="auto"/>
          </w:divBdr>
          <w:divsChild>
            <w:div w:id="283315745">
              <w:marLeft w:val="0"/>
              <w:marRight w:val="0"/>
              <w:marTop w:val="0"/>
              <w:marBottom w:val="0"/>
              <w:divBdr>
                <w:top w:val="none" w:sz="0" w:space="0" w:color="auto"/>
                <w:left w:val="none" w:sz="0" w:space="0" w:color="auto"/>
                <w:bottom w:val="none" w:sz="0" w:space="0" w:color="auto"/>
                <w:right w:val="none" w:sz="0" w:space="0" w:color="auto"/>
              </w:divBdr>
              <w:divsChild>
                <w:div w:id="163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39575">
          <w:marLeft w:val="0"/>
          <w:marRight w:val="0"/>
          <w:marTop w:val="0"/>
          <w:marBottom w:val="0"/>
          <w:divBdr>
            <w:top w:val="none" w:sz="0" w:space="0" w:color="auto"/>
            <w:left w:val="none" w:sz="0" w:space="0" w:color="auto"/>
            <w:bottom w:val="none" w:sz="0" w:space="0" w:color="auto"/>
            <w:right w:val="none" w:sz="0" w:space="0" w:color="auto"/>
          </w:divBdr>
          <w:divsChild>
            <w:div w:id="747575819">
              <w:marLeft w:val="0"/>
              <w:marRight w:val="0"/>
              <w:marTop w:val="0"/>
              <w:marBottom w:val="0"/>
              <w:divBdr>
                <w:top w:val="none" w:sz="0" w:space="0" w:color="auto"/>
                <w:left w:val="none" w:sz="0" w:space="0" w:color="auto"/>
                <w:bottom w:val="none" w:sz="0" w:space="0" w:color="auto"/>
                <w:right w:val="none" w:sz="0" w:space="0" w:color="auto"/>
              </w:divBdr>
              <w:divsChild>
                <w:div w:id="14611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7807">
          <w:marLeft w:val="0"/>
          <w:marRight w:val="0"/>
          <w:marTop w:val="0"/>
          <w:marBottom w:val="0"/>
          <w:divBdr>
            <w:top w:val="none" w:sz="0" w:space="0" w:color="auto"/>
            <w:left w:val="none" w:sz="0" w:space="0" w:color="auto"/>
            <w:bottom w:val="none" w:sz="0" w:space="0" w:color="auto"/>
            <w:right w:val="none" w:sz="0" w:space="0" w:color="auto"/>
          </w:divBdr>
          <w:divsChild>
            <w:div w:id="275215125">
              <w:marLeft w:val="0"/>
              <w:marRight w:val="0"/>
              <w:marTop w:val="0"/>
              <w:marBottom w:val="0"/>
              <w:divBdr>
                <w:top w:val="none" w:sz="0" w:space="0" w:color="auto"/>
                <w:left w:val="none" w:sz="0" w:space="0" w:color="auto"/>
                <w:bottom w:val="none" w:sz="0" w:space="0" w:color="auto"/>
                <w:right w:val="none" w:sz="0" w:space="0" w:color="auto"/>
              </w:divBdr>
              <w:divsChild>
                <w:div w:id="16042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2124">
          <w:marLeft w:val="0"/>
          <w:marRight w:val="0"/>
          <w:marTop w:val="0"/>
          <w:marBottom w:val="0"/>
          <w:divBdr>
            <w:top w:val="none" w:sz="0" w:space="0" w:color="auto"/>
            <w:left w:val="none" w:sz="0" w:space="0" w:color="auto"/>
            <w:bottom w:val="none" w:sz="0" w:space="0" w:color="auto"/>
            <w:right w:val="none" w:sz="0" w:space="0" w:color="auto"/>
          </w:divBdr>
          <w:divsChild>
            <w:div w:id="627902489">
              <w:marLeft w:val="0"/>
              <w:marRight w:val="0"/>
              <w:marTop w:val="0"/>
              <w:marBottom w:val="0"/>
              <w:divBdr>
                <w:top w:val="none" w:sz="0" w:space="0" w:color="auto"/>
                <w:left w:val="none" w:sz="0" w:space="0" w:color="auto"/>
                <w:bottom w:val="none" w:sz="0" w:space="0" w:color="auto"/>
                <w:right w:val="none" w:sz="0" w:space="0" w:color="auto"/>
              </w:divBdr>
              <w:divsChild>
                <w:div w:id="1154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2977">
          <w:marLeft w:val="0"/>
          <w:marRight w:val="0"/>
          <w:marTop w:val="0"/>
          <w:marBottom w:val="0"/>
          <w:divBdr>
            <w:top w:val="none" w:sz="0" w:space="0" w:color="auto"/>
            <w:left w:val="none" w:sz="0" w:space="0" w:color="auto"/>
            <w:bottom w:val="none" w:sz="0" w:space="0" w:color="auto"/>
            <w:right w:val="none" w:sz="0" w:space="0" w:color="auto"/>
          </w:divBdr>
          <w:divsChild>
            <w:div w:id="928776920">
              <w:marLeft w:val="0"/>
              <w:marRight w:val="0"/>
              <w:marTop w:val="0"/>
              <w:marBottom w:val="0"/>
              <w:divBdr>
                <w:top w:val="none" w:sz="0" w:space="0" w:color="auto"/>
                <w:left w:val="none" w:sz="0" w:space="0" w:color="auto"/>
                <w:bottom w:val="none" w:sz="0" w:space="0" w:color="auto"/>
                <w:right w:val="none" w:sz="0" w:space="0" w:color="auto"/>
              </w:divBdr>
              <w:divsChild>
                <w:div w:id="3328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61350">
          <w:marLeft w:val="0"/>
          <w:marRight w:val="0"/>
          <w:marTop w:val="0"/>
          <w:marBottom w:val="0"/>
          <w:divBdr>
            <w:top w:val="none" w:sz="0" w:space="0" w:color="auto"/>
            <w:left w:val="none" w:sz="0" w:space="0" w:color="auto"/>
            <w:bottom w:val="none" w:sz="0" w:space="0" w:color="auto"/>
            <w:right w:val="none" w:sz="0" w:space="0" w:color="auto"/>
          </w:divBdr>
          <w:divsChild>
            <w:div w:id="649598111">
              <w:marLeft w:val="0"/>
              <w:marRight w:val="0"/>
              <w:marTop w:val="0"/>
              <w:marBottom w:val="0"/>
              <w:divBdr>
                <w:top w:val="none" w:sz="0" w:space="0" w:color="auto"/>
                <w:left w:val="none" w:sz="0" w:space="0" w:color="auto"/>
                <w:bottom w:val="none" w:sz="0" w:space="0" w:color="auto"/>
                <w:right w:val="none" w:sz="0" w:space="0" w:color="auto"/>
              </w:divBdr>
              <w:divsChild>
                <w:div w:id="6618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6644">
          <w:marLeft w:val="0"/>
          <w:marRight w:val="0"/>
          <w:marTop w:val="0"/>
          <w:marBottom w:val="0"/>
          <w:divBdr>
            <w:top w:val="none" w:sz="0" w:space="0" w:color="auto"/>
            <w:left w:val="none" w:sz="0" w:space="0" w:color="auto"/>
            <w:bottom w:val="none" w:sz="0" w:space="0" w:color="auto"/>
            <w:right w:val="none" w:sz="0" w:space="0" w:color="auto"/>
          </w:divBdr>
          <w:divsChild>
            <w:div w:id="183053317">
              <w:marLeft w:val="0"/>
              <w:marRight w:val="0"/>
              <w:marTop w:val="0"/>
              <w:marBottom w:val="0"/>
              <w:divBdr>
                <w:top w:val="none" w:sz="0" w:space="0" w:color="auto"/>
                <w:left w:val="none" w:sz="0" w:space="0" w:color="auto"/>
                <w:bottom w:val="none" w:sz="0" w:space="0" w:color="auto"/>
                <w:right w:val="none" w:sz="0" w:space="0" w:color="auto"/>
              </w:divBdr>
              <w:divsChild>
                <w:div w:id="160322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5900">
          <w:marLeft w:val="0"/>
          <w:marRight w:val="0"/>
          <w:marTop w:val="0"/>
          <w:marBottom w:val="0"/>
          <w:divBdr>
            <w:top w:val="none" w:sz="0" w:space="0" w:color="auto"/>
            <w:left w:val="none" w:sz="0" w:space="0" w:color="auto"/>
            <w:bottom w:val="none" w:sz="0" w:space="0" w:color="auto"/>
            <w:right w:val="none" w:sz="0" w:space="0" w:color="auto"/>
          </w:divBdr>
          <w:divsChild>
            <w:div w:id="700938487">
              <w:marLeft w:val="0"/>
              <w:marRight w:val="0"/>
              <w:marTop w:val="0"/>
              <w:marBottom w:val="0"/>
              <w:divBdr>
                <w:top w:val="none" w:sz="0" w:space="0" w:color="auto"/>
                <w:left w:val="none" w:sz="0" w:space="0" w:color="auto"/>
                <w:bottom w:val="none" w:sz="0" w:space="0" w:color="auto"/>
                <w:right w:val="none" w:sz="0" w:space="0" w:color="auto"/>
              </w:divBdr>
              <w:divsChild>
                <w:div w:id="93521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19554">
          <w:marLeft w:val="0"/>
          <w:marRight w:val="0"/>
          <w:marTop w:val="0"/>
          <w:marBottom w:val="0"/>
          <w:divBdr>
            <w:top w:val="none" w:sz="0" w:space="0" w:color="auto"/>
            <w:left w:val="none" w:sz="0" w:space="0" w:color="auto"/>
            <w:bottom w:val="none" w:sz="0" w:space="0" w:color="auto"/>
            <w:right w:val="none" w:sz="0" w:space="0" w:color="auto"/>
          </w:divBdr>
          <w:divsChild>
            <w:div w:id="1840732792">
              <w:marLeft w:val="0"/>
              <w:marRight w:val="0"/>
              <w:marTop w:val="0"/>
              <w:marBottom w:val="0"/>
              <w:divBdr>
                <w:top w:val="none" w:sz="0" w:space="0" w:color="auto"/>
                <w:left w:val="none" w:sz="0" w:space="0" w:color="auto"/>
                <w:bottom w:val="none" w:sz="0" w:space="0" w:color="auto"/>
                <w:right w:val="none" w:sz="0" w:space="0" w:color="auto"/>
              </w:divBdr>
              <w:divsChild>
                <w:div w:id="14374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91718">
          <w:marLeft w:val="0"/>
          <w:marRight w:val="0"/>
          <w:marTop w:val="0"/>
          <w:marBottom w:val="0"/>
          <w:divBdr>
            <w:top w:val="none" w:sz="0" w:space="0" w:color="auto"/>
            <w:left w:val="none" w:sz="0" w:space="0" w:color="auto"/>
            <w:bottom w:val="none" w:sz="0" w:space="0" w:color="auto"/>
            <w:right w:val="none" w:sz="0" w:space="0" w:color="auto"/>
          </w:divBdr>
          <w:divsChild>
            <w:div w:id="1052314480">
              <w:marLeft w:val="0"/>
              <w:marRight w:val="0"/>
              <w:marTop w:val="0"/>
              <w:marBottom w:val="0"/>
              <w:divBdr>
                <w:top w:val="none" w:sz="0" w:space="0" w:color="auto"/>
                <w:left w:val="none" w:sz="0" w:space="0" w:color="auto"/>
                <w:bottom w:val="none" w:sz="0" w:space="0" w:color="auto"/>
                <w:right w:val="none" w:sz="0" w:space="0" w:color="auto"/>
              </w:divBdr>
              <w:divsChild>
                <w:div w:id="9006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0863">
          <w:marLeft w:val="0"/>
          <w:marRight w:val="0"/>
          <w:marTop w:val="0"/>
          <w:marBottom w:val="0"/>
          <w:divBdr>
            <w:top w:val="none" w:sz="0" w:space="0" w:color="auto"/>
            <w:left w:val="none" w:sz="0" w:space="0" w:color="auto"/>
            <w:bottom w:val="none" w:sz="0" w:space="0" w:color="auto"/>
            <w:right w:val="none" w:sz="0" w:space="0" w:color="auto"/>
          </w:divBdr>
          <w:divsChild>
            <w:div w:id="658120135">
              <w:marLeft w:val="0"/>
              <w:marRight w:val="0"/>
              <w:marTop w:val="0"/>
              <w:marBottom w:val="0"/>
              <w:divBdr>
                <w:top w:val="none" w:sz="0" w:space="0" w:color="auto"/>
                <w:left w:val="none" w:sz="0" w:space="0" w:color="auto"/>
                <w:bottom w:val="none" w:sz="0" w:space="0" w:color="auto"/>
                <w:right w:val="none" w:sz="0" w:space="0" w:color="auto"/>
              </w:divBdr>
              <w:divsChild>
                <w:div w:id="19529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89773">
          <w:marLeft w:val="0"/>
          <w:marRight w:val="0"/>
          <w:marTop w:val="0"/>
          <w:marBottom w:val="0"/>
          <w:divBdr>
            <w:top w:val="none" w:sz="0" w:space="0" w:color="auto"/>
            <w:left w:val="none" w:sz="0" w:space="0" w:color="auto"/>
            <w:bottom w:val="none" w:sz="0" w:space="0" w:color="auto"/>
            <w:right w:val="none" w:sz="0" w:space="0" w:color="auto"/>
          </w:divBdr>
          <w:divsChild>
            <w:div w:id="1144469207">
              <w:marLeft w:val="0"/>
              <w:marRight w:val="0"/>
              <w:marTop w:val="0"/>
              <w:marBottom w:val="0"/>
              <w:divBdr>
                <w:top w:val="none" w:sz="0" w:space="0" w:color="auto"/>
                <w:left w:val="none" w:sz="0" w:space="0" w:color="auto"/>
                <w:bottom w:val="none" w:sz="0" w:space="0" w:color="auto"/>
                <w:right w:val="none" w:sz="0" w:space="0" w:color="auto"/>
              </w:divBdr>
              <w:divsChild>
                <w:div w:id="12869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149522">
          <w:marLeft w:val="0"/>
          <w:marRight w:val="0"/>
          <w:marTop w:val="0"/>
          <w:marBottom w:val="0"/>
          <w:divBdr>
            <w:top w:val="none" w:sz="0" w:space="0" w:color="auto"/>
            <w:left w:val="none" w:sz="0" w:space="0" w:color="auto"/>
            <w:bottom w:val="none" w:sz="0" w:space="0" w:color="auto"/>
            <w:right w:val="none" w:sz="0" w:space="0" w:color="auto"/>
          </w:divBdr>
          <w:divsChild>
            <w:div w:id="224613471">
              <w:marLeft w:val="0"/>
              <w:marRight w:val="0"/>
              <w:marTop w:val="0"/>
              <w:marBottom w:val="0"/>
              <w:divBdr>
                <w:top w:val="none" w:sz="0" w:space="0" w:color="auto"/>
                <w:left w:val="none" w:sz="0" w:space="0" w:color="auto"/>
                <w:bottom w:val="none" w:sz="0" w:space="0" w:color="auto"/>
                <w:right w:val="none" w:sz="0" w:space="0" w:color="auto"/>
              </w:divBdr>
              <w:divsChild>
                <w:div w:id="190220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58734">
          <w:marLeft w:val="0"/>
          <w:marRight w:val="0"/>
          <w:marTop w:val="0"/>
          <w:marBottom w:val="0"/>
          <w:divBdr>
            <w:top w:val="none" w:sz="0" w:space="0" w:color="auto"/>
            <w:left w:val="none" w:sz="0" w:space="0" w:color="auto"/>
            <w:bottom w:val="none" w:sz="0" w:space="0" w:color="auto"/>
            <w:right w:val="none" w:sz="0" w:space="0" w:color="auto"/>
          </w:divBdr>
          <w:divsChild>
            <w:div w:id="1232041901">
              <w:marLeft w:val="0"/>
              <w:marRight w:val="0"/>
              <w:marTop w:val="0"/>
              <w:marBottom w:val="0"/>
              <w:divBdr>
                <w:top w:val="none" w:sz="0" w:space="0" w:color="auto"/>
                <w:left w:val="none" w:sz="0" w:space="0" w:color="auto"/>
                <w:bottom w:val="none" w:sz="0" w:space="0" w:color="auto"/>
                <w:right w:val="none" w:sz="0" w:space="0" w:color="auto"/>
              </w:divBdr>
              <w:divsChild>
                <w:div w:id="11800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3240">
          <w:marLeft w:val="0"/>
          <w:marRight w:val="0"/>
          <w:marTop w:val="0"/>
          <w:marBottom w:val="0"/>
          <w:divBdr>
            <w:top w:val="none" w:sz="0" w:space="0" w:color="auto"/>
            <w:left w:val="none" w:sz="0" w:space="0" w:color="auto"/>
            <w:bottom w:val="none" w:sz="0" w:space="0" w:color="auto"/>
            <w:right w:val="none" w:sz="0" w:space="0" w:color="auto"/>
          </w:divBdr>
          <w:divsChild>
            <w:div w:id="473719751">
              <w:marLeft w:val="0"/>
              <w:marRight w:val="0"/>
              <w:marTop w:val="0"/>
              <w:marBottom w:val="0"/>
              <w:divBdr>
                <w:top w:val="none" w:sz="0" w:space="0" w:color="auto"/>
                <w:left w:val="none" w:sz="0" w:space="0" w:color="auto"/>
                <w:bottom w:val="none" w:sz="0" w:space="0" w:color="auto"/>
                <w:right w:val="none" w:sz="0" w:space="0" w:color="auto"/>
              </w:divBdr>
              <w:divsChild>
                <w:div w:id="14661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97324">
          <w:marLeft w:val="0"/>
          <w:marRight w:val="0"/>
          <w:marTop w:val="0"/>
          <w:marBottom w:val="0"/>
          <w:divBdr>
            <w:top w:val="none" w:sz="0" w:space="0" w:color="auto"/>
            <w:left w:val="none" w:sz="0" w:space="0" w:color="auto"/>
            <w:bottom w:val="none" w:sz="0" w:space="0" w:color="auto"/>
            <w:right w:val="none" w:sz="0" w:space="0" w:color="auto"/>
          </w:divBdr>
          <w:divsChild>
            <w:div w:id="1498224874">
              <w:marLeft w:val="0"/>
              <w:marRight w:val="0"/>
              <w:marTop w:val="0"/>
              <w:marBottom w:val="0"/>
              <w:divBdr>
                <w:top w:val="none" w:sz="0" w:space="0" w:color="auto"/>
                <w:left w:val="none" w:sz="0" w:space="0" w:color="auto"/>
                <w:bottom w:val="none" w:sz="0" w:space="0" w:color="auto"/>
                <w:right w:val="none" w:sz="0" w:space="0" w:color="auto"/>
              </w:divBdr>
              <w:divsChild>
                <w:div w:id="13783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7367">
          <w:marLeft w:val="0"/>
          <w:marRight w:val="0"/>
          <w:marTop w:val="0"/>
          <w:marBottom w:val="0"/>
          <w:divBdr>
            <w:top w:val="none" w:sz="0" w:space="0" w:color="auto"/>
            <w:left w:val="none" w:sz="0" w:space="0" w:color="auto"/>
            <w:bottom w:val="none" w:sz="0" w:space="0" w:color="auto"/>
            <w:right w:val="none" w:sz="0" w:space="0" w:color="auto"/>
          </w:divBdr>
          <w:divsChild>
            <w:div w:id="68888032">
              <w:marLeft w:val="0"/>
              <w:marRight w:val="0"/>
              <w:marTop w:val="0"/>
              <w:marBottom w:val="0"/>
              <w:divBdr>
                <w:top w:val="none" w:sz="0" w:space="0" w:color="auto"/>
                <w:left w:val="none" w:sz="0" w:space="0" w:color="auto"/>
                <w:bottom w:val="none" w:sz="0" w:space="0" w:color="auto"/>
                <w:right w:val="none" w:sz="0" w:space="0" w:color="auto"/>
              </w:divBdr>
              <w:divsChild>
                <w:div w:id="702747342">
                  <w:marLeft w:val="0"/>
                  <w:marRight w:val="0"/>
                  <w:marTop w:val="0"/>
                  <w:marBottom w:val="0"/>
                  <w:divBdr>
                    <w:top w:val="none" w:sz="0" w:space="0" w:color="auto"/>
                    <w:left w:val="none" w:sz="0" w:space="0" w:color="auto"/>
                    <w:bottom w:val="none" w:sz="0" w:space="0" w:color="auto"/>
                    <w:right w:val="none" w:sz="0" w:space="0" w:color="auto"/>
                  </w:divBdr>
                </w:div>
              </w:divsChild>
            </w:div>
            <w:div w:id="653878497">
              <w:marLeft w:val="0"/>
              <w:marRight w:val="0"/>
              <w:marTop w:val="0"/>
              <w:marBottom w:val="0"/>
              <w:divBdr>
                <w:top w:val="none" w:sz="0" w:space="0" w:color="auto"/>
                <w:left w:val="none" w:sz="0" w:space="0" w:color="auto"/>
                <w:bottom w:val="none" w:sz="0" w:space="0" w:color="auto"/>
                <w:right w:val="none" w:sz="0" w:space="0" w:color="auto"/>
              </w:divBdr>
              <w:divsChild>
                <w:div w:id="44372057">
                  <w:marLeft w:val="0"/>
                  <w:marRight w:val="0"/>
                  <w:marTop w:val="0"/>
                  <w:marBottom w:val="0"/>
                  <w:divBdr>
                    <w:top w:val="none" w:sz="0" w:space="0" w:color="auto"/>
                    <w:left w:val="none" w:sz="0" w:space="0" w:color="auto"/>
                    <w:bottom w:val="none" w:sz="0" w:space="0" w:color="auto"/>
                    <w:right w:val="none" w:sz="0" w:space="0" w:color="auto"/>
                  </w:divBdr>
                </w:div>
              </w:divsChild>
            </w:div>
            <w:div w:id="1387607310">
              <w:marLeft w:val="0"/>
              <w:marRight w:val="0"/>
              <w:marTop w:val="0"/>
              <w:marBottom w:val="0"/>
              <w:divBdr>
                <w:top w:val="none" w:sz="0" w:space="0" w:color="auto"/>
                <w:left w:val="none" w:sz="0" w:space="0" w:color="auto"/>
                <w:bottom w:val="none" w:sz="0" w:space="0" w:color="auto"/>
                <w:right w:val="none" w:sz="0" w:space="0" w:color="auto"/>
              </w:divBdr>
              <w:divsChild>
                <w:div w:id="4689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3127">
          <w:marLeft w:val="0"/>
          <w:marRight w:val="0"/>
          <w:marTop w:val="0"/>
          <w:marBottom w:val="0"/>
          <w:divBdr>
            <w:top w:val="none" w:sz="0" w:space="0" w:color="auto"/>
            <w:left w:val="none" w:sz="0" w:space="0" w:color="auto"/>
            <w:bottom w:val="none" w:sz="0" w:space="0" w:color="auto"/>
            <w:right w:val="none" w:sz="0" w:space="0" w:color="auto"/>
          </w:divBdr>
          <w:divsChild>
            <w:div w:id="31928479">
              <w:marLeft w:val="0"/>
              <w:marRight w:val="0"/>
              <w:marTop w:val="0"/>
              <w:marBottom w:val="0"/>
              <w:divBdr>
                <w:top w:val="none" w:sz="0" w:space="0" w:color="auto"/>
                <w:left w:val="none" w:sz="0" w:space="0" w:color="auto"/>
                <w:bottom w:val="none" w:sz="0" w:space="0" w:color="auto"/>
                <w:right w:val="none" w:sz="0" w:space="0" w:color="auto"/>
              </w:divBdr>
              <w:divsChild>
                <w:div w:id="6637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7469">
          <w:marLeft w:val="0"/>
          <w:marRight w:val="0"/>
          <w:marTop w:val="0"/>
          <w:marBottom w:val="0"/>
          <w:divBdr>
            <w:top w:val="none" w:sz="0" w:space="0" w:color="auto"/>
            <w:left w:val="none" w:sz="0" w:space="0" w:color="auto"/>
            <w:bottom w:val="none" w:sz="0" w:space="0" w:color="auto"/>
            <w:right w:val="none" w:sz="0" w:space="0" w:color="auto"/>
          </w:divBdr>
          <w:divsChild>
            <w:div w:id="568425567">
              <w:marLeft w:val="0"/>
              <w:marRight w:val="0"/>
              <w:marTop w:val="0"/>
              <w:marBottom w:val="0"/>
              <w:divBdr>
                <w:top w:val="none" w:sz="0" w:space="0" w:color="auto"/>
                <w:left w:val="none" w:sz="0" w:space="0" w:color="auto"/>
                <w:bottom w:val="none" w:sz="0" w:space="0" w:color="auto"/>
                <w:right w:val="none" w:sz="0" w:space="0" w:color="auto"/>
              </w:divBdr>
              <w:divsChild>
                <w:div w:id="8714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02813">
          <w:marLeft w:val="0"/>
          <w:marRight w:val="0"/>
          <w:marTop w:val="0"/>
          <w:marBottom w:val="0"/>
          <w:divBdr>
            <w:top w:val="none" w:sz="0" w:space="0" w:color="auto"/>
            <w:left w:val="none" w:sz="0" w:space="0" w:color="auto"/>
            <w:bottom w:val="none" w:sz="0" w:space="0" w:color="auto"/>
            <w:right w:val="none" w:sz="0" w:space="0" w:color="auto"/>
          </w:divBdr>
          <w:divsChild>
            <w:div w:id="1093403788">
              <w:marLeft w:val="0"/>
              <w:marRight w:val="0"/>
              <w:marTop w:val="0"/>
              <w:marBottom w:val="0"/>
              <w:divBdr>
                <w:top w:val="none" w:sz="0" w:space="0" w:color="auto"/>
                <w:left w:val="none" w:sz="0" w:space="0" w:color="auto"/>
                <w:bottom w:val="none" w:sz="0" w:space="0" w:color="auto"/>
                <w:right w:val="none" w:sz="0" w:space="0" w:color="auto"/>
              </w:divBdr>
              <w:divsChild>
                <w:div w:id="20711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27155747">
      <w:bodyDiv w:val="1"/>
      <w:marLeft w:val="0"/>
      <w:marRight w:val="0"/>
      <w:marTop w:val="0"/>
      <w:marBottom w:val="0"/>
      <w:divBdr>
        <w:top w:val="none" w:sz="0" w:space="0" w:color="auto"/>
        <w:left w:val="none" w:sz="0" w:space="0" w:color="auto"/>
        <w:bottom w:val="none" w:sz="0" w:space="0" w:color="auto"/>
        <w:right w:val="none" w:sz="0" w:space="0" w:color="auto"/>
      </w:divBdr>
    </w:div>
    <w:div w:id="1942758584">
      <w:bodyDiv w:val="1"/>
      <w:marLeft w:val="0"/>
      <w:marRight w:val="0"/>
      <w:marTop w:val="0"/>
      <w:marBottom w:val="0"/>
      <w:divBdr>
        <w:top w:val="none" w:sz="0" w:space="0" w:color="auto"/>
        <w:left w:val="none" w:sz="0" w:space="0" w:color="auto"/>
        <w:bottom w:val="none" w:sz="0" w:space="0" w:color="auto"/>
        <w:right w:val="none" w:sz="0" w:space="0" w:color="auto"/>
      </w:divBdr>
      <w:divsChild>
        <w:div w:id="592007493">
          <w:marLeft w:val="0"/>
          <w:marRight w:val="0"/>
          <w:marTop w:val="0"/>
          <w:marBottom w:val="0"/>
          <w:divBdr>
            <w:top w:val="none" w:sz="0" w:space="0" w:color="auto"/>
            <w:left w:val="none" w:sz="0" w:space="0" w:color="auto"/>
            <w:bottom w:val="none" w:sz="0" w:space="0" w:color="auto"/>
            <w:right w:val="none" w:sz="0" w:space="0" w:color="auto"/>
          </w:divBdr>
          <w:divsChild>
            <w:div w:id="1320813305">
              <w:marLeft w:val="0"/>
              <w:marRight w:val="0"/>
              <w:marTop w:val="0"/>
              <w:marBottom w:val="0"/>
              <w:divBdr>
                <w:top w:val="none" w:sz="0" w:space="0" w:color="auto"/>
                <w:left w:val="none" w:sz="0" w:space="0" w:color="auto"/>
                <w:bottom w:val="none" w:sz="0" w:space="0" w:color="auto"/>
                <w:right w:val="none" w:sz="0" w:space="0" w:color="auto"/>
              </w:divBdr>
              <w:divsChild>
                <w:div w:id="117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8920">
          <w:marLeft w:val="0"/>
          <w:marRight w:val="0"/>
          <w:marTop w:val="0"/>
          <w:marBottom w:val="0"/>
          <w:divBdr>
            <w:top w:val="none" w:sz="0" w:space="0" w:color="auto"/>
            <w:left w:val="none" w:sz="0" w:space="0" w:color="auto"/>
            <w:bottom w:val="none" w:sz="0" w:space="0" w:color="auto"/>
            <w:right w:val="none" w:sz="0" w:space="0" w:color="auto"/>
          </w:divBdr>
          <w:divsChild>
            <w:div w:id="1368800315">
              <w:marLeft w:val="0"/>
              <w:marRight w:val="0"/>
              <w:marTop w:val="0"/>
              <w:marBottom w:val="0"/>
              <w:divBdr>
                <w:top w:val="none" w:sz="0" w:space="0" w:color="auto"/>
                <w:left w:val="none" w:sz="0" w:space="0" w:color="auto"/>
                <w:bottom w:val="none" w:sz="0" w:space="0" w:color="auto"/>
                <w:right w:val="none" w:sz="0" w:space="0" w:color="auto"/>
              </w:divBdr>
              <w:divsChild>
                <w:div w:id="9111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3091">
          <w:marLeft w:val="0"/>
          <w:marRight w:val="0"/>
          <w:marTop w:val="0"/>
          <w:marBottom w:val="0"/>
          <w:divBdr>
            <w:top w:val="none" w:sz="0" w:space="0" w:color="auto"/>
            <w:left w:val="none" w:sz="0" w:space="0" w:color="auto"/>
            <w:bottom w:val="none" w:sz="0" w:space="0" w:color="auto"/>
            <w:right w:val="none" w:sz="0" w:space="0" w:color="auto"/>
          </w:divBdr>
          <w:divsChild>
            <w:div w:id="1623001020">
              <w:marLeft w:val="0"/>
              <w:marRight w:val="0"/>
              <w:marTop w:val="0"/>
              <w:marBottom w:val="0"/>
              <w:divBdr>
                <w:top w:val="none" w:sz="0" w:space="0" w:color="auto"/>
                <w:left w:val="none" w:sz="0" w:space="0" w:color="auto"/>
                <w:bottom w:val="none" w:sz="0" w:space="0" w:color="auto"/>
                <w:right w:val="none" w:sz="0" w:space="0" w:color="auto"/>
              </w:divBdr>
              <w:divsChild>
                <w:div w:id="15350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41079">
          <w:marLeft w:val="0"/>
          <w:marRight w:val="0"/>
          <w:marTop w:val="0"/>
          <w:marBottom w:val="0"/>
          <w:divBdr>
            <w:top w:val="none" w:sz="0" w:space="0" w:color="auto"/>
            <w:left w:val="none" w:sz="0" w:space="0" w:color="auto"/>
            <w:bottom w:val="none" w:sz="0" w:space="0" w:color="auto"/>
            <w:right w:val="none" w:sz="0" w:space="0" w:color="auto"/>
          </w:divBdr>
          <w:divsChild>
            <w:div w:id="250745415">
              <w:marLeft w:val="0"/>
              <w:marRight w:val="0"/>
              <w:marTop w:val="0"/>
              <w:marBottom w:val="0"/>
              <w:divBdr>
                <w:top w:val="none" w:sz="0" w:space="0" w:color="auto"/>
                <w:left w:val="none" w:sz="0" w:space="0" w:color="auto"/>
                <w:bottom w:val="none" w:sz="0" w:space="0" w:color="auto"/>
                <w:right w:val="none" w:sz="0" w:space="0" w:color="auto"/>
              </w:divBdr>
              <w:divsChild>
                <w:div w:id="191450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89579">
          <w:marLeft w:val="0"/>
          <w:marRight w:val="0"/>
          <w:marTop w:val="0"/>
          <w:marBottom w:val="0"/>
          <w:divBdr>
            <w:top w:val="none" w:sz="0" w:space="0" w:color="auto"/>
            <w:left w:val="none" w:sz="0" w:space="0" w:color="auto"/>
            <w:bottom w:val="none" w:sz="0" w:space="0" w:color="auto"/>
            <w:right w:val="none" w:sz="0" w:space="0" w:color="auto"/>
          </w:divBdr>
          <w:divsChild>
            <w:div w:id="1575509017">
              <w:marLeft w:val="0"/>
              <w:marRight w:val="0"/>
              <w:marTop w:val="0"/>
              <w:marBottom w:val="0"/>
              <w:divBdr>
                <w:top w:val="none" w:sz="0" w:space="0" w:color="auto"/>
                <w:left w:val="none" w:sz="0" w:space="0" w:color="auto"/>
                <w:bottom w:val="none" w:sz="0" w:space="0" w:color="auto"/>
                <w:right w:val="none" w:sz="0" w:space="0" w:color="auto"/>
              </w:divBdr>
              <w:divsChild>
                <w:div w:id="21832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1321">
          <w:marLeft w:val="0"/>
          <w:marRight w:val="0"/>
          <w:marTop w:val="0"/>
          <w:marBottom w:val="0"/>
          <w:divBdr>
            <w:top w:val="none" w:sz="0" w:space="0" w:color="auto"/>
            <w:left w:val="none" w:sz="0" w:space="0" w:color="auto"/>
            <w:bottom w:val="none" w:sz="0" w:space="0" w:color="auto"/>
            <w:right w:val="none" w:sz="0" w:space="0" w:color="auto"/>
          </w:divBdr>
          <w:divsChild>
            <w:div w:id="1700736533">
              <w:marLeft w:val="0"/>
              <w:marRight w:val="0"/>
              <w:marTop w:val="0"/>
              <w:marBottom w:val="0"/>
              <w:divBdr>
                <w:top w:val="none" w:sz="0" w:space="0" w:color="auto"/>
                <w:left w:val="none" w:sz="0" w:space="0" w:color="auto"/>
                <w:bottom w:val="none" w:sz="0" w:space="0" w:color="auto"/>
                <w:right w:val="none" w:sz="0" w:space="0" w:color="auto"/>
              </w:divBdr>
              <w:divsChild>
                <w:div w:id="1301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8356">
          <w:marLeft w:val="0"/>
          <w:marRight w:val="0"/>
          <w:marTop w:val="0"/>
          <w:marBottom w:val="0"/>
          <w:divBdr>
            <w:top w:val="none" w:sz="0" w:space="0" w:color="auto"/>
            <w:left w:val="none" w:sz="0" w:space="0" w:color="auto"/>
            <w:bottom w:val="none" w:sz="0" w:space="0" w:color="auto"/>
            <w:right w:val="none" w:sz="0" w:space="0" w:color="auto"/>
          </w:divBdr>
          <w:divsChild>
            <w:div w:id="1715345226">
              <w:marLeft w:val="0"/>
              <w:marRight w:val="0"/>
              <w:marTop w:val="0"/>
              <w:marBottom w:val="0"/>
              <w:divBdr>
                <w:top w:val="none" w:sz="0" w:space="0" w:color="auto"/>
                <w:left w:val="none" w:sz="0" w:space="0" w:color="auto"/>
                <w:bottom w:val="none" w:sz="0" w:space="0" w:color="auto"/>
                <w:right w:val="none" w:sz="0" w:space="0" w:color="auto"/>
              </w:divBdr>
              <w:divsChild>
                <w:div w:id="18646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5453">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1995640026">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82096640">
      <w:bodyDiv w:val="1"/>
      <w:marLeft w:val="0"/>
      <w:marRight w:val="0"/>
      <w:marTop w:val="0"/>
      <w:marBottom w:val="0"/>
      <w:divBdr>
        <w:top w:val="none" w:sz="0" w:space="0" w:color="auto"/>
        <w:left w:val="none" w:sz="0" w:space="0" w:color="auto"/>
        <w:bottom w:val="none" w:sz="0" w:space="0" w:color="auto"/>
        <w:right w:val="none" w:sz="0" w:space="0" w:color="auto"/>
      </w:divBdr>
      <w:divsChild>
        <w:div w:id="28068098">
          <w:marLeft w:val="0"/>
          <w:marRight w:val="0"/>
          <w:marTop w:val="0"/>
          <w:marBottom w:val="0"/>
          <w:divBdr>
            <w:top w:val="none" w:sz="0" w:space="0" w:color="auto"/>
            <w:left w:val="none" w:sz="0" w:space="0" w:color="auto"/>
            <w:bottom w:val="none" w:sz="0" w:space="0" w:color="auto"/>
            <w:right w:val="none" w:sz="0" w:space="0" w:color="auto"/>
          </w:divBdr>
          <w:divsChild>
            <w:div w:id="1062173778">
              <w:marLeft w:val="0"/>
              <w:marRight w:val="0"/>
              <w:marTop w:val="0"/>
              <w:marBottom w:val="0"/>
              <w:divBdr>
                <w:top w:val="none" w:sz="0" w:space="0" w:color="auto"/>
                <w:left w:val="none" w:sz="0" w:space="0" w:color="auto"/>
                <w:bottom w:val="none" w:sz="0" w:space="0" w:color="auto"/>
                <w:right w:val="none" w:sz="0" w:space="0" w:color="auto"/>
              </w:divBdr>
              <w:divsChild>
                <w:div w:id="8268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7568">
          <w:marLeft w:val="0"/>
          <w:marRight w:val="0"/>
          <w:marTop w:val="0"/>
          <w:marBottom w:val="0"/>
          <w:divBdr>
            <w:top w:val="none" w:sz="0" w:space="0" w:color="auto"/>
            <w:left w:val="none" w:sz="0" w:space="0" w:color="auto"/>
            <w:bottom w:val="none" w:sz="0" w:space="0" w:color="auto"/>
            <w:right w:val="none" w:sz="0" w:space="0" w:color="auto"/>
          </w:divBdr>
          <w:divsChild>
            <w:div w:id="1358390222">
              <w:marLeft w:val="0"/>
              <w:marRight w:val="0"/>
              <w:marTop w:val="0"/>
              <w:marBottom w:val="0"/>
              <w:divBdr>
                <w:top w:val="none" w:sz="0" w:space="0" w:color="auto"/>
                <w:left w:val="none" w:sz="0" w:space="0" w:color="auto"/>
                <w:bottom w:val="none" w:sz="0" w:space="0" w:color="auto"/>
                <w:right w:val="none" w:sz="0" w:space="0" w:color="auto"/>
              </w:divBdr>
              <w:divsChild>
                <w:div w:id="164600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79734">
          <w:marLeft w:val="0"/>
          <w:marRight w:val="0"/>
          <w:marTop w:val="0"/>
          <w:marBottom w:val="0"/>
          <w:divBdr>
            <w:top w:val="none" w:sz="0" w:space="0" w:color="auto"/>
            <w:left w:val="none" w:sz="0" w:space="0" w:color="auto"/>
            <w:bottom w:val="none" w:sz="0" w:space="0" w:color="auto"/>
            <w:right w:val="none" w:sz="0" w:space="0" w:color="auto"/>
          </w:divBdr>
          <w:divsChild>
            <w:div w:id="700672915">
              <w:marLeft w:val="0"/>
              <w:marRight w:val="0"/>
              <w:marTop w:val="0"/>
              <w:marBottom w:val="0"/>
              <w:divBdr>
                <w:top w:val="none" w:sz="0" w:space="0" w:color="auto"/>
                <w:left w:val="none" w:sz="0" w:space="0" w:color="auto"/>
                <w:bottom w:val="none" w:sz="0" w:space="0" w:color="auto"/>
                <w:right w:val="none" w:sz="0" w:space="0" w:color="auto"/>
              </w:divBdr>
              <w:divsChild>
                <w:div w:id="9533563">
                  <w:marLeft w:val="0"/>
                  <w:marRight w:val="0"/>
                  <w:marTop w:val="0"/>
                  <w:marBottom w:val="0"/>
                  <w:divBdr>
                    <w:top w:val="none" w:sz="0" w:space="0" w:color="auto"/>
                    <w:left w:val="none" w:sz="0" w:space="0" w:color="auto"/>
                    <w:bottom w:val="none" w:sz="0" w:space="0" w:color="auto"/>
                    <w:right w:val="none" w:sz="0" w:space="0" w:color="auto"/>
                  </w:divBdr>
                </w:div>
              </w:divsChild>
            </w:div>
            <w:div w:id="894463554">
              <w:marLeft w:val="0"/>
              <w:marRight w:val="0"/>
              <w:marTop w:val="0"/>
              <w:marBottom w:val="0"/>
              <w:divBdr>
                <w:top w:val="none" w:sz="0" w:space="0" w:color="auto"/>
                <w:left w:val="none" w:sz="0" w:space="0" w:color="auto"/>
                <w:bottom w:val="none" w:sz="0" w:space="0" w:color="auto"/>
                <w:right w:val="none" w:sz="0" w:space="0" w:color="auto"/>
              </w:divBdr>
              <w:divsChild>
                <w:div w:id="185618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1799">
          <w:marLeft w:val="0"/>
          <w:marRight w:val="0"/>
          <w:marTop w:val="0"/>
          <w:marBottom w:val="0"/>
          <w:divBdr>
            <w:top w:val="none" w:sz="0" w:space="0" w:color="auto"/>
            <w:left w:val="none" w:sz="0" w:space="0" w:color="auto"/>
            <w:bottom w:val="none" w:sz="0" w:space="0" w:color="auto"/>
            <w:right w:val="none" w:sz="0" w:space="0" w:color="auto"/>
          </w:divBdr>
          <w:divsChild>
            <w:div w:id="973369235">
              <w:marLeft w:val="0"/>
              <w:marRight w:val="0"/>
              <w:marTop w:val="0"/>
              <w:marBottom w:val="0"/>
              <w:divBdr>
                <w:top w:val="none" w:sz="0" w:space="0" w:color="auto"/>
                <w:left w:val="none" w:sz="0" w:space="0" w:color="auto"/>
                <w:bottom w:val="none" w:sz="0" w:space="0" w:color="auto"/>
                <w:right w:val="none" w:sz="0" w:space="0" w:color="auto"/>
              </w:divBdr>
              <w:divsChild>
                <w:div w:id="18538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3897">
          <w:marLeft w:val="0"/>
          <w:marRight w:val="0"/>
          <w:marTop w:val="0"/>
          <w:marBottom w:val="0"/>
          <w:divBdr>
            <w:top w:val="none" w:sz="0" w:space="0" w:color="auto"/>
            <w:left w:val="none" w:sz="0" w:space="0" w:color="auto"/>
            <w:bottom w:val="none" w:sz="0" w:space="0" w:color="auto"/>
            <w:right w:val="none" w:sz="0" w:space="0" w:color="auto"/>
          </w:divBdr>
          <w:divsChild>
            <w:div w:id="215705871">
              <w:marLeft w:val="0"/>
              <w:marRight w:val="0"/>
              <w:marTop w:val="0"/>
              <w:marBottom w:val="0"/>
              <w:divBdr>
                <w:top w:val="none" w:sz="0" w:space="0" w:color="auto"/>
                <w:left w:val="none" w:sz="0" w:space="0" w:color="auto"/>
                <w:bottom w:val="none" w:sz="0" w:space="0" w:color="auto"/>
                <w:right w:val="none" w:sz="0" w:space="0" w:color="auto"/>
              </w:divBdr>
              <w:divsChild>
                <w:div w:id="1127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39391">
          <w:marLeft w:val="0"/>
          <w:marRight w:val="0"/>
          <w:marTop w:val="0"/>
          <w:marBottom w:val="0"/>
          <w:divBdr>
            <w:top w:val="none" w:sz="0" w:space="0" w:color="auto"/>
            <w:left w:val="none" w:sz="0" w:space="0" w:color="auto"/>
            <w:bottom w:val="none" w:sz="0" w:space="0" w:color="auto"/>
            <w:right w:val="none" w:sz="0" w:space="0" w:color="auto"/>
          </w:divBdr>
          <w:divsChild>
            <w:div w:id="1760368152">
              <w:marLeft w:val="0"/>
              <w:marRight w:val="0"/>
              <w:marTop w:val="0"/>
              <w:marBottom w:val="0"/>
              <w:divBdr>
                <w:top w:val="none" w:sz="0" w:space="0" w:color="auto"/>
                <w:left w:val="none" w:sz="0" w:space="0" w:color="auto"/>
                <w:bottom w:val="none" w:sz="0" w:space="0" w:color="auto"/>
                <w:right w:val="none" w:sz="0" w:space="0" w:color="auto"/>
              </w:divBdr>
              <w:divsChild>
                <w:div w:id="392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07559">
          <w:marLeft w:val="0"/>
          <w:marRight w:val="0"/>
          <w:marTop w:val="0"/>
          <w:marBottom w:val="0"/>
          <w:divBdr>
            <w:top w:val="none" w:sz="0" w:space="0" w:color="auto"/>
            <w:left w:val="none" w:sz="0" w:space="0" w:color="auto"/>
            <w:bottom w:val="none" w:sz="0" w:space="0" w:color="auto"/>
            <w:right w:val="none" w:sz="0" w:space="0" w:color="auto"/>
          </w:divBdr>
          <w:divsChild>
            <w:div w:id="776413961">
              <w:marLeft w:val="0"/>
              <w:marRight w:val="0"/>
              <w:marTop w:val="0"/>
              <w:marBottom w:val="0"/>
              <w:divBdr>
                <w:top w:val="none" w:sz="0" w:space="0" w:color="auto"/>
                <w:left w:val="none" w:sz="0" w:space="0" w:color="auto"/>
                <w:bottom w:val="none" w:sz="0" w:space="0" w:color="auto"/>
                <w:right w:val="none" w:sz="0" w:space="0" w:color="auto"/>
              </w:divBdr>
              <w:divsChild>
                <w:div w:id="6061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685">
          <w:marLeft w:val="0"/>
          <w:marRight w:val="0"/>
          <w:marTop w:val="0"/>
          <w:marBottom w:val="0"/>
          <w:divBdr>
            <w:top w:val="none" w:sz="0" w:space="0" w:color="auto"/>
            <w:left w:val="none" w:sz="0" w:space="0" w:color="auto"/>
            <w:bottom w:val="none" w:sz="0" w:space="0" w:color="auto"/>
            <w:right w:val="none" w:sz="0" w:space="0" w:color="auto"/>
          </w:divBdr>
          <w:divsChild>
            <w:div w:id="1343358760">
              <w:marLeft w:val="0"/>
              <w:marRight w:val="0"/>
              <w:marTop w:val="0"/>
              <w:marBottom w:val="0"/>
              <w:divBdr>
                <w:top w:val="none" w:sz="0" w:space="0" w:color="auto"/>
                <w:left w:val="none" w:sz="0" w:space="0" w:color="auto"/>
                <w:bottom w:val="none" w:sz="0" w:space="0" w:color="auto"/>
                <w:right w:val="none" w:sz="0" w:space="0" w:color="auto"/>
              </w:divBdr>
              <w:divsChild>
                <w:div w:id="4012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3432">
          <w:marLeft w:val="0"/>
          <w:marRight w:val="0"/>
          <w:marTop w:val="0"/>
          <w:marBottom w:val="0"/>
          <w:divBdr>
            <w:top w:val="none" w:sz="0" w:space="0" w:color="auto"/>
            <w:left w:val="none" w:sz="0" w:space="0" w:color="auto"/>
            <w:bottom w:val="none" w:sz="0" w:space="0" w:color="auto"/>
            <w:right w:val="none" w:sz="0" w:space="0" w:color="auto"/>
          </w:divBdr>
          <w:divsChild>
            <w:div w:id="1934169888">
              <w:marLeft w:val="0"/>
              <w:marRight w:val="0"/>
              <w:marTop w:val="0"/>
              <w:marBottom w:val="0"/>
              <w:divBdr>
                <w:top w:val="none" w:sz="0" w:space="0" w:color="auto"/>
                <w:left w:val="none" w:sz="0" w:space="0" w:color="auto"/>
                <w:bottom w:val="none" w:sz="0" w:space="0" w:color="auto"/>
                <w:right w:val="none" w:sz="0" w:space="0" w:color="auto"/>
              </w:divBdr>
              <w:divsChild>
                <w:div w:id="15683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5335">
          <w:marLeft w:val="0"/>
          <w:marRight w:val="0"/>
          <w:marTop w:val="0"/>
          <w:marBottom w:val="0"/>
          <w:divBdr>
            <w:top w:val="none" w:sz="0" w:space="0" w:color="auto"/>
            <w:left w:val="none" w:sz="0" w:space="0" w:color="auto"/>
            <w:bottom w:val="none" w:sz="0" w:space="0" w:color="auto"/>
            <w:right w:val="none" w:sz="0" w:space="0" w:color="auto"/>
          </w:divBdr>
          <w:divsChild>
            <w:div w:id="1323267311">
              <w:marLeft w:val="0"/>
              <w:marRight w:val="0"/>
              <w:marTop w:val="0"/>
              <w:marBottom w:val="0"/>
              <w:divBdr>
                <w:top w:val="none" w:sz="0" w:space="0" w:color="auto"/>
                <w:left w:val="none" w:sz="0" w:space="0" w:color="auto"/>
                <w:bottom w:val="none" w:sz="0" w:space="0" w:color="auto"/>
                <w:right w:val="none" w:sz="0" w:space="0" w:color="auto"/>
              </w:divBdr>
              <w:divsChild>
                <w:div w:id="10235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4657">
          <w:marLeft w:val="0"/>
          <w:marRight w:val="0"/>
          <w:marTop w:val="0"/>
          <w:marBottom w:val="0"/>
          <w:divBdr>
            <w:top w:val="none" w:sz="0" w:space="0" w:color="auto"/>
            <w:left w:val="none" w:sz="0" w:space="0" w:color="auto"/>
            <w:bottom w:val="none" w:sz="0" w:space="0" w:color="auto"/>
            <w:right w:val="none" w:sz="0" w:space="0" w:color="auto"/>
          </w:divBdr>
          <w:divsChild>
            <w:div w:id="199973982">
              <w:marLeft w:val="0"/>
              <w:marRight w:val="0"/>
              <w:marTop w:val="0"/>
              <w:marBottom w:val="0"/>
              <w:divBdr>
                <w:top w:val="none" w:sz="0" w:space="0" w:color="auto"/>
                <w:left w:val="none" w:sz="0" w:space="0" w:color="auto"/>
                <w:bottom w:val="none" w:sz="0" w:space="0" w:color="auto"/>
                <w:right w:val="none" w:sz="0" w:space="0" w:color="auto"/>
              </w:divBdr>
              <w:divsChild>
                <w:div w:id="9982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86392">
          <w:marLeft w:val="0"/>
          <w:marRight w:val="0"/>
          <w:marTop w:val="0"/>
          <w:marBottom w:val="0"/>
          <w:divBdr>
            <w:top w:val="none" w:sz="0" w:space="0" w:color="auto"/>
            <w:left w:val="none" w:sz="0" w:space="0" w:color="auto"/>
            <w:bottom w:val="none" w:sz="0" w:space="0" w:color="auto"/>
            <w:right w:val="none" w:sz="0" w:space="0" w:color="auto"/>
          </w:divBdr>
          <w:divsChild>
            <w:div w:id="599070446">
              <w:marLeft w:val="0"/>
              <w:marRight w:val="0"/>
              <w:marTop w:val="0"/>
              <w:marBottom w:val="0"/>
              <w:divBdr>
                <w:top w:val="none" w:sz="0" w:space="0" w:color="auto"/>
                <w:left w:val="none" w:sz="0" w:space="0" w:color="auto"/>
                <w:bottom w:val="none" w:sz="0" w:space="0" w:color="auto"/>
                <w:right w:val="none" w:sz="0" w:space="0" w:color="auto"/>
              </w:divBdr>
              <w:divsChild>
                <w:div w:id="109447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3800">
          <w:marLeft w:val="0"/>
          <w:marRight w:val="0"/>
          <w:marTop w:val="0"/>
          <w:marBottom w:val="0"/>
          <w:divBdr>
            <w:top w:val="none" w:sz="0" w:space="0" w:color="auto"/>
            <w:left w:val="none" w:sz="0" w:space="0" w:color="auto"/>
            <w:bottom w:val="none" w:sz="0" w:space="0" w:color="auto"/>
            <w:right w:val="none" w:sz="0" w:space="0" w:color="auto"/>
          </w:divBdr>
          <w:divsChild>
            <w:div w:id="64650680">
              <w:marLeft w:val="0"/>
              <w:marRight w:val="0"/>
              <w:marTop w:val="0"/>
              <w:marBottom w:val="0"/>
              <w:divBdr>
                <w:top w:val="none" w:sz="0" w:space="0" w:color="auto"/>
                <w:left w:val="none" w:sz="0" w:space="0" w:color="auto"/>
                <w:bottom w:val="none" w:sz="0" w:space="0" w:color="auto"/>
                <w:right w:val="none" w:sz="0" w:space="0" w:color="auto"/>
              </w:divBdr>
              <w:divsChild>
                <w:div w:id="3551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2198">
          <w:marLeft w:val="0"/>
          <w:marRight w:val="0"/>
          <w:marTop w:val="0"/>
          <w:marBottom w:val="0"/>
          <w:divBdr>
            <w:top w:val="none" w:sz="0" w:space="0" w:color="auto"/>
            <w:left w:val="none" w:sz="0" w:space="0" w:color="auto"/>
            <w:bottom w:val="none" w:sz="0" w:space="0" w:color="auto"/>
            <w:right w:val="none" w:sz="0" w:space="0" w:color="auto"/>
          </w:divBdr>
          <w:divsChild>
            <w:div w:id="1523743260">
              <w:marLeft w:val="0"/>
              <w:marRight w:val="0"/>
              <w:marTop w:val="0"/>
              <w:marBottom w:val="0"/>
              <w:divBdr>
                <w:top w:val="none" w:sz="0" w:space="0" w:color="auto"/>
                <w:left w:val="none" w:sz="0" w:space="0" w:color="auto"/>
                <w:bottom w:val="none" w:sz="0" w:space="0" w:color="auto"/>
                <w:right w:val="none" w:sz="0" w:space="0" w:color="auto"/>
              </w:divBdr>
              <w:divsChild>
                <w:div w:id="17443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7368">
          <w:marLeft w:val="0"/>
          <w:marRight w:val="0"/>
          <w:marTop w:val="0"/>
          <w:marBottom w:val="0"/>
          <w:divBdr>
            <w:top w:val="none" w:sz="0" w:space="0" w:color="auto"/>
            <w:left w:val="none" w:sz="0" w:space="0" w:color="auto"/>
            <w:bottom w:val="none" w:sz="0" w:space="0" w:color="auto"/>
            <w:right w:val="none" w:sz="0" w:space="0" w:color="auto"/>
          </w:divBdr>
          <w:divsChild>
            <w:div w:id="1079793752">
              <w:marLeft w:val="0"/>
              <w:marRight w:val="0"/>
              <w:marTop w:val="0"/>
              <w:marBottom w:val="0"/>
              <w:divBdr>
                <w:top w:val="none" w:sz="0" w:space="0" w:color="auto"/>
                <w:left w:val="none" w:sz="0" w:space="0" w:color="auto"/>
                <w:bottom w:val="none" w:sz="0" w:space="0" w:color="auto"/>
                <w:right w:val="none" w:sz="0" w:space="0" w:color="auto"/>
              </w:divBdr>
              <w:divsChild>
                <w:div w:id="14794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764">
          <w:marLeft w:val="0"/>
          <w:marRight w:val="0"/>
          <w:marTop w:val="0"/>
          <w:marBottom w:val="0"/>
          <w:divBdr>
            <w:top w:val="none" w:sz="0" w:space="0" w:color="auto"/>
            <w:left w:val="none" w:sz="0" w:space="0" w:color="auto"/>
            <w:bottom w:val="none" w:sz="0" w:space="0" w:color="auto"/>
            <w:right w:val="none" w:sz="0" w:space="0" w:color="auto"/>
          </w:divBdr>
          <w:divsChild>
            <w:div w:id="567303536">
              <w:marLeft w:val="0"/>
              <w:marRight w:val="0"/>
              <w:marTop w:val="0"/>
              <w:marBottom w:val="0"/>
              <w:divBdr>
                <w:top w:val="none" w:sz="0" w:space="0" w:color="auto"/>
                <w:left w:val="none" w:sz="0" w:space="0" w:color="auto"/>
                <w:bottom w:val="none" w:sz="0" w:space="0" w:color="auto"/>
                <w:right w:val="none" w:sz="0" w:space="0" w:color="auto"/>
              </w:divBdr>
              <w:divsChild>
                <w:div w:id="9977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32923">
          <w:marLeft w:val="0"/>
          <w:marRight w:val="0"/>
          <w:marTop w:val="0"/>
          <w:marBottom w:val="0"/>
          <w:divBdr>
            <w:top w:val="none" w:sz="0" w:space="0" w:color="auto"/>
            <w:left w:val="none" w:sz="0" w:space="0" w:color="auto"/>
            <w:bottom w:val="none" w:sz="0" w:space="0" w:color="auto"/>
            <w:right w:val="none" w:sz="0" w:space="0" w:color="auto"/>
          </w:divBdr>
          <w:divsChild>
            <w:div w:id="925067657">
              <w:marLeft w:val="0"/>
              <w:marRight w:val="0"/>
              <w:marTop w:val="0"/>
              <w:marBottom w:val="0"/>
              <w:divBdr>
                <w:top w:val="none" w:sz="0" w:space="0" w:color="auto"/>
                <w:left w:val="none" w:sz="0" w:space="0" w:color="auto"/>
                <w:bottom w:val="none" w:sz="0" w:space="0" w:color="auto"/>
                <w:right w:val="none" w:sz="0" w:space="0" w:color="auto"/>
              </w:divBdr>
              <w:divsChild>
                <w:div w:id="86536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21204">
          <w:marLeft w:val="0"/>
          <w:marRight w:val="0"/>
          <w:marTop w:val="0"/>
          <w:marBottom w:val="0"/>
          <w:divBdr>
            <w:top w:val="none" w:sz="0" w:space="0" w:color="auto"/>
            <w:left w:val="none" w:sz="0" w:space="0" w:color="auto"/>
            <w:bottom w:val="none" w:sz="0" w:space="0" w:color="auto"/>
            <w:right w:val="none" w:sz="0" w:space="0" w:color="auto"/>
          </w:divBdr>
          <w:divsChild>
            <w:div w:id="467168005">
              <w:marLeft w:val="0"/>
              <w:marRight w:val="0"/>
              <w:marTop w:val="0"/>
              <w:marBottom w:val="0"/>
              <w:divBdr>
                <w:top w:val="none" w:sz="0" w:space="0" w:color="auto"/>
                <w:left w:val="none" w:sz="0" w:space="0" w:color="auto"/>
                <w:bottom w:val="none" w:sz="0" w:space="0" w:color="auto"/>
                <w:right w:val="none" w:sz="0" w:space="0" w:color="auto"/>
              </w:divBdr>
              <w:divsChild>
                <w:div w:id="4147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19234">
          <w:marLeft w:val="0"/>
          <w:marRight w:val="0"/>
          <w:marTop w:val="0"/>
          <w:marBottom w:val="0"/>
          <w:divBdr>
            <w:top w:val="none" w:sz="0" w:space="0" w:color="auto"/>
            <w:left w:val="none" w:sz="0" w:space="0" w:color="auto"/>
            <w:bottom w:val="none" w:sz="0" w:space="0" w:color="auto"/>
            <w:right w:val="none" w:sz="0" w:space="0" w:color="auto"/>
          </w:divBdr>
          <w:divsChild>
            <w:div w:id="2055538900">
              <w:marLeft w:val="0"/>
              <w:marRight w:val="0"/>
              <w:marTop w:val="0"/>
              <w:marBottom w:val="0"/>
              <w:divBdr>
                <w:top w:val="none" w:sz="0" w:space="0" w:color="auto"/>
                <w:left w:val="none" w:sz="0" w:space="0" w:color="auto"/>
                <w:bottom w:val="none" w:sz="0" w:space="0" w:color="auto"/>
                <w:right w:val="none" w:sz="0" w:space="0" w:color="auto"/>
              </w:divBdr>
              <w:divsChild>
                <w:div w:id="14799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85410">
          <w:marLeft w:val="0"/>
          <w:marRight w:val="0"/>
          <w:marTop w:val="0"/>
          <w:marBottom w:val="0"/>
          <w:divBdr>
            <w:top w:val="none" w:sz="0" w:space="0" w:color="auto"/>
            <w:left w:val="none" w:sz="0" w:space="0" w:color="auto"/>
            <w:bottom w:val="none" w:sz="0" w:space="0" w:color="auto"/>
            <w:right w:val="none" w:sz="0" w:space="0" w:color="auto"/>
          </w:divBdr>
          <w:divsChild>
            <w:div w:id="1574926013">
              <w:marLeft w:val="0"/>
              <w:marRight w:val="0"/>
              <w:marTop w:val="0"/>
              <w:marBottom w:val="0"/>
              <w:divBdr>
                <w:top w:val="none" w:sz="0" w:space="0" w:color="auto"/>
                <w:left w:val="none" w:sz="0" w:space="0" w:color="auto"/>
                <w:bottom w:val="none" w:sz="0" w:space="0" w:color="auto"/>
                <w:right w:val="none" w:sz="0" w:space="0" w:color="auto"/>
              </w:divBdr>
              <w:divsChild>
                <w:div w:id="1438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5088">
          <w:marLeft w:val="0"/>
          <w:marRight w:val="0"/>
          <w:marTop w:val="0"/>
          <w:marBottom w:val="0"/>
          <w:divBdr>
            <w:top w:val="none" w:sz="0" w:space="0" w:color="auto"/>
            <w:left w:val="none" w:sz="0" w:space="0" w:color="auto"/>
            <w:bottom w:val="none" w:sz="0" w:space="0" w:color="auto"/>
            <w:right w:val="none" w:sz="0" w:space="0" w:color="auto"/>
          </w:divBdr>
          <w:divsChild>
            <w:div w:id="2079742180">
              <w:marLeft w:val="0"/>
              <w:marRight w:val="0"/>
              <w:marTop w:val="0"/>
              <w:marBottom w:val="0"/>
              <w:divBdr>
                <w:top w:val="none" w:sz="0" w:space="0" w:color="auto"/>
                <w:left w:val="none" w:sz="0" w:space="0" w:color="auto"/>
                <w:bottom w:val="none" w:sz="0" w:space="0" w:color="auto"/>
                <w:right w:val="none" w:sz="0" w:space="0" w:color="auto"/>
              </w:divBdr>
              <w:divsChild>
                <w:div w:id="195547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5132">
          <w:marLeft w:val="0"/>
          <w:marRight w:val="0"/>
          <w:marTop w:val="0"/>
          <w:marBottom w:val="0"/>
          <w:divBdr>
            <w:top w:val="none" w:sz="0" w:space="0" w:color="auto"/>
            <w:left w:val="none" w:sz="0" w:space="0" w:color="auto"/>
            <w:bottom w:val="none" w:sz="0" w:space="0" w:color="auto"/>
            <w:right w:val="none" w:sz="0" w:space="0" w:color="auto"/>
          </w:divBdr>
          <w:divsChild>
            <w:div w:id="875197764">
              <w:marLeft w:val="0"/>
              <w:marRight w:val="0"/>
              <w:marTop w:val="0"/>
              <w:marBottom w:val="0"/>
              <w:divBdr>
                <w:top w:val="none" w:sz="0" w:space="0" w:color="auto"/>
                <w:left w:val="none" w:sz="0" w:space="0" w:color="auto"/>
                <w:bottom w:val="none" w:sz="0" w:space="0" w:color="auto"/>
                <w:right w:val="none" w:sz="0" w:space="0" w:color="auto"/>
              </w:divBdr>
              <w:divsChild>
                <w:div w:id="73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3197">
          <w:marLeft w:val="0"/>
          <w:marRight w:val="0"/>
          <w:marTop w:val="0"/>
          <w:marBottom w:val="0"/>
          <w:divBdr>
            <w:top w:val="none" w:sz="0" w:space="0" w:color="auto"/>
            <w:left w:val="none" w:sz="0" w:space="0" w:color="auto"/>
            <w:bottom w:val="none" w:sz="0" w:space="0" w:color="auto"/>
            <w:right w:val="none" w:sz="0" w:space="0" w:color="auto"/>
          </w:divBdr>
          <w:divsChild>
            <w:div w:id="109591035">
              <w:marLeft w:val="0"/>
              <w:marRight w:val="0"/>
              <w:marTop w:val="0"/>
              <w:marBottom w:val="0"/>
              <w:divBdr>
                <w:top w:val="none" w:sz="0" w:space="0" w:color="auto"/>
                <w:left w:val="none" w:sz="0" w:space="0" w:color="auto"/>
                <w:bottom w:val="none" w:sz="0" w:space="0" w:color="auto"/>
                <w:right w:val="none" w:sz="0" w:space="0" w:color="auto"/>
              </w:divBdr>
              <w:divsChild>
                <w:div w:id="19882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0590">
          <w:marLeft w:val="0"/>
          <w:marRight w:val="0"/>
          <w:marTop w:val="0"/>
          <w:marBottom w:val="0"/>
          <w:divBdr>
            <w:top w:val="none" w:sz="0" w:space="0" w:color="auto"/>
            <w:left w:val="none" w:sz="0" w:space="0" w:color="auto"/>
            <w:bottom w:val="none" w:sz="0" w:space="0" w:color="auto"/>
            <w:right w:val="none" w:sz="0" w:space="0" w:color="auto"/>
          </w:divBdr>
          <w:divsChild>
            <w:div w:id="1845238201">
              <w:marLeft w:val="0"/>
              <w:marRight w:val="0"/>
              <w:marTop w:val="0"/>
              <w:marBottom w:val="0"/>
              <w:divBdr>
                <w:top w:val="none" w:sz="0" w:space="0" w:color="auto"/>
                <w:left w:val="none" w:sz="0" w:space="0" w:color="auto"/>
                <w:bottom w:val="none" w:sz="0" w:space="0" w:color="auto"/>
                <w:right w:val="none" w:sz="0" w:space="0" w:color="auto"/>
              </w:divBdr>
              <w:divsChild>
                <w:div w:id="3832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3064">
          <w:marLeft w:val="0"/>
          <w:marRight w:val="0"/>
          <w:marTop w:val="0"/>
          <w:marBottom w:val="0"/>
          <w:divBdr>
            <w:top w:val="none" w:sz="0" w:space="0" w:color="auto"/>
            <w:left w:val="none" w:sz="0" w:space="0" w:color="auto"/>
            <w:bottom w:val="none" w:sz="0" w:space="0" w:color="auto"/>
            <w:right w:val="none" w:sz="0" w:space="0" w:color="auto"/>
          </w:divBdr>
          <w:divsChild>
            <w:div w:id="512186457">
              <w:marLeft w:val="0"/>
              <w:marRight w:val="0"/>
              <w:marTop w:val="0"/>
              <w:marBottom w:val="0"/>
              <w:divBdr>
                <w:top w:val="none" w:sz="0" w:space="0" w:color="auto"/>
                <w:left w:val="none" w:sz="0" w:space="0" w:color="auto"/>
                <w:bottom w:val="none" w:sz="0" w:space="0" w:color="auto"/>
                <w:right w:val="none" w:sz="0" w:space="0" w:color="auto"/>
              </w:divBdr>
              <w:divsChild>
                <w:div w:id="7895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903">
          <w:marLeft w:val="0"/>
          <w:marRight w:val="0"/>
          <w:marTop w:val="0"/>
          <w:marBottom w:val="0"/>
          <w:divBdr>
            <w:top w:val="none" w:sz="0" w:space="0" w:color="auto"/>
            <w:left w:val="none" w:sz="0" w:space="0" w:color="auto"/>
            <w:bottom w:val="none" w:sz="0" w:space="0" w:color="auto"/>
            <w:right w:val="none" w:sz="0" w:space="0" w:color="auto"/>
          </w:divBdr>
          <w:divsChild>
            <w:div w:id="2046829303">
              <w:marLeft w:val="0"/>
              <w:marRight w:val="0"/>
              <w:marTop w:val="0"/>
              <w:marBottom w:val="0"/>
              <w:divBdr>
                <w:top w:val="none" w:sz="0" w:space="0" w:color="auto"/>
                <w:left w:val="none" w:sz="0" w:space="0" w:color="auto"/>
                <w:bottom w:val="none" w:sz="0" w:space="0" w:color="auto"/>
                <w:right w:val="none" w:sz="0" w:space="0" w:color="auto"/>
              </w:divBdr>
              <w:divsChild>
                <w:div w:id="4684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5612">
          <w:marLeft w:val="0"/>
          <w:marRight w:val="0"/>
          <w:marTop w:val="0"/>
          <w:marBottom w:val="0"/>
          <w:divBdr>
            <w:top w:val="none" w:sz="0" w:space="0" w:color="auto"/>
            <w:left w:val="none" w:sz="0" w:space="0" w:color="auto"/>
            <w:bottom w:val="none" w:sz="0" w:space="0" w:color="auto"/>
            <w:right w:val="none" w:sz="0" w:space="0" w:color="auto"/>
          </w:divBdr>
          <w:divsChild>
            <w:div w:id="260837019">
              <w:marLeft w:val="0"/>
              <w:marRight w:val="0"/>
              <w:marTop w:val="0"/>
              <w:marBottom w:val="0"/>
              <w:divBdr>
                <w:top w:val="none" w:sz="0" w:space="0" w:color="auto"/>
                <w:left w:val="none" w:sz="0" w:space="0" w:color="auto"/>
                <w:bottom w:val="none" w:sz="0" w:space="0" w:color="auto"/>
                <w:right w:val="none" w:sz="0" w:space="0" w:color="auto"/>
              </w:divBdr>
              <w:divsChild>
                <w:div w:id="13404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81695">
          <w:marLeft w:val="0"/>
          <w:marRight w:val="0"/>
          <w:marTop w:val="0"/>
          <w:marBottom w:val="0"/>
          <w:divBdr>
            <w:top w:val="none" w:sz="0" w:space="0" w:color="auto"/>
            <w:left w:val="none" w:sz="0" w:space="0" w:color="auto"/>
            <w:bottom w:val="none" w:sz="0" w:space="0" w:color="auto"/>
            <w:right w:val="none" w:sz="0" w:space="0" w:color="auto"/>
          </w:divBdr>
          <w:divsChild>
            <w:div w:id="390537581">
              <w:marLeft w:val="0"/>
              <w:marRight w:val="0"/>
              <w:marTop w:val="0"/>
              <w:marBottom w:val="0"/>
              <w:divBdr>
                <w:top w:val="none" w:sz="0" w:space="0" w:color="auto"/>
                <w:left w:val="none" w:sz="0" w:space="0" w:color="auto"/>
                <w:bottom w:val="none" w:sz="0" w:space="0" w:color="auto"/>
                <w:right w:val="none" w:sz="0" w:space="0" w:color="auto"/>
              </w:divBdr>
              <w:divsChild>
                <w:div w:id="20304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7848">
          <w:marLeft w:val="0"/>
          <w:marRight w:val="0"/>
          <w:marTop w:val="0"/>
          <w:marBottom w:val="0"/>
          <w:divBdr>
            <w:top w:val="none" w:sz="0" w:space="0" w:color="auto"/>
            <w:left w:val="none" w:sz="0" w:space="0" w:color="auto"/>
            <w:bottom w:val="none" w:sz="0" w:space="0" w:color="auto"/>
            <w:right w:val="none" w:sz="0" w:space="0" w:color="auto"/>
          </w:divBdr>
          <w:divsChild>
            <w:div w:id="446701606">
              <w:marLeft w:val="0"/>
              <w:marRight w:val="0"/>
              <w:marTop w:val="0"/>
              <w:marBottom w:val="0"/>
              <w:divBdr>
                <w:top w:val="none" w:sz="0" w:space="0" w:color="auto"/>
                <w:left w:val="none" w:sz="0" w:space="0" w:color="auto"/>
                <w:bottom w:val="none" w:sz="0" w:space="0" w:color="auto"/>
                <w:right w:val="none" w:sz="0" w:space="0" w:color="auto"/>
              </w:divBdr>
              <w:divsChild>
                <w:div w:id="19041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9750">
          <w:marLeft w:val="0"/>
          <w:marRight w:val="0"/>
          <w:marTop w:val="0"/>
          <w:marBottom w:val="0"/>
          <w:divBdr>
            <w:top w:val="none" w:sz="0" w:space="0" w:color="auto"/>
            <w:left w:val="none" w:sz="0" w:space="0" w:color="auto"/>
            <w:bottom w:val="none" w:sz="0" w:space="0" w:color="auto"/>
            <w:right w:val="none" w:sz="0" w:space="0" w:color="auto"/>
          </w:divBdr>
          <w:divsChild>
            <w:div w:id="704595035">
              <w:marLeft w:val="0"/>
              <w:marRight w:val="0"/>
              <w:marTop w:val="0"/>
              <w:marBottom w:val="0"/>
              <w:divBdr>
                <w:top w:val="none" w:sz="0" w:space="0" w:color="auto"/>
                <w:left w:val="none" w:sz="0" w:space="0" w:color="auto"/>
                <w:bottom w:val="none" w:sz="0" w:space="0" w:color="auto"/>
                <w:right w:val="none" w:sz="0" w:space="0" w:color="auto"/>
              </w:divBdr>
              <w:divsChild>
                <w:div w:id="14251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0054">
          <w:marLeft w:val="0"/>
          <w:marRight w:val="0"/>
          <w:marTop w:val="0"/>
          <w:marBottom w:val="0"/>
          <w:divBdr>
            <w:top w:val="none" w:sz="0" w:space="0" w:color="auto"/>
            <w:left w:val="none" w:sz="0" w:space="0" w:color="auto"/>
            <w:bottom w:val="none" w:sz="0" w:space="0" w:color="auto"/>
            <w:right w:val="none" w:sz="0" w:space="0" w:color="auto"/>
          </w:divBdr>
          <w:divsChild>
            <w:div w:id="1839466473">
              <w:marLeft w:val="0"/>
              <w:marRight w:val="0"/>
              <w:marTop w:val="0"/>
              <w:marBottom w:val="0"/>
              <w:divBdr>
                <w:top w:val="none" w:sz="0" w:space="0" w:color="auto"/>
                <w:left w:val="none" w:sz="0" w:space="0" w:color="auto"/>
                <w:bottom w:val="none" w:sz="0" w:space="0" w:color="auto"/>
                <w:right w:val="none" w:sz="0" w:space="0" w:color="auto"/>
              </w:divBdr>
              <w:divsChild>
                <w:div w:id="38248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pricing/pbs-items/therapeutic-relativity-sheets"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llergy.org.au/images/stories/pospapers/ASCIA_HP_Position_Paper_CSU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customXml/itemProps2.xml><?xml version="1.0" encoding="utf-8"?>
<ds:datastoreItem xmlns:ds="http://schemas.openxmlformats.org/officeDocument/2006/customXml" ds:itemID="{0DD4CE2E-96EF-4192-8BD3-7E64D858EF7C}"/>
</file>

<file path=customXml/itemProps3.xml><?xml version="1.0" encoding="utf-8"?>
<ds:datastoreItem xmlns:ds="http://schemas.openxmlformats.org/officeDocument/2006/customXml" ds:itemID="{A0DC917B-30C0-488F-B355-2608BA7CFEC7}"/>
</file>

<file path=customXml/itemProps4.xml><?xml version="1.0" encoding="utf-8"?>
<ds:datastoreItem xmlns:ds="http://schemas.openxmlformats.org/officeDocument/2006/customXml" ds:itemID="{F628FAF9-D191-4F8E-B0FF-EE2A67F14FF4}"/>
</file>

<file path=docProps/app.xml><?xml version="1.0" encoding="utf-8"?>
<Properties xmlns="http://schemas.openxmlformats.org/officeDocument/2006/extended-properties" xmlns:vt="http://schemas.openxmlformats.org/officeDocument/2006/docPropsVTypes">
  <Template>Normal.dotm</Template>
  <TotalTime>0</TotalTime>
  <Pages>66</Pages>
  <Words>31026</Words>
  <Characters>176849</Characters>
  <Application>Microsoft Office Word</Application>
  <DocSecurity>0</DocSecurity>
  <Lines>1473</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2025-06-30T05:14:00Z</dcterms:created>
  <dcterms:modified xsi:type="dcterms:W3CDTF">2025-06-30T05:14:00Z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ies>
</file>