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70EDEF9F" w:rsidR="00B60939" w:rsidRPr="0098262F" w:rsidRDefault="00C20956" w:rsidP="004A6040">
      <w:pPr>
        <w:pStyle w:val="1-MainHeading"/>
      </w:pPr>
      <w:bookmarkStart w:id="0" w:name="_Toc188438047"/>
      <w:r>
        <w:t>5</w:t>
      </w:r>
      <w:r w:rsidR="00433044" w:rsidRPr="0098262F">
        <w:t>.</w:t>
      </w:r>
      <w:r>
        <w:t>12</w:t>
      </w:r>
      <w:r w:rsidR="00163F66" w:rsidRPr="0098262F">
        <w:tab/>
      </w:r>
      <w:r w:rsidR="00F853B4">
        <w:t>OMAVELOXOLONE</w:t>
      </w:r>
      <w:r w:rsidR="00163F66" w:rsidRPr="0098262F">
        <w:t>,</w:t>
      </w:r>
      <w:r w:rsidR="00163F66" w:rsidRPr="0098262F">
        <w:br/>
      </w:r>
      <w:r w:rsidR="00F853B4">
        <w:t>Capsule 50 mg</w:t>
      </w:r>
      <w:r w:rsidR="00163F66" w:rsidRPr="0098262F">
        <w:t>,</w:t>
      </w:r>
      <w:r w:rsidR="00163F66" w:rsidRPr="0098262F">
        <w:br/>
      </w:r>
      <w:proofErr w:type="spellStart"/>
      <w:r w:rsidR="00F853B4">
        <w:t>Skyclar</w:t>
      </w:r>
      <w:r w:rsidR="00DE40B9">
        <w:t>y</w:t>
      </w:r>
      <w:r w:rsidR="00F853B4">
        <w:t>s</w:t>
      </w:r>
      <w:proofErr w:type="spellEnd"/>
      <w:r w:rsidR="00B60939" w:rsidRPr="0098262F">
        <w:rPr>
          <w:vertAlign w:val="superscript"/>
        </w:rPr>
        <w:t>®</w:t>
      </w:r>
      <w:r w:rsidR="004A6040" w:rsidRPr="0098262F">
        <w:t>,</w:t>
      </w:r>
      <w:r w:rsidR="004A6040" w:rsidRPr="0098262F">
        <w:br/>
      </w:r>
      <w:r w:rsidR="00F853B4">
        <w:t>BIOGEN AUSTRALIA PTY LTD</w:t>
      </w:r>
      <w:r w:rsidR="00B60939" w:rsidRPr="0098262F">
        <w:t>.</w:t>
      </w:r>
      <w:bookmarkEnd w:id="0"/>
    </w:p>
    <w:p w14:paraId="4C35B64D" w14:textId="77777777" w:rsidR="00CE2E65" w:rsidRPr="0098262F" w:rsidRDefault="00CE2E65" w:rsidP="00CE2E65">
      <w:pPr>
        <w:pStyle w:val="2-SectionHeading"/>
      </w:pPr>
      <w:bookmarkStart w:id="1" w:name="_Toc188438050"/>
      <w:bookmarkStart w:id="2" w:name="_Toc22897645"/>
      <w:r w:rsidRPr="0098262F">
        <w:t>Purpose of submission</w:t>
      </w:r>
      <w:bookmarkEnd w:id="1"/>
    </w:p>
    <w:p w14:paraId="439F8E7A" w14:textId="54C87629" w:rsidR="00CE2E65" w:rsidRPr="0098262F" w:rsidRDefault="00CE2E65" w:rsidP="00CE2E65">
      <w:pPr>
        <w:pStyle w:val="3-BodyText"/>
      </w:pPr>
      <w:r w:rsidRPr="35298142">
        <w:t>Th</w:t>
      </w:r>
      <w:r w:rsidR="008028B7" w:rsidRPr="35298142">
        <w:t>is</w:t>
      </w:r>
      <w:r w:rsidRPr="35298142">
        <w:t xml:space="preserve"> Category 1 submission requested a General Schedule</w:t>
      </w:r>
      <w:r w:rsidR="00C20956" w:rsidRPr="35298142">
        <w:t>,</w:t>
      </w:r>
      <w:r w:rsidRPr="35298142">
        <w:t xml:space="preserve"> Authority Required (Telephone/Online) listing </w:t>
      </w:r>
      <w:r w:rsidR="008028B7" w:rsidRPr="35298142">
        <w:t xml:space="preserve">of </w:t>
      </w:r>
      <w:proofErr w:type="spellStart"/>
      <w:r w:rsidR="008028B7" w:rsidRPr="35298142">
        <w:t>omaveloxolone</w:t>
      </w:r>
      <w:proofErr w:type="spellEnd"/>
      <w:r w:rsidR="008028B7" w:rsidRPr="35298142">
        <w:t xml:space="preserve"> </w:t>
      </w:r>
      <w:r w:rsidRPr="35298142">
        <w:t>for the treatment of Friedreich’s ataxia (FA) in adults and adolescents aged 16 years and older.</w:t>
      </w:r>
      <w:r w:rsidRPr="35298142">
        <w:rPr>
          <w:color w:val="0066FF"/>
        </w:rPr>
        <w:t xml:space="preserve"> </w:t>
      </w:r>
    </w:p>
    <w:p w14:paraId="5B29A460" w14:textId="05EF3016" w:rsidR="00CE2E65" w:rsidRPr="0098262F" w:rsidRDefault="00CE2E65" w:rsidP="00CE2E65">
      <w:pPr>
        <w:pStyle w:val="3-BodyText"/>
      </w:pPr>
      <w:r w:rsidRPr="35298142">
        <w:t xml:space="preserve">Listing was requested on the basis of a cost-effectiveness analysis versus best supportive care (BSC). The key components of the clinical issue addressed by the submission are summarised in </w:t>
      </w:r>
      <w:r>
        <w:fldChar w:fldCharType="begin"/>
      </w:r>
      <w:r>
        <w:instrText xml:space="preserve"> REF _Ref187045453 \h </w:instrText>
      </w:r>
      <w:r>
        <w:fldChar w:fldCharType="separate"/>
      </w:r>
      <w:r w:rsidR="003A4643" w:rsidRPr="0098262F">
        <w:t xml:space="preserve">Table </w:t>
      </w:r>
      <w:r w:rsidR="003A4643">
        <w:rPr>
          <w:noProof/>
        </w:rPr>
        <w:t>1</w:t>
      </w:r>
      <w:r>
        <w:fldChar w:fldCharType="end"/>
      </w:r>
      <w:r w:rsidRPr="35298142">
        <w:t>.</w:t>
      </w:r>
      <w:r w:rsidR="003452C5" w:rsidRPr="00E73E12">
        <w:rPr>
          <w:color w:val="0066FF"/>
          <w:w w:val="15"/>
          <w:shd w:val="solid" w:color="000000" w:fill="000000"/>
          <w:fitText w:val="-20" w:id="-694425600"/>
          <w14:textFill>
            <w14:solidFill>
              <w14:srgbClr w14:val="0066FF">
                <w14:alpha w14:val="100000"/>
              </w14:srgbClr>
            </w14:solidFill>
          </w14:textFill>
        </w:rPr>
        <w:t xml:space="preserve">|  </w:t>
      </w:r>
      <w:r w:rsidR="003452C5" w:rsidRPr="00E73E12">
        <w:rPr>
          <w:color w:val="0066FF"/>
          <w:spacing w:val="-69"/>
          <w:w w:val="15"/>
          <w:shd w:val="solid" w:color="000000" w:fill="000000"/>
          <w:fitText w:val="-20" w:id="-694425600"/>
          <w14:textFill>
            <w14:solidFill>
              <w14:srgbClr w14:val="0066FF">
                <w14:alpha w14:val="100000"/>
              </w14:srgbClr>
            </w14:solidFill>
          </w14:textFill>
        </w:rPr>
        <w:t>|</w:t>
      </w:r>
    </w:p>
    <w:p w14:paraId="6793F0B5" w14:textId="1EE3DFDE" w:rsidR="00CE2E65" w:rsidRPr="0098262F" w:rsidRDefault="00CE2E65" w:rsidP="00CE2E65">
      <w:pPr>
        <w:pStyle w:val="Caption"/>
      </w:pPr>
      <w:bookmarkStart w:id="3" w:name="_Ref187045453"/>
      <w:r w:rsidRPr="0098262F">
        <w:t xml:space="preserve">Table </w:t>
      </w:r>
      <w:r w:rsidR="00B717AF">
        <w:fldChar w:fldCharType="begin"/>
      </w:r>
      <w:r w:rsidR="00B717AF">
        <w:instrText xml:space="preserve"> SEQ Table \* ARABIC </w:instrText>
      </w:r>
      <w:r w:rsidR="00B717AF">
        <w:fldChar w:fldCharType="separate"/>
      </w:r>
      <w:r w:rsidR="003A4643">
        <w:rPr>
          <w:noProof/>
        </w:rPr>
        <w:t>1</w:t>
      </w:r>
      <w:r w:rsidR="00B717AF">
        <w:rPr>
          <w:noProof/>
        </w:rPr>
        <w:fldChar w:fldCharType="end"/>
      </w:r>
      <w:bookmarkEnd w:id="3"/>
      <w:r w:rsidRPr="0098262F">
        <w:t>:</w:t>
      </w:r>
      <w:r w:rsidRPr="0098262F">
        <w:rPr>
          <w:rStyle w:val="CommentReference"/>
          <w:b/>
          <w:szCs w:val="24"/>
        </w:rPr>
        <w:t xml:space="preserve">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315"/>
        <w:gridCol w:w="7702"/>
      </w:tblGrid>
      <w:tr w:rsidR="00CE2E65" w:rsidRPr="0098262F" w14:paraId="723E0DC1" w14:textId="77777777" w:rsidTr="35298142">
        <w:trPr>
          <w:cantSplit/>
        </w:trPr>
        <w:tc>
          <w:tcPr>
            <w:tcW w:w="729" w:type="pct"/>
            <w:vAlign w:val="center"/>
          </w:tcPr>
          <w:p w14:paraId="318636EE" w14:textId="77777777" w:rsidR="00CE2E65" w:rsidRPr="0098262F" w:rsidRDefault="00CE2E65" w:rsidP="00C83CBF">
            <w:pPr>
              <w:pStyle w:val="In-tableHeading"/>
            </w:pPr>
            <w:r w:rsidRPr="0098262F">
              <w:t>Component</w:t>
            </w:r>
          </w:p>
        </w:tc>
        <w:tc>
          <w:tcPr>
            <w:tcW w:w="4271" w:type="pct"/>
            <w:vAlign w:val="center"/>
          </w:tcPr>
          <w:p w14:paraId="04F626E0" w14:textId="77777777" w:rsidR="00CE2E65" w:rsidRPr="0098262F" w:rsidRDefault="00CE2E65" w:rsidP="00C83CBF">
            <w:pPr>
              <w:pStyle w:val="In-tableHeading"/>
            </w:pPr>
            <w:r w:rsidRPr="0098262F">
              <w:t>Description</w:t>
            </w:r>
          </w:p>
        </w:tc>
      </w:tr>
      <w:tr w:rsidR="00CE2E65" w:rsidRPr="0098262F" w14:paraId="718C5BCF" w14:textId="77777777" w:rsidTr="35298142">
        <w:trPr>
          <w:cantSplit/>
        </w:trPr>
        <w:tc>
          <w:tcPr>
            <w:tcW w:w="729" w:type="pct"/>
            <w:vAlign w:val="center"/>
          </w:tcPr>
          <w:p w14:paraId="51A28FA9" w14:textId="77777777" w:rsidR="00CE2E65" w:rsidRPr="0098262F" w:rsidRDefault="00CE2E65" w:rsidP="00967D46">
            <w:pPr>
              <w:pStyle w:val="TableText0"/>
            </w:pPr>
            <w:r w:rsidRPr="0098262F">
              <w:t>Population</w:t>
            </w:r>
          </w:p>
        </w:tc>
        <w:tc>
          <w:tcPr>
            <w:tcW w:w="4271" w:type="pct"/>
            <w:vAlign w:val="center"/>
          </w:tcPr>
          <w:p w14:paraId="646E2B9F" w14:textId="77777777" w:rsidR="00CE2E65" w:rsidRPr="0098262F" w:rsidRDefault="00CE2E65" w:rsidP="00967D46">
            <w:pPr>
              <w:pStyle w:val="TableText0"/>
            </w:pPr>
            <w:r w:rsidRPr="0082103B">
              <w:t>People aged 16 years and older with Friedreich’s ataxia (FA)</w:t>
            </w:r>
          </w:p>
        </w:tc>
      </w:tr>
      <w:tr w:rsidR="00CE2E65" w:rsidRPr="0098262F" w14:paraId="223783A4" w14:textId="77777777" w:rsidTr="35298142">
        <w:trPr>
          <w:cantSplit/>
        </w:trPr>
        <w:tc>
          <w:tcPr>
            <w:tcW w:w="729" w:type="pct"/>
            <w:vAlign w:val="center"/>
          </w:tcPr>
          <w:p w14:paraId="30AB075E" w14:textId="77777777" w:rsidR="00CE2E65" w:rsidRPr="0098262F" w:rsidRDefault="00CE2E65" w:rsidP="00967D46">
            <w:pPr>
              <w:pStyle w:val="TableText0"/>
            </w:pPr>
            <w:r w:rsidRPr="0098262F">
              <w:t>Intervention</w:t>
            </w:r>
          </w:p>
        </w:tc>
        <w:tc>
          <w:tcPr>
            <w:tcW w:w="4271" w:type="pct"/>
            <w:vAlign w:val="center"/>
          </w:tcPr>
          <w:p w14:paraId="2C465BAB" w14:textId="77777777" w:rsidR="00CE2E65" w:rsidRPr="0098262F" w:rsidRDefault="00CE2E65" w:rsidP="00967D46">
            <w:pPr>
              <w:pStyle w:val="TableText0"/>
            </w:pPr>
            <w:proofErr w:type="spellStart"/>
            <w:r w:rsidRPr="35298142">
              <w:t>Omaveloxolone</w:t>
            </w:r>
            <w:proofErr w:type="spellEnd"/>
            <w:r w:rsidRPr="35298142">
              <w:t xml:space="preserve"> is administered orally once daily as three 50 mg capsules (i.e., 150 mg in total).</w:t>
            </w:r>
          </w:p>
        </w:tc>
      </w:tr>
      <w:tr w:rsidR="00CE2E65" w:rsidRPr="0098262F" w14:paraId="64DADA02" w14:textId="77777777" w:rsidTr="35298142">
        <w:trPr>
          <w:cantSplit/>
        </w:trPr>
        <w:tc>
          <w:tcPr>
            <w:tcW w:w="729" w:type="pct"/>
            <w:vAlign w:val="center"/>
          </w:tcPr>
          <w:p w14:paraId="46C20039" w14:textId="77777777" w:rsidR="00CE2E65" w:rsidRPr="0098262F" w:rsidRDefault="00CE2E65" w:rsidP="00967D46">
            <w:pPr>
              <w:pStyle w:val="TableText0"/>
            </w:pPr>
            <w:r w:rsidRPr="0098262F">
              <w:t>Comparator</w:t>
            </w:r>
          </w:p>
        </w:tc>
        <w:tc>
          <w:tcPr>
            <w:tcW w:w="4271" w:type="pct"/>
            <w:vAlign w:val="center"/>
          </w:tcPr>
          <w:p w14:paraId="1B8F55CA" w14:textId="77777777" w:rsidR="00CE2E65" w:rsidRPr="0098262F" w:rsidRDefault="00CE2E65" w:rsidP="00967D46">
            <w:pPr>
              <w:pStyle w:val="TableText0"/>
            </w:pPr>
            <w:r w:rsidRPr="0082103B">
              <w:t>Best supportive care (placebo as a proxy)</w:t>
            </w:r>
          </w:p>
        </w:tc>
      </w:tr>
      <w:tr w:rsidR="00CE2E65" w:rsidRPr="0098262F" w14:paraId="1D6EE07D" w14:textId="77777777" w:rsidTr="35298142">
        <w:trPr>
          <w:cantSplit/>
        </w:trPr>
        <w:tc>
          <w:tcPr>
            <w:tcW w:w="729" w:type="pct"/>
            <w:vAlign w:val="center"/>
          </w:tcPr>
          <w:p w14:paraId="3AEA5E56" w14:textId="77777777" w:rsidR="00CE2E65" w:rsidRPr="0098262F" w:rsidRDefault="00CE2E65" w:rsidP="00967D46">
            <w:pPr>
              <w:pStyle w:val="TableText0"/>
            </w:pPr>
            <w:r w:rsidRPr="0098262F">
              <w:t>Outcomes</w:t>
            </w:r>
          </w:p>
        </w:tc>
        <w:tc>
          <w:tcPr>
            <w:tcW w:w="4271" w:type="pct"/>
            <w:vAlign w:val="center"/>
          </w:tcPr>
          <w:p w14:paraId="4C31DA64" w14:textId="77777777" w:rsidR="00CE2E65" w:rsidRDefault="00CE2E65" w:rsidP="00967D46">
            <w:pPr>
              <w:pStyle w:val="TableText0"/>
            </w:pPr>
            <w:r>
              <w:t xml:space="preserve">Primary </w:t>
            </w:r>
          </w:p>
          <w:p w14:paraId="2F93FD4E" w14:textId="77777777" w:rsidR="00CE2E65" w:rsidRDefault="00CE2E65" w:rsidP="00AA68ED">
            <w:pPr>
              <w:pStyle w:val="TableText0"/>
              <w:numPr>
                <w:ilvl w:val="0"/>
                <w:numId w:val="10"/>
              </w:numPr>
            </w:pPr>
            <w:r w:rsidRPr="35298142">
              <w:t>Change in the modified Friedreich’s ataxia rating scale (</w:t>
            </w:r>
            <w:proofErr w:type="spellStart"/>
            <w:r w:rsidRPr="35298142">
              <w:t>mFARS</w:t>
            </w:r>
            <w:proofErr w:type="spellEnd"/>
            <w:r w:rsidRPr="35298142">
              <w:t>) score at week 48</w:t>
            </w:r>
          </w:p>
          <w:p w14:paraId="5B695E0B" w14:textId="77777777" w:rsidR="00CE2E65" w:rsidRDefault="00CE2E65" w:rsidP="00AA68ED">
            <w:pPr>
              <w:pStyle w:val="TableText0"/>
              <w:numPr>
                <w:ilvl w:val="0"/>
                <w:numId w:val="10"/>
              </w:numPr>
            </w:pPr>
            <w:r>
              <w:t>Safety outcomes</w:t>
            </w:r>
          </w:p>
          <w:p w14:paraId="7449BB7D" w14:textId="77777777" w:rsidR="00CE2E65" w:rsidRDefault="00CE2E65" w:rsidP="00967D46">
            <w:pPr>
              <w:pStyle w:val="TableText0"/>
            </w:pPr>
            <w:r>
              <w:t xml:space="preserve">Key secondary </w:t>
            </w:r>
          </w:p>
          <w:p w14:paraId="4BAA8F0A" w14:textId="77777777" w:rsidR="00CE2E65" w:rsidRDefault="00CE2E65" w:rsidP="00AA68ED">
            <w:pPr>
              <w:pStyle w:val="TableText0"/>
              <w:numPr>
                <w:ilvl w:val="0"/>
                <w:numId w:val="10"/>
              </w:numPr>
            </w:pPr>
            <w:r>
              <w:t>Patient Global Impression of Change (PGIC) responses at week 48</w:t>
            </w:r>
          </w:p>
          <w:p w14:paraId="693E4A5F" w14:textId="77777777" w:rsidR="00CE2E65" w:rsidRDefault="00CE2E65" w:rsidP="00AA68ED">
            <w:pPr>
              <w:pStyle w:val="TableText0"/>
              <w:numPr>
                <w:ilvl w:val="0"/>
                <w:numId w:val="10"/>
              </w:numPr>
            </w:pPr>
            <w:r>
              <w:t>Clinical Global Impression of Change (CGIC) responses at week 48</w:t>
            </w:r>
          </w:p>
          <w:p w14:paraId="15B81341" w14:textId="77777777" w:rsidR="00CE2E65" w:rsidRDefault="00CE2E65" w:rsidP="00967D46">
            <w:pPr>
              <w:pStyle w:val="TableText0"/>
            </w:pPr>
            <w:r>
              <w:t xml:space="preserve">Other secondary </w:t>
            </w:r>
          </w:p>
          <w:p w14:paraId="51C757F0" w14:textId="77777777" w:rsidR="00CE2E65" w:rsidRDefault="00CE2E65" w:rsidP="00AA68ED">
            <w:pPr>
              <w:pStyle w:val="TableText0"/>
              <w:numPr>
                <w:ilvl w:val="0"/>
                <w:numId w:val="10"/>
              </w:numPr>
            </w:pPr>
            <w:r>
              <w:t>Change in performance on a 9-hole peg test (9-HPT) at week 48</w:t>
            </w:r>
          </w:p>
          <w:p w14:paraId="67857C49" w14:textId="77777777" w:rsidR="00CE2E65" w:rsidRDefault="00CE2E65" w:rsidP="00AA68ED">
            <w:pPr>
              <w:pStyle w:val="TableText0"/>
              <w:numPr>
                <w:ilvl w:val="0"/>
                <w:numId w:val="10"/>
              </w:numPr>
            </w:pPr>
            <w:r>
              <w:t>Change in performance on a 25-foot timed walk test at week 48</w:t>
            </w:r>
          </w:p>
          <w:p w14:paraId="06FDDE28" w14:textId="77777777" w:rsidR="00CE2E65" w:rsidRDefault="00CE2E65" w:rsidP="00AA68ED">
            <w:pPr>
              <w:pStyle w:val="TableText0"/>
              <w:numPr>
                <w:ilvl w:val="0"/>
                <w:numId w:val="10"/>
              </w:numPr>
            </w:pPr>
            <w:r>
              <w:t xml:space="preserve">Frequency of falls </w:t>
            </w:r>
          </w:p>
          <w:p w14:paraId="54404BA5" w14:textId="77777777" w:rsidR="00CE2E65" w:rsidRDefault="00CE2E65" w:rsidP="00AA68ED">
            <w:pPr>
              <w:pStyle w:val="TableText0"/>
              <w:numPr>
                <w:ilvl w:val="0"/>
                <w:numId w:val="10"/>
              </w:numPr>
            </w:pPr>
            <w:r>
              <w:t>Change in peak work during maximal exercise testing at week 48</w:t>
            </w:r>
          </w:p>
          <w:p w14:paraId="41A2CBBD" w14:textId="77777777" w:rsidR="00CE2E65" w:rsidRPr="0098262F" w:rsidRDefault="00CE2E65" w:rsidP="00AA68ED">
            <w:pPr>
              <w:pStyle w:val="TableText0"/>
              <w:numPr>
                <w:ilvl w:val="0"/>
                <w:numId w:val="10"/>
              </w:numPr>
            </w:pPr>
            <w:r>
              <w:t>Change in the Friedreich’s Ataxia-Activities of Daily Living (ADL; FA-ADL) score</w:t>
            </w:r>
          </w:p>
        </w:tc>
      </w:tr>
      <w:tr w:rsidR="00CE2E65" w:rsidRPr="0098262F" w14:paraId="4701C74B" w14:textId="77777777" w:rsidTr="35298142">
        <w:trPr>
          <w:cantSplit/>
        </w:trPr>
        <w:tc>
          <w:tcPr>
            <w:tcW w:w="729" w:type="pct"/>
            <w:vAlign w:val="center"/>
          </w:tcPr>
          <w:p w14:paraId="41A6D22F" w14:textId="77777777" w:rsidR="00CE2E65" w:rsidRPr="0098262F" w:rsidRDefault="00CE2E65" w:rsidP="00967D46">
            <w:pPr>
              <w:pStyle w:val="TableText0"/>
            </w:pPr>
            <w:r w:rsidRPr="0098262F">
              <w:t>Clinical claim</w:t>
            </w:r>
          </w:p>
        </w:tc>
        <w:tc>
          <w:tcPr>
            <w:tcW w:w="4271" w:type="pct"/>
            <w:vAlign w:val="center"/>
          </w:tcPr>
          <w:p w14:paraId="37DA2672" w14:textId="77777777" w:rsidR="00CE2E65" w:rsidRPr="0098262F" w:rsidRDefault="00CE2E65" w:rsidP="00967D46">
            <w:pPr>
              <w:pStyle w:val="TableText0"/>
            </w:pPr>
            <w:r w:rsidRPr="35298142">
              <w:t xml:space="preserve">In people with FA, </w:t>
            </w:r>
            <w:proofErr w:type="spellStart"/>
            <w:r w:rsidRPr="35298142">
              <w:t>omaveloxolone</w:t>
            </w:r>
            <w:proofErr w:type="spellEnd"/>
            <w:r w:rsidRPr="35298142">
              <w:t xml:space="preserve"> is superior in terms of efficacy and inferior with respect to safety, compared best supportive care (BSC).</w:t>
            </w:r>
          </w:p>
        </w:tc>
      </w:tr>
    </w:tbl>
    <w:p w14:paraId="2A4766F5" w14:textId="77777777" w:rsidR="00CE2E65" w:rsidRPr="00601D3A" w:rsidRDefault="00CE2E65" w:rsidP="00CE2E65">
      <w:pPr>
        <w:pStyle w:val="TableFigureHeading"/>
        <w:rPr>
          <w:b w:val="0"/>
          <w:bCs w:val="0"/>
        </w:rPr>
      </w:pPr>
      <w:r w:rsidRPr="00601D3A">
        <w:rPr>
          <w:b w:val="0"/>
          <w:bCs w:val="0"/>
        </w:rPr>
        <w:t>Source: Table 1.1, p3 of the submission</w:t>
      </w:r>
    </w:p>
    <w:p w14:paraId="10458F43" w14:textId="77777777" w:rsidR="00CE2E65" w:rsidRPr="0098262F" w:rsidRDefault="00CE2E65" w:rsidP="00CE2E65">
      <w:pPr>
        <w:pStyle w:val="2-SectionHeading"/>
      </w:pPr>
      <w:bookmarkStart w:id="4" w:name="_Toc188438051"/>
      <w:r w:rsidRPr="0098262F">
        <w:t>Background</w:t>
      </w:r>
      <w:bookmarkEnd w:id="4"/>
    </w:p>
    <w:p w14:paraId="5795B10A" w14:textId="77777777" w:rsidR="00CE2E65" w:rsidRPr="0098262F" w:rsidRDefault="00CE2E65" w:rsidP="00CE2E65">
      <w:pPr>
        <w:pStyle w:val="4-SubsectionHeading"/>
      </w:pPr>
      <w:bookmarkStart w:id="5" w:name="_Toc22897638"/>
      <w:bookmarkStart w:id="6" w:name="_Toc188438052"/>
      <w:r w:rsidRPr="0098262F">
        <w:t>Registration status</w:t>
      </w:r>
      <w:bookmarkEnd w:id="5"/>
      <w:bookmarkEnd w:id="6"/>
    </w:p>
    <w:p w14:paraId="24B5B336" w14:textId="3502EFBC" w:rsidR="00CE2E65" w:rsidRPr="00866047" w:rsidRDefault="00CE2E65" w:rsidP="00CE2E65">
      <w:pPr>
        <w:pStyle w:val="3-BodyText"/>
      </w:pPr>
      <w:r w:rsidRPr="35298142">
        <w:t xml:space="preserve">The Therapeutic Goods Administration (TGA) granted orphan drug status for </w:t>
      </w:r>
      <w:proofErr w:type="spellStart"/>
      <w:r w:rsidRPr="35298142">
        <w:t>omaveloxolone</w:t>
      </w:r>
      <w:proofErr w:type="spellEnd"/>
      <w:r w:rsidRPr="35298142">
        <w:t xml:space="preserve"> on 14 May 2024</w:t>
      </w:r>
      <w:r w:rsidR="00C51CD8" w:rsidRPr="35298142">
        <w:t>.</w:t>
      </w:r>
      <w:r w:rsidRPr="35298142">
        <w:t xml:space="preserve"> </w:t>
      </w:r>
    </w:p>
    <w:p w14:paraId="69A8EBA4" w14:textId="571206CA" w:rsidR="00CE2E65" w:rsidRPr="00866047" w:rsidRDefault="00CE2E65" w:rsidP="00CE2E65">
      <w:pPr>
        <w:pStyle w:val="3-BodyText"/>
      </w:pPr>
      <w:r w:rsidRPr="35298142">
        <w:t xml:space="preserve">The submission was made </w:t>
      </w:r>
      <w:r w:rsidR="000A2874" w:rsidRPr="35298142">
        <w:t>under</w:t>
      </w:r>
      <w:r w:rsidRPr="35298142">
        <w:t xml:space="preserve"> the TGA/PBAC Parallel Process. The sponsor submitted an application for </w:t>
      </w:r>
      <w:proofErr w:type="spellStart"/>
      <w:r w:rsidRPr="35298142">
        <w:t>omaveloxolone</w:t>
      </w:r>
      <w:proofErr w:type="spellEnd"/>
      <w:r w:rsidRPr="35298142">
        <w:t xml:space="preserve"> to the TGA on 26 June 2024 via the Comparable Overseas Regulator (COR-B) pathway. The COR-B submission </w:t>
      </w:r>
      <w:r w:rsidR="00667EEA">
        <w:t>was</w:t>
      </w:r>
      <w:r w:rsidR="00667EEA" w:rsidRPr="35298142">
        <w:t xml:space="preserve"> </w:t>
      </w:r>
      <w:r w:rsidRPr="35298142">
        <w:t xml:space="preserve">based on the European Medicines Agency (EMA) approved Marketing Authorisation </w:t>
      </w:r>
      <w:r w:rsidRPr="35298142">
        <w:lastRenderedPageBreak/>
        <w:t>Application (MAA) with Australian-specific appendices.</w:t>
      </w:r>
      <w:r w:rsidR="000412A5" w:rsidRPr="35298142">
        <w:t xml:space="preserve"> The TGA Delegate’s Overview </w:t>
      </w:r>
      <w:r w:rsidR="00A214DB">
        <w:t>was received prior to the</w:t>
      </w:r>
      <w:r w:rsidR="000412A5" w:rsidRPr="35298142">
        <w:t xml:space="preserve"> March 2025 PBAC meeting.</w:t>
      </w:r>
    </w:p>
    <w:p w14:paraId="770C4E56" w14:textId="57B8666A" w:rsidR="004A6549" w:rsidRDefault="00CE2E65" w:rsidP="00967D46">
      <w:pPr>
        <w:pStyle w:val="3-BodyText"/>
      </w:pPr>
      <w:r w:rsidRPr="35298142">
        <w:t xml:space="preserve">The proposed TGA indication is for the treatment of FA in adults and adolescents aged 16 years and older. </w:t>
      </w:r>
    </w:p>
    <w:p w14:paraId="0A304670" w14:textId="640D7DDF" w:rsidR="00CE2E65" w:rsidRDefault="00CE2E65" w:rsidP="00CE2E65">
      <w:pPr>
        <w:pStyle w:val="3-BodyText"/>
      </w:pPr>
      <w:proofErr w:type="spellStart"/>
      <w:r w:rsidRPr="35298142">
        <w:t>Omaveloxolone</w:t>
      </w:r>
      <w:proofErr w:type="spellEnd"/>
      <w:r w:rsidRPr="35298142">
        <w:t xml:space="preserve"> was granted a marketing authorisation for the treatment of people with FA aged 16 and older by the European Medicines Association (EMA) in February 2024 and the United States (US) Food and Drug Administration (FDA) in February 2023. The approved EMA and FDA indications are similar and aligned with the proposed TGA indication.</w:t>
      </w:r>
    </w:p>
    <w:p w14:paraId="32EE5D1F" w14:textId="77777777" w:rsidR="00CE2E65" w:rsidRPr="0098262F" w:rsidRDefault="00CE2E65" w:rsidP="00CE2E65">
      <w:pPr>
        <w:pStyle w:val="2-SectionHeading"/>
      </w:pPr>
      <w:bookmarkStart w:id="7" w:name="_Toc107902078"/>
      <w:bookmarkStart w:id="8" w:name="_Toc188438053"/>
      <w:bookmarkEnd w:id="7"/>
      <w:r w:rsidRPr="0098262F">
        <w:t>Requested listing</w:t>
      </w:r>
      <w:bookmarkEnd w:id="8"/>
    </w:p>
    <w:p w14:paraId="7D773451" w14:textId="77777777" w:rsidR="00CE2E65" w:rsidRPr="0098262F" w:rsidRDefault="00CE2E65" w:rsidP="00CE2E65">
      <w:pPr>
        <w:pStyle w:val="TableFigureHeading"/>
      </w:pPr>
      <w:bookmarkStart w:id="9" w:name="_Hlk104809082"/>
      <w:r w:rsidRPr="0098262F">
        <w:t>Essential elements of the requested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ssential elements of the requested listing"/>
      </w:tblPr>
      <w:tblGrid>
        <w:gridCol w:w="2969"/>
        <w:gridCol w:w="1778"/>
        <w:gridCol w:w="812"/>
        <w:gridCol w:w="812"/>
        <w:gridCol w:w="812"/>
        <w:gridCol w:w="1834"/>
      </w:tblGrid>
      <w:tr w:rsidR="00CE2E65" w:rsidRPr="0098262F" w14:paraId="2D17DA00" w14:textId="77777777" w:rsidTr="35298142">
        <w:trPr>
          <w:cantSplit/>
          <w:trHeight w:val="20"/>
        </w:trPr>
        <w:tc>
          <w:tcPr>
            <w:tcW w:w="1647" w:type="pct"/>
            <w:vAlign w:val="center"/>
          </w:tcPr>
          <w:p w14:paraId="611F0142" w14:textId="77777777" w:rsidR="00CE2E65" w:rsidRPr="0098262F" w:rsidRDefault="00CE2E65" w:rsidP="00967D46">
            <w:pPr>
              <w:keepNext/>
              <w:keepLines/>
              <w:rPr>
                <w:rFonts w:ascii="Arial Narrow" w:hAnsi="Arial Narrow"/>
                <w:b/>
                <w:bCs/>
                <w:sz w:val="20"/>
                <w:szCs w:val="20"/>
              </w:rPr>
            </w:pPr>
            <w:r w:rsidRPr="0098262F">
              <w:rPr>
                <w:rFonts w:ascii="Arial Narrow" w:hAnsi="Arial Narrow"/>
                <w:b/>
                <w:bCs/>
                <w:sz w:val="20"/>
                <w:szCs w:val="20"/>
              </w:rPr>
              <w:t>MEDICINAL PRODUCT</w:t>
            </w:r>
          </w:p>
          <w:p w14:paraId="7D80284D" w14:textId="77777777" w:rsidR="00CE2E65" w:rsidRPr="0098262F" w:rsidRDefault="00CE2E65" w:rsidP="00967D46">
            <w:pPr>
              <w:keepNext/>
              <w:keepLines/>
              <w:rPr>
                <w:rFonts w:ascii="Arial Narrow" w:hAnsi="Arial Narrow"/>
                <w:b/>
                <w:sz w:val="20"/>
                <w:szCs w:val="20"/>
              </w:rPr>
            </w:pPr>
            <w:r w:rsidRPr="0098262F">
              <w:rPr>
                <w:rFonts w:ascii="Arial Narrow" w:hAnsi="Arial Narrow"/>
                <w:b/>
                <w:bCs/>
                <w:sz w:val="20"/>
                <w:szCs w:val="20"/>
              </w:rPr>
              <w:t>medicinal product pack</w:t>
            </w:r>
          </w:p>
        </w:tc>
        <w:tc>
          <w:tcPr>
            <w:tcW w:w="986" w:type="pct"/>
            <w:vAlign w:val="center"/>
          </w:tcPr>
          <w:p w14:paraId="3896FE52" w14:textId="77777777" w:rsidR="00CE2E65" w:rsidRDefault="00CE2E65" w:rsidP="00967D46">
            <w:pPr>
              <w:pStyle w:val="TableText0"/>
              <w:jc w:val="center"/>
              <w:rPr>
                <w:b/>
                <w:bCs w:val="0"/>
                <w:snapToGrid w:val="0"/>
              </w:rPr>
            </w:pPr>
            <w:r>
              <w:rPr>
                <w:b/>
                <w:bCs w:val="0"/>
                <w:snapToGrid w:val="0"/>
              </w:rPr>
              <w:t>DPMQ</w:t>
            </w:r>
          </w:p>
          <w:p w14:paraId="13A75C72" w14:textId="77777777" w:rsidR="00CE2E65" w:rsidRPr="007C2F22" w:rsidRDefault="00CE2E65" w:rsidP="00967D46">
            <w:pPr>
              <w:pStyle w:val="TableText0"/>
              <w:jc w:val="center"/>
              <w:rPr>
                <w:b/>
                <w:bCs w:val="0"/>
                <w:szCs w:val="20"/>
              </w:rPr>
            </w:pPr>
            <w:r>
              <w:rPr>
                <w:b/>
                <w:bCs w:val="0"/>
                <w:snapToGrid w:val="0"/>
              </w:rPr>
              <w:t>AEMP</w:t>
            </w:r>
          </w:p>
        </w:tc>
        <w:tc>
          <w:tcPr>
            <w:tcW w:w="450" w:type="pct"/>
            <w:vAlign w:val="center"/>
          </w:tcPr>
          <w:p w14:paraId="16922DED" w14:textId="77777777" w:rsidR="00CE2E65" w:rsidRPr="0098262F" w:rsidRDefault="00CE2E65" w:rsidP="00967D46">
            <w:pPr>
              <w:keepNext/>
              <w:keepLines/>
              <w:jc w:val="center"/>
              <w:rPr>
                <w:rFonts w:ascii="Arial Narrow" w:hAnsi="Arial Narrow"/>
                <w:b/>
                <w:sz w:val="20"/>
                <w:szCs w:val="20"/>
              </w:rPr>
            </w:pPr>
            <w:r w:rsidRPr="0098262F">
              <w:rPr>
                <w:rFonts w:ascii="Arial Narrow" w:hAnsi="Arial Narrow"/>
                <w:b/>
                <w:sz w:val="20"/>
                <w:szCs w:val="20"/>
              </w:rPr>
              <w:t>Max. qty packs</w:t>
            </w:r>
          </w:p>
        </w:tc>
        <w:tc>
          <w:tcPr>
            <w:tcW w:w="450" w:type="pct"/>
            <w:vAlign w:val="center"/>
          </w:tcPr>
          <w:p w14:paraId="00F88C88" w14:textId="77777777" w:rsidR="00CE2E65" w:rsidRPr="0098262F" w:rsidRDefault="00CE2E65" w:rsidP="00967D46">
            <w:pPr>
              <w:keepNext/>
              <w:keepLines/>
              <w:jc w:val="center"/>
              <w:rPr>
                <w:rFonts w:ascii="Arial Narrow" w:hAnsi="Arial Narrow"/>
                <w:b/>
                <w:sz w:val="20"/>
                <w:szCs w:val="20"/>
              </w:rPr>
            </w:pPr>
            <w:r w:rsidRPr="0098262F">
              <w:rPr>
                <w:rFonts w:ascii="Arial Narrow" w:hAnsi="Arial Narrow"/>
                <w:b/>
                <w:sz w:val="20"/>
                <w:szCs w:val="20"/>
              </w:rPr>
              <w:t>Max. qty units</w:t>
            </w:r>
          </w:p>
        </w:tc>
        <w:tc>
          <w:tcPr>
            <w:tcW w:w="450" w:type="pct"/>
            <w:vAlign w:val="center"/>
          </w:tcPr>
          <w:p w14:paraId="5A33F00E" w14:textId="77777777" w:rsidR="00CE2E65" w:rsidRPr="0098262F" w:rsidRDefault="00CE2E65" w:rsidP="35298142">
            <w:pPr>
              <w:keepNext/>
              <w:keepLines/>
              <w:jc w:val="center"/>
              <w:rPr>
                <w:rFonts w:ascii="Arial Narrow" w:hAnsi="Arial Narrow"/>
                <w:b/>
                <w:bCs/>
                <w:sz w:val="20"/>
                <w:szCs w:val="20"/>
              </w:rPr>
            </w:pPr>
            <w:r w:rsidRPr="35298142">
              <w:rPr>
                <w:rFonts w:ascii="Arial Narrow" w:hAnsi="Arial Narrow"/>
                <w:b/>
                <w:bCs/>
                <w:sz w:val="20"/>
                <w:szCs w:val="20"/>
              </w:rPr>
              <w:t>№.of</w:t>
            </w:r>
          </w:p>
          <w:p w14:paraId="158D4133" w14:textId="77777777" w:rsidR="00CE2E65" w:rsidRPr="0098262F" w:rsidRDefault="00CE2E65" w:rsidP="35298142">
            <w:pPr>
              <w:keepNext/>
              <w:keepLines/>
              <w:jc w:val="center"/>
              <w:rPr>
                <w:rFonts w:ascii="Arial Narrow" w:hAnsi="Arial Narrow"/>
                <w:b/>
                <w:bCs/>
                <w:sz w:val="20"/>
                <w:szCs w:val="20"/>
              </w:rPr>
            </w:pPr>
            <w:proofErr w:type="spellStart"/>
            <w:r w:rsidRPr="35298142">
              <w:rPr>
                <w:rFonts w:ascii="Arial Narrow" w:hAnsi="Arial Narrow"/>
                <w:b/>
                <w:bCs/>
                <w:sz w:val="20"/>
                <w:szCs w:val="20"/>
              </w:rPr>
              <w:t>Rpts</w:t>
            </w:r>
            <w:proofErr w:type="spellEnd"/>
          </w:p>
        </w:tc>
        <w:tc>
          <w:tcPr>
            <w:tcW w:w="1016" w:type="pct"/>
            <w:vAlign w:val="center"/>
          </w:tcPr>
          <w:p w14:paraId="670B06FC" w14:textId="77777777" w:rsidR="00CE2E65" w:rsidRPr="0098262F" w:rsidRDefault="00CE2E65" w:rsidP="00967D46">
            <w:pPr>
              <w:keepNext/>
              <w:keepLines/>
              <w:rPr>
                <w:rFonts w:ascii="Arial Narrow" w:hAnsi="Arial Narrow"/>
                <w:b/>
                <w:sz w:val="20"/>
                <w:szCs w:val="20"/>
              </w:rPr>
            </w:pPr>
            <w:r w:rsidRPr="0098262F">
              <w:rPr>
                <w:rFonts w:ascii="Arial Narrow" w:hAnsi="Arial Narrow"/>
                <w:b/>
                <w:sz w:val="20"/>
                <w:szCs w:val="20"/>
              </w:rPr>
              <w:t>Available brands</w:t>
            </w:r>
          </w:p>
        </w:tc>
      </w:tr>
      <w:tr w:rsidR="00CE2E65" w:rsidRPr="0098262F" w14:paraId="7C2AFD48" w14:textId="77777777" w:rsidTr="35298142">
        <w:trPr>
          <w:cantSplit/>
          <w:trHeight w:val="20"/>
        </w:trPr>
        <w:tc>
          <w:tcPr>
            <w:tcW w:w="5000" w:type="pct"/>
            <w:gridSpan w:val="6"/>
            <w:vAlign w:val="center"/>
          </w:tcPr>
          <w:p w14:paraId="0712ED6C" w14:textId="77777777" w:rsidR="00CE2E65" w:rsidRPr="0098262F" w:rsidRDefault="00CE2E65" w:rsidP="00967D46">
            <w:pPr>
              <w:pStyle w:val="TableText0"/>
              <w:rPr>
                <w:rFonts w:cs="Arial"/>
                <w:szCs w:val="20"/>
              </w:rPr>
            </w:pPr>
            <w:r w:rsidRPr="004865FB">
              <w:t>OMAVELOXOLONE</w:t>
            </w:r>
          </w:p>
        </w:tc>
      </w:tr>
      <w:tr w:rsidR="00CE2E65" w:rsidRPr="0098262F" w14:paraId="75FA3C8C" w14:textId="77777777" w:rsidTr="35298142">
        <w:trPr>
          <w:cantSplit/>
          <w:trHeight w:val="20"/>
        </w:trPr>
        <w:tc>
          <w:tcPr>
            <w:tcW w:w="5000" w:type="pct"/>
            <w:gridSpan w:val="6"/>
            <w:vAlign w:val="center"/>
          </w:tcPr>
          <w:p w14:paraId="1843A413" w14:textId="77777777" w:rsidR="00CE2E65" w:rsidRPr="004865FB" w:rsidRDefault="00CE2E65" w:rsidP="00967D46">
            <w:pPr>
              <w:pStyle w:val="TableText0"/>
            </w:pPr>
            <w:r>
              <w:t>Initial treatment</w:t>
            </w:r>
          </w:p>
        </w:tc>
      </w:tr>
      <w:tr w:rsidR="00CE2E65" w:rsidRPr="0098262F" w14:paraId="11C96514" w14:textId="77777777" w:rsidTr="35298142">
        <w:trPr>
          <w:cantSplit/>
          <w:trHeight w:val="20"/>
        </w:trPr>
        <w:tc>
          <w:tcPr>
            <w:tcW w:w="1647" w:type="pct"/>
            <w:vAlign w:val="center"/>
          </w:tcPr>
          <w:p w14:paraId="1BF1CA49" w14:textId="77777777" w:rsidR="00CE2E65" w:rsidRPr="007C2F22" w:rsidRDefault="00CE2E65" w:rsidP="00967D46">
            <w:pPr>
              <w:pStyle w:val="TableText0"/>
            </w:pPr>
            <w:proofErr w:type="spellStart"/>
            <w:r w:rsidRPr="35298142">
              <w:t>Omaveloxolone</w:t>
            </w:r>
            <w:proofErr w:type="spellEnd"/>
            <w:r w:rsidRPr="35298142">
              <w:t>,</w:t>
            </w:r>
          </w:p>
          <w:p w14:paraId="25EA1D13" w14:textId="77777777" w:rsidR="00CE2E65" w:rsidRPr="0098262F" w:rsidRDefault="00CE2E65" w:rsidP="00967D46">
            <w:pPr>
              <w:keepNext/>
              <w:keepLines/>
              <w:rPr>
                <w:rFonts w:ascii="Arial Narrow" w:hAnsi="Arial Narrow"/>
                <w:color w:val="0066FF"/>
                <w:sz w:val="20"/>
                <w:szCs w:val="20"/>
              </w:rPr>
            </w:pPr>
            <w:r w:rsidRPr="007C2F22">
              <w:rPr>
                <w:rFonts w:ascii="Arial Narrow" w:eastAsiaTheme="majorEastAsia" w:hAnsi="Arial Narrow" w:cstheme="majorBidi"/>
                <w:bCs/>
                <w:sz w:val="20"/>
              </w:rPr>
              <w:t>50 mg capsule (oral)</w:t>
            </w:r>
            <w:r w:rsidRPr="0098262F">
              <w:rPr>
                <w:rFonts w:ascii="Arial Narrow" w:hAnsi="Arial Narrow"/>
                <w:color w:val="0066FF"/>
                <w:sz w:val="20"/>
                <w:szCs w:val="20"/>
              </w:rPr>
              <w:t xml:space="preserve"> </w:t>
            </w:r>
          </w:p>
        </w:tc>
        <w:tc>
          <w:tcPr>
            <w:tcW w:w="986" w:type="pct"/>
          </w:tcPr>
          <w:p w14:paraId="216A317A" w14:textId="12D1257B" w:rsidR="00CE2E65" w:rsidRPr="0098262F" w:rsidRDefault="00CE2E65" w:rsidP="00967D46">
            <w:pPr>
              <w:pStyle w:val="TableText0"/>
            </w:pPr>
            <w:r>
              <w:t>P</w:t>
            </w:r>
            <w:r w:rsidRPr="0098262F">
              <w:t>ublished price</w:t>
            </w:r>
            <w:r>
              <w:t xml:space="preserve"> DPMQ: $</w:t>
            </w:r>
            <w:r w:rsidR="003452C5" w:rsidRPr="003452C5">
              <w:rPr>
                <w:color w:val="000000"/>
                <w:spacing w:val="53"/>
                <w:shd w:val="solid" w:color="000000" w:fill="000000"/>
                <w:fitText w:val="330" w:id="-694425599"/>
                <w14:textFill>
                  <w14:solidFill>
                    <w14:srgbClr w14:val="000000">
                      <w14:alpha w14:val="100000"/>
                    </w14:srgbClr>
                  </w14:solidFill>
                </w14:textFill>
              </w:rPr>
              <w:t>|||</w:t>
            </w:r>
            <w:r w:rsidR="003452C5" w:rsidRPr="003452C5">
              <w:rPr>
                <w:color w:val="000000"/>
                <w:spacing w:val="1"/>
                <w:shd w:val="solid" w:color="000000" w:fill="000000"/>
                <w:fitText w:val="330" w:id="-694425599"/>
                <w14:textFill>
                  <w14:solidFill>
                    <w14:srgbClr w14:val="000000">
                      <w14:alpha w14:val="100000"/>
                    </w14:srgbClr>
                  </w14:solidFill>
                </w14:textFill>
              </w:rPr>
              <w:t>|</w:t>
            </w:r>
            <w:r w:rsidRPr="0098262F">
              <w:t xml:space="preserve"> </w:t>
            </w:r>
          </w:p>
          <w:p w14:paraId="01F8EB6B" w14:textId="24317F72" w:rsidR="00CE2E65" w:rsidRPr="0098262F" w:rsidRDefault="00CE2E65" w:rsidP="00967D46">
            <w:pPr>
              <w:pStyle w:val="TableText0"/>
              <w:rPr>
                <w:szCs w:val="20"/>
              </w:rPr>
            </w:pPr>
            <w:r>
              <w:t>AEMP: $</w:t>
            </w:r>
            <w:r w:rsidR="003452C5" w:rsidRPr="003452C5">
              <w:rPr>
                <w:color w:val="000000"/>
                <w:spacing w:val="49"/>
                <w:shd w:val="solid" w:color="000000" w:fill="000000"/>
                <w:fitText w:val="320" w:id="-694425598"/>
                <w14:textFill>
                  <w14:solidFill>
                    <w14:srgbClr w14:val="000000">
                      <w14:alpha w14:val="100000"/>
                    </w14:srgbClr>
                  </w14:solidFill>
                </w14:textFill>
              </w:rPr>
              <w:t>|||</w:t>
            </w:r>
            <w:r w:rsidR="003452C5" w:rsidRPr="003452C5">
              <w:rPr>
                <w:color w:val="000000"/>
                <w:spacing w:val="3"/>
                <w:shd w:val="solid" w:color="000000" w:fill="000000"/>
                <w:fitText w:val="320" w:id="-694425598"/>
                <w14:textFill>
                  <w14:solidFill>
                    <w14:srgbClr w14:val="000000">
                      <w14:alpha w14:val="100000"/>
                    </w14:srgbClr>
                  </w14:solidFill>
                </w14:textFill>
              </w:rPr>
              <w:t>|</w:t>
            </w:r>
          </w:p>
        </w:tc>
        <w:tc>
          <w:tcPr>
            <w:tcW w:w="450" w:type="pct"/>
            <w:vAlign w:val="center"/>
          </w:tcPr>
          <w:p w14:paraId="456C1008" w14:textId="77777777" w:rsidR="00CE2E65" w:rsidRPr="0098262F" w:rsidRDefault="00CE2E65" w:rsidP="00967D46">
            <w:pPr>
              <w:keepNext/>
              <w:keepLines/>
              <w:jc w:val="center"/>
              <w:rPr>
                <w:rFonts w:ascii="Arial Narrow" w:hAnsi="Arial Narrow"/>
                <w:sz w:val="20"/>
                <w:szCs w:val="20"/>
              </w:rPr>
            </w:pPr>
            <w:r>
              <w:rPr>
                <w:rFonts w:ascii="Arial Narrow" w:hAnsi="Arial Narrow"/>
                <w:sz w:val="20"/>
              </w:rPr>
              <w:t>1</w:t>
            </w:r>
          </w:p>
        </w:tc>
        <w:tc>
          <w:tcPr>
            <w:tcW w:w="450" w:type="pct"/>
            <w:vAlign w:val="center"/>
          </w:tcPr>
          <w:p w14:paraId="5DAFEA88" w14:textId="77777777" w:rsidR="00CE2E65" w:rsidRPr="0098262F" w:rsidRDefault="00CE2E65" w:rsidP="00967D46">
            <w:pPr>
              <w:keepNext/>
              <w:keepLines/>
              <w:jc w:val="center"/>
              <w:rPr>
                <w:rFonts w:ascii="Arial Narrow" w:hAnsi="Arial Narrow"/>
                <w:sz w:val="20"/>
                <w:szCs w:val="20"/>
              </w:rPr>
            </w:pPr>
            <w:r>
              <w:rPr>
                <w:rFonts w:ascii="Arial Narrow" w:hAnsi="Arial Narrow"/>
                <w:sz w:val="20"/>
              </w:rPr>
              <w:t>90</w:t>
            </w:r>
          </w:p>
        </w:tc>
        <w:tc>
          <w:tcPr>
            <w:tcW w:w="450" w:type="pct"/>
            <w:vAlign w:val="center"/>
          </w:tcPr>
          <w:p w14:paraId="40C55C44" w14:textId="77777777" w:rsidR="00CE2E65" w:rsidRPr="0098262F" w:rsidRDefault="00CE2E65" w:rsidP="00967D46">
            <w:pPr>
              <w:keepNext/>
              <w:keepLines/>
              <w:jc w:val="center"/>
              <w:rPr>
                <w:rFonts w:ascii="Arial Narrow" w:hAnsi="Arial Narrow"/>
                <w:sz w:val="20"/>
                <w:szCs w:val="20"/>
              </w:rPr>
            </w:pPr>
            <w:r>
              <w:rPr>
                <w:rFonts w:ascii="Arial Narrow" w:hAnsi="Arial Narrow"/>
                <w:sz w:val="20"/>
              </w:rPr>
              <w:t>5</w:t>
            </w:r>
          </w:p>
        </w:tc>
        <w:tc>
          <w:tcPr>
            <w:tcW w:w="1016" w:type="pct"/>
            <w:vAlign w:val="center"/>
          </w:tcPr>
          <w:p w14:paraId="6E717604" w14:textId="460A6214" w:rsidR="00CE2E65" w:rsidRPr="0098262F" w:rsidRDefault="00DB3CFE" w:rsidP="35298142">
            <w:pPr>
              <w:keepNext/>
              <w:keepLines/>
              <w:rPr>
                <w:rFonts w:ascii="Arial Narrow" w:hAnsi="Arial Narrow"/>
                <w:color w:val="0066FF"/>
                <w:sz w:val="20"/>
                <w:szCs w:val="20"/>
              </w:rPr>
            </w:pPr>
            <w:proofErr w:type="spellStart"/>
            <w:r w:rsidRPr="35298142">
              <w:rPr>
                <w:rFonts w:ascii="Arial Narrow" w:hAnsi="Arial Narrow"/>
                <w:sz w:val="20"/>
                <w:szCs w:val="20"/>
              </w:rPr>
              <w:t>Skyclarys</w:t>
            </w:r>
            <w:proofErr w:type="spellEnd"/>
          </w:p>
        </w:tc>
      </w:tr>
      <w:tr w:rsidR="00CE2E65" w:rsidRPr="0098262F" w14:paraId="447ED2C4" w14:textId="77777777" w:rsidTr="35298142">
        <w:trPr>
          <w:cantSplit/>
          <w:trHeight w:val="20"/>
        </w:trPr>
        <w:tc>
          <w:tcPr>
            <w:tcW w:w="5000" w:type="pct"/>
            <w:gridSpan w:val="6"/>
            <w:vAlign w:val="center"/>
          </w:tcPr>
          <w:p w14:paraId="763759D9" w14:textId="77777777" w:rsidR="00CE2E65" w:rsidRPr="007C2F22" w:rsidRDefault="00CE2E65" w:rsidP="00967D46">
            <w:pPr>
              <w:pStyle w:val="TableText0"/>
              <w:rPr>
                <w:szCs w:val="20"/>
              </w:rPr>
            </w:pPr>
            <w:r>
              <w:t>Maintenance treatment</w:t>
            </w:r>
          </w:p>
        </w:tc>
      </w:tr>
      <w:tr w:rsidR="00CE2E65" w:rsidRPr="0098262F" w14:paraId="7218748C" w14:textId="77777777" w:rsidTr="35298142">
        <w:trPr>
          <w:cantSplit/>
          <w:trHeight w:val="20"/>
        </w:trPr>
        <w:tc>
          <w:tcPr>
            <w:tcW w:w="1647" w:type="pct"/>
            <w:vAlign w:val="center"/>
          </w:tcPr>
          <w:p w14:paraId="506889A3" w14:textId="77777777" w:rsidR="00CE2E65" w:rsidRPr="007C2F22" w:rsidRDefault="00CE2E65" w:rsidP="00967D46">
            <w:pPr>
              <w:pStyle w:val="TableText0"/>
            </w:pPr>
            <w:proofErr w:type="spellStart"/>
            <w:r w:rsidRPr="35298142">
              <w:t>Omaveloxolone</w:t>
            </w:r>
            <w:proofErr w:type="spellEnd"/>
            <w:r w:rsidRPr="35298142">
              <w:t>,</w:t>
            </w:r>
          </w:p>
          <w:p w14:paraId="55750349" w14:textId="77777777" w:rsidR="00CE2E65" w:rsidRPr="0098262F" w:rsidRDefault="00CE2E65" w:rsidP="00967D46">
            <w:pPr>
              <w:keepNext/>
              <w:keepLines/>
              <w:rPr>
                <w:rFonts w:ascii="Arial Narrow" w:hAnsi="Arial Narrow"/>
                <w:color w:val="0066FF"/>
                <w:sz w:val="20"/>
                <w:szCs w:val="20"/>
              </w:rPr>
            </w:pPr>
            <w:r w:rsidRPr="007C2F22">
              <w:rPr>
                <w:rFonts w:ascii="Arial Narrow" w:eastAsiaTheme="majorEastAsia" w:hAnsi="Arial Narrow" w:cstheme="majorBidi"/>
                <w:bCs/>
                <w:sz w:val="20"/>
              </w:rPr>
              <w:t>50 mg capsule (oral)</w:t>
            </w:r>
            <w:r w:rsidRPr="0098262F">
              <w:rPr>
                <w:rFonts w:ascii="Arial Narrow" w:hAnsi="Arial Narrow"/>
                <w:color w:val="0066FF"/>
                <w:sz w:val="20"/>
                <w:szCs w:val="20"/>
              </w:rPr>
              <w:t xml:space="preserve"> </w:t>
            </w:r>
          </w:p>
        </w:tc>
        <w:tc>
          <w:tcPr>
            <w:tcW w:w="986" w:type="pct"/>
          </w:tcPr>
          <w:p w14:paraId="050BF5E5" w14:textId="36C8E2DE" w:rsidR="00CE2E65" w:rsidRPr="0098262F" w:rsidRDefault="00CE2E65" w:rsidP="00967D46">
            <w:pPr>
              <w:pStyle w:val="TableText0"/>
            </w:pPr>
            <w:r>
              <w:t>P</w:t>
            </w:r>
            <w:r w:rsidRPr="0098262F">
              <w:t>ublished price</w:t>
            </w:r>
            <w:r>
              <w:t xml:space="preserve"> DPMQ: $</w:t>
            </w:r>
            <w:r w:rsidR="003452C5" w:rsidRPr="003452C5">
              <w:rPr>
                <w:color w:val="000000"/>
                <w:spacing w:val="53"/>
                <w:shd w:val="solid" w:color="000000" w:fill="000000"/>
                <w:fitText w:val="330" w:id="-694425597"/>
                <w14:textFill>
                  <w14:solidFill>
                    <w14:srgbClr w14:val="000000">
                      <w14:alpha w14:val="100000"/>
                    </w14:srgbClr>
                  </w14:solidFill>
                </w14:textFill>
              </w:rPr>
              <w:t>|||</w:t>
            </w:r>
            <w:r w:rsidR="003452C5" w:rsidRPr="003452C5">
              <w:rPr>
                <w:color w:val="000000"/>
                <w:spacing w:val="1"/>
                <w:shd w:val="solid" w:color="000000" w:fill="000000"/>
                <w:fitText w:val="330" w:id="-694425597"/>
                <w14:textFill>
                  <w14:solidFill>
                    <w14:srgbClr w14:val="000000">
                      <w14:alpha w14:val="100000"/>
                    </w14:srgbClr>
                  </w14:solidFill>
                </w14:textFill>
              </w:rPr>
              <w:t>|</w:t>
            </w:r>
            <w:r w:rsidRPr="0098262F">
              <w:t xml:space="preserve"> </w:t>
            </w:r>
          </w:p>
          <w:p w14:paraId="36E4F4A9" w14:textId="28710209" w:rsidR="00CE2E65" w:rsidRPr="0098262F" w:rsidRDefault="00CE2E65" w:rsidP="00967D46">
            <w:pPr>
              <w:pStyle w:val="TableText0"/>
              <w:rPr>
                <w:szCs w:val="20"/>
              </w:rPr>
            </w:pPr>
            <w:r>
              <w:t>AEMP: $</w:t>
            </w:r>
            <w:r w:rsidR="003452C5">
              <w:rPr>
                <w:color w:val="000000"/>
                <w:spacing w:val="49"/>
                <w:shd w:val="solid" w:color="000000" w:fill="000000"/>
                <w:fitText w:val="320" w:id="-694425596"/>
                <w14:textFill>
                  <w14:solidFill>
                    <w14:srgbClr w14:val="000000">
                      <w14:alpha w14:val="100000"/>
                    </w14:srgbClr>
                  </w14:solidFill>
                </w14:textFill>
              </w:rPr>
              <w:t>|||</w:t>
            </w:r>
            <w:r w:rsidR="003452C5">
              <w:rPr>
                <w:color w:val="000000"/>
                <w:spacing w:val="1"/>
                <w:shd w:val="solid" w:color="000000" w:fill="000000"/>
                <w:fitText w:val="320" w:id="-694425596"/>
                <w14:textFill>
                  <w14:solidFill>
                    <w14:srgbClr w14:val="000000">
                      <w14:alpha w14:val="100000"/>
                    </w14:srgbClr>
                  </w14:solidFill>
                </w14:textFill>
              </w:rPr>
              <w:t>|</w:t>
            </w:r>
          </w:p>
        </w:tc>
        <w:tc>
          <w:tcPr>
            <w:tcW w:w="450" w:type="pct"/>
            <w:vAlign w:val="center"/>
          </w:tcPr>
          <w:p w14:paraId="088AC027" w14:textId="77777777" w:rsidR="00CE2E65" w:rsidRPr="0098262F" w:rsidRDefault="00CE2E65" w:rsidP="00967D46">
            <w:pPr>
              <w:keepNext/>
              <w:keepLines/>
              <w:jc w:val="center"/>
              <w:rPr>
                <w:rFonts w:ascii="Arial Narrow" w:hAnsi="Arial Narrow"/>
                <w:sz w:val="20"/>
                <w:szCs w:val="20"/>
              </w:rPr>
            </w:pPr>
            <w:r>
              <w:rPr>
                <w:rFonts w:ascii="Arial Narrow" w:hAnsi="Arial Narrow"/>
                <w:sz w:val="20"/>
              </w:rPr>
              <w:t>1</w:t>
            </w:r>
          </w:p>
        </w:tc>
        <w:tc>
          <w:tcPr>
            <w:tcW w:w="450" w:type="pct"/>
            <w:vAlign w:val="center"/>
          </w:tcPr>
          <w:p w14:paraId="4DFA59F4" w14:textId="77777777" w:rsidR="00CE2E65" w:rsidRPr="0098262F" w:rsidRDefault="00CE2E65" w:rsidP="00967D46">
            <w:pPr>
              <w:keepNext/>
              <w:keepLines/>
              <w:jc w:val="center"/>
              <w:rPr>
                <w:rFonts w:ascii="Arial Narrow" w:hAnsi="Arial Narrow"/>
                <w:sz w:val="20"/>
                <w:szCs w:val="20"/>
              </w:rPr>
            </w:pPr>
            <w:r>
              <w:rPr>
                <w:rFonts w:ascii="Arial Narrow" w:hAnsi="Arial Narrow"/>
                <w:sz w:val="20"/>
              </w:rPr>
              <w:t>90</w:t>
            </w:r>
          </w:p>
        </w:tc>
        <w:tc>
          <w:tcPr>
            <w:tcW w:w="450" w:type="pct"/>
            <w:vAlign w:val="center"/>
          </w:tcPr>
          <w:p w14:paraId="1859D1EA" w14:textId="77777777" w:rsidR="00CE2E65" w:rsidRPr="0098262F" w:rsidRDefault="00CE2E65" w:rsidP="00967D46">
            <w:pPr>
              <w:keepNext/>
              <w:keepLines/>
              <w:jc w:val="center"/>
              <w:rPr>
                <w:rFonts w:ascii="Arial Narrow" w:hAnsi="Arial Narrow"/>
                <w:sz w:val="20"/>
                <w:szCs w:val="20"/>
              </w:rPr>
            </w:pPr>
            <w:r>
              <w:rPr>
                <w:rFonts w:ascii="Arial Narrow" w:hAnsi="Arial Narrow"/>
                <w:sz w:val="20"/>
              </w:rPr>
              <w:t>5</w:t>
            </w:r>
          </w:p>
        </w:tc>
        <w:tc>
          <w:tcPr>
            <w:tcW w:w="1016" w:type="pct"/>
            <w:vAlign w:val="center"/>
          </w:tcPr>
          <w:p w14:paraId="48D6C38B" w14:textId="35770A66" w:rsidR="00CE2E65" w:rsidRPr="0098262F" w:rsidRDefault="00DB3CFE" w:rsidP="35298142">
            <w:pPr>
              <w:keepNext/>
              <w:keepLines/>
              <w:rPr>
                <w:rFonts w:ascii="Arial Narrow" w:hAnsi="Arial Narrow"/>
                <w:color w:val="0066FF"/>
                <w:sz w:val="20"/>
                <w:szCs w:val="20"/>
              </w:rPr>
            </w:pPr>
            <w:proofErr w:type="spellStart"/>
            <w:r w:rsidRPr="35298142">
              <w:rPr>
                <w:rFonts w:ascii="Arial Narrow" w:hAnsi="Arial Narrow"/>
                <w:sz w:val="20"/>
                <w:szCs w:val="20"/>
              </w:rPr>
              <w:t>Skyclarys</w:t>
            </w:r>
            <w:proofErr w:type="spellEnd"/>
          </w:p>
        </w:tc>
      </w:tr>
    </w:tbl>
    <w:p w14:paraId="2F3C22E2" w14:textId="77777777" w:rsidR="00CE2E65" w:rsidRPr="0098262F" w:rsidRDefault="00CE2E65" w:rsidP="00CE2E65">
      <w:pPr>
        <w:pStyle w:val="TableFooter"/>
      </w:pPr>
    </w:p>
    <w:bookmarkEnd w:id="9"/>
    <w:p w14:paraId="3113140A" w14:textId="2DEB81D9" w:rsidR="00CE2E65" w:rsidRPr="0098262F" w:rsidRDefault="00CE2E65" w:rsidP="000412A5">
      <w:pPr>
        <w:pStyle w:val="Caption"/>
        <w:keepNext w:val="0"/>
        <w:keepLines w:val="0"/>
        <w:rPr>
          <w:rStyle w:val="CommentReference"/>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CE2E65" w:rsidRPr="0098262F" w14:paraId="198F250A" w14:textId="77777777" w:rsidTr="35298142">
        <w:trPr>
          <w:cantSplit/>
          <w:trHeight w:val="20"/>
        </w:trPr>
        <w:tc>
          <w:tcPr>
            <w:tcW w:w="5000" w:type="pct"/>
          </w:tcPr>
          <w:p w14:paraId="43F4989A" w14:textId="77777777" w:rsidR="00CE2E65" w:rsidRPr="0098262F" w:rsidRDefault="00CE2E65" w:rsidP="000412A5">
            <w:pPr>
              <w:pStyle w:val="TableText0"/>
              <w:keepNext w:val="0"/>
              <w:keepLines w:val="0"/>
            </w:pPr>
            <w:r w:rsidRPr="0098262F">
              <w:rPr>
                <w:b/>
              </w:rPr>
              <w:t xml:space="preserve">Category / Program: </w:t>
            </w:r>
            <w:r>
              <w:rPr>
                <w:bCs w:val="0"/>
              </w:rPr>
              <w:t xml:space="preserve">Section 85 - </w:t>
            </w:r>
            <w:r w:rsidRPr="0098262F">
              <w:t>General Schedule</w:t>
            </w:r>
          </w:p>
        </w:tc>
      </w:tr>
      <w:tr w:rsidR="00CE2E65" w:rsidRPr="0098262F" w14:paraId="655579C8" w14:textId="77777777" w:rsidTr="35298142">
        <w:trPr>
          <w:cantSplit/>
          <w:trHeight w:val="20"/>
        </w:trPr>
        <w:tc>
          <w:tcPr>
            <w:tcW w:w="5000" w:type="pct"/>
          </w:tcPr>
          <w:p w14:paraId="238CA2FD" w14:textId="77777777" w:rsidR="00CE2E65" w:rsidRPr="0098262F" w:rsidRDefault="00CE2E65" w:rsidP="000412A5">
            <w:pPr>
              <w:pStyle w:val="TableText0"/>
              <w:keepNext w:val="0"/>
              <w:keepLines w:val="0"/>
              <w:rPr>
                <w:b/>
              </w:rPr>
            </w:pPr>
            <w:r w:rsidRPr="0098262F">
              <w:rPr>
                <w:b/>
              </w:rPr>
              <w:t xml:space="preserve">Prescriber type: </w:t>
            </w:r>
            <w:r w:rsidRPr="0098262F">
              <w:fldChar w:fldCharType="begin">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98262F">
              <w:t xml:space="preserve">Medical Practitioners </w:t>
            </w:r>
            <w:r w:rsidRPr="0098262F">
              <w:fldChar w:fldCharType="begin">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CE2E65" w:rsidRPr="0098262F" w14:paraId="49BD9D1B" w14:textId="77777777" w:rsidTr="35298142">
        <w:trPr>
          <w:cantSplit/>
          <w:trHeight w:val="20"/>
        </w:trPr>
        <w:tc>
          <w:tcPr>
            <w:tcW w:w="5000" w:type="pct"/>
          </w:tcPr>
          <w:p w14:paraId="1B2DDE80" w14:textId="77777777" w:rsidR="00CE2E65" w:rsidRPr="0098262F" w:rsidRDefault="00CE2E65" w:rsidP="000412A5">
            <w:pPr>
              <w:pStyle w:val="TableText0"/>
              <w:keepNext w:val="0"/>
              <w:keepLines w:val="0"/>
            </w:pPr>
            <w:r w:rsidRPr="0098262F">
              <w:rPr>
                <w:b/>
              </w:rPr>
              <w:t xml:space="preserve">Restriction type: </w:t>
            </w:r>
            <w:r>
              <w:fldChar w:fldCharType="begin">
                <w:ffData>
                  <w:name w:val="Check3"/>
                  <w:enabled/>
                  <w:calcOnExit w:val="0"/>
                  <w:checkBox>
                    <w:sizeAuto/>
                    <w:default w:val="1"/>
                  </w:checkBox>
                </w:ffData>
              </w:fldChar>
            </w:r>
            <w:r>
              <w:instrText xml:space="preserve"> FORMCHECKBOX </w:instrText>
            </w:r>
            <w:r>
              <w:fldChar w:fldCharType="separate"/>
            </w:r>
            <w:r>
              <w:fldChar w:fldCharType="end"/>
            </w:r>
            <w:r w:rsidRPr="0098262F">
              <w:t xml:space="preserve">Authority Required (telephone/online PBS Authorities system) </w:t>
            </w:r>
          </w:p>
        </w:tc>
      </w:tr>
      <w:tr w:rsidR="00CE2E65" w:rsidRPr="0098262F" w14:paraId="781E8754" w14:textId="77777777" w:rsidTr="35298142">
        <w:trPr>
          <w:cantSplit/>
          <w:trHeight w:val="20"/>
        </w:trPr>
        <w:tc>
          <w:tcPr>
            <w:tcW w:w="5000" w:type="pct"/>
            <w:vAlign w:val="center"/>
            <w:hideMark/>
          </w:tcPr>
          <w:p w14:paraId="0A40EF07" w14:textId="77777777" w:rsidR="00CE2E65" w:rsidRPr="0098262F" w:rsidRDefault="00CE2E65" w:rsidP="000412A5">
            <w:pPr>
              <w:pStyle w:val="TableText0"/>
              <w:keepNext w:val="0"/>
              <w:keepLines w:val="0"/>
            </w:pPr>
            <w:r w:rsidRPr="0098262F">
              <w:rPr>
                <w:b/>
              </w:rPr>
              <w:t>Indication:</w:t>
            </w:r>
            <w:r w:rsidRPr="0098262F">
              <w:t xml:space="preserve"> </w:t>
            </w:r>
            <w:r w:rsidRPr="00A53588">
              <w:t>Friedreich’s ataxia</w:t>
            </w:r>
          </w:p>
        </w:tc>
      </w:tr>
      <w:tr w:rsidR="00CE2E65" w:rsidRPr="0098262F" w14:paraId="4F332601" w14:textId="77777777" w:rsidTr="35298142">
        <w:trPr>
          <w:cantSplit/>
          <w:trHeight w:val="20"/>
        </w:trPr>
        <w:tc>
          <w:tcPr>
            <w:tcW w:w="5000" w:type="pct"/>
            <w:vAlign w:val="center"/>
            <w:hideMark/>
          </w:tcPr>
          <w:p w14:paraId="463A8CAA" w14:textId="77777777" w:rsidR="00CE2E65" w:rsidRPr="0098262F" w:rsidRDefault="00CE2E65" w:rsidP="000412A5">
            <w:pPr>
              <w:pStyle w:val="TableText0"/>
              <w:keepNext w:val="0"/>
              <w:keepLines w:val="0"/>
            </w:pPr>
            <w:r w:rsidRPr="0098262F">
              <w:rPr>
                <w:b/>
              </w:rPr>
              <w:t>Treatment Phase:</w:t>
            </w:r>
            <w:r w:rsidRPr="0098262F">
              <w:t xml:space="preserve"> </w:t>
            </w:r>
            <w:r w:rsidRPr="00A53588">
              <w:t>Initial treatment of Friedreich’s ataxia</w:t>
            </w:r>
          </w:p>
        </w:tc>
      </w:tr>
      <w:tr w:rsidR="00CE2E65" w:rsidRPr="0098262F" w14:paraId="2C1AEF00" w14:textId="77777777" w:rsidTr="35298142">
        <w:trPr>
          <w:cantSplit/>
          <w:trHeight w:val="20"/>
        </w:trPr>
        <w:tc>
          <w:tcPr>
            <w:tcW w:w="5000" w:type="pct"/>
            <w:vAlign w:val="center"/>
            <w:hideMark/>
          </w:tcPr>
          <w:p w14:paraId="7845E2CE" w14:textId="77777777" w:rsidR="00CE2E65" w:rsidRPr="00A53588" w:rsidRDefault="00CE2E65" w:rsidP="000412A5">
            <w:pPr>
              <w:pStyle w:val="TableText0"/>
              <w:keepNext w:val="0"/>
              <w:keepLines w:val="0"/>
              <w:rPr>
                <w:b/>
                <w:bCs w:val="0"/>
              </w:rPr>
            </w:pPr>
            <w:r w:rsidRPr="00A53588">
              <w:rPr>
                <w:b/>
                <w:bCs w:val="0"/>
              </w:rPr>
              <w:t>Clinical criteria:</w:t>
            </w:r>
          </w:p>
        </w:tc>
      </w:tr>
      <w:tr w:rsidR="00CE2E65" w:rsidRPr="0098262F" w14:paraId="287BEA40" w14:textId="77777777" w:rsidTr="35298142">
        <w:trPr>
          <w:cantSplit/>
          <w:trHeight w:val="20"/>
        </w:trPr>
        <w:tc>
          <w:tcPr>
            <w:tcW w:w="5000" w:type="pct"/>
            <w:vAlign w:val="center"/>
            <w:hideMark/>
          </w:tcPr>
          <w:p w14:paraId="204F97B6" w14:textId="77777777" w:rsidR="00CE2E65" w:rsidRPr="0098262F" w:rsidRDefault="00CE2E65" w:rsidP="000412A5">
            <w:pPr>
              <w:pStyle w:val="TableText0"/>
              <w:keepNext w:val="0"/>
              <w:keepLines w:val="0"/>
            </w:pPr>
            <w:r w:rsidRPr="00A53588">
              <w:t>The patient must have a mutation in the frataxin (</w:t>
            </w:r>
            <w:r w:rsidRPr="00A53588">
              <w:rPr>
                <w:i/>
                <w:iCs/>
              </w:rPr>
              <w:t>FXN</w:t>
            </w:r>
            <w:r w:rsidRPr="00A53588">
              <w:t xml:space="preserve">) gene </w:t>
            </w:r>
          </w:p>
        </w:tc>
      </w:tr>
      <w:tr w:rsidR="00CE2E65" w:rsidRPr="0098262F" w14:paraId="1DE83A9F" w14:textId="77777777" w:rsidTr="35298142">
        <w:trPr>
          <w:cantSplit/>
          <w:trHeight w:val="20"/>
        </w:trPr>
        <w:tc>
          <w:tcPr>
            <w:tcW w:w="5000" w:type="pct"/>
            <w:vAlign w:val="center"/>
            <w:hideMark/>
          </w:tcPr>
          <w:p w14:paraId="34D65784" w14:textId="77777777" w:rsidR="00CE2E65" w:rsidRPr="0098262F" w:rsidRDefault="00CE2E65" w:rsidP="000412A5">
            <w:pPr>
              <w:pStyle w:val="TableText0"/>
              <w:keepNext w:val="0"/>
              <w:keepLines w:val="0"/>
            </w:pPr>
            <w:r w:rsidRPr="0098262F">
              <w:t>AND</w:t>
            </w:r>
          </w:p>
        </w:tc>
      </w:tr>
      <w:tr w:rsidR="00CE2E65" w:rsidRPr="0098262F" w14:paraId="1A89286F" w14:textId="77777777" w:rsidTr="35298142">
        <w:trPr>
          <w:cantSplit/>
          <w:trHeight w:val="20"/>
        </w:trPr>
        <w:tc>
          <w:tcPr>
            <w:tcW w:w="5000" w:type="pct"/>
            <w:vAlign w:val="center"/>
            <w:hideMark/>
          </w:tcPr>
          <w:p w14:paraId="711DAD2A" w14:textId="77777777" w:rsidR="00CE2E65" w:rsidRPr="0098262F" w:rsidRDefault="00CE2E65" w:rsidP="000412A5">
            <w:pPr>
              <w:pStyle w:val="TableText0"/>
              <w:keepNext w:val="0"/>
              <w:keepLines w:val="0"/>
            </w:pPr>
            <w:r w:rsidRPr="00A53588">
              <w:t>The patient must have a clinical symptom of Friedreich’s ataxia,</w:t>
            </w:r>
          </w:p>
        </w:tc>
      </w:tr>
      <w:tr w:rsidR="00CE2E65" w:rsidRPr="0098262F" w14:paraId="420B37BA" w14:textId="77777777" w:rsidTr="35298142">
        <w:trPr>
          <w:cantSplit/>
          <w:trHeight w:val="20"/>
        </w:trPr>
        <w:tc>
          <w:tcPr>
            <w:tcW w:w="5000" w:type="pct"/>
            <w:vAlign w:val="center"/>
            <w:hideMark/>
          </w:tcPr>
          <w:p w14:paraId="1AE0EDB0" w14:textId="77777777" w:rsidR="00CE2E65" w:rsidRPr="0098262F" w:rsidRDefault="00CE2E65" w:rsidP="000412A5">
            <w:pPr>
              <w:pStyle w:val="TableText0"/>
              <w:keepNext w:val="0"/>
              <w:keepLines w:val="0"/>
            </w:pPr>
            <w:r>
              <w:t>AND</w:t>
            </w:r>
          </w:p>
        </w:tc>
      </w:tr>
      <w:tr w:rsidR="00CE2E65" w:rsidRPr="0098262F" w14:paraId="31032397" w14:textId="77777777" w:rsidTr="35298142">
        <w:trPr>
          <w:cantSplit/>
          <w:trHeight w:val="20"/>
        </w:trPr>
        <w:tc>
          <w:tcPr>
            <w:tcW w:w="5000" w:type="pct"/>
            <w:vAlign w:val="center"/>
          </w:tcPr>
          <w:p w14:paraId="4365BCA7" w14:textId="77777777" w:rsidR="00CE2E65" w:rsidRDefault="00CE2E65" w:rsidP="000412A5">
            <w:pPr>
              <w:pStyle w:val="TableText0"/>
              <w:keepNext w:val="0"/>
              <w:keepLines w:val="0"/>
            </w:pPr>
            <w:r w:rsidRPr="00A53588">
              <w:t>The treatment must be given concomitantly with best supportive care for this condition</w:t>
            </w:r>
          </w:p>
        </w:tc>
      </w:tr>
      <w:tr w:rsidR="00CE2E65" w:rsidRPr="0098262F" w14:paraId="25713FF5" w14:textId="77777777" w:rsidTr="35298142">
        <w:trPr>
          <w:cantSplit/>
          <w:trHeight w:val="20"/>
        </w:trPr>
        <w:tc>
          <w:tcPr>
            <w:tcW w:w="5000" w:type="pct"/>
            <w:vAlign w:val="center"/>
            <w:hideMark/>
          </w:tcPr>
          <w:p w14:paraId="60793849" w14:textId="77777777" w:rsidR="00CE2E65" w:rsidRPr="0098262F" w:rsidRDefault="00CE2E65" w:rsidP="000412A5">
            <w:pPr>
              <w:pStyle w:val="TableText0"/>
              <w:keepNext w:val="0"/>
              <w:keepLines w:val="0"/>
            </w:pPr>
            <w:r w:rsidRPr="00A53588">
              <w:rPr>
                <w:b/>
                <w:bCs w:val="0"/>
              </w:rPr>
              <w:t>Treatment criteria</w:t>
            </w:r>
            <w:r w:rsidRPr="0098262F">
              <w:t>:</w:t>
            </w:r>
          </w:p>
        </w:tc>
      </w:tr>
      <w:tr w:rsidR="00CE2E65" w:rsidRPr="0098262F" w14:paraId="2CCE877E" w14:textId="77777777" w:rsidTr="35298142">
        <w:trPr>
          <w:cantSplit/>
          <w:trHeight w:val="20"/>
        </w:trPr>
        <w:tc>
          <w:tcPr>
            <w:tcW w:w="5000" w:type="pct"/>
            <w:vAlign w:val="center"/>
            <w:hideMark/>
          </w:tcPr>
          <w:p w14:paraId="04AF6204" w14:textId="77777777" w:rsidR="00CE2E65" w:rsidRDefault="00CE2E65" w:rsidP="000412A5">
            <w:pPr>
              <w:pStyle w:val="TableText0"/>
              <w:keepNext w:val="0"/>
              <w:keepLines w:val="0"/>
            </w:pPr>
            <w:r w:rsidRPr="35298142">
              <w:t>Patient must be under the management of a specialist with experience and expertise in the management of Friedreich's ataxia.</w:t>
            </w:r>
          </w:p>
          <w:p w14:paraId="574FD5EB" w14:textId="77777777" w:rsidR="00CE2E65" w:rsidRPr="0098262F" w:rsidRDefault="00CE2E65" w:rsidP="000412A5">
            <w:pPr>
              <w:pStyle w:val="TableText0"/>
              <w:keepNext w:val="0"/>
              <w:keepLines w:val="0"/>
              <w:rPr>
                <w:i/>
                <w:iCs/>
              </w:rPr>
            </w:pPr>
            <w:r w:rsidRPr="00A53588">
              <w:t>If attendance at such a unit is not possible because of geographical isolation, management (including prescribing) may be in consultation with such a unit</w:t>
            </w:r>
          </w:p>
        </w:tc>
      </w:tr>
      <w:tr w:rsidR="00CE2E65" w:rsidRPr="0098262F" w14:paraId="08A59039" w14:textId="77777777" w:rsidTr="35298142">
        <w:trPr>
          <w:cantSplit/>
          <w:trHeight w:val="20"/>
        </w:trPr>
        <w:tc>
          <w:tcPr>
            <w:tcW w:w="5000" w:type="pct"/>
            <w:vAlign w:val="center"/>
            <w:hideMark/>
          </w:tcPr>
          <w:p w14:paraId="0A30AE90" w14:textId="77777777" w:rsidR="00CE2E65" w:rsidRPr="00A53588" w:rsidRDefault="00CE2E65" w:rsidP="000412A5">
            <w:pPr>
              <w:pStyle w:val="TableText0"/>
              <w:keepNext w:val="0"/>
              <w:keepLines w:val="0"/>
              <w:rPr>
                <w:b/>
                <w:bCs w:val="0"/>
              </w:rPr>
            </w:pPr>
            <w:r w:rsidRPr="00A53588">
              <w:rPr>
                <w:b/>
                <w:bCs w:val="0"/>
              </w:rPr>
              <w:t>Population criteria:</w:t>
            </w:r>
          </w:p>
        </w:tc>
      </w:tr>
      <w:tr w:rsidR="00CE2E65" w:rsidRPr="0098262F" w14:paraId="1C81926E" w14:textId="77777777" w:rsidTr="35298142">
        <w:trPr>
          <w:cantSplit/>
          <w:trHeight w:val="20"/>
        </w:trPr>
        <w:tc>
          <w:tcPr>
            <w:tcW w:w="5000" w:type="pct"/>
            <w:vAlign w:val="center"/>
          </w:tcPr>
          <w:p w14:paraId="529AA03D" w14:textId="77777777" w:rsidR="00CE2E65" w:rsidRPr="00A53588" w:rsidRDefault="00CE2E65" w:rsidP="000412A5">
            <w:pPr>
              <w:pStyle w:val="TableText0"/>
              <w:keepNext w:val="0"/>
              <w:keepLines w:val="0"/>
              <w:rPr>
                <w:b/>
              </w:rPr>
            </w:pPr>
            <w:r w:rsidRPr="00A53588">
              <w:t>Patient must be 16 years of age or older.</w:t>
            </w:r>
          </w:p>
          <w:p w14:paraId="11023395" w14:textId="1678CEF0" w:rsidR="00CE2E65" w:rsidRPr="0098262F" w:rsidRDefault="00CE2E65" w:rsidP="000412A5">
            <w:pPr>
              <w:pStyle w:val="TableText0"/>
              <w:keepNext w:val="0"/>
              <w:keepLines w:val="0"/>
            </w:pPr>
            <w:r w:rsidRPr="35298142">
              <w:t xml:space="preserve">Patients with a history of clinically significant cardiac disease must show evidence that their disease is </w:t>
            </w:r>
            <w:r w:rsidR="00BB1EF2" w:rsidRPr="35298142">
              <w:t>hemodynamically</w:t>
            </w:r>
            <w:r w:rsidRPr="35298142">
              <w:t xml:space="preserve"> stable prior to initiating treatment (e.g. echocardiogram, electrocardiogram), records must be no more than 3 months old.</w:t>
            </w:r>
          </w:p>
        </w:tc>
      </w:tr>
      <w:tr w:rsidR="00CE2E65" w:rsidRPr="0098262F" w14:paraId="121316F9" w14:textId="77777777" w:rsidTr="35298142">
        <w:trPr>
          <w:cantSplit/>
          <w:trHeight w:val="20"/>
        </w:trPr>
        <w:tc>
          <w:tcPr>
            <w:tcW w:w="5000" w:type="pct"/>
            <w:vAlign w:val="center"/>
            <w:hideMark/>
          </w:tcPr>
          <w:p w14:paraId="31DB3B63" w14:textId="77777777" w:rsidR="00CE2E65" w:rsidRPr="00A53588" w:rsidRDefault="00CE2E65" w:rsidP="000412A5">
            <w:pPr>
              <w:pStyle w:val="TableText0"/>
              <w:keepNext w:val="0"/>
              <w:keepLines w:val="0"/>
            </w:pPr>
            <w:r w:rsidRPr="0098262F">
              <w:rPr>
                <w:b/>
              </w:rPr>
              <w:t>Prescribing Instructions:</w:t>
            </w:r>
          </w:p>
          <w:p w14:paraId="42820BFF" w14:textId="77777777" w:rsidR="00CE2E65" w:rsidRPr="0098262F" w:rsidRDefault="00CE2E65" w:rsidP="000412A5">
            <w:pPr>
              <w:pStyle w:val="TableText0"/>
              <w:keepNext w:val="0"/>
              <w:keepLines w:val="0"/>
            </w:pPr>
            <w:r w:rsidRPr="35298142">
              <w:t>Application for authorisation of initial treatment must be in writing (lodged via postal service or electronic upload) and must include a completed authority prescription form which includes the confirmation of genetic diagnosis of Friedreich’s ataxia</w:t>
            </w:r>
          </w:p>
        </w:tc>
      </w:tr>
      <w:tr w:rsidR="00CE2E65" w:rsidRPr="0098262F" w14:paraId="779AFCCB" w14:textId="77777777" w:rsidTr="35298142">
        <w:trPr>
          <w:cantSplit/>
          <w:trHeight w:val="20"/>
        </w:trPr>
        <w:tc>
          <w:tcPr>
            <w:tcW w:w="5000" w:type="pct"/>
            <w:vAlign w:val="center"/>
            <w:hideMark/>
          </w:tcPr>
          <w:p w14:paraId="01650010" w14:textId="77777777" w:rsidR="00CE2E65" w:rsidRPr="00A53588" w:rsidRDefault="00CE2E65" w:rsidP="000412A5">
            <w:pPr>
              <w:pStyle w:val="TableText0"/>
              <w:keepNext w:val="0"/>
              <w:keepLines w:val="0"/>
            </w:pPr>
            <w:r w:rsidRPr="0098262F">
              <w:rPr>
                <w:b/>
              </w:rPr>
              <w:t xml:space="preserve">Administrative Advice: </w:t>
            </w:r>
            <w:r w:rsidRPr="00A53588">
              <w:t>Any queries concerning the arrangements to prescribe may be directed to Services Australia on 1800 700 270 (hours of operation 8 a.m. to 5 p.m. Monday to Friday).</w:t>
            </w:r>
          </w:p>
          <w:p w14:paraId="1AC022BB" w14:textId="77777777" w:rsidR="00CE2E65" w:rsidRPr="00A53588" w:rsidRDefault="00CE2E65" w:rsidP="000412A5">
            <w:pPr>
              <w:pStyle w:val="TableText0"/>
              <w:keepNext w:val="0"/>
              <w:keepLines w:val="0"/>
            </w:pPr>
            <w:r w:rsidRPr="00A53588">
              <w:t>Prescribing information (including Authority Application forms and other relevant documentation as applicable) is available on the Services Australia website at www.servicesaustralia.gov.au</w:t>
            </w:r>
          </w:p>
          <w:p w14:paraId="58012D42" w14:textId="77777777" w:rsidR="00CE2E65" w:rsidRPr="00A53588" w:rsidRDefault="00CE2E65" w:rsidP="000412A5">
            <w:pPr>
              <w:pStyle w:val="TableText0"/>
              <w:keepNext w:val="0"/>
              <w:keepLines w:val="0"/>
            </w:pPr>
            <w:r w:rsidRPr="35298142">
              <w:t>Applications for authority to prescribe should be submitted online using the form upload facility in Health Professional Online Services (HPOS) at www.servicesaustralia.gov.au/hpos</w:t>
            </w:r>
          </w:p>
          <w:p w14:paraId="403233B3" w14:textId="77777777" w:rsidR="00CE2E65" w:rsidRPr="00A53588" w:rsidRDefault="00CE2E65" w:rsidP="000412A5">
            <w:pPr>
              <w:pStyle w:val="TableText0"/>
              <w:keepNext w:val="0"/>
              <w:keepLines w:val="0"/>
            </w:pPr>
            <w:r w:rsidRPr="00A53588">
              <w:t>Or mailed to:</w:t>
            </w:r>
          </w:p>
          <w:p w14:paraId="60F63FC7" w14:textId="77777777" w:rsidR="00CE2E65" w:rsidRPr="00A53588" w:rsidRDefault="00CE2E65" w:rsidP="000412A5">
            <w:pPr>
              <w:pStyle w:val="TableText0"/>
              <w:keepNext w:val="0"/>
              <w:keepLines w:val="0"/>
            </w:pPr>
            <w:r w:rsidRPr="00A53588">
              <w:t>Services Australia</w:t>
            </w:r>
          </w:p>
          <w:p w14:paraId="61F9A8C1" w14:textId="77777777" w:rsidR="00CE2E65" w:rsidRPr="00A53588" w:rsidRDefault="00CE2E65" w:rsidP="000412A5">
            <w:pPr>
              <w:pStyle w:val="TableText0"/>
              <w:keepNext w:val="0"/>
              <w:keepLines w:val="0"/>
            </w:pPr>
            <w:r w:rsidRPr="00A53588">
              <w:t>Complex Drugs</w:t>
            </w:r>
          </w:p>
          <w:p w14:paraId="41CBF0CB" w14:textId="77777777" w:rsidR="00CE2E65" w:rsidRPr="00A53588" w:rsidRDefault="00CE2E65" w:rsidP="000412A5">
            <w:pPr>
              <w:pStyle w:val="TableText0"/>
              <w:keepNext w:val="0"/>
              <w:keepLines w:val="0"/>
            </w:pPr>
            <w:r w:rsidRPr="00A53588">
              <w:t>Reply Paid 9826</w:t>
            </w:r>
          </w:p>
          <w:p w14:paraId="47E17F2D" w14:textId="77777777" w:rsidR="00CE2E65" w:rsidRPr="00A53588" w:rsidRDefault="00CE2E65" w:rsidP="000412A5">
            <w:pPr>
              <w:pStyle w:val="TableText0"/>
              <w:keepNext w:val="0"/>
              <w:keepLines w:val="0"/>
            </w:pPr>
            <w:r w:rsidRPr="00A53588">
              <w:t>HOBART TAS 7001</w:t>
            </w:r>
          </w:p>
          <w:p w14:paraId="30D8BC9D" w14:textId="77777777" w:rsidR="00CE2E65" w:rsidRPr="00A53588" w:rsidRDefault="00CE2E65" w:rsidP="000412A5">
            <w:pPr>
              <w:pStyle w:val="TableText0"/>
              <w:keepNext w:val="0"/>
              <w:keepLines w:val="0"/>
              <w:rPr>
                <w:b/>
                <w:u w:val="single"/>
              </w:rPr>
            </w:pPr>
            <w:r w:rsidRPr="00A53588">
              <w:rPr>
                <w:b/>
                <w:u w:val="single"/>
              </w:rPr>
              <w:t>Note</w:t>
            </w:r>
          </w:p>
          <w:p w14:paraId="05C88FA8" w14:textId="77777777" w:rsidR="00CE2E65" w:rsidRPr="00A53588" w:rsidRDefault="00CE2E65" w:rsidP="000412A5">
            <w:pPr>
              <w:pStyle w:val="TableText0"/>
              <w:keepNext w:val="0"/>
              <w:keepLines w:val="0"/>
            </w:pPr>
            <w:r w:rsidRPr="00A53588">
              <w:t>No increase in the maximum number of repeats may be authorised.</w:t>
            </w:r>
          </w:p>
          <w:p w14:paraId="7A3BD17B" w14:textId="77777777" w:rsidR="00CE2E65" w:rsidRPr="00A53588" w:rsidRDefault="00CE2E65" w:rsidP="000412A5">
            <w:pPr>
              <w:pStyle w:val="TableText0"/>
              <w:keepNext w:val="0"/>
              <w:keepLines w:val="0"/>
              <w:rPr>
                <w:b/>
                <w:u w:val="single"/>
              </w:rPr>
            </w:pPr>
            <w:r w:rsidRPr="00A53588" w:rsidDel="00910BAA">
              <w:rPr>
                <w:b/>
                <w:u w:val="single"/>
              </w:rPr>
              <w:t>Note</w:t>
            </w:r>
          </w:p>
          <w:p w14:paraId="63E05763" w14:textId="77777777" w:rsidR="00CE2E65" w:rsidRPr="00A53588" w:rsidRDefault="00CE2E65" w:rsidP="000412A5">
            <w:pPr>
              <w:pStyle w:val="TableText0"/>
              <w:keepNext w:val="0"/>
              <w:keepLines w:val="0"/>
            </w:pPr>
            <w:r w:rsidRPr="00A53588">
              <w:t>Clinically significant cardiac disease is defined as;</w:t>
            </w:r>
          </w:p>
          <w:p w14:paraId="30856CF9" w14:textId="77777777" w:rsidR="00CE2E65" w:rsidRPr="00A53588" w:rsidRDefault="00CE2E65" w:rsidP="000412A5">
            <w:pPr>
              <w:pStyle w:val="TableText0"/>
              <w:keepNext w:val="0"/>
              <w:keepLines w:val="0"/>
              <w:numPr>
                <w:ilvl w:val="0"/>
                <w:numId w:val="11"/>
              </w:numPr>
            </w:pPr>
            <w:r w:rsidRPr="35298142">
              <w:t>congenital or acquired valvular disease</w:t>
            </w:r>
          </w:p>
          <w:p w14:paraId="09B2578A" w14:textId="77777777" w:rsidR="00CE2E65" w:rsidRPr="00A53588" w:rsidRDefault="00CE2E65" w:rsidP="000412A5">
            <w:pPr>
              <w:pStyle w:val="TableText0"/>
              <w:keepNext w:val="0"/>
              <w:keepLines w:val="0"/>
              <w:numPr>
                <w:ilvl w:val="0"/>
                <w:numId w:val="11"/>
              </w:numPr>
            </w:pPr>
            <w:r w:rsidRPr="00A53588">
              <w:t>pericardial constriction</w:t>
            </w:r>
          </w:p>
          <w:p w14:paraId="19D4FCC3" w14:textId="77777777" w:rsidR="00CE2E65" w:rsidRPr="00A53588" w:rsidRDefault="00CE2E65" w:rsidP="000412A5">
            <w:pPr>
              <w:pStyle w:val="TableText0"/>
              <w:keepNext w:val="0"/>
              <w:keepLines w:val="0"/>
              <w:numPr>
                <w:ilvl w:val="0"/>
                <w:numId w:val="11"/>
              </w:numPr>
            </w:pPr>
            <w:r w:rsidRPr="00A53588">
              <w:t>restrictive or congestive cardiomyopathy</w:t>
            </w:r>
          </w:p>
          <w:p w14:paraId="1AF17E16" w14:textId="77777777" w:rsidR="00CE2E65" w:rsidRPr="00A53588" w:rsidRDefault="00CE2E65" w:rsidP="000412A5">
            <w:pPr>
              <w:pStyle w:val="TableText0"/>
              <w:keepNext w:val="0"/>
              <w:keepLines w:val="0"/>
              <w:numPr>
                <w:ilvl w:val="0"/>
                <w:numId w:val="11"/>
              </w:numPr>
            </w:pPr>
            <w:r w:rsidRPr="00A53588">
              <w:t>coronary disease (prior myocardial infarction, percutaneous coronary intervention, coronary artery bypass graft surgery, or angina)</w:t>
            </w:r>
          </w:p>
          <w:p w14:paraId="3D7EE324" w14:textId="77777777" w:rsidR="00CE2E65" w:rsidRPr="00A53588" w:rsidRDefault="00CE2E65" w:rsidP="000412A5">
            <w:pPr>
              <w:pStyle w:val="TableText0"/>
              <w:keepNext w:val="0"/>
              <w:keepLines w:val="0"/>
              <w:numPr>
                <w:ilvl w:val="0"/>
                <w:numId w:val="11"/>
              </w:numPr>
            </w:pPr>
            <w:r w:rsidRPr="00A53588">
              <w:t>hospitalisation for heart failure in the last five years</w:t>
            </w:r>
          </w:p>
          <w:p w14:paraId="47DCAB0D" w14:textId="77777777" w:rsidR="00CE2E65" w:rsidRPr="0098262F" w:rsidRDefault="00CE2E65" w:rsidP="000412A5">
            <w:pPr>
              <w:pStyle w:val="TableText0"/>
              <w:keepNext w:val="0"/>
              <w:keepLines w:val="0"/>
              <w:numPr>
                <w:ilvl w:val="0"/>
                <w:numId w:val="11"/>
              </w:numPr>
            </w:pPr>
            <w:r w:rsidRPr="00A53588">
              <w:t>atrial fibrillation or arrhythmia</w:t>
            </w:r>
          </w:p>
        </w:tc>
      </w:tr>
    </w:tbl>
    <w:p w14:paraId="0FE0E73E" w14:textId="77777777" w:rsidR="00CE2E65" w:rsidRPr="0013284E" w:rsidRDefault="00CE2E65" w:rsidP="00CE2E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Caption w:val="Requested listing"/>
      </w:tblPr>
      <w:tblGrid>
        <w:gridCol w:w="9017"/>
      </w:tblGrid>
      <w:tr w:rsidR="00CE2E65" w:rsidRPr="0098262F" w14:paraId="49170E21" w14:textId="77777777" w:rsidTr="35298142">
        <w:trPr>
          <w:cantSplit/>
          <w:trHeight w:val="20"/>
        </w:trPr>
        <w:tc>
          <w:tcPr>
            <w:tcW w:w="5000" w:type="pct"/>
          </w:tcPr>
          <w:p w14:paraId="127C640D" w14:textId="77777777" w:rsidR="00CE2E65" w:rsidRPr="0098262F" w:rsidRDefault="00CE2E65" w:rsidP="000412A5">
            <w:pPr>
              <w:pStyle w:val="TableText0"/>
              <w:keepNext w:val="0"/>
              <w:keepLines w:val="0"/>
            </w:pPr>
            <w:r w:rsidRPr="0098262F">
              <w:rPr>
                <w:b/>
              </w:rPr>
              <w:t xml:space="preserve">Category / Program: </w:t>
            </w:r>
            <w:r>
              <w:rPr>
                <w:bCs w:val="0"/>
              </w:rPr>
              <w:t xml:space="preserve">Section 85 - </w:t>
            </w:r>
            <w:r w:rsidRPr="0098262F">
              <w:t>General Schedule</w:t>
            </w:r>
          </w:p>
        </w:tc>
      </w:tr>
      <w:tr w:rsidR="00CE2E65" w:rsidRPr="0098262F" w14:paraId="6FCDACD5" w14:textId="77777777" w:rsidTr="35298142">
        <w:trPr>
          <w:cantSplit/>
          <w:trHeight w:val="20"/>
        </w:trPr>
        <w:tc>
          <w:tcPr>
            <w:tcW w:w="5000" w:type="pct"/>
          </w:tcPr>
          <w:p w14:paraId="1485E5CD" w14:textId="77777777" w:rsidR="00CE2E65" w:rsidRPr="0098262F" w:rsidRDefault="00CE2E65" w:rsidP="000412A5">
            <w:pPr>
              <w:pStyle w:val="TableText0"/>
              <w:keepNext w:val="0"/>
              <w:keepLines w:val="0"/>
              <w:rPr>
                <w:b/>
              </w:rPr>
            </w:pPr>
            <w:r w:rsidRPr="0098262F">
              <w:rPr>
                <w:b/>
              </w:rPr>
              <w:t xml:space="preserve">Prescriber type: </w:t>
            </w:r>
            <w:r w:rsidRPr="0098262F">
              <w:fldChar w:fldCharType="begin">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98262F">
              <w:t xml:space="preserve">Medical Practitioners </w:t>
            </w:r>
            <w:r w:rsidRPr="0098262F">
              <w:fldChar w:fldCharType="begin">
                <w:ffData>
                  <w:name w:val="Check3"/>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Nurse practitioners </w:t>
            </w:r>
            <w:r w:rsidRPr="0098262F">
              <w:fldChar w:fldCharType="begin">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CE2E65" w:rsidRPr="0098262F" w14:paraId="15C0DFA4" w14:textId="77777777" w:rsidTr="35298142">
        <w:trPr>
          <w:cantSplit/>
          <w:trHeight w:val="20"/>
        </w:trPr>
        <w:tc>
          <w:tcPr>
            <w:tcW w:w="5000" w:type="pct"/>
          </w:tcPr>
          <w:p w14:paraId="406C4C88" w14:textId="77777777" w:rsidR="00CE2E65" w:rsidRPr="0098262F" w:rsidRDefault="00CE2E65" w:rsidP="000412A5">
            <w:pPr>
              <w:pStyle w:val="TableText0"/>
              <w:keepNext w:val="0"/>
              <w:keepLines w:val="0"/>
            </w:pPr>
            <w:r w:rsidRPr="0098262F">
              <w:rPr>
                <w:b/>
              </w:rPr>
              <w:t xml:space="preserve">Restriction type: </w:t>
            </w:r>
            <w:r>
              <w:fldChar w:fldCharType="begin">
                <w:ffData>
                  <w:name w:val="Check3"/>
                  <w:enabled/>
                  <w:calcOnExit w:val="0"/>
                  <w:checkBox>
                    <w:sizeAuto/>
                    <w:default w:val="1"/>
                  </w:checkBox>
                </w:ffData>
              </w:fldChar>
            </w:r>
            <w:r>
              <w:instrText xml:space="preserve"> FORMCHECKBOX </w:instrText>
            </w:r>
            <w:r>
              <w:fldChar w:fldCharType="separate"/>
            </w:r>
            <w:r>
              <w:fldChar w:fldCharType="end"/>
            </w:r>
            <w:r w:rsidRPr="0098262F">
              <w:t>Authority Required (telephone/online PBS Authorities system)</w:t>
            </w:r>
          </w:p>
        </w:tc>
      </w:tr>
      <w:tr w:rsidR="00CE2E65" w:rsidRPr="0098262F" w14:paraId="5AF66417" w14:textId="77777777" w:rsidTr="35298142">
        <w:trPr>
          <w:cantSplit/>
          <w:trHeight w:val="20"/>
        </w:trPr>
        <w:tc>
          <w:tcPr>
            <w:tcW w:w="5000" w:type="pct"/>
            <w:vAlign w:val="center"/>
            <w:hideMark/>
          </w:tcPr>
          <w:p w14:paraId="23504F13" w14:textId="77777777" w:rsidR="00CE2E65" w:rsidRPr="0098262F" w:rsidRDefault="00CE2E65" w:rsidP="000412A5">
            <w:pPr>
              <w:pStyle w:val="TableText0"/>
              <w:keepNext w:val="0"/>
              <w:keepLines w:val="0"/>
            </w:pPr>
            <w:r w:rsidRPr="0098262F">
              <w:rPr>
                <w:b/>
              </w:rPr>
              <w:t>Indication:</w:t>
            </w:r>
            <w:r w:rsidRPr="0098262F">
              <w:t xml:space="preserve"> </w:t>
            </w:r>
            <w:r w:rsidRPr="00A53588">
              <w:t>Friedreich’s ataxia</w:t>
            </w:r>
          </w:p>
        </w:tc>
      </w:tr>
      <w:tr w:rsidR="00CE2E65" w:rsidRPr="0098262F" w14:paraId="4F1C9B75" w14:textId="77777777" w:rsidTr="35298142">
        <w:trPr>
          <w:cantSplit/>
          <w:trHeight w:val="20"/>
        </w:trPr>
        <w:tc>
          <w:tcPr>
            <w:tcW w:w="5000" w:type="pct"/>
            <w:vAlign w:val="center"/>
            <w:hideMark/>
          </w:tcPr>
          <w:p w14:paraId="396ABE8B" w14:textId="77777777" w:rsidR="00CE2E65" w:rsidRPr="0098262F" w:rsidRDefault="00CE2E65" w:rsidP="000412A5">
            <w:pPr>
              <w:pStyle w:val="TableText0"/>
              <w:keepNext w:val="0"/>
              <w:keepLines w:val="0"/>
            </w:pPr>
            <w:r w:rsidRPr="0098262F">
              <w:rPr>
                <w:b/>
              </w:rPr>
              <w:t>Treatment Phase:</w:t>
            </w:r>
            <w:r w:rsidRPr="0098262F">
              <w:t xml:space="preserve"> </w:t>
            </w:r>
            <w:r>
              <w:t>Continuing</w:t>
            </w:r>
            <w:r w:rsidRPr="00A53588">
              <w:t xml:space="preserve"> treatment of Friedreich’s ataxia</w:t>
            </w:r>
          </w:p>
        </w:tc>
      </w:tr>
      <w:tr w:rsidR="00CE2E65" w:rsidRPr="0098262F" w14:paraId="5B5A4EB2" w14:textId="77777777" w:rsidTr="35298142">
        <w:trPr>
          <w:cantSplit/>
          <w:trHeight w:val="20"/>
        </w:trPr>
        <w:tc>
          <w:tcPr>
            <w:tcW w:w="5000" w:type="pct"/>
            <w:vAlign w:val="center"/>
            <w:hideMark/>
          </w:tcPr>
          <w:p w14:paraId="1784C3DA" w14:textId="77777777" w:rsidR="00CE2E65" w:rsidRPr="00A53588" w:rsidRDefault="00CE2E65" w:rsidP="000412A5">
            <w:pPr>
              <w:pStyle w:val="TableText0"/>
              <w:keepNext w:val="0"/>
              <w:keepLines w:val="0"/>
              <w:rPr>
                <w:b/>
                <w:bCs w:val="0"/>
              </w:rPr>
            </w:pPr>
            <w:r w:rsidRPr="00A53588">
              <w:rPr>
                <w:b/>
                <w:bCs w:val="0"/>
              </w:rPr>
              <w:t>Clinical criteria:</w:t>
            </w:r>
          </w:p>
        </w:tc>
      </w:tr>
      <w:tr w:rsidR="00CE2E65" w:rsidRPr="0098262F" w14:paraId="707AD466" w14:textId="77777777" w:rsidTr="35298142">
        <w:trPr>
          <w:cantSplit/>
          <w:trHeight w:val="20"/>
        </w:trPr>
        <w:tc>
          <w:tcPr>
            <w:tcW w:w="5000" w:type="pct"/>
            <w:vAlign w:val="center"/>
            <w:hideMark/>
          </w:tcPr>
          <w:p w14:paraId="3289EDF6" w14:textId="77777777" w:rsidR="00CE2E65" w:rsidRPr="0098262F" w:rsidRDefault="00CE2E65" w:rsidP="000412A5">
            <w:pPr>
              <w:pStyle w:val="TableText0"/>
              <w:keepNext w:val="0"/>
              <w:keepLines w:val="0"/>
            </w:pPr>
            <w:r w:rsidRPr="0013284E">
              <w:t>Patient must have previously received PBS-subsidised treatment with this drug for this condition</w:t>
            </w:r>
          </w:p>
        </w:tc>
      </w:tr>
      <w:tr w:rsidR="00CE2E65" w:rsidRPr="0098262F" w14:paraId="51EB5183" w14:textId="77777777" w:rsidTr="35298142">
        <w:trPr>
          <w:cantSplit/>
          <w:trHeight w:val="20"/>
        </w:trPr>
        <w:tc>
          <w:tcPr>
            <w:tcW w:w="5000" w:type="pct"/>
            <w:vAlign w:val="center"/>
            <w:hideMark/>
          </w:tcPr>
          <w:p w14:paraId="33334BAF" w14:textId="77777777" w:rsidR="00CE2E65" w:rsidRPr="0098262F" w:rsidRDefault="00CE2E65" w:rsidP="000412A5">
            <w:pPr>
              <w:pStyle w:val="TableText0"/>
              <w:keepNext w:val="0"/>
              <w:keepLines w:val="0"/>
            </w:pPr>
            <w:r>
              <w:t>AND</w:t>
            </w:r>
          </w:p>
        </w:tc>
      </w:tr>
      <w:tr w:rsidR="00CE2E65" w:rsidRPr="0098262F" w14:paraId="47398D6A" w14:textId="77777777" w:rsidTr="35298142">
        <w:trPr>
          <w:cantSplit/>
          <w:trHeight w:val="20"/>
        </w:trPr>
        <w:tc>
          <w:tcPr>
            <w:tcW w:w="5000" w:type="pct"/>
            <w:vAlign w:val="center"/>
          </w:tcPr>
          <w:p w14:paraId="4BA2FFBB" w14:textId="77777777" w:rsidR="00CE2E65" w:rsidRDefault="00CE2E65" w:rsidP="000412A5">
            <w:pPr>
              <w:pStyle w:val="TableText0"/>
              <w:keepNext w:val="0"/>
              <w:keepLines w:val="0"/>
            </w:pPr>
            <w:r w:rsidRPr="00A53588">
              <w:t>The treatment must be given concomitantly with best supportive care for this condition</w:t>
            </w:r>
          </w:p>
        </w:tc>
      </w:tr>
      <w:tr w:rsidR="00CE2E65" w:rsidRPr="0098262F" w14:paraId="525124CF" w14:textId="77777777" w:rsidTr="35298142">
        <w:trPr>
          <w:cantSplit/>
          <w:trHeight w:val="20"/>
        </w:trPr>
        <w:tc>
          <w:tcPr>
            <w:tcW w:w="5000" w:type="pct"/>
            <w:vAlign w:val="center"/>
            <w:hideMark/>
          </w:tcPr>
          <w:p w14:paraId="05F2E53E" w14:textId="77777777" w:rsidR="00CE2E65" w:rsidRPr="0098262F" w:rsidRDefault="00CE2E65" w:rsidP="000412A5">
            <w:pPr>
              <w:pStyle w:val="TableText0"/>
              <w:keepNext w:val="0"/>
              <w:keepLines w:val="0"/>
            </w:pPr>
            <w:r w:rsidRPr="00A53588">
              <w:rPr>
                <w:b/>
                <w:bCs w:val="0"/>
              </w:rPr>
              <w:t>Treatment criteria</w:t>
            </w:r>
            <w:r w:rsidRPr="0098262F">
              <w:t>:</w:t>
            </w:r>
          </w:p>
        </w:tc>
      </w:tr>
      <w:tr w:rsidR="00CE2E65" w:rsidRPr="0098262F" w14:paraId="5AF08B06" w14:textId="77777777" w:rsidTr="35298142">
        <w:trPr>
          <w:cantSplit/>
          <w:trHeight w:val="20"/>
        </w:trPr>
        <w:tc>
          <w:tcPr>
            <w:tcW w:w="5000" w:type="pct"/>
            <w:vAlign w:val="center"/>
            <w:hideMark/>
          </w:tcPr>
          <w:p w14:paraId="0DFDF643" w14:textId="77777777" w:rsidR="00CE2E65" w:rsidRDefault="00CE2E65" w:rsidP="000412A5">
            <w:pPr>
              <w:pStyle w:val="TableText0"/>
              <w:keepNext w:val="0"/>
              <w:keepLines w:val="0"/>
            </w:pPr>
            <w:r w:rsidRPr="35298142">
              <w:t>Patient must be under the management of a specialist with experience and expertise in the management of Friedreich's ataxia.</w:t>
            </w:r>
          </w:p>
          <w:p w14:paraId="62DD32BE" w14:textId="77777777" w:rsidR="00CE2E65" w:rsidRPr="0098262F" w:rsidRDefault="00CE2E65" w:rsidP="000412A5">
            <w:pPr>
              <w:pStyle w:val="TableText0"/>
              <w:keepNext w:val="0"/>
              <w:keepLines w:val="0"/>
              <w:rPr>
                <w:i/>
                <w:iCs/>
              </w:rPr>
            </w:pPr>
            <w:r w:rsidRPr="00A53588">
              <w:t>If attendance at such a unit is not possible because of geographical isolation, management (including prescribing) may be in consultation with such a unit</w:t>
            </w:r>
          </w:p>
        </w:tc>
      </w:tr>
      <w:tr w:rsidR="00CE2E65" w:rsidRPr="0098262F" w14:paraId="2CB4ECBB" w14:textId="77777777" w:rsidTr="35298142">
        <w:trPr>
          <w:cantSplit/>
          <w:trHeight w:val="20"/>
        </w:trPr>
        <w:tc>
          <w:tcPr>
            <w:tcW w:w="5000" w:type="pct"/>
            <w:vAlign w:val="center"/>
            <w:hideMark/>
          </w:tcPr>
          <w:p w14:paraId="59124383" w14:textId="77777777" w:rsidR="00CE2E65" w:rsidRPr="00A53588" w:rsidRDefault="00CE2E65" w:rsidP="000412A5">
            <w:pPr>
              <w:pStyle w:val="TableText0"/>
              <w:keepNext w:val="0"/>
              <w:keepLines w:val="0"/>
              <w:rPr>
                <w:b/>
                <w:bCs w:val="0"/>
              </w:rPr>
            </w:pPr>
            <w:r w:rsidRPr="00A53588">
              <w:rPr>
                <w:b/>
                <w:bCs w:val="0"/>
              </w:rPr>
              <w:t>Population criteria:</w:t>
            </w:r>
          </w:p>
        </w:tc>
      </w:tr>
      <w:tr w:rsidR="00CE2E65" w:rsidRPr="0098262F" w14:paraId="18673EEC" w14:textId="77777777" w:rsidTr="35298142">
        <w:trPr>
          <w:cantSplit/>
          <w:trHeight w:val="20"/>
        </w:trPr>
        <w:tc>
          <w:tcPr>
            <w:tcW w:w="5000" w:type="pct"/>
            <w:vAlign w:val="center"/>
          </w:tcPr>
          <w:p w14:paraId="33EA8A3E" w14:textId="77777777" w:rsidR="00CE2E65" w:rsidRPr="00A53588" w:rsidRDefault="00CE2E65" w:rsidP="000412A5">
            <w:pPr>
              <w:pStyle w:val="TableText0"/>
              <w:keepNext w:val="0"/>
              <w:keepLines w:val="0"/>
              <w:rPr>
                <w:b/>
              </w:rPr>
            </w:pPr>
            <w:r w:rsidRPr="00A53588">
              <w:t>Patient must be 16 years of age or older.</w:t>
            </w:r>
          </w:p>
          <w:p w14:paraId="47C62ADD" w14:textId="77777777" w:rsidR="00CE2E65" w:rsidRPr="0098262F" w:rsidRDefault="00CE2E65" w:rsidP="000412A5">
            <w:pPr>
              <w:pStyle w:val="TableText0"/>
              <w:keepNext w:val="0"/>
              <w:keepLines w:val="0"/>
            </w:pPr>
            <w:r w:rsidRPr="35298142">
              <w:t xml:space="preserve">Patients with a history of clinically significant cardiac disease must show evidence that their disease is </w:t>
            </w:r>
            <w:proofErr w:type="spellStart"/>
            <w:r w:rsidRPr="35298142">
              <w:t>haemodynamically</w:t>
            </w:r>
            <w:proofErr w:type="spellEnd"/>
            <w:r w:rsidRPr="35298142">
              <w:t xml:space="preserve"> stable prior to initiating treatment (e.g. echocardiogram, electrocardiogram), records must be no more than 12 months old.</w:t>
            </w:r>
          </w:p>
        </w:tc>
      </w:tr>
      <w:tr w:rsidR="00CE2E65" w:rsidRPr="0098262F" w14:paraId="3EB484D0" w14:textId="77777777" w:rsidTr="35298142">
        <w:trPr>
          <w:cantSplit/>
          <w:trHeight w:val="20"/>
        </w:trPr>
        <w:tc>
          <w:tcPr>
            <w:tcW w:w="5000" w:type="pct"/>
            <w:vAlign w:val="center"/>
            <w:hideMark/>
          </w:tcPr>
          <w:p w14:paraId="4BE5A705" w14:textId="77777777" w:rsidR="00CE2E65" w:rsidRPr="00A53588" w:rsidRDefault="00CE2E65" w:rsidP="000412A5">
            <w:pPr>
              <w:pStyle w:val="TableText0"/>
              <w:keepNext w:val="0"/>
              <w:keepLines w:val="0"/>
            </w:pPr>
            <w:r w:rsidRPr="0098262F">
              <w:rPr>
                <w:b/>
              </w:rPr>
              <w:t xml:space="preserve">Administrative Advice: </w:t>
            </w:r>
            <w:r w:rsidRPr="00A53588">
              <w:t>Any queries concerning the arrangements to prescribe may be directed to Services Australia on 1800 700 270 (hours of operation 8 a.m. to 5 p.m. Monday to Friday).</w:t>
            </w:r>
          </w:p>
          <w:p w14:paraId="44454900" w14:textId="77777777" w:rsidR="00CE2E65" w:rsidRPr="00A53588" w:rsidRDefault="00CE2E65" w:rsidP="000412A5">
            <w:pPr>
              <w:pStyle w:val="TableText0"/>
              <w:keepNext w:val="0"/>
              <w:keepLines w:val="0"/>
            </w:pPr>
            <w:r w:rsidRPr="00A53588">
              <w:t>Prescribing information (including Authority Application forms and other relevant documentation as applicable) is available on the Services Australia website at www.servicesaustralia.gov.au</w:t>
            </w:r>
          </w:p>
          <w:p w14:paraId="310E6B34" w14:textId="77777777" w:rsidR="00CE2E65" w:rsidRPr="00A53588" w:rsidRDefault="00CE2E65" w:rsidP="000412A5">
            <w:pPr>
              <w:pStyle w:val="TableText0"/>
              <w:keepNext w:val="0"/>
              <w:keepLines w:val="0"/>
            </w:pPr>
            <w:r w:rsidRPr="35298142">
              <w:t>Applications for authority to prescribe should be submitted online using the form upload facility in Health Professional Online Services (HPOS) at www.servicesaustralia.gov.au/hpos</w:t>
            </w:r>
          </w:p>
          <w:p w14:paraId="11337A71" w14:textId="77777777" w:rsidR="00CE2E65" w:rsidRPr="00A53588" w:rsidRDefault="00CE2E65" w:rsidP="000412A5">
            <w:pPr>
              <w:pStyle w:val="TableText0"/>
              <w:keepNext w:val="0"/>
              <w:keepLines w:val="0"/>
            </w:pPr>
            <w:r w:rsidRPr="00A53588">
              <w:t>Or mailed to:</w:t>
            </w:r>
          </w:p>
          <w:p w14:paraId="7EECFEA3" w14:textId="77777777" w:rsidR="00CE2E65" w:rsidRPr="00A53588" w:rsidRDefault="00CE2E65" w:rsidP="000412A5">
            <w:pPr>
              <w:pStyle w:val="TableText0"/>
              <w:keepNext w:val="0"/>
              <w:keepLines w:val="0"/>
            </w:pPr>
            <w:r w:rsidRPr="00A53588">
              <w:t>Services Australia</w:t>
            </w:r>
          </w:p>
          <w:p w14:paraId="64F1BF41" w14:textId="77777777" w:rsidR="00CE2E65" w:rsidRPr="00A53588" w:rsidRDefault="00CE2E65" w:rsidP="000412A5">
            <w:pPr>
              <w:pStyle w:val="TableText0"/>
              <w:keepNext w:val="0"/>
              <w:keepLines w:val="0"/>
            </w:pPr>
            <w:r w:rsidRPr="00A53588">
              <w:t>Complex Drugs</w:t>
            </w:r>
          </w:p>
          <w:p w14:paraId="29430D30" w14:textId="77777777" w:rsidR="00CE2E65" w:rsidRPr="00A53588" w:rsidRDefault="00CE2E65" w:rsidP="000412A5">
            <w:pPr>
              <w:pStyle w:val="TableText0"/>
              <w:keepNext w:val="0"/>
              <w:keepLines w:val="0"/>
            </w:pPr>
            <w:r w:rsidRPr="00A53588">
              <w:t>Reply Paid 9826</w:t>
            </w:r>
          </w:p>
          <w:p w14:paraId="0C5DA57C" w14:textId="77777777" w:rsidR="00CE2E65" w:rsidRPr="00A53588" w:rsidRDefault="00CE2E65" w:rsidP="000412A5">
            <w:pPr>
              <w:pStyle w:val="TableText0"/>
              <w:keepNext w:val="0"/>
              <w:keepLines w:val="0"/>
            </w:pPr>
            <w:r w:rsidRPr="00A53588">
              <w:t>HOBART TAS 7001</w:t>
            </w:r>
          </w:p>
          <w:p w14:paraId="7FA23E9D" w14:textId="77777777" w:rsidR="00CE2E65" w:rsidRPr="00A53588" w:rsidRDefault="00CE2E65" w:rsidP="000412A5">
            <w:pPr>
              <w:pStyle w:val="TableText0"/>
              <w:keepNext w:val="0"/>
              <w:keepLines w:val="0"/>
              <w:rPr>
                <w:b/>
                <w:u w:val="single"/>
              </w:rPr>
            </w:pPr>
            <w:r w:rsidRPr="00A53588">
              <w:rPr>
                <w:b/>
                <w:u w:val="single"/>
              </w:rPr>
              <w:t>Note</w:t>
            </w:r>
          </w:p>
          <w:p w14:paraId="0E491290" w14:textId="77777777" w:rsidR="00CE2E65" w:rsidRPr="00A53588" w:rsidRDefault="00CE2E65" w:rsidP="000412A5">
            <w:pPr>
              <w:pStyle w:val="TableText0"/>
              <w:keepNext w:val="0"/>
              <w:keepLines w:val="0"/>
            </w:pPr>
            <w:r w:rsidRPr="00A53588">
              <w:t>No increase in the maximum number of repeats may be authorised.</w:t>
            </w:r>
          </w:p>
          <w:p w14:paraId="2459C5CD" w14:textId="77777777" w:rsidR="00CE2E65" w:rsidRPr="00A53588" w:rsidRDefault="00CE2E65" w:rsidP="000412A5">
            <w:pPr>
              <w:pStyle w:val="TableText0"/>
              <w:keepNext w:val="0"/>
              <w:keepLines w:val="0"/>
              <w:rPr>
                <w:b/>
                <w:u w:val="single"/>
              </w:rPr>
            </w:pPr>
            <w:r w:rsidRPr="00A53588" w:rsidDel="00910BAA">
              <w:rPr>
                <w:b/>
                <w:u w:val="single"/>
              </w:rPr>
              <w:t>Note</w:t>
            </w:r>
          </w:p>
          <w:p w14:paraId="230618C0" w14:textId="77777777" w:rsidR="00CE2E65" w:rsidRPr="00A53588" w:rsidRDefault="00CE2E65" w:rsidP="000412A5">
            <w:pPr>
              <w:pStyle w:val="TableText0"/>
              <w:keepNext w:val="0"/>
              <w:keepLines w:val="0"/>
            </w:pPr>
            <w:r w:rsidRPr="00A53588">
              <w:t>Clinically significant cardiac disease is defined as;</w:t>
            </w:r>
          </w:p>
          <w:p w14:paraId="3BF037F8" w14:textId="77777777" w:rsidR="00CE2E65" w:rsidRPr="00A53588" w:rsidRDefault="00CE2E65" w:rsidP="000412A5">
            <w:pPr>
              <w:pStyle w:val="TableText0"/>
              <w:keepNext w:val="0"/>
              <w:keepLines w:val="0"/>
              <w:numPr>
                <w:ilvl w:val="0"/>
                <w:numId w:val="12"/>
              </w:numPr>
            </w:pPr>
            <w:r w:rsidRPr="35298142">
              <w:t>congenital or acquired valvular disease</w:t>
            </w:r>
          </w:p>
          <w:p w14:paraId="09A0041B" w14:textId="77777777" w:rsidR="00CE2E65" w:rsidRPr="00A53588" w:rsidRDefault="00CE2E65" w:rsidP="000412A5">
            <w:pPr>
              <w:pStyle w:val="TableText0"/>
              <w:keepNext w:val="0"/>
              <w:keepLines w:val="0"/>
              <w:numPr>
                <w:ilvl w:val="0"/>
                <w:numId w:val="12"/>
              </w:numPr>
            </w:pPr>
            <w:r w:rsidRPr="00A53588">
              <w:t>pericardial constriction</w:t>
            </w:r>
          </w:p>
          <w:p w14:paraId="5ACA3F92" w14:textId="77777777" w:rsidR="00CE2E65" w:rsidRPr="00A53588" w:rsidRDefault="00CE2E65" w:rsidP="000412A5">
            <w:pPr>
              <w:pStyle w:val="TableText0"/>
              <w:keepNext w:val="0"/>
              <w:keepLines w:val="0"/>
              <w:numPr>
                <w:ilvl w:val="0"/>
                <w:numId w:val="12"/>
              </w:numPr>
            </w:pPr>
            <w:r w:rsidRPr="00A53588">
              <w:t>restrictive or congestive cardiomyopathy</w:t>
            </w:r>
          </w:p>
          <w:p w14:paraId="1BF5B3FC" w14:textId="77777777" w:rsidR="00CE2E65" w:rsidRPr="00A53588" w:rsidRDefault="00CE2E65" w:rsidP="000412A5">
            <w:pPr>
              <w:pStyle w:val="TableText0"/>
              <w:keepNext w:val="0"/>
              <w:keepLines w:val="0"/>
              <w:numPr>
                <w:ilvl w:val="0"/>
                <w:numId w:val="12"/>
              </w:numPr>
            </w:pPr>
            <w:r w:rsidRPr="00A53588">
              <w:t>coronary disease (prior myocardial infarction, percutaneous coronary intervention, coronary artery bypass graft surgery, or angina)</w:t>
            </w:r>
          </w:p>
          <w:p w14:paraId="3C068C42" w14:textId="77777777" w:rsidR="00CE2E65" w:rsidRPr="00A53588" w:rsidRDefault="00CE2E65" w:rsidP="000412A5">
            <w:pPr>
              <w:pStyle w:val="TableText0"/>
              <w:keepNext w:val="0"/>
              <w:keepLines w:val="0"/>
              <w:numPr>
                <w:ilvl w:val="0"/>
                <w:numId w:val="12"/>
              </w:numPr>
            </w:pPr>
            <w:r w:rsidRPr="00A53588">
              <w:t>hospitalisation for heart failure in the last five years</w:t>
            </w:r>
          </w:p>
          <w:p w14:paraId="623FA547" w14:textId="77777777" w:rsidR="00CE2E65" w:rsidRPr="0098262F" w:rsidRDefault="00CE2E65" w:rsidP="000412A5">
            <w:pPr>
              <w:pStyle w:val="TableText0"/>
              <w:keepNext w:val="0"/>
              <w:keepLines w:val="0"/>
              <w:numPr>
                <w:ilvl w:val="0"/>
                <w:numId w:val="12"/>
              </w:numPr>
            </w:pPr>
            <w:r w:rsidRPr="00A53588">
              <w:t>atrial fibrillation or arrhythmia</w:t>
            </w:r>
          </w:p>
        </w:tc>
      </w:tr>
    </w:tbl>
    <w:p w14:paraId="2E57E83F" w14:textId="77777777" w:rsidR="00CE2E65" w:rsidRDefault="00CE2E65" w:rsidP="00CE2E65">
      <w:pPr>
        <w:pStyle w:val="FooterTableFigure"/>
      </w:pPr>
      <w:r w:rsidRPr="0098262F">
        <w:t>Source: Table</w:t>
      </w:r>
      <w:r>
        <w:t xml:space="preserve">s1.6- 1.9, pp41-50 </w:t>
      </w:r>
      <w:r w:rsidRPr="0098262F">
        <w:t>of the submission.</w:t>
      </w:r>
    </w:p>
    <w:p w14:paraId="7D7573B4" w14:textId="77777777" w:rsidR="00CE2E65" w:rsidRPr="0098262F" w:rsidRDefault="00CE2E65" w:rsidP="00CE2E65">
      <w:pPr>
        <w:pStyle w:val="FooterTableFigure"/>
      </w:pPr>
      <w:r w:rsidRPr="00697B65">
        <w:t>AEMP=approved ex-manufacturer price; DPMQ=dispensed price for maximum quantit</w:t>
      </w:r>
      <w:r>
        <w:t>y</w:t>
      </w:r>
      <w:r w:rsidRPr="0098262F">
        <w:t xml:space="preserve"> </w:t>
      </w:r>
    </w:p>
    <w:p w14:paraId="5A9B9C55" w14:textId="19DF932F" w:rsidR="00CE2E65" w:rsidRPr="00E66E2A" w:rsidRDefault="00FA19C7" w:rsidP="00CE2E65">
      <w:pPr>
        <w:pStyle w:val="3-BodyText"/>
      </w:pPr>
      <w:r>
        <w:t>Although t</w:t>
      </w:r>
      <w:r w:rsidR="0023628D" w:rsidRPr="00E66E2A">
        <w:t xml:space="preserve">he </w:t>
      </w:r>
      <w:r w:rsidR="00C97FDC">
        <w:t xml:space="preserve">submission </w:t>
      </w:r>
      <w:r>
        <w:t xml:space="preserve">requested a </w:t>
      </w:r>
      <w:r w:rsidR="0023628D" w:rsidRPr="00E66E2A">
        <w:t>special pricing arrangement (SPA)</w:t>
      </w:r>
      <w:r>
        <w:t xml:space="preserve">, no effective price was proposed in the </w:t>
      </w:r>
      <w:r w:rsidR="00B96A4A">
        <w:t>submission. Instead, the submission stated that the SPA</w:t>
      </w:r>
      <w:r w:rsidR="0023628D" w:rsidRPr="00E66E2A">
        <w:t xml:space="preserve"> at the time of PBS listing would be informed by feedback and discussion on the proposed PBS restrictions, clinical evidence and cost-effectiveness. </w:t>
      </w:r>
      <w:r w:rsidR="00CE2E65" w:rsidRPr="00E66E2A">
        <w:t xml:space="preserve">The submission noted there are no registered treatments for FA, the unmet need in FA is high, and </w:t>
      </w:r>
      <w:r w:rsidR="00C31CCA" w:rsidRPr="00E66E2A">
        <w:t xml:space="preserve">acknowledged that </w:t>
      </w:r>
      <w:r w:rsidR="00CE2E65" w:rsidRPr="00E66E2A">
        <w:t xml:space="preserve">incremental cost-effectiveness ratios </w:t>
      </w:r>
      <w:r w:rsidR="009A216F" w:rsidRPr="00E66E2A">
        <w:t xml:space="preserve">(ICERs) </w:t>
      </w:r>
      <w:r w:rsidR="00CE2E65" w:rsidRPr="00E66E2A">
        <w:t xml:space="preserve">in the submission </w:t>
      </w:r>
      <w:r w:rsidR="00B96A4A">
        <w:t>we</w:t>
      </w:r>
      <w:r w:rsidR="00B96A4A" w:rsidRPr="00E66E2A">
        <w:t xml:space="preserve">re </w:t>
      </w:r>
      <w:r w:rsidR="00CE2E65" w:rsidRPr="00E66E2A">
        <w:t xml:space="preserve">high, which </w:t>
      </w:r>
      <w:r w:rsidR="00C31CCA" w:rsidRPr="00E66E2A">
        <w:t xml:space="preserve">the submission considered </w:t>
      </w:r>
      <w:r w:rsidR="00B96A4A">
        <w:t>wa</w:t>
      </w:r>
      <w:r w:rsidR="00B96A4A" w:rsidRPr="00E66E2A">
        <w:t xml:space="preserve">s </w:t>
      </w:r>
      <w:r w:rsidR="00CE2E65" w:rsidRPr="00E66E2A">
        <w:t xml:space="preserve">expected in rare diseases with a high clinical need. </w:t>
      </w:r>
    </w:p>
    <w:p w14:paraId="1EC96064" w14:textId="77777777" w:rsidR="00CE2E65" w:rsidRPr="00E66E2A" w:rsidRDefault="00CE2E65" w:rsidP="00CE2E65">
      <w:pPr>
        <w:pStyle w:val="3-BodyText"/>
      </w:pPr>
      <w:r w:rsidRPr="00E66E2A">
        <w:t>The proposed restriction requires all patients to have a confirmed genetic diagnosis of a mutation in the frataxin (FXN) gene. This is consistent with the clinical trial which required patients to have ‘genetically confirmed FA’. Genetic testing is funded by the states and territories through public hospital clinics or via the Medicare Benefits Schedule (MBS) item 73434 (i.e., gene variants associated with neuromuscular disorders including the FXN gene).</w:t>
      </w:r>
    </w:p>
    <w:p w14:paraId="5D923930" w14:textId="54EB6C3A" w:rsidR="006D1DC5" w:rsidRPr="006D1DC5" w:rsidRDefault="00CE2E65" w:rsidP="006D1DC5">
      <w:pPr>
        <w:pStyle w:val="3-BodyText"/>
      </w:pPr>
      <w:r w:rsidRPr="00E66E2A">
        <w:t>The proposed restriction is for FA patients aged 16 years and older which is in line with the requested TGA indication. The submission did not propose an upper age limit</w:t>
      </w:r>
      <w:r w:rsidR="00F06F46">
        <w:t xml:space="preserve">; however, this did not align with the </w:t>
      </w:r>
      <w:r w:rsidRPr="00E66E2A">
        <w:t xml:space="preserve">key </w:t>
      </w:r>
      <w:proofErr w:type="spellStart"/>
      <w:r w:rsidRPr="00E66E2A">
        <w:t>MOXIe</w:t>
      </w:r>
      <w:proofErr w:type="spellEnd"/>
      <w:r w:rsidRPr="00E66E2A">
        <w:t xml:space="preserve"> Part 2 trial </w:t>
      </w:r>
      <w:r w:rsidR="00E36D7F">
        <w:t>which only included patients up to 40 years of age</w:t>
      </w:r>
      <w:r w:rsidR="00767675">
        <w:t>. The submission</w:t>
      </w:r>
      <w:r w:rsidR="00C31CCA" w:rsidRPr="00E66E2A">
        <w:t xml:space="preserve"> stat</w:t>
      </w:r>
      <w:r w:rsidR="00767675">
        <w:t>ed that</w:t>
      </w:r>
      <w:r w:rsidR="00C31CCA" w:rsidRPr="00E66E2A">
        <w:t xml:space="preserve"> this would cause </w:t>
      </w:r>
      <w:r w:rsidRPr="00E66E2A">
        <w:t>inequity of access</w:t>
      </w:r>
      <w:r w:rsidR="007463B1" w:rsidRPr="00E66E2A">
        <w:t>, and it was</w:t>
      </w:r>
      <w:r w:rsidRPr="00E66E2A">
        <w:t xml:space="preserve"> a small population.</w:t>
      </w:r>
      <w:r w:rsidR="003301F6" w:rsidRPr="00E66E2A">
        <w:t xml:space="preserve">  Australian data in </w:t>
      </w:r>
      <w:r w:rsidRPr="00E66E2A">
        <w:fldChar w:fldCharType="begin"/>
      </w:r>
      <w:r w:rsidRPr="00E66E2A">
        <w:instrText xml:space="preserve"> REF _Ref187051691 \h  \* MERGEFORMAT </w:instrText>
      </w:r>
      <w:r w:rsidRPr="00E66E2A">
        <w:fldChar w:fldCharType="separate"/>
      </w:r>
      <w:r w:rsidR="003A4643" w:rsidRPr="006128A4">
        <w:t xml:space="preserve">Table </w:t>
      </w:r>
      <w:r w:rsidR="003A4643">
        <w:rPr>
          <w:noProof/>
        </w:rPr>
        <w:t>2</w:t>
      </w:r>
      <w:r w:rsidRPr="00E66E2A">
        <w:fldChar w:fldCharType="end"/>
      </w:r>
      <w:r w:rsidR="003301F6" w:rsidRPr="00E66E2A">
        <w:t xml:space="preserve"> below suggest approximately 20% of patients are above 40 years of age.</w:t>
      </w:r>
      <w:r w:rsidR="00E550AA" w:rsidRPr="00E66E2A">
        <w:t xml:space="preserve"> </w:t>
      </w:r>
      <w:r w:rsidR="00353BF3" w:rsidRPr="00E66E2A">
        <w:t xml:space="preserve">The ESC advised that it may be appropriate to </w:t>
      </w:r>
      <w:r w:rsidR="00A27DBD" w:rsidRPr="00E66E2A">
        <w:t xml:space="preserve">restrict the use of </w:t>
      </w:r>
      <w:proofErr w:type="spellStart"/>
      <w:r w:rsidR="00A27DBD" w:rsidRPr="00E66E2A">
        <w:t>omaveloxolone</w:t>
      </w:r>
      <w:proofErr w:type="spellEnd"/>
      <w:r w:rsidR="00A27DBD" w:rsidRPr="00E66E2A">
        <w:t xml:space="preserve"> to patients </w:t>
      </w:r>
      <w:r w:rsidR="00464893" w:rsidRPr="00E66E2A">
        <w:t xml:space="preserve">diagnosed </w:t>
      </w:r>
      <w:r w:rsidR="005D72E6" w:rsidRPr="00E66E2A">
        <w:t xml:space="preserve">before the age of </w:t>
      </w:r>
      <w:r w:rsidR="00A27DBD" w:rsidRPr="00E66E2A">
        <w:t>40 years</w:t>
      </w:r>
      <w:r w:rsidR="00FC74AE" w:rsidRPr="00E66E2A">
        <w:t xml:space="preserve"> </w:t>
      </w:r>
      <w:r w:rsidR="00E00A33" w:rsidRPr="00E66E2A">
        <w:t xml:space="preserve">inclusive </w:t>
      </w:r>
      <w:r w:rsidR="00B816CE" w:rsidRPr="00E66E2A">
        <w:t>given patients over 40 years of age were excluded from the trial</w:t>
      </w:r>
      <w:r w:rsidR="006F1979" w:rsidRPr="00E66E2A">
        <w:t xml:space="preserve"> and </w:t>
      </w:r>
      <w:r w:rsidR="00D975B7" w:rsidRPr="00E66E2A">
        <w:t xml:space="preserve">as very late onset FA </w:t>
      </w:r>
      <w:r w:rsidR="00105E03" w:rsidRPr="00E66E2A">
        <w:t>ha</w:t>
      </w:r>
      <w:r w:rsidR="00524AEF" w:rsidRPr="00E66E2A">
        <w:t>s</w:t>
      </w:r>
      <w:r w:rsidR="00105E03" w:rsidRPr="00E66E2A">
        <w:t xml:space="preserve"> a </w:t>
      </w:r>
      <w:r w:rsidR="00725130" w:rsidRPr="00E66E2A">
        <w:t>different disease course</w:t>
      </w:r>
      <w:r w:rsidR="00366802" w:rsidRPr="00E66E2A">
        <w:t xml:space="preserve"> </w:t>
      </w:r>
      <w:r w:rsidR="00B71437" w:rsidRPr="00E66E2A">
        <w:t xml:space="preserve">compared </w:t>
      </w:r>
      <w:r w:rsidR="00366802" w:rsidRPr="00E66E2A">
        <w:t>to classical FA</w:t>
      </w:r>
      <w:r w:rsidR="00B71437" w:rsidRPr="00E66E2A">
        <w:t>, which</w:t>
      </w:r>
      <w:r w:rsidR="00812B07" w:rsidRPr="00E66E2A">
        <w:t xml:space="preserve"> has an onset during childhood and</w:t>
      </w:r>
      <w:r w:rsidR="00B71437" w:rsidRPr="00E66E2A">
        <w:t xml:space="preserve"> is the focus of </w:t>
      </w:r>
      <w:r w:rsidR="00366802" w:rsidRPr="00E66E2A">
        <w:t>this submission</w:t>
      </w:r>
      <w:r w:rsidR="00BC516D" w:rsidRPr="00E66E2A">
        <w:t>.</w:t>
      </w:r>
      <w:r w:rsidR="00B04F2E">
        <w:t xml:space="preserve"> </w:t>
      </w:r>
      <w:r w:rsidR="006D1DC5">
        <w:t>T</w:t>
      </w:r>
      <w:r w:rsidR="006D1DC5" w:rsidRPr="006D1DC5">
        <w:t>he</w:t>
      </w:r>
      <w:r w:rsidR="006D1DC5">
        <w:t xml:space="preserve"> pre-PBAC response</w:t>
      </w:r>
      <w:r w:rsidR="00DF12CE">
        <w:t xml:space="preserve"> stated </w:t>
      </w:r>
      <w:r w:rsidR="00FC7877">
        <w:t xml:space="preserve">late onset disease is very rare and although </w:t>
      </w:r>
      <w:r w:rsidR="00DF12CE">
        <w:t xml:space="preserve">that the </w:t>
      </w:r>
      <w:r w:rsidR="006D1DC5" w:rsidRPr="006D1DC5">
        <w:t xml:space="preserve">pathogenesis of late onset disease (reduction in frataxin and impaired Nrf2 signalling) </w:t>
      </w:r>
      <w:r w:rsidR="00DF12CE">
        <w:t>was</w:t>
      </w:r>
      <w:r w:rsidR="006D1DC5" w:rsidRPr="006D1DC5">
        <w:t xml:space="preserve"> the same </w:t>
      </w:r>
      <w:r w:rsidR="00DF12CE">
        <w:t xml:space="preserve">as </w:t>
      </w:r>
      <w:r w:rsidR="006D1DC5" w:rsidRPr="006D1DC5">
        <w:t xml:space="preserve">in </w:t>
      </w:r>
      <w:r w:rsidR="00DF12CE">
        <w:t xml:space="preserve">patients </w:t>
      </w:r>
      <w:r w:rsidR="006D1DC5" w:rsidRPr="006D1DC5">
        <w:t>with an earlier onset</w:t>
      </w:r>
      <w:r w:rsidR="00FC7877">
        <w:t>, t</w:t>
      </w:r>
      <w:r w:rsidR="006D1DC5" w:rsidRPr="006D1DC5">
        <w:t xml:space="preserve">he time to diagnosis is impacted by initial misdiagnosis. </w:t>
      </w:r>
      <w:r w:rsidR="00FC7877">
        <w:t xml:space="preserve">Further, the pre-PBAC response stated that </w:t>
      </w:r>
      <w:r w:rsidR="00575F65">
        <w:t>d</w:t>
      </w:r>
      <w:r w:rsidR="006D1DC5" w:rsidRPr="006D1DC5">
        <w:t xml:space="preserve">etermining retrospectively when </w:t>
      </w:r>
      <w:r w:rsidR="00575F65">
        <w:t xml:space="preserve">a patient was </w:t>
      </w:r>
      <w:r w:rsidR="006D1DC5" w:rsidRPr="006D1DC5">
        <w:t>diagnosed based on historical records can be challenging</w:t>
      </w:r>
      <w:r w:rsidR="00575F65">
        <w:t>,</w:t>
      </w:r>
      <w:r w:rsidR="006D1DC5" w:rsidRPr="006D1DC5">
        <w:t xml:space="preserve"> as medical records from earlier decades may be incomplete</w:t>
      </w:r>
      <w:r w:rsidR="00575F65">
        <w:t>.</w:t>
      </w:r>
      <w:r w:rsidR="006D1DC5" w:rsidRPr="006D1DC5">
        <w:t xml:space="preserve"> </w:t>
      </w:r>
    </w:p>
    <w:p w14:paraId="0C4F940C" w14:textId="7E2A268C" w:rsidR="00CE2E65" w:rsidRPr="00E66E2A" w:rsidRDefault="00CE2E65" w:rsidP="00CE2E65">
      <w:pPr>
        <w:pStyle w:val="3-BodyText"/>
      </w:pPr>
      <w:r w:rsidRPr="00E66E2A">
        <w:t xml:space="preserve">The submission </w:t>
      </w:r>
      <w:r w:rsidR="007463B1" w:rsidRPr="00E66E2A">
        <w:t xml:space="preserve">noted </w:t>
      </w:r>
      <w:r w:rsidR="009E591A" w:rsidRPr="00E66E2A">
        <w:t>a</w:t>
      </w:r>
      <w:r w:rsidRPr="00E66E2A">
        <w:t xml:space="preserve"> clinical trial </w:t>
      </w:r>
      <w:r w:rsidR="007463B1" w:rsidRPr="00E66E2A">
        <w:t xml:space="preserve">is underway in </w:t>
      </w:r>
      <w:r w:rsidRPr="00E66E2A">
        <w:t xml:space="preserve">children with FA to evaluate the pharmacology, efficacy, and safety of </w:t>
      </w:r>
      <w:proofErr w:type="spellStart"/>
      <w:r w:rsidRPr="00E66E2A">
        <w:t>omaveloxolone</w:t>
      </w:r>
      <w:proofErr w:type="spellEnd"/>
      <w:r w:rsidRPr="00E66E2A">
        <w:t xml:space="preserve"> in FA patients ≥2 to &lt;16 years of age (NCT06054893).</w:t>
      </w:r>
    </w:p>
    <w:p w14:paraId="63EF597D" w14:textId="7E1C5C45" w:rsidR="00CE2E65" w:rsidRPr="00E66E2A" w:rsidRDefault="00CE2E65" w:rsidP="00CE2E65">
      <w:pPr>
        <w:pStyle w:val="3-BodyText"/>
      </w:pPr>
      <w:r w:rsidRPr="00E66E2A">
        <w:t>The submission did not propose a modified Friedreich’s ataxia rating scale (</w:t>
      </w:r>
      <w:proofErr w:type="spellStart"/>
      <w:r w:rsidRPr="00E66E2A">
        <w:t>mFARS</w:t>
      </w:r>
      <w:proofErr w:type="spellEnd"/>
      <w:r w:rsidRPr="00E66E2A">
        <w:t xml:space="preserve">) range in the requested restriction. This was a key eligibility criterion in the </w:t>
      </w:r>
      <w:proofErr w:type="spellStart"/>
      <w:r w:rsidRPr="00E66E2A">
        <w:t>MOXIe</w:t>
      </w:r>
      <w:proofErr w:type="spellEnd"/>
      <w:r w:rsidRPr="00E66E2A">
        <w:t xml:space="preserve"> Part 2 trial (</w:t>
      </w:r>
      <w:proofErr w:type="spellStart"/>
      <w:r w:rsidRPr="00E66E2A">
        <w:t>mFARS</w:t>
      </w:r>
      <w:proofErr w:type="spellEnd"/>
      <w:r w:rsidRPr="00E66E2A">
        <w:t xml:space="preserve"> ≥ 20 and ≤ 80). The </w:t>
      </w:r>
      <w:proofErr w:type="spellStart"/>
      <w:r w:rsidRPr="00E66E2A">
        <w:t>mFARS</w:t>
      </w:r>
      <w:proofErr w:type="spellEnd"/>
      <w:r w:rsidRPr="00E66E2A">
        <w:t xml:space="preserve"> range of 20 to 80 captures a range of FA disease severity (</w:t>
      </w:r>
      <w:proofErr w:type="spellStart"/>
      <w:r w:rsidRPr="00E66E2A">
        <w:t>mFARS</w:t>
      </w:r>
      <w:proofErr w:type="spellEnd"/>
      <w:r w:rsidRPr="00E66E2A">
        <w:t xml:space="preserve"> of 20 reflective of mild severity at the time of presentation, and an </w:t>
      </w:r>
      <w:proofErr w:type="spellStart"/>
      <w:r w:rsidRPr="00E66E2A">
        <w:t>mFARS</w:t>
      </w:r>
      <w:proofErr w:type="spellEnd"/>
      <w:r w:rsidRPr="00E66E2A">
        <w:t xml:space="preserve"> of 80 reflective of more severe disease). The submission</w:t>
      </w:r>
      <w:r w:rsidR="003E3542">
        <w:t xml:space="preserve">, </w:t>
      </w:r>
      <w:r w:rsidR="007F2F44" w:rsidRPr="007F2F44">
        <w:t>Pre-Sub-Committee Response</w:t>
      </w:r>
      <w:r w:rsidR="007F2F44">
        <w:t xml:space="preserve"> (</w:t>
      </w:r>
      <w:r w:rsidR="00336969" w:rsidRPr="00E66E2A">
        <w:t>PSCR</w:t>
      </w:r>
      <w:r w:rsidR="00387722">
        <w:t xml:space="preserve">) </w:t>
      </w:r>
      <w:r w:rsidR="003E3542">
        <w:t>and pre-PBAC response</w:t>
      </w:r>
      <w:r w:rsidR="00336969" w:rsidRPr="00E66E2A">
        <w:t xml:space="preserve"> </w:t>
      </w:r>
      <w:r w:rsidRPr="00E66E2A">
        <w:t xml:space="preserve">argued that </w:t>
      </w:r>
      <w:proofErr w:type="spellStart"/>
      <w:r w:rsidRPr="00E66E2A">
        <w:t>mFARS</w:t>
      </w:r>
      <w:proofErr w:type="spellEnd"/>
      <w:r w:rsidRPr="00E66E2A">
        <w:t xml:space="preserve"> was designed for use in clinical studies rather than in clinical practice, and that the results from the supportive </w:t>
      </w:r>
      <w:proofErr w:type="spellStart"/>
      <w:r w:rsidRPr="00E66E2A">
        <w:t>MOXIe</w:t>
      </w:r>
      <w:proofErr w:type="spellEnd"/>
      <w:r w:rsidRPr="00E66E2A">
        <w:t xml:space="preserve"> Part 1 study ‘support’ the efficacy of </w:t>
      </w:r>
      <w:proofErr w:type="spellStart"/>
      <w:r w:rsidRPr="00E66E2A">
        <w:t>omaveloxolone</w:t>
      </w:r>
      <w:proofErr w:type="spellEnd"/>
      <w:r w:rsidRPr="00E66E2A">
        <w:t xml:space="preserve"> in a population with an </w:t>
      </w:r>
      <w:proofErr w:type="spellStart"/>
      <w:r w:rsidRPr="00E66E2A">
        <w:t>mFARS</w:t>
      </w:r>
      <w:proofErr w:type="spellEnd"/>
      <w:r w:rsidRPr="00E66E2A">
        <w:t xml:space="preserve"> score &lt; 20.</w:t>
      </w:r>
      <w:r w:rsidR="00D63BE7" w:rsidRPr="00E66E2A">
        <w:t xml:space="preserve"> The PSCR </w:t>
      </w:r>
      <w:r w:rsidR="003E3542">
        <w:t xml:space="preserve">and pre-PBAC response </w:t>
      </w:r>
      <w:r w:rsidR="00D63BE7" w:rsidRPr="00E66E2A">
        <w:t xml:space="preserve">stated that </w:t>
      </w:r>
      <w:r w:rsidR="008F6266" w:rsidRPr="00E66E2A">
        <w:t xml:space="preserve">most patients present with symptoms consistent with a </w:t>
      </w:r>
      <w:proofErr w:type="spellStart"/>
      <w:r w:rsidR="008F6266" w:rsidRPr="00E66E2A">
        <w:t>mFARS</w:t>
      </w:r>
      <w:proofErr w:type="spellEnd"/>
      <w:r w:rsidR="008F6266" w:rsidRPr="00E66E2A">
        <w:t xml:space="preserve"> score ≥ </w:t>
      </w:r>
      <w:r w:rsidR="00C346C2" w:rsidRPr="00E66E2A">
        <w:t>20 at</w:t>
      </w:r>
      <w:r w:rsidR="008F6266" w:rsidRPr="00E66E2A">
        <w:t xml:space="preserve"> diagnosis as the process is </w:t>
      </w:r>
      <w:r w:rsidR="0082432E" w:rsidRPr="00E66E2A">
        <w:t>long (typically 24 months or 6.7 years for a non-neurological presentation)</w:t>
      </w:r>
      <w:r w:rsidR="0082432E" w:rsidRPr="00E66E2A">
        <w:rPr>
          <w:rStyle w:val="FootnoteReference"/>
        </w:rPr>
        <w:footnoteReference w:id="2"/>
      </w:r>
      <w:r w:rsidR="00336969" w:rsidRPr="00E66E2A">
        <w:t xml:space="preserve">, but that </w:t>
      </w:r>
      <w:r w:rsidR="00641AF3" w:rsidRPr="00E66E2A">
        <w:t xml:space="preserve">if a minimum </w:t>
      </w:r>
      <w:proofErr w:type="spellStart"/>
      <w:r w:rsidR="00641AF3" w:rsidRPr="00E66E2A">
        <w:t>mFARS</w:t>
      </w:r>
      <w:proofErr w:type="spellEnd"/>
      <w:r w:rsidR="00641AF3" w:rsidRPr="00E66E2A">
        <w:t xml:space="preserve"> was implemented in the PBS restriction, it would den</w:t>
      </w:r>
      <w:r w:rsidR="00FF061B" w:rsidRPr="00E66E2A">
        <w:t>y or delay treatment in approximately 4.6% to 6.3% of the FA population.</w:t>
      </w:r>
    </w:p>
    <w:p w14:paraId="67DCC521" w14:textId="418242A8" w:rsidR="00EF245C" w:rsidRPr="00E66E2A" w:rsidRDefault="00BD7CA5" w:rsidP="35298142">
      <w:pPr>
        <w:pStyle w:val="3-BodyText"/>
        <w:rPr>
          <w:color w:val="0066FF"/>
        </w:rPr>
      </w:pPr>
      <w:r w:rsidRPr="00E66E2A">
        <w:t>A</w:t>
      </w:r>
      <w:r w:rsidR="00CE2E65" w:rsidRPr="00E66E2A">
        <w:t xml:space="preserve">dditional severity criteria (such as </w:t>
      </w:r>
      <w:proofErr w:type="spellStart"/>
      <w:r w:rsidR="00CE2E65" w:rsidRPr="00E66E2A">
        <w:t>mFARS</w:t>
      </w:r>
      <w:proofErr w:type="spellEnd"/>
      <w:r w:rsidR="00CE2E65" w:rsidRPr="00E66E2A">
        <w:t xml:space="preserve"> score) relating to more detailed FA symptoms/levels of disability </w:t>
      </w:r>
      <w:r w:rsidR="00EF245C" w:rsidRPr="00E66E2A">
        <w:t>would more closely</w:t>
      </w:r>
      <w:r w:rsidR="00CE2E65" w:rsidRPr="00E66E2A">
        <w:t xml:space="preserve"> reflect the eligibility criteria in the key </w:t>
      </w:r>
      <w:proofErr w:type="spellStart"/>
      <w:r w:rsidR="00CE2E65" w:rsidRPr="00E66E2A">
        <w:t>MOXIe</w:t>
      </w:r>
      <w:proofErr w:type="spellEnd"/>
      <w:r w:rsidR="00CE2E65" w:rsidRPr="00E66E2A">
        <w:t xml:space="preserve"> Part 2 trial. A criterion that remains silent with respect to </w:t>
      </w:r>
      <w:proofErr w:type="spellStart"/>
      <w:r w:rsidR="00CE2E65" w:rsidRPr="00E66E2A">
        <w:t>mFARS</w:t>
      </w:r>
      <w:proofErr w:type="spellEnd"/>
      <w:r w:rsidR="00CE2E65" w:rsidRPr="00E66E2A">
        <w:t xml:space="preserve"> may be pragmatic in providing flexibility to patients and doctors when discussing treatment options. However, this would need to be weighed against the lack of evidence of efficacy and safety in some FA patients that would not have been eligible to enrol in the key trial. </w:t>
      </w:r>
      <w:r w:rsidR="00EF245C" w:rsidRPr="00E66E2A">
        <w:t>Further, p</w:t>
      </w:r>
      <w:r w:rsidR="00CE2E65" w:rsidRPr="00E66E2A">
        <w:t xml:space="preserve">atients with less severe disease may be unnecessarily exposed to additional toxicity with minimal or no meaningful clinical benefit from a </w:t>
      </w:r>
      <w:r w:rsidR="007E1ECD" w:rsidRPr="00E66E2A">
        <w:t>high-cost</w:t>
      </w:r>
      <w:r w:rsidR="00CE2E65" w:rsidRPr="00E66E2A">
        <w:t xml:space="preserve"> drug.</w:t>
      </w:r>
      <w:r w:rsidR="00793C44" w:rsidRPr="00E66E2A">
        <w:t xml:space="preserve"> </w:t>
      </w:r>
    </w:p>
    <w:p w14:paraId="39ED584D" w14:textId="3D440212" w:rsidR="00CE2E65" w:rsidRPr="00E66E2A" w:rsidRDefault="00EF245C" w:rsidP="35298142">
      <w:pPr>
        <w:pStyle w:val="3-BodyText"/>
        <w:rPr>
          <w:color w:val="0066FF"/>
        </w:rPr>
      </w:pPr>
      <w:r w:rsidRPr="00E66E2A">
        <w:t>Overall, t</w:t>
      </w:r>
      <w:r w:rsidR="00793C44" w:rsidRPr="00E66E2A">
        <w:t xml:space="preserve">he ESC </w:t>
      </w:r>
      <w:r w:rsidRPr="00E66E2A">
        <w:t>considered that</w:t>
      </w:r>
      <w:r w:rsidR="00F47D7D" w:rsidRPr="00E66E2A">
        <w:t xml:space="preserve"> it would be appropriate to </w:t>
      </w:r>
      <w:r w:rsidR="00F53D52" w:rsidRPr="00E66E2A">
        <w:t>include</w:t>
      </w:r>
      <w:r w:rsidR="00E00A33" w:rsidRPr="00E66E2A">
        <w:t xml:space="preserve"> a criterion stating that </w:t>
      </w:r>
      <w:r w:rsidR="00F51951" w:rsidRPr="00E66E2A">
        <w:t>‘</w:t>
      </w:r>
      <w:r w:rsidR="00E00A33" w:rsidRPr="00E66E2A">
        <w:t>Patient must have a</w:t>
      </w:r>
      <w:r w:rsidR="00F53D52" w:rsidRPr="00E66E2A">
        <w:t xml:space="preserve"> </w:t>
      </w:r>
      <w:proofErr w:type="spellStart"/>
      <w:r w:rsidR="00F67510" w:rsidRPr="00E66E2A">
        <w:t>mFAR</w:t>
      </w:r>
      <w:r w:rsidR="00F51951" w:rsidRPr="00E66E2A">
        <w:t>S</w:t>
      </w:r>
      <w:proofErr w:type="spellEnd"/>
      <w:r w:rsidR="00F51951" w:rsidRPr="00E66E2A">
        <w:t xml:space="preserve"> rating scale between 20 and 80’</w:t>
      </w:r>
      <w:r w:rsidR="00F67510" w:rsidRPr="00E66E2A">
        <w:t xml:space="preserve"> in the restriction</w:t>
      </w:r>
      <w:r w:rsidR="00C67E39" w:rsidRPr="00E66E2A">
        <w:t xml:space="preserve"> to be consistent with the</w:t>
      </w:r>
      <w:r w:rsidR="00F67510" w:rsidRPr="00E66E2A">
        <w:t xml:space="preserve"> </w:t>
      </w:r>
      <w:r w:rsidR="00C67E39" w:rsidRPr="00E66E2A">
        <w:t xml:space="preserve">eligibility criterion in the </w:t>
      </w:r>
      <w:proofErr w:type="spellStart"/>
      <w:r w:rsidR="00C67E39" w:rsidRPr="00E66E2A">
        <w:t>MOXIe</w:t>
      </w:r>
      <w:proofErr w:type="spellEnd"/>
      <w:r w:rsidR="00C67E39" w:rsidRPr="00E66E2A">
        <w:t xml:space="preserve"> Part 2 trial.</w:t>
      </w:r>
      <w:r w:rsidR="00EF2673">
        <w:t xml:space="preserve"> The DUSC</w:t>
      </w:r>
      <w:r w:rsidR="00D80074">
        <w:t xml:space="preserve"> </w:t>
      </w:r>
      <w:r w:rsidR="00937214">
        <w:t xml:space="preserve">considered that </w:t>
      </w:r>
      <w:r w:rsidR="00B04B5C">
        <w:t xml:space="preserve">another option would be to include </w:t>
      </w:r>
      <w:r w:rsidR="00937214">
        <w:t>additional</w:t>
      </w:r>
      <w:r w:rsidR="00B04B5C">
        <w:t xml:space="preserve"> </w:t>
      </w:r>
      <w:r w:rsidR="00937214">
        <w:t xml:space="preserve">criteria that described the severity of </w:t>
      </w:r>
      <w:r w:rsidR="009E3F69">
        <w:t>FA</w:t>
      </w:r>
      <w:r w:rsidR="007E1ECD">
        <w:t>,</w:t>
      </w:r>
      <w:r w:rsidR="009E3F69">
        <w:t xml:space="preserve"> </w:t>
      </w:r>
      <w:r w:rsidR="00836C11">
        <w:t xml:space="preserve">and which </w:t>
      </w:r>
      <w:r w:rsidR="009E3F69">
        <w:t>better align</w:t>
      </w:r>
      <w:r w:rsidR="00836C11">
        <w:t>ed</w:t>
      </w:r>
      <w:r w:rsidR="009E3F69">
        <w:t xml:space="preserve"> the proposed restriction with the eligibility criteria of the </w:t>
      </w:r>
      <w:proofErr w:type="spellStart"/>
      <w:r w:rsidR="009E3F69">
        <w:t>MOX</w:t>
      </w:r>
      <w:r w:rsidR="00A0050D">
        <w:t>Ie</w:t>
      </w:r>
      <w:proofErr w:type="spellEnd"/>
      <w:r w:rsidR="00A0050D">
        <w:t xml:space="preserve"> Part 2 tria</w:t>
      </w:r>
      <w:r w:rsidR="00A90B9A">
        <w:t>l</w:t>
      </w:r>
      <w:r w:rsidR="00251CF7">
        <w:t>.</w:t>
      </w:r>
      <w:r w:rsidR="00182E3A">
        <w:t xml:space="preserve"> </w:t>
      </w:r>
    </w:p>
    <w:p w14:paraId="61614987" w14:textId="0D58C353" w:rsidR="00CE2E65" w:rsidRPr="00E66E2A" w:rsidRDefault="00CE2E65" w:rsidP="00CE2E65">
      <w:pPr>
        <w:pStyle w:val="3-BodyText"/>
      </w:pPr>
      <w:r w:rsidRPr="00E66E2A">
        <w:t xml:space="preserve">The requested restriction requires evidence that patients with clinically significant cardiac disease are hemodynamically stable prior to initiating treatment with </w:t>
      </w:r>
      <w:proofErr w:type="spellStart"/>
      <w:r w:rsidRPr="00E66E2A">
        <w:t>omaveloxolone</w:t>
      </w:r>
      <w:proofErr w:type="spellEnd"/>
      <w:r w:rsidRPr="00E66E2A">
        <w:t>, with records no older than 3 months. The submission intends that the requirement for such evidence of stable cardiac disease remains in the treatment continuation listing</w:t>
      </w:r>
      <w:r w:rsidR="00251CF7">
        <w:t xml:space="preserve"> and </w:t>
      </w:r>
      <w:r w:rsidRPr="00E66E2A">
        <w:t xml:space="preserve"> that the evidence needs to be no older than 12 months. This ensures that continuation is not exclusionary and inflexible.</w:t>
      </w:r>
    </w:p>
    <w:p w14:paraId="6C4EABCA" w14:textId="736A4387" w:rsidR="00CE2E65" w:rsidRPr="00E66E2A" w:rsidRDefault="00CE2E65" w:rsidP="00CE2E65">
      <w:pPr>
        <w:pStyle w:val="3-BodyText"/>
      </w:pPr>
      <w:r w:rsidRPr="00E66E2A">
        <w:rPr>
          <w:lang w:val="en-GB"/>
        </w:rPr>
        <w:t xml:space="preserve">The submission did not propose restricting treatment with </w:t>
      </w:r>
      <w:proofErr w:type="spellStart"/>
      <w:r w:rsidRPr="00E66E2A">
        <w:rPr>
          <w:lang w:val="en-GB"/>
        </w:rPr>
        <w:t>omaveloxolone</w:t>
      </w:r>
      <w:proofErr w:type="spellEnd"/>
      <w:r w:rsidRPr="00E66E2A">
        <w:rPr>
          <w:lang w:val="en-GB"/>
        </w:rPr>
        <w:t xml:space="preserve"> by pes </w:t>
      </w:r>
      <w:proofErr w:type="spellStart"/>
      <w:r w:rsidRPr="00E66E2A">
        <w:rPr>
          <w:lang w:val="en-GB"/>
        </w:rPr>
        <w:t>cavus</w:t>
      </w:r>
      <w:proofErr w:type="spellEnd"/>
      <w:r w:rsidRPr="00E66E2A">
        <w:rPr>
          <w:lang w:val="en-GB"/>
        </w:rPr>
        <w:t xml:space="preserve"> status. The submission argued that pes </w:t>
      </w:r>
      <w:proofErr w:type="spellStart"/>
      <w:r w:rsidRPr="00E66E2A">
        <w:rPr>
          <w:lang w:val="en-GB"/>
        </w:rPr>
        <w:t>cavus</w:t>
      </w:r>
      <w:proofErr w:type="spellEnd"/>
      <w:r w:rsidRPr="00E66E2A">
        <w:rPr>
          <w:lang w:val="en-GB"/>
        </w:rPr>
        <w:t xml:space="preserve"> makes performing some aspects of the </w:t>
      </w:r>
      <w:proofErr w:type="spellStart"/>
      <w:r w:rsidRPr="00E66E2A">
        <w:rPr>
          <w:lang w:val="en-GB"/>
        </w:rPr>
        <w:t>mFARS</w:t>
      </w:r>
      <w:proofErr w:type="spellEnd"/>
      <w:r w:rsidRPr="00E66E2A">
        <w:rPr>
          <w:lang w:val="en-GB"/>
        </w:rPr>
        <w:t xml:space="preserve"> challenging as two of the four subsections of </w:t>
      </w:r>
      <w:proofErr w:type="spellStart"/>
      <w:r w:rsidRPr="00E66E2A">
        <w:rPr>
          <w:lang w:val="en-GB"/>
        </w:rPr>
        <w:t>mFARS</w:t>
      </w:r>
      <w:proofErr w:type="spellEnd"/>
      <w:r w:rsidRPr="00E66E2A">
        <w:rPr>
          <w:lang w:val="en-GB"/>
        </w:rPr>
        <w:t xml:space="preserve"> include assessments of lower limb coordination and upright stability. However, the primary full analysis set (FAS) was based on patients without pes </w:t>
      </w:r>
      <w:proofErr w:type="spellStart"/>
      <w:r w:rsidRPr="00E66E2A">
        <w:rPr>
          <w:lang w:val="en-GB"/>
        </w:rPr>
        <w:t>cavus</w:t>
      </w:r>
      <w:proofErr w:type="spellEnd"/>
      <w:r w:rsidRPr="00E66E2A">
        <w:rPr>
          <w:lang w:val="en-GB"/>
        </w:rPr>
        <w:t xml:space="preserve">. Furthermore, recognising the small patient numbers with pes </w:t>
      </w:r>
      <w:proofErr w:type="spellStart"/>
      <w:r w:rsidRPr="00E66E2A">
        <w:rPr>
          <w:lang w:val="en-GB"/>
        </w:rPr>
        <w:t>cavus</w:t>
      </w:r>
      <w:proofErr w:type="spellEnd"/>
      <w:r w:rsidRPr="00E66E2A">
        <w:rPr>
          <w:lang w:val="en-GB"/>
        </w:rPr>
        <w:t xml:space="preserve"> (</w:t>
      </w:r>
      <w:r w:rsidR="00644CB6" w:rsidRPr="00E66E2A">
        <w:rPr>
          <w:lang w:val="en-GB"/>
        </w:rPr>
        <w:t>n</w:t>
      </w:r>
      <w:r w:rsidRPr="00E66E2A">
        <w:rPr>
          <w:lang w:val="en-GB"/>
        </w:rPr>
        <w:t xml:space="preserve">=20), subgroup analyses indicated there was no significant improvement with </w:t>
      </w:r>
      <w:proofErr w:type="spellStart"/>
      <w:r w:rsidRPr="00E66E2A">
        <w:rPr>
          <w:lang w:val="en-GB"/>
        </w:rPr>
        <w:t>omaveloxolone</w:t>
      </w:r>
      <w:proofErr w:type="spellEnd"/>
      <w:r w:rsidRPr="00E66E2A">
        <w:rPr>
          <w:lang w:val="en-GB"/>
        </w:rPr>
        <w:t xml:space="preserve"> in patients with pes </w:t>
      </w:r>
      <w:proofErr w:type="spellStart"/>
      <w:r w:rsidRPr="00E66E2A">
        <w:rPr>
          <w:lang w:val="en-GB"/>
        </w:rPr>
        <w:t>cavus</w:t>
      </w:r>
      <w:proofErr w:type="spellEnd"/>
      <w:r w:rsidRPr="00E66E2A">
        <w:rPr>
          <w:lang w:val="en-GB"/>
        </w:rPr>
        <w:t xml:space="preserve"> (refer to efficacy section further below).</w:t>
      </w:r>
      <w:r w:rsidR="00D578F7" w:rsidRPr="00E66E2A">
        <w:rPr>
          <w:lang w:val="en-GB"/>
        </w:rPr>
        <w:t xml:space="preserve"> The ESC </w:t>
      </w:r>
      <w:r w:rsidR="00653D90" w:rsidRPr="00E66E2A">
        <w:rPr>
          <w:lang w:val="en-GB"/>
        </w:rPr>
        <w:t xml:space="preserve">considered that </w:t>
      </w:r>
      <w:r w:rsidR="007A1BDF" w:rsidRPr="00E66E2A">
        <w:rPr>
          <w:lang w:val="en-GB"/>
        </w:rPr>
        <w:t xml:space="preserve">the restriction should not specify </w:t>
      </w:r>
      <w:r w:rsidR="00D578F7" w:rsidRPr="00E66E2A">
        <w:rPr>
          <w:lang w:val="en-GB"/>
        </w:rPr>
        <w:t xml:space="preserve">pes </w:t>
      </w:r>
      <w:proofErr w:type="spellStart"/>
      <w:r w:rsidR="00D578F7" w:rsidRPr="00E66E2A">
        <w:rPr>
          <w:lang w:val="en-GB"/>
        </w:rPr>
        <w:t>cavus</w:t>
      </w:r>
      <w:proofErr w:type="spellEnd"/>
      <w:r w:rsidR="00D578F7" w:rsidRPr="00E66E2A">
        <w:rPr>
          <w:lang w:val="en-GB"/>
        </w:rPr>
        <w:t xml:space="preserve"> status.</w:t>
      </w:r>
    </w:p>
    <w:p w14:paraId="39030E56" w14:textId="0AA8B7C7" w:rsidR="004534BB" w:rsidRPr="00E66E2A" w:rsidRDefault="00CE2E65" w:rsidP="004534BB">
      <w:pPr>
        <w:pStyle w:val="3-BodyText"/>
      </w:pPr>
      <w:r w:rsidRPr="00E66E2A">
        <w:t xml:space="preserve">The submission noted that no specific continuation </w:t>
      </w:r>
      <w:r w:rsidR="001E7A18" w:rsidRPr="00E66E2A">
        <w:t xml:space="preserve">or stopping </w:t>
      </w:r>
      <w:r w:rsidRPr="00E66E2A">
        <w:t>criteria based on treatment response were proposed. The arguments presented in the submission included i)</w:t>
      </w:r>
      <w:r w:rsidR="00803EB9" w:rsidRPr="00E66E2A">
        <w:t> </w:t>
      </w:r>
      <w:proofErr w:type="spellStart"/>
      <w:r w:rsidRPr="00E66E2A">
        <w:t>mFARS</w:t>
      </w:r>
      <w:proofErr w:type="spellEnd"/>
      <w:r w:rsidRPr="00E66E2A">
        <w:t xml:space="preserve"> was not designed for use in clinical practice, ii) the </w:t>
      </w:r>
      <w:proofErr w:type="spellStart"/>
      <w:r w:rsidRPr="00E66E2A">
        <w:t>mFARS</w:t>
      </w:r>
      <w:proofErr w:type="spellEnd"/>
      <w:r w:rsidRPr="00E66E2A">
        <w:t xml:space="preserve"> overall score is a sum of 5 subscales and changes in </w:t>
      </w:r>
      <w:proofErr w:type="spellStart"/>
      <w:r w:rsidRPr="00E66E2A">
        <w:t>mFARS</w:t>
      </w:r>
      <w:proofErr w:type="spellEnd"/>
      <w:r w:rsidRPr="00E66E2A">
        <w:t xml:space="preserve"> scores have different impacts on different people, and iii) the decision to permanently discontinue treatment with </w:t>
      </w:r>
      <w:proofErr w:type="spellStart"/>
      <w:r w:rsidRPr="00E66E2A">
        <w:t>omaveloxolone</w:t>
      </w:r>
      <w:proofErr w:type="spellEnd"/>
      <w:r w:rsidRPr="00E66E2A">
        <w:t xml:space="preserve"> for a particular patient needs to be taken in consultation between the patient and the treating physician.</w:t>
      </w:r>
      <w:r w:rsidR="00AF264B" w:rsidRPr="00E66E2A">
        <w:t xml:space="preserve"> </w:t>
      </w:r>
      <w:r w:rsidR="004534BB" w:rsidRPr="00E66E2A">
        <w:t xml:space="preserve">The ESC considered that it would be appropriate to include a </w:t>
      </w:r>
      <w:r w:rsidR="000B3071" w:rsidRPr="00E66E2A">
        <w:t xml:space="preserve">continuing </w:t>
      </w:r>
      <w:r w:rsidR="004534BB" w:rsidRPr="00E66E2A">
        <w:t xml:space="preserve">criterion </w:t>
      </w:r>
      <w:r w:rsidR="00F51951" w:rsidRPr="00E66E2A">
        <w:t>which stated that “Patient must continue to demonstrate clinical benefit</w:t>
      </w:r>
      <w:r w:rsidR="000B3071" w:rsidRPr="00E66E2A">
        <w:t xml:space="preserve">’. </w:t>
      </w:r>
      <w:r w:rsidR="002F3F53">
        <w:t>The pre-PBAC response considered that this was appropriate.</w:t>
      </w:r>
    </w:p>
    <w:p w14:paraId="5D768D58" w14:textId="2252CF8E" w:rsidR="00CE2E65" w:rsidRPr="00E66E2A" w:rsidRDefault="00CE2E65" w:rsidP="35298142">
      <w:pPr>
        <w:pStyle w:val="3-BodyText"/>
      </w:pPr>
      <w:r w:rsidRPr="00E66E2A">
        <w:t xml:space="preserve">The </w:t>
      </w:r>
      <w:r w:rsidR="00C52021">
        <w:t xml:space="preserve">PSCR stated </w:t>
      </w:r>
      <w:r w:rsidRPr="00E66E2A">
        <w:t xml:space="preserve">that the sponsor </w:t>
      </w:r>
      <w:r w:rsidR="00257031">
        <w:t>was</w:t>
      </w:r>
      <w:r w:rsidR="00257031" w:rsidRPr="00E66E2A">
        <w:t xml:space="preserve"> </w:t>
      </w:r>
      <w:r w:rsidRPr="00E66E2A">
        <w:t xml:space="preserve">planning to commence an early access program </w:t>
      </w:r>
      <w:r w:rsidR="00171E7C" w:rsidRPr="00E66E2A">
        <w:t xml:space="preserve">in late </w:t>
      </w:r>
      <w:r w:rsidR="00171E7C" w:rsidRPr="00E02B74">
        <w:t>January</w:t>
      </w:r>
      <w:r w:rsidR="00C52021" w:rsidRPr="00E02B74">
        <w:t xml:space="preserve"> 2025</w:t>
      </w:r>
      <w:r w:rsidRPr="00E02B74">
        <w:t>.</w:t>
      </w:r>
      <w:r w:rsidRPr="00E66E2A">
        <w:t xml:space="preserve"> The sponsor </w:t>
      </w:r>
      <w:r w:rsidR="00171E7C" w:rsidRPr="00E66E2A">
        <w:t>stated that it would</w:t>
      </w:r>
      <w:r w:rsidRPr="00E66E2A">
        <w:t xml:space="preserve"> request a separate initiation listing for grandfathering at the time of PBS listing</w:t>
      </w:r>
      <w:r w:rsidR="00171E7C" w:rsidRPr="00E66E2A">
        <w:t xml:space="preserve">. The </w:t>
      </w:r>
      <w:r w:rsidR="005264DE" w:rsidRPr="00E66E2A">
        <w:t xml:space="preserve">Secretariat noted that a separate grandfather restriction would not be required </w:t>
      </w:r>
      <w:r w:rsidR="00D873D4" w:rsidRPr="00E66E2A">
        <w:t>g</w:t>
      </w:r>
      <w:r w:rsidR="005264DE" w:rsidRPr="00E66E2A">
        <w:t xml:space="preserve">iven that the proposed initial treatment </w:t>
      </w:r>
      <w:r w:rsidR="00D873D4" w:rsidRPr="00E66E2A">
        <w:t xml:space="preserve">restriction wording allows access for patients initiated on </w:t>
      </w:r>
      <w:proofErr w:type="spellStart"/>
      <w:r w:rsidR="00D873D4" w:rsidRPr="00E66E2A">
        <w:t>oma</w:t>
      </w:r>
      <w:r w:rsidR="00F83E7E" w:rsidRPr="00E66E2A">
        <w:t>ve</w:t>
      </w:r>
      <w:r w:rsidR="00D873D4" w:rsidRPr="00E66E2A">
        <w:t>loxolone</w:t>
      </w:r>
      <w:proofErr w:type="spellEnd"/>
      <w:r w:rsidR="00D873D4" w:rsidRPr="00E66E2A">
        <w:t xml:space="preserve"> prior to PBS listing</w:t>
      </w:r>
      <w:r w:rsidR="00F83E7E" w:rsidRPr="00E66E2A">
        <w:t>.</w:t>
      </w:r>
      <w:r w:rsidR="001B5866" w:rsidRPr="00E66E2A">
        <w:t xml:space="preserve"> </w:t>
      </w:r>
    </w:p>
    <w:p w14:paraId="2819594A" w14:textId="3AE4B6D7" w:rsidR="00CE2E65" w:rsidRDefault="00CE2E65" w:rsidP="00CE2E65">
      <w:pPr>
        <w:pStyle w:val="3-BodyText"/>
      </w:pPr>
      <w:r w:rsidRPr="00E66E2A">
        <w:t>The submission stated that cascade testing of the extended family members could identify older or younger siblings with the disease at an earlier stage</w:t>
      </w:r>
      <w:r w:rsidR="007E1ECD">
        <w:t>,</w:t>
      </w:r>
      <w:r w:rsidRPr="00E66E2A">
        <w:t xml:space="preserve"> but </w:t>
      </w:r>
      <w:r w:rsidR="00803EB9" w:rsidRPr="00E66E2A">
        <w:t xml:space="preserve">pre-symptomatic genetic testing </w:t>
      </w:r>
      <w:r w:rsidRPr="00E66E2A">
        <w:t xml:space="preserve">should be </w:t>
      </w:r>
      <w:r w:rsidR="00803EB9" w:rsidRPr="00E66E2A">
        <w:t xml:space="preserve">considered </w:t>
      </w:r>
      <w:r w:rsidRPr="00E66E2A">
        <w:t>on a case-by-case basis. Given that routine genetic testing is not recommended in asymptomatic siblings, and that treatment guidelines do not recommend treating presymptomatic patients, the submission argued this is not an issue for the proposed PBS restriction.</w:t>
      </w:r>
      <w:r w:rsidR="00E33242" w:rsidRPr="00E66E2A">
        <w:t xml:space="preserve"> The Medicare Benefits Schedule (MBS) Item 73434 indicates that a relative of a p</w:t>
      </w:r>
      <w:r w:rsidR="008F0917" w:rsidRPr="00E66E2A">
        <w:t>atient</w:t>
      </w:r>
      <w:r w:rsidR="00E33242" w:rsidRPr="00E66E2A">
        <w:t xml:space="preserve"> with a confirmed pathogenic or likely pathogenic germline variant</w:t>
      </w:r>
      <w:r w:rsidR="008F0917" w:rsidRPr="00E66E2A">
        <w:t xml:space="preserve"> associated</w:t>
      </w:r>
      <w:r w:rsidR="00E33242" w:rsidRPr="00E66E2A">
        <w:t xml:space="preserve"> with a neuromuscular disorder would be eligible for the </w:t>
      </w:r>
      <w:r w:rsidR="003301F6" w:rsidRPr="00E66E2A">
        <w:t xml:space="preserve">MBS </w:t>
      </w:r>
      <w:r w:rsidR="00E33242" w:rsidRPr="00E66E2A">
        <w:t>item (</w:t>
      </w:r>
      <w:r w:rsidR="008F0917" w:rsidRPr="00E66E2A">
        <w:t>criterion</w:t>
      </w:r>
      <w:r w:rsidR="00E33242" w:rsidRPr="00E66E2A">
        <w:t xml:space="preserve"> b).</w:t>
      </w:r>
    </w:p>
    <w:p w14:paraId="6F832A12" w14:textId="77777777" w:rsidR="00CE2E65" w:rsidRPr="0098262F" w:rsidDel="00195452" w:rsidRDefault="00CE2E65" w:rsidP="00CE2E65">
      <w:pPr>
        <w:pStyle w:val="2-SectionHeading"/>
      </w:pPr>
      <w:bookmarkStart w:id="10" w:name="_Toc188438054"/>
      <w:r w:rsidRPr="0098262F" w:rsidDel="00195452">
        <w:t>Population and disease</w:t>
      </w:r>
      <w:bookmarkEnd w:id="10"/>
    </w:p>
    <w:p w14:paraId="15F1EB9A" w14:textId="77777777" w:rsidR="00CE2E65" w:rsidRPr="006128A4" w:rsidRDefault="00CE2E65" w:rsidP="00CE2E65">
      <w:pPr>
        <w:pStyle w:val="3-BodyText"/>
      </w:pPr>
      <w:r w:rsidRPr="006128A4">
        <w:t xml:space="preserve">FA is a rare, autosomal recessive and progressive multisystem neurodegenerative movement disorder, affecting both the central and peripheral nervous systems, the musculoskeletal system, the myocardium, and the endocrine pancreas. </w:t>
      </w:r>
      <w:r w:rsidRPr="006128A4">
        <w:rPr>
          <w:lang w:val="en-GB"/>
        </w:rPr>
        <w:t xml:space="preserve">FA </w:t>
      </w:r>
      <w:r w:rsidRPr="006128A4">
        <w:t xml:space="preserve">is caused by guanine-adenine-adenine (GAA) trinucleotide repeat expansions in the FXN gene, resulting in a deficiency in the protein frataxin. </w:t>
      </w:r>
      <w:r w:rsidRPr="006128A4">
        <w:rPr>
          <w:lang w:val="en-GB"/>
        </w:rPr>
        <w:t xml:space="preserve">A greater number of GAA repeats is associated with earlier symptom onset and more rapid progression, with more </w:t>
      </w:r>
      <w:r w:rsidRPr="006128A4">
        <w:t>severe co-morbidities such as diabetes and cardiovascular disease</w:t>
      </w:r>
      <w:r w:rsidRPr="006128A4">
        <w:rPr>
          <w:rStyle w:val="FootnoteReference"/>
        </w:rPr>
        <w:footnoteReference w:id="3"/>
      </w:r>
      <w:r w:rsidRPr="006128A4">
        <w:t>.</w:t>
      </w:r>
    </w:p>
    <w:p w14:paraId="7CE83E8B" w14:textId="77777777" w:rsidR="00CE2E65" w:rsidRPr="006128A4" w:rsidRDefault="00CE2E65" w:rsidP="00CE2E65">
      <w:pPr>
        <w:pStyle w:val="3-BodyText"/>
      </w:pPr>
      <w:r w:rsidRPr="35298142">
        <w:rPr>
          <w:lang w:val="en-GB"/>
        </w:rPr>
        <w:t xml:space="preserve">Frataxin deficiency leads to mitochondrial dysfunction, suppression of nuclear factor erythroid 2 like 2 (Nrf2) activity, impaired iron metabolism, oxidative stress, and other metabolic abnormalities. As FA progresses, symptoms may include difficulty swallowing, speech problems, fatigue, skeletal abnormalities (such as scoliosis and pes </w:t>
      </w:r>
      <w:proofErr w:type="spellStart"/>
      <w:r w:rsidRPr="35298142">
        <w:rPr>
          <w:lang w:val="en-GB"/>
        </w:rPr>
        <w:t>cavus</w:t>
      </w:r>
      <w:proofErr w:type="spellEnd"/>
      <w:r w:rsidRPr="35298142">
        <w:rPr>
          <w:lang w:val="en-GB"/>
        </w:rPr>
        <w:t>), muscle weakness, reflex loss and sensory impairment.</w:t>
      </w:r>
    </w:p>
    <w:p w14:paraId="74B46543" w14:textId="585F5904" w:rsidR="00CE2E65" w:rsidRPr="006128A4" w:rsidRDefault="00CE2E65" w:rsidP="00CE2E65">
      <w:pPr>
        <w:pStyle w:val="3-BodyText"/>
      </w:pPr>
      <w:r w:rsidRPr="35298142">
        <w:t>The mean age of onset of the classical FA, the most common form, is between 10 and 16 years, late-onset (LOFA) and very late-onset (VLOFA) FA develops after the ages of 25 and 40 years, respectively</w:t>
      </w:r>
      <w:r w:rsidRPr="35298142">
        <w:rPr>
          <w:rStyle w:val="FootnoteReference"/>
        </w:rPr>
        <w:footnoteReference w:id="4"/>
      </w:r>
      <w:r w:rsidRPr="35298142">
        <w:t>. The average life expectancy of a patient with FA is between 30 and 40 years of age. FA cases of early symptom onset can also occur. Some people have presented with symptoms before the age of 5 years, including infants as young as one year old. Cardiac complications are a leading cause of death in people with FA</w:t>
      </w:r>
      <w:r w:rsidRPr="35298142">
        <w:rPr>
          <w:rStyle w:val="FootnoteReference"/>
        </w:rPr>
        <w:footnoteReference w:id="5"/>
      </w:r>
      <w:r w:rsidRPr="35298142">
        <w:t>.</w:t>
      </w:r>
    </w:p>
    <w:p w14:paraId="479DA477" w14:textId="77777777" w:rsidR="00CE2E65" w:rsidRPr="006128A4" w:rsidRDefault="00CE2E65" w:rsidP="00CE2E65">
      <w:pPr>
        <w:pStyle w:val="3-BodyText"/>
      </w:pPr>
      <w:r w:rsidRPr="35298142">
        <w:t>Diagnosis of FA usually occurs during childhood or adolescence and is based on clinical suspicion of symptoms (gait ataxia, balance and coordination disturbances) confirmed by genetic testing for GAA expansion in the FXN gene. In Australia, diagnosis is usually confirmed with a paediatric neurologist in close collaboration with a paediatric geneticist. The clinical diagnosis of FA is performed through a number of tests including a review of a person’s medical history, a medical examination, magnetic resonance imaging (MRI) and potentially an electrocardiogram or echocardiogram, with genetic testing providing a conclusive diagnosis.</w:t>
      </w:r>
    </w:p>
    <w:p w14:paraId="05BB3D14" w14:textId="528D292C" w:rsidR="00CE2E65" w:rsidRPr="006128A4" w:rsidRDefault="00CE2E65" w:rsidP="00CE2E65">
      <w:pPr>
        <w:pStyle w:val="3-BodyText"/>
      </w:pPr>
      <w:r w:rsidRPr="35298142">
        <w:t>A genetic counsellor should provide emotional support, information about the test and results, and advice on testing siblings and other family members. Neurologists should liaise with their clinical genetic counterparts given the potential implications for family members of patients who undergo genetic testing including any reproductive choices they may make. Informed consent should be sought from all undergoing genetic testing.</w:t>
      </w:r>
    </w:p>
    <w:p w14:paraId="7B22E58E" w14:textId="5D75815C" w:rsidR="00CE2E65" w:rsidRPr="00EF5A6F" w:rsidRDefault="00CE2E65" w:rsidP="00CE2E65">
      <w:pPr>
        <w:pStyle w:val="3-BodyText"/>
        <w:rPr>
          <w:i/>
          <w:iCs/>
        </w:rPr>
      </w:pPr>
      <w:r w:rsidRPr="006128A4">
        <w:rPr>
          <w:lang w:val="en-GB"/>
        </w:rPr>
        <w:fldChar w:fldCharType="begin"/>
      </w:r>
      <w:r w:rsidRPr="006128A4">
        <w:rPr>
          <w:lang w:val="en-GB"/>
        </w:rPr>
        <w:instrText xml:space="preserve"> REF _Ref187051691 \h </w:instrText>
      </w:r>
      <w:r w:rsidR="006128A4" w:rsidRPr="006128A4">
        <w:rPr>
          <w:lang w:val="en-GB"/>
        </w:rPr>
        <w:instrText xml:space="preserve"> \* MERGEFORMAT </w:instrText>
      </w:r>
      <w:r w:rsidRPr="006128A4">
        <w:rPr>
          <w:lang w:val="en-GB"/>
        </w:rPr>
      </w:r>
      <w:r w:rsidRPr="006128A4">
        <w:rPr>
          <w:lang w:val="en-GB"/>
        </w:rPr>
        <w:fldChar w:fldCharType="separate"/>
      </w:r>
      <w:r w:rsidR="003A4643" w:rsidRPr="006128A4">
        <w:t xml:space="preserve">Table </w:t>
      </w:r>
      <w:r w:rsidR="003A4643">
        <w:rPr>
          <w:noProof/>
        </w:rPr>
        <w:t>2</w:t>
      </w:r>
      <w:r w:rsidRPr="006128A4">
        <w:rPr>
          <w:lang w:val="en-GB"/>
        </w:rPr>
        <w:fldChar w:fldCharType="end"/>
      </w:r>
      <w:r w:rsidRPr="006128A4">
        <w:rPr>
          <w:lang w:val="en-GB"/>
        </w:rPr>
        <w:t xml:space="preserve"> summarises the age distribution of FA patients in the </w:t>
      </w:r>
      <w:r w:rsidRPr="00E66E2A">
        <w:rPr>
          <w:lang w:val="en-GB"/>
        </w:rPr>
        <w:t xml:space="preserve">Australian </w:t>
      </w:r>
      <w:r w:rsidR="00CA4922" w:rsidRPr="00E66E2A">
        <w:rPr>
          <w:lang w:val="en-GB"/>
        </w:rPr>
        <w:t>Friedreich's Ataxia Clinical Outcome Measures Study</w:t>
      </w:r>
      <w:r w:rsidR="00CA4922" w:rsidRPr="00CA4922">
        <w:rPr>
          <w:lang w:val="en-GB"/>
        </w:rPr>
        <w:t xml:space="preserve"> </w:t>
      </w:r>
      <w:r w:rsidR="00CA4922">
        <w:rPr>
          <w:lang w:val="en-GB"/>
        </w:rPr>
        <w:t>(</w:t>
      </w:r>
      <w:r w:rsidRPr="006128A4">
        <w:rPr>
          <w:lang w:val="en-GB"/>
        </w:rPr>
        <w:t>FACOMS</w:t>
      </w:r>
      <w:r w:rsidR="00CA4922">
        <w:rPr>
          <w:lang w:val="en-GB"/>
        </w:rPr>
        <w:t>)</w:t>
      </w:r>
      <w:r w:rsidR="00D97E89" w:rsidRPr="005C561D">
        <w:rPr>
          <w:lang w:val="en-GB"/>
        </w:rPr>
        <w:t xml:space="preserve"> at the time they entered the regist</w:t>
      </w:r>
      <w:r w:rsidR="00EF5A6F" w:rsidRPr="005C561D">
        <w:rPr>
          <w:lang w:val="en-GB"/>
        </w:rPr>
        <w:t>r</w:t>
      </w:r>
      <w:r w:rsidR="00D97E89" w:rsidRPr="005C561D">
        <w:rPr>
          <w:lang w:val="en-GB"/>
        </w:rPr>
        <w:t>y</w:t>
      </w:r>
      <w:r w:rsidRPr="005C561D">
        <w:rPr>
          <w:lang w:val="en-GB"/>
        </w:rPr>
        <w:t>.</w:t>
      </w:r>
    </w:p>
    <w:p w14:paraId="04CD68C2" w14:textId="0059670B" w:rsidR="00CE2E65" w:rsidRPr="006128A4" w:rsidRDefault="00CE2E65" w:rsidP="00CE2E65">
      <w:pPr>
        <w:pStyle w:val="Caption"/>
        <w:rPr>
          <w:highlight w:val="yellow"/>
        </w:rPr>
      </w:pPr>
      <w:bookmarkStart w:id="11" w:name="_Ref187051691"/>
      <w:r w:rsidRPr="006128A4">
        <w:t xml:space="preserve">Table </w:t>
      </w:r>
      <w:r w:rsidR="00B717AF">
        <w:fldChar w:fldCharType="begin"/>
      </w:r>
      <w:r w:rsidR="00B717AF">
        <w:instrText xml:space="preserve"> SEQ Table \* ARABIC </w:instrText>
      </w:r>
      <w:r w:rsidR="00B717AF">
        <w:fldChar w:fldCharType="separate"/>
      </w:r>
      <w:r w:rsidR="003A4643">
        <w:rPr>
          <w:noProof/>
        </w:rPr>
        <w:t>2</w:t>
      </w:r>
      <w:r w:rsidR="00B717AF">
        <w:rPr>
          <w:noProof/>
        </w:rPr>
        <w:fldChar w:fldCharType="end"/>
      </w:r>
      <w:bookmarkEnd w:id="11"/>
      <w:r w:rsidRPr="006128A4">
        <w:t>: Australian FACOMS – distribution by age</w:t>
      </w:r>
    </w:p>
    <w:tbl>
      <w:tblPr>
        <w:tblStyle w:val="TableGrid"/>
        <w:tblW w:w="5000" w:type="pct"/>
        <w:tblLook w:val="04A0" w:firstRow="1" w:lastRow="0" w:firstColumn="1" w:lastColumn="0" w:noHBand="0" w:noVBand="1"/>
        <w:tblCaption w:val="Table 2: Australian FACOMS – distribution by age"/>
      </w:tblPr>
      <w:tblGrid>
        <w:gridCol w:w="1413"/>
        <w:gridCol w:w="3827"/>
        <w:gridCol w:w="1259"/>
        <w:gridCol w:w="1259"/>
        <w:gridCol w:w="1259"/>
      </w:tblGrid>
      <w:tr w:rsidR="00CE2E65" w:rsidRPr="006128A4" w14:paraId="340795D3" w14:textId="77777777" w:rsidTr="35298142">
        <w:trPr>
          <w:cantSplit/>
        </w:trPr>
        <w:tc>
          <w:tcPr>
            <w:tcW w:w="784" w:type="pct"/>
            <w:tcBorders>
              <w:bottom w:val="single" w:sz="4" w:space="0" w:color="auto"/>
            </w:tcBorders>
          </w:tcPr>
          <w:p w14:paraId="57388ACE" w14:textId="77777777" w:rsidR="00CE2E65" w:rsidRPr="006128A4" w:rsidRDefault="00CE2E65" w:rsidP="00967D46">
            <w:pPr>
              <w:pStyle w:val="PBACTabletext"/>
              <w:keepLines w:val="0"/>
              <w:widowControl w:val="0"/>
              <w:suppressLineNumbers w:val="0"/>
              <w:rPr>
                <w:b/>
                <w:bCs/>
              </w:rPr>
            </w:pPr>
            <w:r w:rsidRPr="006128A4">
              <w:rPr>
                <w:b/>
                <w:bCs/>
              </w:rPr>
              <w:t>Stratification</w:t>
            </w:r>
          </w:p>
        </w:tc>
        <w:tc>
          <w:tcPr>
            <w:tcW w:w="2122" w:type="pct"/>
          </w:tcPr>
          <w:p w14:paraId="2F31E0BF" w14:textId="77777777" w:rsidR="00CE2E65" w:rsidRPr="006128A4" w:rsidRDefault="00CE2E65" w:rsidP="00967D46">
            <w:pPr>
              <w:pStyle w:val="PBACTabletext"/>
              <w:keepLines w:val="0"/>
              <w:widowControl w:val="0"/>
              <w:suppressLineNumbers w:val="0"/>
              <w:rPr>
                <w:b/>
                <w:bCs/>
              </w:rPr>
            </w:pPr>
            <w:r w:rsidRPr="006128A4">
              <w:rPr>
                <w:b/>
                <w:bCs/>
              </w:rPr>
              <w:t>Description</w:t>
            </w:r>
          </w:p>
        </w:tc>
        <w:tc>
          <w:tcPr>
            <w:tcW w:w="698" w:type="pct"/>
          </w:tcPr>
          <w:p w14:paraId="2787C60C" w14:textId="77777777" w:rsidR="00CE2E65" w:rsidRPr="006128A4" w:rsidRDefault="00CE2E65" w:rsidP="00967D46">
            <w:pPr>
              <w:pStyle w:val="PBACTabletext"/>
              <w:keepLines w:val="0"/>
              <w:widowControl w:val="0"/>
              <w:suppressLineNumbers w:val="0"/>
              <w:rPr>
                <w:b/>
                <w:bCs/>
              </w:rPr>
            </w:pPr>
            <w:r w:rsidRPr="006128A4">
              <w:rPr>
                <w:b/>
                <w:bCs/>
              </w:rPr>
              <w:t>n</w:t>
            </w:r>
          </w:p>
        </w:tc>
        <w:tc>
          <w:tcPr>
            <w:tcW w:w="698" w:type="pct"/>
          </w:tcPr>
          <w:p w14:paraId="1EC578DA" w14:textId="77777777" w:rsidR="00CE2E65" w:rsidRPr="006128A4" w:rsidRDefault="00CE2E65" w:rsidP="00967D46">
            <w:pPr>
              <w:pStyle w:val="PBACTabletext"/>
              <w:keepLines w:val="0"/>
              <w:widowControl w:val="0"/>
              <w:suppressLineNumbers w:val="0"/>
              <w:rPr>
                <w:b/>
                <w:bCs/>
              </w:rPr>
            </w:pPr>
            <w:r w:rsidRPr="006128A4">
              <w:rPr>
                <w:b/>
                <w:bCs/>
              </w:rPr>
              <w:t>N</w:t>
            </w:r>
          </w:p>
        </w:tc>
        <w:tc>
          <w:tcPr>
            <w:tcW w:w="698" w:type="pct"/>
          </w:tcPr>
          <w:p w14:paraId="18BA0968" w14:textId="77777777" w:rsidR="00CE2E65" w:rsidRPr="006128A4" w:rsidRDefault="00CE2E65" w:rsidP="00967D46">
            <w:pPr>
              <w:pStyle w:val="PBACTabletext"/>
              <w:keepLines w:val="0"/>
              <w:widowControl w:val="0"/>
              <w:suppressLineNumbers w:val="0"/>
              <w:rPr>
                <w:b/>
                <w:bCs/>
              </w:rPr>
            </w:pPr>
            <w:r w:rsidRPr="006128A4">
              <w:rPr>
                <w:b/>
                <w:bCs/>
              </w:rPr>
              <w:t>%</w:t>
            </w:r>
          </w:p>
        </w:tc>
      </w:tr>
      <w:tr w:rsidR="00CE2E65" w:rsidRPr="006128A4" w14:paraId="739F5C4A" w14:textId="77777777" w:rsidTr="35298142">
        <w:trPr>
          <w:cantSplit/>
        </w:trPr>
        <w:tc>
          <w:tcPr>
            <w:tcW w:w="784" w:type="pct"/>
            <w:vMerge w:val="restart"/>
            <w:tcBorders>
              <w:top w:val="single" w:sz="4" w:space="0" w:color="auto"/>
              <w:left w:val="single" w:sz="4" w:space="0" w:color="auto"/>
              <w:right w:val="single" w:sz="4" w:space="0" w:color="auto"/>
            </w:tcBorders>
          </w:tcPr>
          <w:p w14:paraId="220B9E97" w14:textId="77777777" w:rsidR="00CE2E65" w:rsidRPr="006128A4" w:rsidRDefault="00CE2E65" w:rsidP="35298142">
            <w:pPr>
              <w:pStyle w:val="PBACTabletext"/>
              <w:keepLines w:val="0"/>
              <w:widowControl w:val="0"/>
              <w:suppressLineNumbers w:val="0"/>
              <w:rPr>
                <w:vertAlign w:val="superscript"/>
              </w:rPr>
            </w:pPr>
            <w:proofErr w:type="spellStart"/>
            <w:r w:rsidRPr="35298142">
              <w:t>Age</w:t>
            </w:r>
            <w:r w:rsidRPr="35298142">
              <w:rPr>
                <w:vertAlign w:val="superscript"/>
              </w:rPr>
              <w:t>a</w:t>
            </w:r>
            <w:proofErr w:type="spellEnd"/>
          </w:p>
        </w:tc>
        <w:tc>
          <w:tcPr>
            <w:tcW w:w="2122" w:type="pct"/>
            <w:tcBorders>
              <w:left w:val="single" w:sz="4" w:space="0" w:color="auto"/>
            </w:tcBorders>
          </w:tcPr>
          <w:p w14:paraId="32CFBFA7" w14:textId="77777777" w:rsidR="00CE2E65" w:rsidRPr="006128A4" w:rsidRDefault="00CE2E65" w:rsidP="00967D46">
            <w:pPr>
              <w:pStyle w:val="PBACTabletext"/>
              <w:keepLines w:val="0"/>
              <w:widowControl w:val="0"/>
              <w:suppressLineNumbers w:val="0"/>
            </w:pPr>
            <w:r w:rsidRPr="006128A4">
              <w:t>&lt; 16 years (current age, visit 1)</w:t>
            </w:r>
          </w:p>
        </w:tc>
        <w:tc>
          <w:tcPr>
            <w:tcW w:w="698" w:type="pct"/>
          </w:tcPr>
          <w:p w14:paraId="66F8375E" w14:textId="77777777" w:rsidR="00CE2E65" w:rsidRPr="006128A4" w:rsidRDefault="00CE2E65" w:rsidP="00967D46">
            <w:pPr>
              <w:pStyle w:val="PBACTabletext"/>
              <w:keepLines w:val="0"/>
              <w:widowControl w:val="0"/>
              <w:suppressLineNumbers w:val="0"/>
            </w:pPr>
            <w:r w:rsidRPr="006128A4">
              <w:t>50</w:t>
            </w:r>
          </w:p>
        </w:tc>
        <w:tc>
          <w:tcPr>
            <w:tcW w:w="698" w:type="pct"/>
          </w:tcPr>
          <w:p w14:paraId="5B70F8D9" w14:textId="77777777" w:rsidR="00CE2E65" w:rsidRPr="006128A4" w:rsidRDefault="00CE2E65" w:rsidP="00967D46">
            <w:pPr>
              <w:pStyle w:val="PBACTabletext"/>
              <w:keepLines w:val="0"/>
              <w:widowControl w:val="0"/>
              <w:suppressLineNumbers w:val="0"/>
            </w:pPr>
            <w:r w:rsidRPr="006128A4">
              <w:t>202</w:t>
            </w:r>
          </w:p>
        </w:tc>
        <w:tc>
          <w:tcPr>
            <w:tcW w:w="698" w:type="pct"/>
          </w:tcPr>
          <w:p w14:paraId="180785A9" w14:textId="77777777" w:rsidR="00CE2E65" w:rsidRPr="006128A4" w:rsidRDefault="00CE2E65" w:rsidP="00967D46">
            <w:pPr>
              <w:pStyle w:val="PBACTabletext"/>
              <w:keepLines w:val="0"/>
              <w:widowControl w:val="0"/>
              <w:suppressLineNumbers w:val="0"/>
            </w:pPr>
            <w:r w:rsidRPr="006128A4">
              <w:t>24.8</w:t>
            </w:r>
          </w:p>
        </w:tc>
      </w:tr>
      <w:tr w:rsidR="00CE2E65" w:rsidRPr="006128A4" w14:paraId="2D0BED82" w14:textId="77777777" w:rsidTr="35298142">
        <w:trPr>
          <w:cantSplit/>
        </w:trPr>
        <w:tc>
          <w:tcPr>
            <w:tcW w:w="784" w:type="pct"/>
            <w:vMerge/>
          </w:tcPr>
          <w:p w14:paraId="43A4700E" w14:textId="77777777" w:rsidR="00CE2E65" w:rsidRPr="006128A4" w:rsidRDefault="00CE2E65" w:rsidP="00967D46">
            <w:pPr>
              <w:pStyle w:val="PBACTabletext"/>
              <w:keepLines w:val="0"/>
              <w:widowControl w:val="0"/>
              <w:suppressLineNumbers w:val="0"/>
            </w:pPr>
          </w:p>
        </w:tc>
        <w:tc>
          <w:tcPr>
            <w:tcW w:w="2122" w:type="pct"/>
            <w:tcBorders>
              <w:left w:val="single" w:sz="4" w:space="0" w:color="auto"/>
            </w:tcBorders>
          </w:tcPr>
          <w:p w14:paraId="166B9597" w14:textId="77777777" w:rsidR="00CE2E65" w:rsidRPr="006128A4" w:rsidRDefault="00CE2E65" w:rsidP="00967D46">
            <w:pPr>
              <w:pStyle w:val="PBACTabletext"/>
              <w:keepLines w:val="0"/>
              <w:widowControl w:val="0"/>
              <w:suppressLineNumbers w:val="0"/>
            </w:pPr>
            <w:r w:rsidRPr="006128A4">
              <w:t>16-40 years (current age, visit 1)</w:t>
            </w:r>
          </w:p>
        </w:tc>
        <w:tc>
          <w:tcPr>
            <w:tcW w:w="698" w:type="pct"/>
          </w:tcPr>
          <w:p w14:paraId="385686CA" w14:textId="77777777" w:rsidR="00CE2E65" w:rsidRPr="006128A4" w:rsidRDefault="00CE2E65" w:rsidP="00967D46">
            <w:pPr>
              <w:pStyle w:val="PBACTabletext"/>
              <w:keepLines w:val="0"/>
              <w:widowControl w:val="0"/>
              <w:suppressLineNumbers w:val="0"/>
            </w:pPr>
            <w:r w:rsidRPr="006128A4">
              <w:t>111</w:t>
            </w:r>
          </w:p>
        </w:tc>
        <w:tc>
          <w:tcPr>
            <w:tcW w:w="698" w:type="pct"/>
          </w:tcPr>
          <w:p w14:paraId="6A7DD16A" w14:textId="77777777" w:rsidR="00CE2E65" w:rsidRPr="006128A4" w:rsidRDefault="00CE2E65" w:rsidP="00967D46">
            <w:pPr>
              <w:pStyle w:val="PBACTabletext"/>
              <w:keepLines w:val="0"/>
              <w:widowControl w:val="0"/>
              <w:suppressLineNumbers w:val="0"/>
            </w:pPr>
            <w:r w:rsidRPr="006128A4">
              <w:t>202</w:t>
            </w:r>
          </w:p>
        </w:tc>
        <w:tc>
          <w:tcPr>
            <w:tcW w:w="698" w:type="pct"/>
          </w:tcPr>
          <w:p w14:paraId="77D7CE22" w14:textId="77777777" w:rsidR="00CE2E65" w:rsidRPr="006128A4" w:rsidRDefault="00CE2E65" w:rsidP="00967D46">
            <w:pPr>
              <w:pStyle w:val="PBACTabletext"/>
              <w:keepLines w:val="0"/>
              <w:widowControl w:val="0"/>
              <w:suppressLineNumbers w:val="0"/>
            </w:pPr>
            <w:r w:rsidRPr="006128A4">
              <w:t>55.0</w:t>
            </w:r>
          </w:p>
        </w:tc>
      </w:tr>
      <w:tr w:rsidR="00CE2E65" w:rsidRPr="006128A4" w14:paraId="68DA74DB" w14:textId="77777777" w:rsidTr="35298142">
        <w:trPr>
          <w:cantSplit/>
        </w:trPr>
        <w:tc>
          <w:tcPr>
            <w:tcW w:w="784" w:type="pct"/>
            <w:vMerge/>
          </w:tcPr>
          <w:p w14:paraId="3DA35125" w14:textId="77777777" w:rsidR="00CE2E65" w:rsidRPr="006128A4" w:rsidRDefault="00CE2E65" w:rsidP="00967D46">
            <w:pPr>
              <w:pStyle w:val="PBACTabletext"/>
              <w:keepLines w:val="0"/>
              <w:widowControl w:val="0"/>
              <w:suppressLineNumbers w:val="0"/>
            </w:pPr>
          </w:p>
        </w:tc>
        <w:tc>
          <w:tcPr>
            <w:tcW w:w="2122" w:type="pct"/>
            <w:tcBorders>
              <w:left w:val="single" w:sz="4" w:space="0" w:color="auto"/>
            </w:tcBorders>
          </w:tcPr>
          <w:p w14:paraId="3D6CC5C5" w14:textId="77777777" w:rsidR="00CE2E65" w:rsidRPr="006128A4" w:rsidRDefault="00CE2E65" w:rsidP="00967D46">
            <w:pPr>
              <w:pStyle w:val="PBACTabletext"/>
              <w:keepLines w:val="0"/>
              <w:widowControl w:val="0"/>
              <w:suppressLineNumbers w:val="0"/>
            </w:pPr>
            <w:r w:rsidRPr="006128A4">
              <w:t>&gt;40 years (current age, visit 1)</w:t>
            </w:r>
          </w:p>
        </w:tc>
        <w:tc>
          <w:tcPr>
            <w:tcW w:w="698" w:type="pct"/>
          </w:tcPr>
          <w:p w14:paraId="10EBDB6E" w14:textId="77777777" w:rsidR="00CE2E65" w:rsidRPr="006128A4" w:rsidRDefault="00CE2E65" w:rsidP="00967D46">
            <w:pPr>
              <w:pStyle w:val="PBACTabletext"/>
              <w:keepLines w:val="0"/>
              <w:widowControl w:val="0"/>
              <w:suppressLineNumbers w:val="0"/>
            </w:pPr>
            <w:r w:rsidRPr="006128A4">
              <w:t>41</w:t>
            </w:r>
          </w:p>
        </w:tc>
        <w:tc>
          <w:tcPr>
            <w:tcW w:w="698" w:type="pct"/>
          </w:tcPr>
          <w:p w14:paraId="434DBBAA" w14:textId="77777777" w:rsidR="00CE2E65" w:rsidRPr="006128A4" w:rsidRDefault="00CE2E65" w:rsidP="00967D46">
            <w:pPr>
              <w:pStyle w:val="PBACTabletext"/>
              <w:keepLines w:val="0"/>
              <w:widowControl w:val="0"/>
              <w:suppressLineNumbers w:val="0"/>
            </w:pPr>
            <w:r w:rsidRPr="006128A4">
              <w:t>202</w:t>
            </w:r>
          </w:p>
        </w:tc>
        <w:tc>
          <w:tcPr>
            <w:tcW w:w="698" w:type="pct"/>
          </w:tcPr>
          <w:p w14:paraId="18254526" w14:textId="77777777" w:rsidR="00CE2E65" w:rsidRPr="006128A4" w:rsidRDefault="00CE2E65" w:rsidP="00967D46">
            <w:pPr>
              <w:pStyle w:val="PBACTabletext"/>
              <w:keepLines w:val="0"/>
              <w:widowControl w:val="0"/>
              <w:suppressLineNumbers w:val="0"/>
            </w:pPr>
            <w:r w:rsidRPr="006128A4">
              <w:t>20.3</w:t>
            </w:r>
          </w:p>
        </w:tc>
      </w:tr>
      <w:tr w:rsidR="00CE2E65" w:rsidRPr="006128A4" w14:paraId="08673C3D" w14:textId="77777777" w:rsidTr="35298142">
        <w:trPr>
          <w:cantSplit/>
        </w:trPr>
        <w:tc>
          <w:tcPr>
            <w:tcW w:w="784" w:type="pct"/>
            <w:vMerge/>
          </w:tcPr>
          <w:p w14:paraId="1FC1DC4A" w14:textId="77777777" w:rsidR="00CE2E65" w:rsidRPr="006128A4" w:rsidRDefault="00CE2E65" w:rsidP="00967D46">
            <w:pPr>
              <w:pStyle w:val="PBACTabletext"/>
              <w:keepLines w:val="0"/>
              <w:widowControl w:val="0"/>
              <w:suppressLineNumbers w:val="0"/>
            </w:pPr>
          </w:p>
        </w:tc>
        <w:tc>
          <w:tcPr>
            <w:tcW w:w="2122" w:type="pct"/>
            <w:tcBorders>
              <w:left w:val="single" w:sz="4" w:space="0" w:color="auto"/>
            </w:tcBorders>
          </w:tcPr>
          <w:p w14:paraId="6B2CB77B" w14:textId="77777777" w:rsidR="00CE2E65" w:rsidRPr="006128A4" w:rsidRDefault="00CE2E65" w:rsidP="00967D46">
            <w:pPr>
              <w:pStyle w:val="PBACTabletext"/>
              <w:keepLines w:val="0"/>
              <w:widowControl w:val="0"/>
              <w:suppressLineNumbers w:val="0"/>
            </w:pPr>
            <w:r w:rsidRPr="006128A4">
              <w:t>≥16 years (current age, visit 1)</w:t>
            </w:r>
          </w:p>
        </w:tc>
        <w:tc>
          <w:tcPr>
            <w:tcW w:w="698" w:type="pct"/>
          </w:tcPr>
          <w:p w14:paraId="2D87D728" w14:textId="77777777" w:rsidR="00CE2E65" w:rsidRPr="006128A4" w:rsidRDefault="00CE2E65" w:rsidP="00967D46">
            <w:pPr>
              <w:pStyle w:val="PBACTabletext"/>
              <w:keepLines w:val="0"/>
              <w:widowControl w:val="0"/>
              <w:suppressLineNumbers w:val="0"/>
            </w:pPr>
            <w:r w:rsidRPr="006128A4">
              <w:t>152</w:t>
            </w:r>
          </w:p>
        </w:tc>
        <w:tc>
          <w:tcPr>
            <w:tcW w:w="698" w:type="pct"/>
          </w:tcPr>
          <w:p w14:paraId="4F55DB8B" w14:textId="77777777" w:rsidR="00CE2E65" w:rsidRPr="006128A4" w:rsidRDefault="00CE2E65" w:rsidP="00967D46">
            <w:pPr>
              <w:pStyle w:val="PBACTabletext"/>
              <w:keepLines w:val="0"/>
              <w:widowControl w:val="0"/>
              <w:suppressLineNumbers w:val="0"/>
            </w:pPr>
            <w:r w:rsidRPr="006128A4">
              <w:t>202</w:t>
            </w:r>
          </w:p>
        </w:tc>
        <w:tc>
          <w:tcPr>
            <w:tcW w:w="698" w:type="pct"/>
          </w:tcPr>
          <w:p w14:paraId="2BD43E50" w14:textId="77777777" w:rsidR="00CE2E65" w:rsidRPr="006128A4" w:rsidRDefault="00CE2E65" w:rsidP="00967D46">
            <w:pPr>
              <w:pStyle w:val="PBACTabletext"/>
              <w:keepLines w:val="0"/>
              <w:widowControl w:val="0"/>
              <w:suppressLineNumbers w:val="0"/>
            </w:pPr>
            <w:r w:rsidRPr="006128A4">
              <w:t>75.2</w:t>
            </w:r>
          </w:p>
        </w:tc>
      </w:tr>
    </w:tbl>
    <w:p w14:paraId="46D0D878" w14:textId="77777777" w:rsidR="00CE2E65" w:rsidRPr="006128A4" w:rsidRDefault="00CE2E65" w:rsidP="00CE2E65">
      <w:pPr>
        <w:pStyle w:val="TableFooter"/>
        <w:rPr>
          <w:lang w:val="en-GB"/>
        </w:rPr>
      </w:pPr>
      <w:r w:rsidRPr="006128A4">
        <w:rPr>
          <w:lang w:val="en-GB"/>
        </w:rPr>
        <w:t>Source: Table 1-7, p44 of the submission.</w:t>
      </w:r>
    </w:p>
    <w:p w14:paraId="550D59DF" w14:textId="614091E5" w:rsidR="00CE2E65" w:rsidRPr="006128A4" w:rsidRDefault="00CE2E65" w:rsidP="00CE2E65">
      <w:pPr>
        <w:pStyle w:val="TableFooter"/>
        <w:rPr>
          <w:lang w:val="en-GB"/>
        </w:rPr>
      </w:pPr>
      <w:r w:rsidRPr="006128A4">
        <w:rPr>
          <w:lang w:val="en-GB"/>
        </w:rPr>
        <w:t>FACOMS=Friedreich's Ataxia Clinical Outcome Measures Study</w:t>
      </w:r>
      <w:r w:rsidRPr="006128A4">
        <w:t>.</w:t>
      </w:r>
    </w:p>
    <w:p w14:paraId="7C3D9786" w14:textId="0C71588D" w:rsidR="00CE2E65" w:rsidRPr="006128A4" w:rsidRDefault="00CE2E65" w:rsidP="00CE2E65">
      <w:pPr>
        <w:pStyle w:val="TableFooter"/>
        <w:rPr>
          <w:lang w:val="en-GB"/>
        </w:rPr>
      </w:pPr>
      <w:proofErr w:type="gramStart"/>
      <w:r w:rsidRPr="006128A4">
        <w:rPr>
          <w:vertAlign w:val="superscript"/>
          <w:lang w:val="en-GB"/>
        </w:rPr>
        <w:t>a</w:t>
      </w:r>
      <w:proofErr w:type="gramEnd"/>
      <w:r w:rsidR="000F0DD5">
        <w:rPr>
          <w:vertAlign w:val="superscript"/>
          <w:lang w:val="en-GB"/>
        </w:rPr>
        <w:t xml:space="preserve"> </w:t>
      </w:r>
      <w:r w:rsidRPr="006128A4">
        <w:rPr>
          <w:lang w:val="en-GB"/>
        </w:rPr>
        <w:t>Age at current visit (Visit 1)</w:t>
      </w:r>
    </w:p>
    <w:p w14:paraId="443AA74B" w14:textId="7EE1EA96" w:rsidR="002D4249" w:rsidRDefault="00CE2E65" w:rsidP="001B5866">
      <w:pPr>
        <w:pStyle w:val="3-BodyText"/>
      </w:pPr>
      <w:proofErr w:type="spellStart"/>
      <w:r w:rsidRPr="35298142">
        <w:t>Omaveloxolone</w:t>
      </w:r>
      <w:proofErr w:type="spellEnd"/>
      <w:r w:rsidRPr="35298142">
        <w:t xml:space="preserve"> is an orally bioavailable triterpenoid analogue and a potent activator of the transcription factor, Nrf2. </w:t>
      </w:r>
      <w:proofErr w:type="spellStart"/>
      <w:r w:rsidRPr="35298142">
        <w:t>Omaveloxolone</w:t>
      </w:r>
      <w:proofErr w:type="spellEnd"/>
      <w:r w:rsidRPr="35298142">
        <w:t xml:space="preserve"> selectively and reversibly binds to Keap1 (Kelch-like ECH-associated protein 1), allowing for nuclear translocation of Nrf2 and transcription of its target genes. Nrf2 controls the expression of genes involved in mitochondrial function, redox balance, and inflammation.</w:t>
      </w:r>
      <w:r w:rsidR="00F14016" w:rsidRPr="35298142">
        <w:t xml:space="preserve"> The submission stated the potential benefits of </w:t>
      </w:r>
      <w:proofErr w:type="spellStart"/>
      <w:r w:rsidR="00F14016" w:rsidRPr="35298142">
        <w:t>omaveloxolone</w:t>
      </w:r>
      <w:proofErr w:type="spellEnd"/>
      <w:r w:rsidR="00F14016" w:rsidRPr="35298142">
        <w:t xml:space="preserve"> in people with FA include slowing disease progression by improving muscle function, mobility, visual function, cardiac function and quality of life.</w:t>
      </w:r>
    </w:p>
    <w:p w14:paraId="1091F521" w14:textId="77777777" w:rsidR="00CE2E65" w:rsidRPr="0098262F" w:rsidRDefault="00CE2E65" w:rsidP="00CE2E65">
      <w:pPr>
        <w:pStyle w:val="2-SectionHeading"/>
      </w:pPr>
      <w:bookmarkStart w:id="12" w:name="_Toc188438055"/>
      <w:r w:rsidRPr="0098262F">
        <w:t>Comparator</w:t>
      </w:r>
      <w:bookmarkEnd w:id="12"/>
    </w:p>
    <w:p w14:paraId="4A75B1EE" w14:textId="56582082" w:rsidR="00CE2E65" w:rsidRPr="00E66E2A" w:rsidRDefault="00CE2E65" w:rsidP="00CE2E65">
      <w:pPr>
        <w:pStyle w:val="3-BodyText"/>
      </w:pPr>
      <w:proofErr w:type="spellStart"/>
      <w:r w:rsidRPr="00E66E2A">
        <w:t>Omaveloxolone</w:t>
      </w:r>
      <w:proofErr w:type="spellEnd"/>
      <w:r w:rsidRPr="00E66E2A">
        <w:t xml:space="preserve"> is intended to be used as an adjunct to BSC in the requested patient population. The </w:t>
      </w:r>
      <w:r w:rsidR="00D97E89" w:rsidRPr="00E66E2A">
        <w:t>ESC consider</w:t>
      </w:r>
      <w:r w:rsidR="001530F9" w:rsidRPr="00E66E2A">
        <w:t>ed</w:t>
      </w:r>
      <w:r w:rsidR="00D97E89" w:rsidRPr="00E66E2A">
        <w:t xml:space="preserve"> that </w:t>
      </w:r>
      <w:r w:rsidR="001530F9" w:rsidRPr="00E66E2A">
        <w:t xml:space="preserve">the nomination of </w:t>
      </w:r>
      <w:r w:rsidRPr="00E66E2A">
        <w:t>BSC as the main comparator</w:t>
      </w:r>
      <w:r w:rsidR="001530F9" w:rsidRPr="00E66E2A">
        <w:t xml:space="preserve"> was appropriate</w:t>
      </w:r>
      <w:r w:rsidRPr="00E66E2A">
        <w:t xml:space="preserve">. The comparator for </w:t>
      </w:r>
      <w:proofErr w:type="spellStart"/>
      <w:r w:rsidRPr="00E66E2A">
        <w:t>omaveloxolone</w:t>
      </w:r>
      <w:proofErr w:type="spellEnd"/>
      <w:r w:rsidRPr="00E66E2A">
        <w:t xml:space="preserve"> + BSC would be no active therapy for which placebo was a proxy in the key </w:t>
      </w:r>
      <w:proofErr w:type="spellStart"/>
      <w:r w:rsidRPr="00E66E2A">
        <w:t>MOXIe</w:t>
      </w:r>
      <w:proofErr w:type="spellEnd"/>
      <w:r w:rsidRPr="00E66E2A">
        <w:t xml:space="preserve"> Part 2 trial. BSC involves the management of disease-related symptoms (cardiac, metabolic, respiratory, nutritional and orthopaedic support) via a multi-disciplinary clinic.</w:t>
      </w:r>
    </w:p>
    <w:p w14:paraId="2037C11E" w14:textId="6734DD90" w:rsidR="00CE2E65" w:rsidRDefault="00CE2E65" w:rsidP="00967D46">
      <w:pPr>
        <w:pStyle w:val="3-BodyText"/>
      </w:pPr>
      <w:r w:rsidRPr="00E66E2A">
        <w:t>The submission noted that there are only two centres of excellence for the management of adults with FA in Australia which include the Monash Medical Centre in Melbourne and the Royal Brisbane &amp; Women’s Hospital in Queensland.</w:t>
      </w:r>
      <w:r w:rsidR="00BB7168" w:rsidRPr="00E66E2A">
        <w:t xml:space="preserve">  There was no discussion of paediatric centres in the submission</w:t>
      </w:r>
      <w:r w:rsidR="000F02AB" w:rsidRPr="00E66E2A">
        <w:t xml:space="preserve">, although most patients present with clinical symptoms during their paediatric years, patients must be 16 years of age or older to access </w:t>
      </w:r>
      <w:proofErr w:type="spellStart"/>
      <w:r w:rsidR="000F02AB" w:rsidRPr="00E66E2A">
        <w:t>omaveloxolone</w:t>
      </w:r>
      <w:proofErr w:type="spellEnd"/>
      <w:r w:rsidR="000F02AB" w:rsidRPr="00E66E2A">
        <w:t xml:space="preserve"> under the proposed restriction</w:t>
      </w:r>
      <w:r w:rsidR="00BB7168" w:rsidRPr="00E66E2A">
        <w:t xml:space="preserve">. </w:t>
      </w:r>
    </w:p>
    <w:p w14:paraId="15F86495" w14:textId="77777777" w:rsidR="00CE2E65" w:rsidRPr="0098262F" w:rsidRDefault="00CE2E65" w:rsidP="00CE2E65">
      <w:pPr>
        <w:pStyle w:val="2-SectionHeading"/>
        <w:numPr>
          <w:ilvl w:val="0"/>
          <w:numId w:val="1"/>
        </w:numPr>
      </w:pPr>
      <w:bookmarkStart w:id="13" w:name="_Toc188438056"/>
      <w:bookmarkStart w:id="14" w:name="_Toc22897640"/>
      <w:r w:rsidRPr="0098262F">
        <w:t>Consideration of the evidence</w:t>
      </w:r>
      <w:bookmarkEnd w:id="13"/>
    </w:p>
    <w:p w14:paraId="0EA82E0A" w14:textId="77777777" w:rsidR="00C7073E" w:rsidRPr="006E1229" w:rsidRDefault="00C7073E" w:rsidP="00C7073E">
      <w:pPr>
        <w:pStyle w:val="4-SubsectionHeading"/>
      </w:pPr>
      <w:bookmarkStart w:id="15" w:name="_Hlk76375935"/>
      <w:bookmarkStart w:id="16" w:name="_Toc188438057"/>
      <w:r w:rsidRPr="006E1229">
        <w:t>Sponsor hearing</w:t>
      </w:r>
    </w:p>
    <w:p w14:paraId="68024CB4" w14:textId="0E035D74" w:rsidR="00DD05B6" w:rsidRDefault="00C7073E" w:rsidP="00DD05B6">
      <w:pPr>
        <w:widowControl w:val="0"/>
        <w:numPr>
          <w:ilvl w:val="1"/>
          <w:numId w:val="1"/>
        </w:numPr>
        <w:spacing w:after="120"/>
        <w:rPr>
          <w:rFonts w:asciiTheme="minorHAnsi" w:hAnsiTheme="minorHAnsi"/>
          <w:bCs/>
          <w:snapToGrid w:val="0"/>
        </w:rPr>
      </w:pPr>
      <w:bookmarkStart w:id="17" w:name="_Hlk76382586"/>
      <w:r w:rsidRPr="00836F75">
        <w:rPr>
          <w:rFonts w:asciiTheme="minorHAnsi" w:hAnsiTheme="minorHAnsi"/>
          <w:bCs/>
          <w:snapToGrid w:val="0"/>
        </w:rPr>
        <w:t xml:space="preserve">The sponsor requested a hearing for this item. </w:t>
      </w:r>
      <w:r w:rsidR="00DD05B6">
        <w:rPr>
          <w:rFonts w:asciiTheme="minorHAnsi" w:hAnsiTheme="minorHAnsi"/>
          <w:bCs/>
          <w:snapToGrid w:val="0"/>
        </w:rPr>
        <w:t xml:space="preserve">The clinician </w:t>
      </w:r>
      <w:r w:rsidR="002C7BD2">
        <w:rPr>
          <w:rFonts w:asciiTheme="minorHAnsi" w:hAnsiTheme="minorHAnsi"/>
          <w:bCs/>
          <w:snapToGrid w:val="0"/>
        </w:rPr>
        <w:t xml:space="preserve">described the </w:t>
      </w:r>
      <w:proofErr w:type="spellStart"/>
      <w:r w:rsidR="008B09CF">
        <w:rPr>
          <w:rFonts w:asciiTheme="minorHAnsi" w:hAnsiTheme="minorHAnsi"/>
          <w:bCs/>
          <w:snapToGrid w:val="0"/>
        </w:rPr>
        <w:t>mFARS</w:t>
      </w:r>
      <w:proofErr w:type="spellEnd"/>
      <w:r w:rsidR="008B09CF">
        <w:rPr>
          <w:rFonts w:asciiTheme="minorHAnsi" w:hAnsiTheme="minorHAnsi"/>
          <w:bCs/>
          <w:snapToGrid w:val="0"/>
        </w:rPr>
        <w:t xml:space="preserve"> scale which was used </w:t>
      </w:r>
      <w:r w:rsidR="00F05D73">
        <w:rPr>
          <w:rFonts w:asciiTheme="minorHAnsi" w:hAnsiTheme="minorHAnsi"/>
          <w:bCs/>
          <w:snapToGrid w:val="0"/>
        </w:rPr>
        <w:t xml:space="preserve">to measure response </w:t>
      </w:r>
      <w:r w:rsidR="008B09CF">
        <w:rPr>
          <w:rFonts w:asciiTheme="minorHAnsi" w:hAnsiTheme="minorHAnsi"/>
          <w:bCs/>
          <w:snapToGrid w:val="0"/>
        </w:rPr>
        <w:t xml:space="preserve">in the </w:t>
      </w:r>
      <w:proofErr w:type="spellStart"/>
      <w:r w:rsidR="008B09CF">
        <w:rPr>
          <w:rFonts w:asciiTheme="minorHAnsi" w:hAnsiTheme="minorHAnsi"/>
          <w:bCs/>
          <w:snapToGrid w:val="0"/>
        </w:rPr>
        <w:t>MOXIe</w:t>
      </w:r>
      <w:proofErr w:type="spellEnd"/>
      <w:r w:rsidR="008B09CF">
        <w:rPr>
          <w:rFonts w:asciiTheme="minorHAnsi" w:hAnsiTheme="minorHAnsi"/>
          <w:bCs/>
          <w:snapToGrid w:val="0"/>
        </w:rPr>
        <w:t xml:space="preserve"> Part 2 trial</w:t>
      </w:r>
      <w:r w:rsidR="00F05D73">
        <w:rPr>
          <w:rFonts w:asciiTheme="minorHAnsi" w:hAnsiTheme="minorHAnsi"/>
          <w:bCs/>
          <w:snapToGrid w:val="0"/>
        </w:rPr>
        <w:t xml:space="preserve">. The clinician </w:t>
      </w:r>
      <w:r w:rsidR="00D056FA">
        <w:rPr>
          <w:rFonts w:asciiTheme="minorHAnsi" w:hAnsiTheme="minorHAnsi"/>
          <w:bCs/>
          <w:snapToGrid w:val="0"/>
        </w:rPr>
        <w:t xml:space="preserve">stated </w:t>
      </w:r>
      <w:r w:rsidR="00DD05B6">
        <w:rPr>
          <w:rFonts w:asciiTheme="minorHAnsi" w:hAnsiTheme="minorHAnsi"/>
          <w:bCs/>
          <w:snapToGrid w:val="0"/>
        </w:rPr>
        <w:t xml:space="preserve">that </w:t>
      </w:r>
      <w:r w:rsidR="00AE7A46">
        <w:rPr>
          <w:rFonts w:asciiTheme="minorHAnsi" w:hAnsiTheme="minorHAnsi"/>
          <w:bCs/>
          <w:snapToGrid w:val="0"/>
        </w:rPr>
        <w:t xml:space="preserve">the </w:t>
      </w:r>
      <w:r w:rsidR="00A176CE">
        <w:rPr>
          <w:rFonts w:asciiTheme="minorHAnsi" w:hAnsiTheme="minorHAnsi"/>
          <w:bCs/>
          <w:snapToGrid w:val="0"/>
        </w:rPr>
        <w:t xml:space="preserve">least squares mean difference between the </w:t>
      </w:r>
      <w:proofErr w:type="spellStart"/>
      <w:r w:rsidR="00A176CE">
        <w:rPr>
          <w:rFonts w:asciiTheme="minorHAnsi" w:hAnsiTheme="minorHAnsi"/>
          <w:bCs/>
          <w:snapToGrid w:val="0"/>
        </w:rPr>
        <w:t>omaveloxolone</w:t>
      </w:r>
      <w:proofErr w:type="spellEnd"/>
      <w:r w:rsidR="00A176CE">
        <w:rPr>
          <w:rFonts w:asciiTheme="minorHAnsi" w:hAnsiTheme="minorHAnsi"/>
          <w:bCs/>
          <w:snapToGrid w:val="0"/>
        </w:rPr>
        <w:t xml:space="preserve"> and placebo arms </w:t>
      </w:r>
      <w:r w:rsidR="00334FD8">
        <w:rPr>
          <w:rFonts w:asciiTheme="minorHAnsi" w:hAnsiTheme="minorHAnsi"/>
          <w:bCs/>
          <w:snapToGrid w:val="0"/>
        </w:rPr>
        <w:t>from baseline to Week 48 of</w:t>
      </w:r>
      <w:r w:rsidR="00943008" w:rsidRPr="0049179B">
        <w:rPr>
          <w:rFonts w:asciiTheme="minorHAnsi" w:hAnsiTheme="minorHAnsi"/>
          <w:bCs/>
          <w:snapToGrid w:val="0"/>
        </w:rPr>
        <w:t xml:space="preserve"> </w:t>
      </w:r>
      <w:r w:rsidR="00334FD8">
        <w:rPr>
          <w:rFonts w:asciiTheme="minorHAnsi" w:hAnsiTheme="minorHAnsi"/>
          <w:bCs/>
          <w:snapToGrid w:val="0"/>
        </w:rPr>
        <w:t>-</w:t>
      </w:r>
      <w:r w:rsidR="00943008" w:rsidRPr="0049179B">
        <w:rPr>
          <w:rFonts w:asciiTheme="minorHAnsi" w:hAnsiTheme="minorHAnsi"/>
          <w:bCs/>
          <w:snapToGrid w:val="0"/>
        </w:rPr>
        <w:t xml:space="preserve">2.40 </w:t>
      </w:r>
      <w:r w:rsidR="00DD05B6">
        <w:rPr>
          <w:rFonts w:asciiTheme="minorHAnsi" w:hAnsiTheme="minorHAnsi"/>
          <w:bCs/>
          <w:snapToGrid w:val="0"/>
        </w:rPr>
        <w:t>point</w:t>
      </w:r>
      <w:r w:rsidR="00334FD8">
        <w:rPr>
          <w:rFonts w:asciiTheme="minorHAnsi" w:hAnsiTheme="minorHAnsi"/>
          <w:bCs/>
          <w:snapToGrid w:val="0"/>
        </w:rPr>
        <w:t>s</w:t>
      </w:r>
      <w:r w:rsidR="00DD05B6">
        <w:rPr>
          <w:rFonts w:asciiTheme="minorHAnsi" w:hAnsiTheme="minorHAnsi"/>
          <w:bCs/>
          <w:snapToGrid w:val="0"/>
        </w:rPr>
        <w:t xml:space="preserve"> </w:t>
      </w:r>
      <w:r w:rsidR="00334FD8">
        <w:rPr>
          <w:rFonts w:asciiTheme="minorHAnsi" w:hAnsiTheme="minorHAnsi"/>
          <w:bCs/>
          <w:snapToGrid w:val="0"/>
        </w:rPr>
        <w:t>was clinically significant</w:t>
      </w:r>
      <w:r w:rsidR="00DD05B6">
        <w:rPr>
          <w:rFonts w:asciiTheme="minorHAnsi" w:hAnsiTheme="minorHAnsi"/>
          <w:bCs/>
          <w:snapToGrid w:val="0"/>
        </w:rPr>
        <w:t xml:space="preserve">. </w:t>
      </w:r>
      <w:r w:rsidR="001D0CD4">
        <w:rPr>
          <w:rFonts w:asciiTheme="minorHAnsi" w:hAnsiTheme="minorHAnsi"/>
          <w:bCs/>
          <w:snapToGrid w:val="0"/>
        </w:rPr>
        <w:t xml:space="preserve">The clinician </w:t>
      </w:r>
      <w:r w:rsidR="00083329">
        <w:rPr>
          <w:rFonts w:asciiTheme="minorHAnsi" w:hAnsiTheme="minorHAnsi"/>
          <w:bCs/>
          <w:snapToGrid w:val="0"/>
        </w:rPr>
        <w:t>stated</w:t>
      </w:r>
      <w:r w:rsidR="001D0CD4">
        <w:rPr>
          <w:rFonts w:asciiTheme="minorHAnsi" w:hAnsiTheme="minorHAnsi"/>
          <w:bCs/>
          <w:snapToGrid w:val="0"/>
        </w:rPr>
        <w:t xml:space="preserve"> that n</w:t>
      </w:r>
      <w:r w:rsidR="00DD05B6" w:rsidRPr="007A5833">
        <w:rPr>
          <w:rFonts w:asciiTheme="minorHAnsi" w:hAnsiTheme="minorHAnsi"/>
          <w:bCs/>
          <w:snapToGrid w:val="0"/>
        </w:rPr>
        <w:t xml:space="preserve">atural history studies have shown that </w:t>
      </w:r>
      <w:r w:rsidR="001D0CD4">
        <w:rPr>
          <w:rFonts w:asciiTheme="minorHAnsi" w:hAnsiTheme="minorHAnsi"/>
          <w:bCs/>
          <w:snapToGrid w:val="0"/>
        </w:rPr>
        <w:t>patients</w:t>
      </w:r>
      <w:r w:rsidR="00DD05B6" w:rsidRPr="007A5833">
        <w:rPr>
          <w:rFonts w:asciiTheme="minorHAnsi" w:hAnsiTheme="minorHAnsi"/>
          <w:bCs/>
          <w:snapToGrid w:val="0"/>
        </w:rPr>
        <w:t xml:space="preserve"> </w:t>
      </w:r>
      <w:r w:rsidR="00EE4533">
        <w:rPr>
          <w:rFonts w:asciiTheme="minorHAnsi" w:hAnsiTheme="minorHAnsi"/>
          <w:bCs/>
          <w:snapToGrid w:val="0"/>
        </w:rPr>
        <w:t xml:space="preserve">aged 16 to 40 years of age </w:t>
      </w:r>
      <w:r w:rsidR="00DD05B6" w:rsidRPr="007A5833">
        <w:rPr>
          <w:rFonts w:asciiTheme="minorHAnsi" w:hAnsiTheme="minorHAnsi"/>
          <w:bCs/>
          <w:snapToGrid w:val="0"/>
        </w:rPr>
        <w:t>with FA generally progress at a</w:t>
      </w:r>
      <w:r w:rsidR="0002364D">
        <w:rPr>
          <w:rFonts w:asciiTheme="minorHAnsi" w:hAnsiTheme="minorHAnsi"/>
          <w:bCs/>
          <w:snapToGrid w:val="0"/>
        </w:rPr>
        <w:t>n average</w:t>
      </w:r>
      <w:r w:rsidR="002A0355">
        <w:rPr>
          <w:rFonts w:asciiTheme="minorHAnsi" w:hAnsiTheme="minorHAnsi"/>
          <w:bCs/>
          <w:snapToGrid w:val="0"/>
        </w:rPr>
        <w:t xml:space="preserve"> </w:t>
      </w:r>
      <w:r w:rsidR="00DD05B6" w:rsidRPr="007A5833">
        <w:rPr>
          <w:rFonts w:asciiTheme="minorHAnsi" w:hAnsiTheme="minorHAnsi"/>
          <w:bCs/>
          <w:snapToGrid w:val="0"/>
        </w:rPr>
        <w:t xml:space="preserve">of </w:t>
      </w:r>
      <w:r w:rsidR="00083329">
        <w:rPr>
          <w:rFonts w:asciiTheme="minorHAnsi" w:hAnsiTheme="minorHAnsi"/>
          <w:bCs/>
          <w:snapToGrid w:val="0"/>
        </w:rPr>
        <w:t>1.8</w:t>
      </w:r>
      <w:r w:rsidR="00DD05B6" w:rsidRPr="007A5833">
        <w:rPr>
          <w:rFonts w:asciiTheme="minorHAnsi" w:hAnsiTheme="minorHAnsi"/>
          <w:bCs/>
          <w:snapToGrid w:val="0"/>
        </w:rPr>
        <w:t xml:space="preserve"> points annually on the </w:t>
      </w:r>
      <w:proofErr w:type="spellStart"/>
      <w:r w:rsidR="00DD05B6" w:rsidRPr="007A5833">
        <w:rPr>
          <w:rFonts w:asciiTheme="minorHAnsi" w:hAnsiTheme="minorHAnsi"/>
          <w:bCs/>
          <w:snapToGrid w:val="0"/>
        </w:rPr>
        <w:t>mFARS</w:t>
      </w:r>
      <w:proofErr w:type="spellEnd"/>
      <w:r w:rsidR="00DD05B6" w:rsidRPr="007A5833">
        <w:rPr>
          <w:rFonts w:asciiTheme="minorHAnsi" w:hAnsiTheme="minorHAnsi"/>
          <w:bCs/>
          <w:snapToGrid w:val="0"/>
        </w:rPr>
        <w:t xml:space="preserve"> scale (Patel et al., 2016)</w:t>
      </w:r>
      <w:r w:rsidR="00F03DB0">
        <w:rPr>
          <w:rFonts w:asciiTheme="minorHAnsi" w:hAnsiTheme="minorHAnsi"/>
          <w:bCs/>
          <w:snapToGrid w:val="0"/>
        </w:rPr>
        <w:t>.</w:t>
      </w:r>
      <w:r w:rsidR="00DD05B6" w:rsidRPr="007A5833">
        <w:rPr>
          <w:rFonts w:asciiTheme="minorHAnsi" w:hAnsiTheme="minorHAnsi"/>
          <w:bCs/>
          <w:snapToGrid w:val="0"/>
        </w:rPr>
        <w:t xml:space="preserve"> </w:t>
      </w:r>
      <w:r w:rsidR="00943008">
        <w:rPr>
          <w:rFonts w:asciiTheme="minorHAnsi" w:hAnsiTheme="minorHAnsi"/>
          <w:bCs/>
          <w:snapToGrid w:val="0"/>
        </w:rPr>
        <w:t>Therefore</w:t>
      </w:r>
      <w:r w:rsidR="00D33FD1">
        <w:rPr>
          <w:rFonts w:asciiTheme="minorHAnsi" w:hAnsiTheme="minorHAnsi"/>
          <w:bCs/>
          <w:snapToGrid w:val="0"/>
        </w:rPr>
        <w:t>,</w:t>
      </w:r>
      <w:r w:rsidR="00943008">
        <w:rPr>
          <w:rFonts w:asciiTheme="minorHAnsi" w:hAnsiTheme="minorHAnsi"/>
          <w:bCs/>
          <w:snapToGrid w:val="0"/>
        </w:rPr>
        <w:t xml:space="preserve"> a</w:t>
      </w:r>
      <w:r w:rsidR="00DD05B6" w:rsidRPr="0049179B">
        <w:rPr>
          <w:rFonts w:asciiTheme="minorHAnsi" w:hAnsiTheme="minorHAnsi"/>
          <w:bCs/>
          <w:snapToGrid w:val="0"/>
        </w:rPr>
        <w:t xml:space="preserve"> difference in the change from baseline of </w:t>
      </w:r>
      <w:r w:rsidR="00F912FA">
        <w:rPr>
          <w:rFonts w:asciiTheme="minorHAnsi" w:hAnsiTheme="minorHAnsi"/>
          <w:bCs/>
          <w:snapToGrid w:val="0"/>
        </w:rPr>
        <w:t>-</w:t>
      </w:r>
      <w:r w:rsidR="00DD05B6" w:rsidRPr="0049179B">
        <w:rPr>
          <w:rFonts w:asciiTheme="minorHAnsi" w:hAnsiTheme="minorHAnsi"/>
          <w:bCs/>
          <w:snapToGrid w:val="0"/>
        </w:rPr>
        <w:t xml:space="preserve">2.40 points in </w:t>
      </w:r>
      <w:proofErr w:type="spellStart"/>
      <w:r w:rsidR="00DD05B6" w:rsidRPr="0049179B">
        <w:rPr>
          <w:rFonts w:asciiTheme="minorHAnsi" w:hAnsiTheme="minorHAnsi"/>
          <w:bCs/>
          <w:snapToGrid w:val="0"/>
        </w:rPr>
        <w:t>mFARS</w:t>
      </w:r>
      <w:proofErr w:type="spellEnd"/>
      <w:r w:rsidR="00DD05B6" w:rsidRPr="0049179B">
        <w:rPr>
          <w:rFonts w:asciiTheme="minorHAnsi" w:hAnsiTheme="minorHAnsi"/>
          <w:bCs/>
          <w:snapToGrid w:val="0"/>
        </w:rPr>
        <w:t xml:space="preserve"> in favour of </w:t>
      </w:r>
      <w:proofErr w:type="spellStart"/>
      <w:r w:rsidR="00DD05B6" w:rsidRPr="0049179B">
        <w:rPr>
          <w:rFonts w:asciiTheme="minorHAnsi" w:hAnsiTheme="minorHAnsi"/>
          <w:bCs/>
          <w:snapToGrid w:val="0"/>
        </w:rPr>
        <w:t>omaveloxolone</w:t>
      </w:r>
      <w:proofErr w:type="spellEnd"/>
      <w:r w:rsidR="00DD05B6" w:rsidRPr="0049179B">
        <w:rPr>
          <w:rFonts w:asciiTheme="minorHAnsi" w:hAnsiTheme="minorHAnsi"/>
          <w:bCs/>
          <w:snapToGrid w:val="0"/>
        </w:rPr>
        <w:t xml:space="preserve"> within the </w:t>
      </w:r>
      <w:proofErr w:type="spellStart"/>
      <w:r w:rsidR="00DD05B6" w:rsidRPr="0049179B">
        <w:rPr>
          <w:rFonts w:asciiTheme="minorHAnsi" w:hAnsiTheme="minorHAnsi"/>
          <w:bCs/>
          <w:snapToGrid w:val="0"/>
        </w:rPr>
        <w:t>MOXIe</w:t>
      </w:r>
      <w:proofErr w:type="spellEnd"/>
      <w:r w:rsidR="00DD05B6" w:rsidRPr="0049179B">
        <w:rPr>
          <w:rFonts w:asciiTheme="minorHAnsi" w:hAnsiTheme="minorHAnsi"/>
          <w:bCs/>
          <w:snapToGrid w:val="0"/>
        </w:rPr>
        <w:t xml:space="preserve"> trial represents both a statistically significant and clinically meaningful improvement for these patients relative to BSC, </w:t>
      </w:r>
      <w:r w:rsidR="006B2F5B">
        <w:rPr>
          <w:rFonts w:asciiTheme="minorHAnsi" w:hAnsiTheme="minorHAnsi"/>
          <w:bCs/>
          <w:snapToGrid w:val="0"/>
        </w:rPr>
        <w:t xml:space="preserve">noting treatment </w:t>
      </w:r>
      <w:r w:rsidR="00DD05B6" w:rsidRPr="0049179B">
        <w:rPr>
          <w:rFonts w:asciiTheme="minorHAnsi" w:hAnsiTheme="minorHAnsi"/>
          <w:bCs/>
          <w:snapToGrid w:val="0"/>
        </w:rPr>
        <w:t xml:space="preserve">potentially </w:t>
      </w:r>
      <w:r w:rsidR="009A5D26">
        <w:rPr>
          <w:rFonts w:asciiTheme="minorHAnsi" w:hAnsiTheme="minorHAnsi"/>
          <w:bCs/>
          <w:snapToGrid w:val="0"/>
        </w:rPr>
        <w:t xml:space="preserve">slowed </w:t>
      </w:r>
      <w:r w:rsidR="00DD05B6" w:rsidRPr="0049179B">
        <w:rPr>
          <w:rFonts w:asciiTheme="minorHAnsi" w:hAnsiTheme="minorHAnsi"/>
          <w:bCs/>
          <w:snapToGrid w:val="0"/>
        </w:rPr>
        <w:t>disease progression by more than a year, allowing patients to continue to undertake daily activities and maintain independence for longer.</w:t>
      </w:r>
      <w:r w:rsidR="00DD05B6">
        <w:rPr>
          <w:rFonts w:asciiTheme="minorHAnsi" w:hAnsiTheme="minorHAnsi"/>
          <w:bCs/>
          <w:snapToGrid w:val="0"/>
        </w:rPr>
        <w:t xml:space="preserve"> </w:t>
      </w:r>
      <w:r w:rsidR="008A52D5">
        <w:rPr>
          <w:rFonts w:asciiTheme="minorHAnsi" w:hAnsiTheme="minorHAnsi"/>
          <w:bCs/>
          <w:snapToGrid w:val="0"/>
        </w:rPr>
        <w:t>Additionally, the clinician n</w:t>
      </w:r>
      <w:r w:rsidR="00DD05B6" w:rsidRPr="00882B29">
        <w:rPr>
          <w:rFonts w:asciiTheme="minorHAnsi" w:hAnsiTheme="minorHAnsi"/>
          <w:bCs/>
          <w:snapToGrid w:val="0"/>
        </w:rPr>
        <w:t xml:space="preserve">oted </w:t>
      </w:r>
      <w:r w:rsidR="008A52D5">
        <w:rPr>
          <w:rFonts w:asciiTheme="minorHAnsi" w:hAnsiTheme="minorHAnsi"/>
          <w:bCs/>
          <w:snapToGrid w:val="0"/>
        </w:rPr>
        <w:t xml:space="preserve">the reduction in </w:t>
      </w:r>
      <w:proofErr w:type="spellStart"/>
      <w:r w:rsidR="008A52D5">
        <w:rPr>
          <w:rFonts w:asciiTheme="minorHAnsi" w:hAnsiTheme="minorHAnsi"/>
          <w:bCs/>
          <w:snapToGrid w:val="0"/>
        </w:rPr>
        <w:t>mFARS</w:t>
      </w:r>
      <w:proofErr w:type="spellEnd"/>
      <w:r w:rsidR="008A52D5">
        <w:rPr>
          <w:rFonts w:asciiTheme="minorHAnsi" w:hAnsiTheme="minorHAnsi"/>
          <w:bCs/>
          <w:snapToGrid w:val="0"/>
        </w:rPr>
        <w:t xml:space="preserve"> score may also represent improvements to carers including reducing </w:t>
      </w:r>
      <w:r w:rsidR="00DD05B6" w:rsidRPr="00882B29">
        <w:rPr>
          <w:rFonts w:asciiTheme="minorHAnsi" w:hAnsiTheme="minorHAnsi"/>
          <w:bCs/>
          <w:snapToGrid w:val="0"/>
        </w:rPr>
        <w:t>the amount of carer h</w:t>
      </w:r>
      <w:r w:rsidR="0077366F">
        <w:rPr>
          <w:rFonts w:asciiTheme="minorHAnsi" w:hAnsiTheme="minorHAnsi"/>
          <w:bCs/>
          <w:snapToGrid w:val="0"/>
        </w:rPr>
        <w:t>ou</w:t>
      </w:r>
      <w:r w:rsidR="00DD05B6" w:rsidRPr="00882B29">
        <w:rPr>
          <w:rFonts w:asciiTheme="minorHAnsi" w:hAnsiTheme="minorHAnsi"/>
          <w:bCs/>
          <w:snapToGrid w:val="0"/>
        </w:rPr>
        <w:t>rs required and unpaid care provided by family</w:t>
      </w:r>
      <w:r w:rsidR="00DD05B6">
        <w:rPr>
          <w:rFonts w:asciiTheme="minorHAnsi" w:hAnsiTheme="minorHAnsi"/>
          <w:bCs/>
          <w:snapToGrid w:val="0"/>
        </w:rPr>
        <w:t>.</w:t>
      </w:r>
    </w:p>
    <w:p w14:paraId="6E857BF0" w14:textId="6DEA887C" w:rsidR="00890277" w:rsidRDefault="00425A3B" w:rsidP="00C7073E">
      <w:pPr>
        <w:widowControl w:val="0"/>
        <w:numPr>
          <w:ilvl w:val="1"/>
          <w:numId w:val="1"/>
        </w:numPr>
        <w:spacing w:after="120"/>
        <w:rPr>
          <w:rFonts w:asciiTheme="minorHAnsi" w:hAnsiTheme="minorHAnsi"/>
          <w:bCs/>
          <w:snapToGrid w:val="0"/>
        </w:rPr>
      </w:pPr>
      <w:r>
        <w:rPr>
          <w:rFonts w:asciiTheme="minorHAnsi" w:hAnsiTheme="minorHAnsi"/>
          <w:bCs/>
          <w:snapToGrid w:val="0"/>
        </w:rPr>
        <w:t>In terms of the restriction, t</w:t>
      </w:r>
      <w:r w:rsidR="00677795">
        <w:rPr>
          <w:rFonts w:asciiTheme="minorHAnsi" w:hAnsiTheme="minorHAnsi"/>
          <w:bCs/>
          <w:snapToGrid w:val="0"/>
        </w:rPr>
        <w:t>he clinician</w:t>
      </w:r>
      <w:r w:rsidR="005832AD">
        <w:rPr>
          <w:rFonts w:asciiTheme="minorHAnsi" w:hAnsiTheme="minorHAnsi"/>
          <w:bCs/>
          <w:snapToGrid w:val="0"/>
        </w:rPr>
        <w:t xml:space="preserve"> suggested </w:t>
      </w:r>
      <w:r w:rsidR="00A53009" w:rsidRPr="00A53009">
        <w:rPr>
          <w:rFonts w:asciiTheme="minorHAnsi" w:hAnsiTheme="minorHAnsi"/>
          <w:bCs/>
          <w:snapToGrid w:val="0"/>
        </w:rPr>
        <w:t xml:space="preserve">eligibility </w:t>
      </w:r>
      <w:r w:rsidR="00A53009">
        <w:rPr>
          <w:rFonts w:asciiTheme="minorHAnsi" w:hAnsiTheme="minorHAnsi"/>
          <w:bCs/>
          <w:snapToGrid w:val="0"/>
        </w:rPr>
        <w:t xml:space="preserve">for </w:t>
      </w:r>
      <w:proofErr w:type="spellStart"/>
      <w:r w:rsidR="00A53009">
        <w:rPr>
          <w:rFonts w:asciiTheme="minorHAnsi" w:hAnsiTheme="minorHAnsi"/>
          <w:bCs/>
          <w:snapToGrid w:val="0"/>
        </w:rPr>
        <w:t>omaveloxolone</w:t>
      </w:r>
      <w:proofErr w:type="spellEnd"/>
      <w:r w:rsidR="00A53009">
        <w:rPr>
          <w:rFonts w:asciiTheme="minorHAnsi" w:hAnsiTheme="minorHAnsi"/>
          <w:bCs/>
          <w:snapToGrid w:val="0"/>
        </w:rPr>
        <w:t xml:space="preserve"> be </w:t>
      </w:r>
      <w:r w:rsidR="00A53009" w:rsidRPr="00A53009">
        <w:rPr>
          <w:rFonts w:asciiTheme="minorHAnsi" w:hAnsiTheme="minorHAnsi"/>
          <w:bCs/>
          <w:snapToGrid w:val="0"/>
        </w:rPr>
        <w:t xml:space="preserve">based on symptoms as identified in a clinical exam rather than </w:t>
      </w:r>
      <w:proofErr w:type="spellStart"/>
      <w:r w:rsidR="00A53009" w:rsidRPr="00A53009">
        <w:rPr>
          <w:rFonts w:asciiTheme="minorHAnsi" w:hAnsiTheme="minorHAnsi"/>
          <w:bCs/>
          <w:snapToGrid w:val="0"/>
        </w:rPr>
        <w:t>mFARS</w:t>
      </w:r>
      <w:proofErr w:type="spellEnd"/>
      <w:r w:rsidR="00A53009" w:rsidRPr="00A53009">
        <w:rPr>
          <w:rFonts w:asciiTheme="minorHAnsi" w:hAnsiTheme="minorHAnsi"/>
          <w:bCs/>
          <w:snapToGrid w:val="0"/>
        </w:rPr>
        <w:t xml:space="preserve"> score</w:t>
      </w:r>
      <w:r w:rsidR="00A53009">
        <w:rPr>
          <w:rFonts w:asciiTheme="minorHAnsi" w:hAnsiTheme="minorHAnsi"/>
          <w:bCs/>
          <w:snapToGrid w:val="0"/>
        </w:rPr>
        <w:t>s.</w:t>
      </w:r>
      <w:r w:rsidR="00715B24">
        <w:rPr>
          <w:rFonts w:asciiTheme="minorHAnsi" w:hAnsiTheme="minorHAnsi"/>
          <w:bCs/>
          <w:snapToGrid w:val="0"/>
        </w:rPr>
        <w:t xml:space="preserve"> The clinician </w:t>
      </w:r>
      <w:r w:rsidR="001E5B5A">
        <w:rPr>
          <w:rFonts w:asciiTheme="minorHAnsi" w:hAnsiTheme="minorHAnsi"/>
          <w:bCs/>
          <w:snapToGrid w:val="0"/>
        </w:rPr>
        <w:t xml:space="preserve">explained that patients with </w:t>
      </w:r>
      <w:r w:rsidR="001E5B5A" w:rsidRPr="001E5B5A">
        <w:rPr>
          <w:rFonts w:asciiTheme="minorHAnsi" w:hAnsiTheme="minorHAnsi"/>
          <w:bCs/>
          <w:snapToGrid w:val="0"/>
        </w:rPr>
        <w:t>FA are typically identified when they present with clinical symptoms, followed by confirmed diagnosis with genetic testing</w:t>
      </w:r>
      <w:r w:rsidR="00BE5651">
        <w:rPr>
          <w:rFonts w:asciiTheme="minorHAnsi" w:hAnsiTheme="minorHAnsi"/>
          <w:bCs/>
          <w:snapToGrid w:val="0"/>
        </w:rPr>
        <w:t>,</w:t>
      </w:r>
      <w:r w:rsidR="001E5B5A">
        <w:rPr>
          <w:rFonts w:asciiTheme="minorHAnsi" w:hAnsiTheme="minorHAnsi"/>
          <w:bCs/>
          <w:snapToGrid w:val="0"/>
        </w:rPr>
        <w:t xml:space="preserve"> as opposed to </w:t>
      </w:r>
      <w:r w:rsidR="00A31441">
        <w:rPr>
          <w:rFonts w:asciiTheme="minorHAnsi" w:hAnsiTheme="minorHAnsi"/>
          <w:bCs/>
          <w:snapToGrid w:val="0"/>
        </w:rPr>
        <w:t xml:space="preserve">receiving an </w:t>
      </w:r>
      <w:proofErr w:type="spellStart"/>
      <w:r w:rsidR="00A31441">
        <w:rPr>
          <w:rFonts w:asciiTheme="minorHAnsi" w:hAnsiTheme="minorHAnsi"/>
          <w:bCs/>
          <w:snapToGrid w:val="0"/>
        </w:rPr>
        <w:t>mFARS</w:t>
      </w:r>
      <w:proofErr w:type="spellEnd"/>
      <w:r w:rsidR="00A31441">
        <w:rPr>
          <w:rFonts w:asciiTheme="minorHAnsi" w:hAnsiTheme="minorHAnsi"/>
          <w:bCs/>
          <w:snapToGrid w:val="0"/>
        </w:rPr>
        <w:t xml:space="preserve"> score.</w:t>
      </w:r>
    </w:p>
    <w:p w14:paraId="64FAE37D" w14:textId="6A4D1C4D" w:rsidR="00C7073E" w:rsidRDefault="008F2299" w:rsidP="00C7073E">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clinician was </w:t>
      </w:r>
      <w:r w:rsidR="00087582">
        <w:rPr>
          <w:rFonts w:asciiTheme="minorHAnsi" w:hAnsiTheme="minorHAnsi"/>
          <w:bCs/>
          <w:snapToGrid w:val="0"/>
        </w:rPr>
        <w:t xml:space="preserve">not supportive of restricting the use of </w:t>
      </w:r>
      <w:proofErr w:type="spellStart"/>
      <w:r w:rsidR="00087582">
        <w:rPr>
          <w:rFonts w:asciiTheme="minorHAnsi" w:hAnsiTheme="minorHAnsi"/>
          <w:bCs/>
          <w:snapToGrid w:val="0"/>
        </w:rPr>
        <w:t>omaveloxolone</w:t>
      </w:r>
      <w:proofErr w:type="spellEnd"/>
      <w:r w:rsidR="00087582">
        <w:rPr>
          <w:rFonts w:asciiTheme="minorHAnsi" w:hAnsiTheme="minorHAnsi"/>
          <w:bCs/>
          <w:snapToGrid w:val="0"/>
        </w:rPr>
        <w:t xml:space="preserve"> to patients </w:t>
      </w:r>
      <w:r w:rsidR="00A55C03">
        <w:rPr>
          <w:rFonts w:asciiTheme="minorHAnsi" w:hAnsiTheme="minorHAnsi"/>
          <w:bCs/>
          <w:snapToGrid w:val="0"/>
        </w:rPr>
        <w:t>diagnosed with FA before the age of 40</w:t>
      </w:r>
      <w:r w:rsidR="00FE4BA6">
        <w:rPr>
          <w:rFonts w:asciiTheme="minorHAnsi" w:hAnsiTheme="minorHAnsi"/>
          <w:bCs/>
          <w:snapToGrid w:val="0"/>
        </w:rPr>
        <w:t xml:space="preserve"> </w:t>
      </w:r>
      <w:r w:rsidR="00E50B59">
        <w:rPr>
          <w:rFonts w:asciiTheme="minorHAnsi" w:hAnsiTheme="minorHAnsi"/>
          <w:bCs/>
          <w:snapToGrid w:val="0"/>
        </w:rPr>
        <w:t>t</w:t>
      </w:r>
      <w:r w:rsidR="00E50B59" w:rsidRPr="00E50B59">
        <w:rPr>
          <w:rFonts w:asciiTheme="minorHAnsi" w:hAnsiTheme="minorHAnsi"/>
          <w:bCs/>
          <w:snapToGrid w:val="0"/>
        </w:rPr>
        <w:t>o avoid inequities in a rare disease context</w:t>
      </w:r>
      <w:r w:rsidR="00FE4BA6">
        <w:rPr>
          <w:rFonts w:asciiTheme="minorHAnsi" w:hAnsiTheme="minorHAnsi"/>
          <w:bCs/>
          <w:snapToGrid w:val="0"/>
        </w:rPr>
        <w:t xml:space="preserve">. </w:t>
      </w:r>
    </w:p>
    <w:bookmarkEnd w:id="17"/>
    <w:p w14:paraId="4FEA29F0" w14:textId="77777777" w:rsidR="00C7073E" w:rsidRPr="006E1229" w:rsidRDefault="00C7073E" w:rsidP="00C7073E">
      <w:pPr>
        <w:pStyle w:val="4-SubsectionHeading"/>
      </w:pPr>
      <w:r w:rsidRPr="006E1229">
        <w:t>Consumer comments</w:t>
      </w:r>
    </w:p>
    <w:p w14:paraId="4DD11C48" w14:textId="01D1FD3E" w:rsidR="003D2F7A" w:rsidRDefault="00C7073E" w:rsidP="003D2F7A">
      <w:pPr>
        <w:widowControl w:val="0"/>
        <w:numPr>
          <w:ilvl w:val="1"/>
          <w:numId w:val="1"/>
        </w:numPr>
        <w:spacing w:after="120"/>
        <w:rPr>
          <w:snapToGrid w:val="0"/>
        </w:rPr>
      </w:pPr>
      <w:bookmarkStart w:id="18" w:name="_Hlk76382618"/>
      <w:r w:rsidRPr="00836F75">
        <w:rPr>
          <w:rFonts w:asciiTheme="minorHAnsi" w:hAnsiTheme="minorHAnsi"/>
          <w:bCs/>
          <w:snapToGrid w:val="0"/>
        </w:rPr>
        <w:t>The PBAC noted and welcomed the input from individuals (</w:t>
      </w:r>
      <w:r w:rsidR="006A7CEB">
        <w:rPr>
          <w:rFonts w:asciiTheme="minorHAnsi" w:hAnsiTheme="minorHAnsi"/>
          <w:bCs/>
          <w:snapToGrid w:val="0"/>
        </w:rPr>
        <w:t>77</w:t>
      </w:r>
      <w:r w:rsidRPr="00836F75">
        <w:rPr>
          <w:rFonts w:asciiTheme="minorHAnsi" w:hAnsiTheme="minorHAnsi"/>
          <w:bCs/>
          <w:snapToGrid w:val="0"/>
        </w:rPr>
        <w:t>), health care professionals (</w:t>
      </w:r>
      <w:r w:rsidR="006A7CEB">
        <w:rPr>
          <w:rFonts w:asciiTheme="minorHAnsi" w:hAnsiTheme="minorHAnsi"/>
          <w:bCs/>
          <w:snapToGrid w:val="0"/>
        </w:rPr>
        <w:t>10</w:t>
      </w:r>
      <w:r w:rsidRPr="00836F75">
        <w:rPr>
          <w:rFonts w:asciiTheme="minorHAnsi" w:hAnsiTheme="minorHAnsi"/>
          <w:bCs/>
          <w:snapToGrid w:val="0"/>
        </w:rPr>
        <w:t>) and organisations (</w:t>
      </w:r>
      <w:r w:rsidR="006A7CEB">
        <w:rPr>
          <w:rFonts w:asciiTheme="minorHAnsi" w:hAnsiTheme="minorHAnsi"/>
          <w:bCs/>
          <w:snapToGrid w:val="0"/>
        </w:rPr>
        <w:t>2</w:t>
      </w:r>
      <w:r w:rsidRPr="00836F75">
        <w:rPr>
          <w:rFonts w:asciiTheme="minorHAnsi" w:hAnsiTheme="minorHAnsi"/>
          <w:bCs/>
          <w:snapToGrid w:val="0"/>
        </w:rPr>
        <w:t xml:space="preserve">) via the Consumer Comments facility on the PBS website.  The comments </w:t>
      </w:r>
      <w:r w:rsidR="00484D1C">
        <w:rPr>
          <w:rFonts w:asciiTheme="minorHAnsi" w:hAnsiTheme="minorHAnsi"/>
          <w:bCs/>
          <w:snapToGrid w:val="0"/>
        </w:rPr>
        <w:t xml:space="preserve">from individuals </w:t>
      </w:r>
      <w:r w:rsidR="00264B4F">
        <w:rPr>
          <w:rFonts w:asciiTheme="minorHAnsi" w:hAnsiTheme="minorHAnsi"/>
          <w:bCs/>
          <w:snapToGrid w:val="0"/>
        </w:rPr>
        <w:t>included patients with FA and p</w:t>
      </w:r>
      <w:r w:rsidR="00264B4F" w:rsidRPr="00264B4F">
        <w:rPr>
          <w:rFonts w:asciiTheme="minorHAnsi" w:hAnsiTheme="minorHAnsi"/>
          <w:bCs/>
          <w:snapToGrid w:val="0"/>
        </w:rPr>
        <w:t xml:space="preserve">arents, family members, partners or carers of people living with FA. </w:t>
      </w:r>
      <w:r w:rsidR="00264B4F">
        <w:rPr>
          <w:rFonts w:asciiTheme="minorHAnsi" w:hAnsiTheme="minorHAnsi"/>
          <w:bCs/>
          <w:snapToGrid w:val="0"/>
        </w:rPr>
        <w:t xml:space="preserve">Input </w:t>
      </w:r>
      <w:r w:rsidRPr="00836F75">
        <w:rPr>
          <w:rFonts w:asciiTheme="minorHAnsi" w:hAnsiTheme="minorHAnsi"/>
          <w:bCs/>
          <w:snapToGrid w:val="0"/>
        </w:rPr>
        <w:t>described</w:t>
      </w:r>
      <w:r w:rsidR="001A37A3">
        <w:rPr>
          <w:rFonts w:asciiTheme="minorHAnsi" w:hAnsiTheme="minorHAnsi"/>
          <w:bCs/>
          <w:snapToGrid w:val="0"/>
        </w:rPr>
        <w:t xml:space="preserve"> the impacts </w:t>
      </w:r>
      <w:r w:rsidR="005D02F5">
        <w:rPr>
          <w:rFonts w:asciiTheme="minorHAnsi" w:hAnsiTheme="minorHAnsi"/>
          <w:bCs/>
          <w:snapToGrid w:val="0"/>
        </w:rPr>
        <w:t>of this</w:t>
      </w:r>
      <w:r w:rsidR="00AB6EB9">
        <w:rPr>
          <w:rFonts w:asciiTheme="minorHAnsi" w:hAnsiTheme="minorHAnsi"/>
          <w:bCs/>
          <w:snapToGrid w:val="0"/>
        </w:rPr>
        <w:t xml:space="preserve"> progressive</w:t>
      </w:r>
      <w:r w:rsidR="005D02F5">
        <w:rPr>
          <w:rFonts w:asciiTheme="minorHAnsi" w:hAnsiTheme="minorHAnsi"/>
          <w:bCs/>
          <w:snapToGrid w:val="0"/>
        </w:rPr>
        <w:t xml:space="preserve"> condition</w:t>
      </w:r>
      <w:r w:rsidR="003E2D1F">
        <w:rPr>
          <w:rFonts w:asciiTheme="minorHAnsi" w:hAnsiTheme="minorHAnsi"/>
          <w:bCs/>
          <w:snapToGrid w:val="0"/>
        </w:rPr>
        <w:t>,</w:t>
      </w:r>
      <w:r w:rsidR="005D02F5">
        <w:rPr>
          <w:rFonts w:asciiTheme="minorHAnsi" w:hAnsiTheme="minorHAnsi"/>
          <w:bCs/>
          <w:snapToGrid w:val="0"/>
        </w:rPr>
        <w:t xml:space="preserve"> </w:t>
      </w:r>
      <w:r w:rsidR="003E2D1F">
        <w:rPr>
          <w:rFonts w:asciiTheme="minorHAnsi" w:hAnsiTheme="minorHAnsi"/>
          <w:bCs/>
          <w:snapToGrid w:val="0"/>
        </w:rPr>
        <w:t xml:space="preserve">which reduces people’s ability to undertake daily tasks, </w:t>
      </w:r>
      <w:r w:rsidR="00261D97">
        <w:rPr>
          <w:rFonts w:asciiTheme="minorHAnsi" w:hAnsiTheme="minorHAnsi"/>
          <w:bCs/>
          <w:snapToGrid w:val="0"/>
        </w:rPr>
        <w:t xml:space="preserve">on quality of life </w:t>
      </w:r>
      <w:r w:rsidR="00F0629D">
        <w:rPr>
          <w:rFonts w:asciiTheme="minorHAnsi" w:hAnsiTheme="minorHAnsi"/>
          <w:bCs/>
          <w:snapToGrid w:val="0"/>
        </w:rPr>
        <w:t xml:space="preserve">and how important it was for patients to </w:t>
      </w:r>
      <w:r w:rsidR="00240792">
        <w:rPr>
          <w:rFonts w:asciiTheme="minorHAnsi" w:hAnsiTheme="minorHAnsi"/>
          <w:bCs/>
          <w:snapToGrid w:val="0"/>
        </w:rPr>
        <w:t xml:space="preserve">find treatments that would delay progression and </w:t>
      </w:r>
      <w:r w:rsidR="00240792" w:rsidRPr="00FE3385">
        <w:rPr>
          <w:rFonts w:asciiTheme="minorHAnsi" w:hAnsiTheme="minorHAnsi"/>
          <w:bCs/>
          <w:snapToGrid w:val="0"/>
        </w:rPr>
        <w:t xml:space="preserve">improve daily functioning. </w:t>
      </w:r>
      <w:r w:rsidR="006C74E2" w:rsidRPr="00FE3385">
        <w:rPr>
          <w:rFonts w:asciiTheme="minorHAnsi" w:hAnsiTheme="minorHAnsi"/>
          <w:bCs/>
          <w:snapToGrid w:val="0"/>
        </w:rPr>
        <w:t xml:space="preserve">Input from carers highlighted the substantial difficulties and challenges in witnessing and supporting progressive FA decline. </w:t>
      </w:r>
      <w:r w:rsidR="003E2D1F">
        <w:rPr>
          <w:rFonts w:asciiTheme="minorHAnsi" w:hAnsiTheme="minorHAnsi"/>
          <w:bCs/>
          <w:snapToGrid w:val="0"/>
        </w:rPr>
        <w:t>T</w:t>
      </w:r>
      <w:r w:rsidR="007200A8" w:rsidRPr="00FE3385">
        <w:t xml:space="preserve">he potential benefits of </w:t>
      </w:r>
      <w:proofErr w:type="spellStart"/>
      <w:r w:rsidR="007200A8" w:rsidRPr="00FE3385">
        <w:t>omaveloxolone</w:t>
      </w:r>
      <w:proofErr w:type="spellEnd"/>
      <w:r w:rsidR="007200A8" w:rsidRPr="00FE3385">
        <w:t xml:space="preserve"> </w:t>
      </w:r>
      <w:r w:rsidR="003E2D1F">
        <w:t xml:space="preserve">were described, </w:t>
      </w:r>
      <w:r w:rsidR="007200A8" w:rsidRPr="00FE3385">
        <w:rPr>
          <w:rFonts w:asciiTheme="minorHAnsi" w:hAnsiTheme="minorHAnsi"/>
          <w:bCs/>
          <w:snapToGrid w:val="0"/>
        </w:rPr>
        <w:t xml:space="preserve">including </w:t>
      </w:r>
      <w:r w:rsidR="008D282E" w:rsidRPr="00FE3385">
        <w:rPr>
          <w:rFonts w:asciiTheme="minorHAnsi" w:hAnsiTheme="minorHAnsi"/>
          <w:bCs/>
          <w:snapToGrid w:val="0"/>
        </w:rPr>
        <w:t>a slowing of disease progression, improvement in daily functioning, and reduction in symptoms</w:t>
      </w:r>
      <w:r w:rsidR="00467D5E">
        <w:rPr>
          <w:rFonts w:asciiTheme="minorHAnsi" w:hAnsiTheme="minorHAnsi"/>
          <w:bCs/>
          <w:snapToGrid w:val="0"/>
        </w:rPr>
        <w:t xml:space="preserve">. This </w:t>
      </w:r>
      <w:r w:rsidR="003E2D1F">
        <w:rPr>
          <w:rFonts w:asciiTheme="minorHAnsi" w:hAnsiTheme="minorHAnsi"/>
          <w:bCs/>
          <w:snapToGrid w:val="0"/>
        </w:rPr>
        <w:t xml:space="preserve">allowed patients to </w:t>
      </w:r>
      <w:r w:rsidR="00FE3385" w:rsidRPr="00FE3385">
        <w:t>regain or retain</w:t>
      </w:r>
      <w:r w:rsidR="00FE3385" w:rsidRPr="00FE3385">
        <w:rPr>
          <w:rFonts w:asciiTheme="minorHAnsi" w:hAnsiTheme="minorHAnsi"/>
          <w:bCs/>
          <w:snapToGrid w:val="0"/>
        </w:rPr>
        <w:t xml:space="preserve"> </w:t>
      </w:r>
      <w:r w:rsidR="008D282E" w:rsidRPr="00FE3385">
        <w:rPr>
          <w:rFonts w:asciiTheme="minorHAnsi" w:hAnsiTheme="minorHAnsi"/>
          <w:bCs/>
          <w:snapToGrid w:val="0"/>
        </w:rPr>
        <w:t>independence</w:t>
      </w:r>
      <w:r w:rsidR="00C01D90">
        <w:rPr>
          <w:rFonts w:asciiTheme="minorHAnsi" w:hAnsiTheme="minorHAnsi"/>
          <w:bCs/>
          <w:snapToGrid w:val="0"/>
        </w:rPr>
        <w:t xml:space="preserve"> and </w:t>
      </w:r>
      <w:r w:rsidR="008D282E" w:rsidRPr="00FE3385">
        <w:rPr>
          <w:rFonts w:asciiTheme="minorHAnsi" w:hAnsiTheme="minorHAnsi"/>
          <w:bCs/>
          <w:snapToGrid w:val="0"/>
        </w:rPr>
        <w:t>continuing working and participating in social and sporting activities</w:t>
      </w:r>
      <w:r w:rsidR="00C01D90">
        <w:rPr>
          <w:rFonts w:asciiTheme="minorHAnsi" w:hAnsiTheme="minorHAnsi"/>
          <w:bCs/>
          <w:snapToGrid w:val="0"/>
        </w:rPr>
        <w:t>,</w:t>
      </w:r>
      <w:r w:rsidR="003E2D1F">
        <w:rPr>
          <w:rFonts w:asciiTheme="minorHAnsi" w:hAnsiTheme="minorHAnsi"/>
          <w:bCs/>
          <w:snapToGrid w:val="0"/>
        </w:rPr>
        <w:t xml:space="preserve"> in addition to </w:t>
      </w:r>
      <w:r w:rsidR="003E2D1F" w:rsidRPr="00FE3385">
        <w:rPr>
          <w:rFonts w:asciiTheme="minorHAnsi" w:hAnsiTheme="minorHAnsi"/>
          <w:bCs/>
          <w:snapToGrid w:val="0"/>
        </w:rPr>
        <w:t>reducing caregiver burden</w:t>
      </w:r>
      <w:r w:rsidR="008D282E" w:rsidRPr="00FE3385">
        <w:rPr>
          <w:rFonts w:asciiTheme="minorHAnsi" w:hAnsiTheme="minorHAnsi"/>
          <w:bCs/>
          <w:snapToGrid w:val="0"/>
        </w:rPr>
        <w:t>.</w:t>
      </w:r>
    </w:p>
    <w:p w14:paraId="03F381E6" w14:textId="77777777" w:rsidR="00467D5E" w:rsidRPr="00467D5E" w:rsidRDefault="000655C5" w:rsidP="00E35DB6">
      <w:pPr>
        <w:pStyle w:val="3-BodyText"/>
        <w:rPr>
          <w:snapToGrid w:val="0"/>
        </w:rPr>
      </w:pPr>
      <w:r w:rsidRPr="003D2F7A">
        <w:rPr>
          <w:snapToGrid w:val="0"/>
        </w:rPr>
        <w:t xml:space="preserve">Input from health professionals </w:t>
      </w:r>
      <w:r w:rsidR="003E2D1F">
        <w:rPr>
          <w:snapToGrid w:val="0"/>
        </w:rPr>
        <w:t>was received from</w:t>
      </w:r>
      <w:r w:rsidRPr="003D2F7A">
        <w:rPr>
          <w:snapToGrid w:val="0"/>
        </w:rPr>
        <w:t xml:space="preserve"> neurologists, clinical researchers/</w:t>
      </w:r>
      <w:r w:rsidR="003E2D1F">
        <w:rPr>
          <w:snapToGrid w:val="0"/>
        </w:rPr>
        <w:t xml:space="preserve"> </w:t>
      </w:r>
      <w:r w:rsidRPr="003D2F7A">
        <w:rPr>
          <w:snapToGrid w:val="0"/>
        </w:rPr>
        <w:t xml:space="preserve">investigators, physiotherapists and an occupational therapist. </w:t>
      </w:r>
      <w:r w:rsidR="003E2D1F">
        <w:rPr>
          <w:snapToGrid w:val="0"/>
        </w:rPr>
        <w:t xml:space="preserve">Clinicians </w:t>
      </w:r>
      <w:r w:rsidRPr="003D2F7A">
        <w:rPr>
          <w:snapToGrid w:val="0"/>
        </w:rPr>
        <w:t xml:space="preserve">noted </w:t>
      </w:r>
      <w:r w:rsidR="005B685F">
        <w:rPr>
          <w:snapToGrid w:val="0"/>
        </w:rPr>
        <w:t xml:space="preserve">that </w:t>
      </w:r>
      <w:r w:rsidRPr="003D2F7A">
        <w:rPr>
          <w:snapToGrid w:val="0"/>
        </w:rPr>
        <w:t xml:space="preserve">no disease modifying therapies are currently available and </w:t>
      </w:r>
      <w:r w:rsidR="005B685F">
        <w:rPr>
          <w:snapToGrid w:val="0"/>
        </w:rPr>
        <w:t xml:space="preserve">that </w:t>
      </w:r>
      <w:r w:rsidRPr="003D2F7A">
        <w:rPr>
          <w:snapToGrid w:val="0"/>
        </w:rPr>
        <w:t>those undergoing treatment receive supportive care</w:t>
      </w:r>
      <w:r w:rsidR="005B685F">
        <w:rPr>
          <w:snapToGrid w:val="0"/>
        </w:rPr>
        <w:t xml:space="preserve"> only</w:t>
      </w:r>
      <w:r w:rsidRPr="003D2F7A">
        <w:rPr>
          <w:snapToGrid w:val="0"/>
        </w:rPr>
        <w:t xml:space="preserve">. </w:t>
      </w:r>
      <w:r w:rsidR="00414BE2">
        <w:rPr>
          <w:snapToGrid w:val="0"/>
        </w:rPr>
        <w:t xml:space="preserve">The health professionals </w:t>
      </w:r>
      <w:r w:rsidR="00414BE2" w:rsidRPr="003D2F7A">
        <w:rPr>
          <w:bCs/>
          <w:snapToGrid w:val="0"/>
        </w:rPr>
        <w:t>describe</w:t>
      </w:r>
      <w:r w:rsidR="00414BE2">
        <w:rPr>
          <w:bCs/>
          <w:snapToGrid w:val="0"/>
        </w:rPr>
        <w:t>d</w:t>
      </w:r>
      <w:r w:rsidR="00414BE2" w:rsidRPr="003D2F7A">
        <w:rPr>
          <w:bCs/>
          <w:snapToGrid w:val="0"/>
        </w:rPr>
        <w:t xml:space="preserve"> the significant impact of this progressive neurogenerative condition on quality of life</w:t>
      </w:r>
      <w:r w:rsidR="00414BE2">
        <w:rPr>
          <w:bCs/>
          <w:snapToGrid w:val="0"/>
        </w:rPr>
        <w:t>, stating that FA</w:t>
      </w:r>
      <w:r w:rsidR="00414BE2" w:rsidRPr="003D2F7A">
        <w:rPr>
          <w:bCs/>
          <w:snapToGrid w:val="0"/>
        </w:rPr>
        <w:t xml:space="preserve"> slowly reduces the capacity for people to undertake daily tasks, walk, talk and swallow food. Vision and sight become impaired, there may be curvature of the spine, pain, limb spasticity, continence issues, muscle weakness, changes in sleep and fatigue and significant depression. </w:t>
      </w:r>
      <w:r w:rsidR="00414BE2">
        <w:rPr>
          <w:bCs/>
          <w:snapToGrid w:val="0"/>
        </w:rPr>
        <w:t xml:space="preserve">Clinicians stated that </w:t>
      </w:r>
      <w:r w:rsidR="00414BE2" w:rsidRPr="003D2F7A">
        <w:rPr>
          <w:bCs/>
          <w:snapToGrid w:val="0"/>
        </w:rPr>
        <w:t xml:space="preserve">the retention of functional capacities </w:t>
      </w:r>
      <w:r w:rsidR="00414BE2">
        <w:rPr>
          <w:bCs/>
          <w:snapToGrid w:val="0"/>
        </w:rPr>
        <w:t>w</w:t>
      </w:r>
      <w:r w:rsidR="00414BE2" w:rsidRPr="003D2F7A">
        <w:rPr>
          <w:bCs/>
          <w:snapToGrid w:val="0"/>
        </w:rPr>
        <w:t>as crucial to quality of life</w:t>
      </w:r>
      <w:r w:rsidR="00414BE2">
        <w:rPr>
          <w:bCs/>
          <w:snapToGrid w:val="0"/>
        </w:rPr>
        <w:t xml:space="preserve"> and </w:t>
      </w:r>
      <w:r w:rsidRPr="003D2F7A">
        <w:rPr>
          <w:snapToGrid w:val="0"/>
        </w:rPr>
        <w:t xml:space="preserve">that </w:t>
      </w:r>
      <w:proofErr w:type="spellStart"/>
      <w:r w:rsidRPr="003D2F7A">
        <w:rPr>
          <w:snapToGrid w:val="0"/>
        </w:rPr>
        <w:t>omaveloxolone</w:t>
      </w:r>
      <w:proofErr w:type="spellEnd"/>
      <w:r w:rsidRPr="003D2F7A">
        <w:rPr>
          <w:snapToGrid w:val="0"/>
        </w:rPr>
        <w:t xml:space="preserve"> can slow the progression of the disease, allowing people to maintain their functional capacity, remain ambulant for longer</w:t>
      </w:r>
      <w:r w:rsidR="005B685F">
        <w:rPr>
          <w:snapToGrid w:val="0"/>
        </w:rPr>
        <w:t xml:space="preserve"> and</w:t>
      </w:r>
      <w:r w:rsidRPr="003D2F7A">
        <w:rPr>
          <w:snapToGrid w:val="0"/>
        </w:rPr>
        <w:t xml:space="preserve"> reduce/delay the need for carer assistance requirement. </w:t>
      </w:r>
      <w:r w:rsidR="005B685F">
        <w:rPr>
          <w:snapToGrid w:val="0"/>
        </w:rPr>
        <w:t xml:space="preserve">Clinicians stated </w:t>
      </w:r>
      <w:r w:rsidR="00E517B7" w:rsidRPr="003D2F7A">
        <w:rPr>
          <w:bCs/>
          <w:snapToGrid w:val="0"/>
        </w:rPr>
        <w:t xml:space="preserve">that </w:t>
      </w:r>
      <w:proofErr w:type="spellStart"/>
      <w:r w:rsidR="00E517B7" w:rsidRPr="003D2F7A">
        <w:rPr>
          <w:bCs/>
          <w:snapToGrid w:val="0"/>
        </w:rPr>
        <w:t>omaveloxolone</w:t>
      </w:r>
      <w:proofErr w:type="spellEnd"/>
      <w:r w:rsidR="00E517B7" w:rsidRPr="003D2F7A">
        <w:rPr>
          <w:bCs/>
          <w:snapToGrid w:val="0"/>
        </w:rPr>
        <w:t xml:space="preserve"> has a favourable safety profile with very few people needing to cease treatment due to adverse events</w:t>
      </w:r>
      <w:r w:rsidR="005B685F">
        <w:rPr>
          <w:bCs/>
          <w:snapToGrid w:val="0"/>
        </w:rPr>
        <w:t xml:space="preserve">, but noted </w:t>
      </w:r>
      <w:r w:rsidR="0057315F">
        <w:t xml:space="preserve">a need for monitoring for elevated liver enzymes and that withdrawal from the medication can result in accelerated degeneration. </w:t>
      </w:r>
    </w:p>
    <w:p w14:paraId="0F4B5DF1" w14:textId="40C5EBCA" w:rsidR="00F85633" w:rsidRPr="00E35DB6" w:rsidRDefault="00C7073E" w:rsidP="00E35DB6">
      <w:pPr>
        <w:pStyle w:val="3-BodyText"/>
        <w:rPr>
          <w:snapToGrid w:val="0"/>
        </w:rPr>
      </w:pPr>
      <w:r w:rsidRPr="00E35DB6">
        <w:rPr>
          <w:snapToGrid w:val="0"/>
        </w:rPr>
        <w:t xml:space="preserve">The PBAC noted the advice received from </w:t>
      </w:r>
      <w:r w:rsidR="001B1DE0" w:rsidRPr="00E35DB6">
        <w:rPr>
          <w:snapToGrid w:val="0"/>
        </w:rPr>
        <w:t>Friedreich's Ataxia Research Alliance (FARA)</w:t>
      </w:r>
      <w:r w:rsidR="005802C9" w:rsidRPr="00E35DB6">
        <w:rPr>
          <w:snapToGrid w:val="0"/>
        </w:rPr>
        <w:t xml:space="preserve"> and Friedreich Ataxia Research Association</w:t>
      </w:r>
      <w:r w:rsidR="00881D37" w:rsidRPr="00E35DB6">
        <w:rPr>
          <w:snapToGrid w:val="0"/>
        </w:rPr>
        <w:t xml:space="preserve">. </w:t>
      </w:r>
      <w:r w:rsidR="005802C9" w:rsidRPr="00E35DB6">
        <w:rPr>
          <w:snapToGrid w:val="0"/>
        </w:rPr>
        <w:t xml:space="preserve">Both </w:t>
      </w:r>
      <w:r w:rsidR="00881D37" w:rsidRPr="00E35DB6">
        <w:rPr>
          <w:snapToGrid w:val="0"/>
        </w:rPr>
        <w:t>organisation</w:t>
      </w:r>
      <w:r w:rsidR="005802C9" w:rsidRPr="00E35DB6">
        <w:rPr>
          <w:snapToGrid w:val="0"/>
        </w:rPr>
        <w:t>s</w:t>
      </w:r>
      <w:r w:rsidR="00881D37" w:rsidRPr="00E35DB6">
        <w:rPr>
          <w:snapToGrid w:val="0"/>
        </w:rPr>
        <w:t xml:space="preserve"> noted there are currently no approved treatments for FA in Australia</w:t>
      </w:r>
      <w:r w:rsidR="00463A84" w:rsidRPr="00E35DB6">
        <w:rPr>
          <w:snapToGrid w:val="0"/>
        </w:rPr>
        <w:t xml:space="preserve">. </w:t>
      </w:r>
      <w:r w:rsidR="005802C9" w:rsidRPr="00E35DB6">
        <w:rPr>
          <w:snapToGrid w:val="0"/>
        </w:rPr>
        <w:t>Additionally, both organisations noted that s</w:t>
      </w:r>
      <w:r w:rsidR="00463A84" w:rsidRPr="00E35DB6">
        <w:rPr>
          <w:rFonts w:eastAsia="Times New Roman" w:cs="Arial"/>
          <w:bCs/>
          <w:snapToGrid w:val="0"/>
          <w:szCs w:val="24"/>
        </w:rPr>
        <w:t>ymptom management is not enough to fight this disease, as it does nothing to slow disease progression and results in high financial and social burden.</w:t>
      </w:r>
      <w:r w:rsidR="00463A84" w:rsidRPr="00463A84">
        <w:t xml:space="preserve"> </w:t>
      </w:r>
      <w:r w:rsidR="007D2955" w:rsidRPr="00E35DB6">
        <w:rPr>
          <w:rFonts w:eastAsia="Times New Roman" w:cs="Arial"/>
          <w:bCs/>
          <w:snapToGrid w:val="0"/>
          <w:szCs w:val="24"/>
        </w:rPr>
        <w:t xml:space="preserve">Both organisations were supportive of the listing of </w:t>
      </w:r>
      <w:proofErr w:type="spellStart"/>
      <w:r w:rsidR="007D2955" w:rsidRPr="00E35DB6">
        <w:rPr>
          <w:rFonts w:eastAsia="Times New Roman" w:cs="Arial"/>
          <w:bCs/>
          <w:snapToGrid w:val="0"/>
          <w:szCs w:val="24"/>
        </w:rPr>
        <w:t>omaveloxolone</w:t>
      </w:r>
      <w:proofErr w:type="spellEnd"/>
      <w:r w:rsidR="00DE6EE8" w:rsidRPr="00E35DB6">
        <w:rPr>
          <w:rFonts w:eastAsia="Times New Roman" w:cs="Arial"/>
          <w:bCs/>
          <w:snapToGrid w:val="0"/>
          <w:szCs w:val="24"/>
        </w:rPr>
        <w:t>, noting the</w:t>
      </w:r>
      <w:r w:rsidR="00DC0F69" w:rsidRPr="00E35DB6">
        <w:rPr>
          <w:rFonts w:eastAsia="Times New Roman" w:cs="Arial"/>
          <w:bCs/>
          <w:snapToGrid w:val="0"/>
          <w:szCs w:val="24"/>
        </w:rPr>
        <w:t xml:space="preserve"> most </w:t>
      </w:r>
      <w:r w:rsidR="006D45E7" w:rsidRPr="00E35DB6">
        <w:rPr>
          <w:rFonts w:eastAsia="Times New Roman" w:cs="Arial"/>
          <w:bCs/>
          <w:snapToGrid w:val="0"/>
          <w:szCs w:val="24"/>
        </w:rPr>
        <w:t>important</w:t>
      </w:r>
      <w:r w:rsidR="00DE6EE8" w:rsidRPr="00E35DB6">
        <w:rPr>
          <w:rFonts w:eastAsia="Times New Roman" w:cs="Arial"/>
          <w:bCs/>
          <w:snapToGrid w:val="0"/>
          <w:szCs w:val="24"/>
        </w:rPr>
        <w:t xml:space="preserve"> </w:t>
      </w:r>
      <w:r w:rsidR="00B3715E" w:rsidRPr="00E35DB6">
        <w:rPr>
          <w:rFonts w:eastAsia="Times New Roman" w:cs="Arial"/>
          <w:bCs/>
          <w:snapToGrid w:val="0"/>
          <w:szCs w:val="24"/>
        </w:rPr>
        <w:t>benefit</w:t>
      </w:r>
      <w:r w:rsidR="00DC0F69" w:rsidRPr="00E35DB6">
        <w:rPr>
          <w:rFonts w:eastAsia="Times New Roman" w:cs="Arial"/>
          <w:bCs/>
          <w:snapToGrid w:val="0"/>
          <w:szCs w:val="24"/>
        </w:rPr>
        <w:t xml:space="preserve"> of this</w:t>
      </w:r>
      <w:r w:rsidR="00C31110" w:rsidRPr="00E35DB6">
        <w:rPr>
          <w:rFonts w:eastAsia="Times New Roman" w:cs="Arial"/>
          <w:bCs/>
          <w:snapToGrid w:val="0"/>
          <w:szCs w:val="24"/>
        </w:rPr>
        <w:t xml:space="preserve"> treatment was the </w:t>
      </w:r>
      <w:r w:rsidR="00DE6EE8" w:rsidRPr="00E35DB6">
        <w:rPr>
          <w:rFonts w:eastAsia="Times New Roman" w:cs="Arial"/>
          <w:bCs/>
          <w:snapToGrid w:val="0"/>
          <w:szCs w:val="24"/>
        </w:rPr>
        <w:t>slowed progression of disease</w:t>
      </w:r>
      <w:r w:rsidR="00C31110" w:rsidRPr="00E35DB6">
        <w:rPr>
          <w:rFonts w:eastAsia="Times New Roman" w:cs="Arial"/>
          <w:bCs/>
          <w:snapToGrid w:val="0"/>
          <w:szCs w:val="24"/>
        </w:rPr>
        <w:t xml:space="preserve"> which resulted in </w:t>
      </w:r>
      <w:r w:rsidR="00DE6EE8" w:rsidRPr="00E35DB6">
        <w:rPr>
          <w:rFonts w:eastAsia="Times New Roman" w:cs="Arial"/>
          <w:bCs/>
          <w:snapToGrid w:val="0"/>
          <w:szCs w:val="24"/>
        </w:rPr>
        <w:t xml:space="preserve">retention of motor function, </w:t>
      </w:r>
      <w:r w:rsidR="00C31110" w:rsidRPr="00E35DB6">
        <w:rPr>
          <w:rFonts w:eastAsia="Times New Roman" w:cs="Arial"/>
          <w:bCs/>
          <w:snapToGrid w:val="0"/>
          <w:szCs w:val="24"/>
        </w:rPr>
        <w:t xml:space="preserve">allowing </w:t>
      </w:r>
      <w:r w:rsidR="00DE6EE8" w:rsidRPr="00E35DB6">
        <w:rPr>
          <w:rFonts w:eastAsia="Times New Roman" w:cs="Arial"/>
          <w:bCs/>
          <w:snapToGrid w:val="0"/>
          <w:szCs w:val="24"/>
        </w:rPr>
        <w:t>individuals with FA to remain employed for longer, prevent falls that result in emergency</w:t>
      </w:r>
      <w:r w:rsidR="001E4BFE" w:rsidRPr="00E35DB6">
        <w:rPr>
          <w:rFonts w:eastAsia="Times New Roman" w:cs="Arial"/>
          <w:bCs/>
          <w:snapToGrid w:val="0"/>
          <w:szCs w:val="24"/>
        </w:rPr>
        <w:t xml:space="preserve"> </w:t>
      </w:r>
      <w:r w:rsidR="00DE6EE8" w:rsidRPr="00E35DB6">
        <w:rPr>
          <w:rFonts w:eastAsia="Times New Roman" w:cs="Arial"/>
          <w:bCs/>
          <w:snapToGrid w:val="0"/>
          <w:szCs w:val="24"/>
        </w:rPr>
        <w:t>room visits, and prolong individuals’ abilities to independently perform activities of daily living, reducing the need for personal care assistants or reliance</w:t>
      </w:r>
      <w:r w:rsidR="00DC0F69" w:rsidRPr="00E35DB6">
        <w:rPr>
          <w:rFonts w:eastAsia="Times New Roman" w:cs="Arial"/>
          <w:bCs/>
          <w:snapToGrid w:val="0"/>
          <w:szCs w:val="24"/>
        </w:rPr>
        <w:t xml:space="preserve"> </w:t>
      </w:r>
      <w:r w:rsidR="00DE6EE8" w:rsidRPr="00E35DB6">
        <w:rPr>
          <w:rFonts w:eastAsia="Times New Roman" w:cs="Arial"/>
          <w:bCs/>
          <w:snapToGrid w:val="0"/>
          <w:szCs w:val="24"/>
        </w:rPr>
        <w:t>on family members.</w:t>
      </w:r>
      <w:r w:rsidR="00DC0F69" w:rsidRPr="00E35DB6">
        <w:rPr>
          <w:rFonts w:eastAsia="Times New Roman" w:cs="Arial"/>
          <w:bCs/>
          <w:snapToGrid w:val="0"/>
          <w:szCs w:val="24"/>
        </w:rPr>
        <w:t xml:space="preserve"> </w:t>
      </w:r>
      <w:r w:rsidR="00E35DB6" w:rsidRPr="00E35DB6">
        <w:rPr>
          <w:rFonts w:eastAsia="Times New Roman" w:cs="Arial"/>
          <w:bCs/>
          <w:snapToGrid w:val="0"/>
          <w:szCs w:val="24"/>
        </w:rPr>
        <w:t xml:space="preserve">The comments also noted the side effects of </w:t>
      </w:r>
      <w:proofErr w:type="spellStart"/>
      <w:r w:rsidR="00E35DB6" w:rsidRPr="00E35DB6">
        <w:rPr>
          <w:rFonts w:eastAsia="Times New Roman" w:cs="Arial"/>
          <w:bCs/>
          <w:snapToGrid w:val="0"/>
          <w:szCs w:val="24"/>
        </w:rPr>
        <w:t>omaveloxolone</w:t>
      </w:r>
      <w:proofErr w:type="spellEnd"/>
      <w:r w:rsidR="00E35DB6" w:rsidRPr="00E35DB6">
        <w:rPr>
          <w:rFonts w:eastAsia="Times New Roman" w:cs="Arial"/>
          <w:bCs/>
          <w:snapToGrid w:val="0"/>
          <w:szCs w:val="24"/>
        </w:rPr>
        <w:t xml:space="preserve"> were minimal and include transient elevation of liver function enzymes, elevated cholesterol, headache, diarrhea, and nausea. </w:t>
      </w:r>
      <w:bookmarkEnd w:id="15"/>
      <w:bookmarkEnd w:id="18"/>
    </w:p>
    <w:p w14:paraId="753762F2" w14:textId="50DF2D54" w:rsidR="00CE2E65" w:rsidRPr="0098262F" w:rsidRDefault="00CE2E65" w:rsidP="00CE2E65">
      <w:pPr>
        <w:pStyle w:val="4-SubsectionHeading"/>
      </w:pPr>
      <w:r w:rsidRPr="0098262F">
        <w:t>Clinical trials</w:t>
      </w:r>
      <w:bookmarkEnd w:id="14"/>
      <w:bookmarkEnd w:id="16"/>
    </w:p>
    <w:p w14:paraId="68DBCE4E" w14:textId="6942C2C7" w:rsidR="00CE2E65" w:rsidRPr="006128A4" w:rsidRDefault="00CE2E65" w:rsidP="00CE2E65">
      <w:pPr>
        <w:pStyle w:val="3-BodyText"/>
      </w:pPr>
      <w:proofErr w:type="spellStart"/>
      <w:r w:rsidRPr="35298142">
        <w:t>MOXIe</w:t>
      </w:r>
      <w:proofErr w:type="spellEnd"/>
      <w:r w:rsidRPr="35298142">
        <w:t xml:space="preserve"> Part 2 represents the key evidence to support the clinical claim in the submission. This was a randomised, placebo-controlled, double-blind, trial assessing the efficacy and safety of </w:t>
      </w:r>
      <w:proofErr w:type="spellStart"/>
      <w:r w:rsidRPr="35298142">
        <w:t>omaveloxolone</w:t>
      </w:r>
      <w:proofErr w:type="spellEnd"/>
      <w:r w:rsidRPr="35298142">
        <w:t xml:space="preserve"> 150 mg once daily in FA patients 16-40 years of age for 48 weeks. A total of 103 FA patients with or without pes </w:t>
      </w:r>
      <w:proofErr w:type="spellStart"/>
      <w:r w:rsidRPr="35298142">
        <w:t>cavus</w:t>
      </w:r>
      <w:proofErr w:type="spellEnd"/>
      <w:r w:rsidRPr="35298142">
        <w:t xml:space="preserve"> received </w:t>
      </w:r>
      <w:proofErr w:type="spellStart"/>
      <w:r w:rsidRPr="35298142">
        <w:t>omaveloxolone</w:t>
      </w:r>
      <w:proofErr w:type="spellEnd"/>
      <w:r w:rsidRPr="35298142">
        <w:t xml:space="preserve"> (n=51) or placebo (n=52) in the ‘All Randomised’ population. Randomisation was stratified by pes </w:t>
      </w:r>
      <w:proofErr w:type="spellStart"/>
      <w:r w:rsidRPr="35298142">
        <w:t>cavus</w:t>
      </w:r>
      <w:proofErr w:type="spellEnd"/>
      <w:r w:rsidRPr="35298142">
        <w:t xml:space="preserve"> status (pes </w:t>
      </w:r>
      <w:proofErr w:type="spellStart"/>
      <w:r w:rsidRPr="35298142">
        <w:t>cavus</w:t>
      </w:r>
      <w:proofErr w:type="spellEnd"/>
      <w:r w:rsidRPr="35298142">
        <w:t xml:space="preserve"> vs no pes </w:t>
      </w:r>
      <w:proofErr w:type="spellStart"/>
      <w:r w:rsidRPr="35298142">
        <w:t>cavus</w:t>
      </w:r>
      <w:proofErr w:type="spellEnd"/>
      <w:r w:rsidRPr="35298142">
        <w:t xml:space="preserve">). </w:t>
      </w:r>
    </w:p>
    <w:p w14:paraId="538671DB" w14:textId="0D05C6C0" w:rsidR="00CE2E65" w:rsidRPr="006128A4" w:rsidRDefault="00CE2E65" w:rsidP="00CE2E65">
      <w:pPr>
        <w:pStyle w:val="3-BodyText"/>
      </w:pPr>
      <w:r w:rsidRPr="35298142">
        <w:t xml:space="preserve">A total of 82 FA patients without pes </w:t>
      </w:r>
      <w:proofErr w:type="spellStart"/>
      <w:r w:rsidRPr="35298142">
        <w:t>cavus</w:t>
      </w:r>
      <w:proofErr w:type="spellEnd"/>
      <w:r w:rsidRPr="35298142">
        <w:t xml:space="preserve"> received </w:t>
      </w:r>
      <w:proofErr w:type="spellStart"/>
      <w:r w:rsidRPr="35298142">
        <w:t>omaveloxolone</w:t>
      </w:r>
      <w:proofErr w:type="spellEnd"/>
      <w:r w:rsidRPr="35298142">
        <w:t xml:space="preserve"> (n=40) or placebo (n=42). This was the study’s pre-specified primary ‘Full Analysis’ set (FAS). Patients with pes </w:t>
      </w:r>
      <w:proofErr w:type="spellStart"/>
      <w:r w:rsidRPr="35298142">
        <w:t>cavus</w:t>
      </w:r>
      <w:proofErr w:type="spellEnd"/>
      <w:r w:rsidRPr="35298142">
        <w:t xml:space="preserve"> were limited to 20% of the total study population. The rationale for this approach was based on efficacy findings from the dose ranging study </w:t>
      </w:r>
      <w:proofErr w:type="spellStart"/>
      <w:r w:rsidRPr="35298142">
        <w:t>MOXIe</w:t>
      </w:r>
      <w:proofErr w:type="spellEnd"/>
      <w:r w:rsidRPr="35298142">
        <w:t xml:space="preserve"> Part 1 study and the hypothesis that the presence of this deformity may represent a different subtype of FA</w:t>
      </w:r>
      <w:r w:rsidR="00C5672A" w:rsidRPr="35298142">
        <w:t>,</w:t>
      </w:r>
      <w:r w:rsidRPr="35298142">
        <w:t xml:space="preserve"> with a different pathophysiology and clinical phenotype</w:t>
      </w:r>
      <w:r w:rsidRPr="35298142">
        <w:rPr>
          <w:rStyle w:val="FootnoteReference"/>
        </w:rPr>
        <w:footnoteReference w:id="6"/>
      </w:r>
      <w:r w:rsidRPr="35298142">
        <w:t>.</w:t>
      </w:r>
    </w:p>
    <w:p w14:paraId="67CAD17F" w14:textId="77777777" w:rsidR="00CE2E65" w:rsidRPr="006128A4" w:rsidRDefault="00CE2E65" w:rsidP="00CE2E65">
      <w:pPr>
        <w:pStyle w:val="3-BodyText"/>
      </w:pPr>
      <w:r w:rsidRPr="35298142">
        <w:t xml:space="preserve">Additionally, to help inform the longer-term magnitude of benefits with </w:t>
      </w:r>
      <w:proofErr w:type="spellStart"/>
      <w:r w:rsidRPr="35298142">
        <w:t>omaveloxolone</w:t>
      </w:r>
      <w:proofErr w:type="spellEnd"/>
      <w:r w:rsidRPr="35298142">
        <w:t xml:space="preserve"> treatment, a </w:t>
      </w:r>
      <w:r w:rsidRPr="35298142">
        <w:rPr>
          <w:i/>
          <w:iCs/>
        </w:rPr>
        <w:t>post hoc</w:t>
      </w:r>
      <w:r w:rsidRPr="35298142">
        <w:t xml:space="preserve"> propensity-matched unanchored indirect comparison analysis of </w:t>
      </w:r>
      <w:proofErr w:type="spellStart"/>
      <w:r w:rsidRPr="35298142">
        <w:t>MOXIe</w:t>
      </w:r>
      <w:proofErr w:type="spellEnd"/>
      <w:r w:rsidRPr="35298142">
        <w:t xml:space="preserve"> Extension study data compared to an international natural history study (FACOMS) was presented in the submission.</w:t>
      </w:r>
    </w:p>
    <w:p w14:paraId="6AD3E766" w14:textId="7331AEE5" w:rsidR="00CE2E65" w:rsidRPr="006128A4" w:rsidRDefault="00CE2E65" w:rsidP="00CE2E65">
      <w:pPr>
        <w:pStyle w:val="3-BodyText"/>
      </w:pPr>
      <w:r w:rsidRPr="35298142">
        <w:t xml:space="preserve">The </w:t>
      </w:r>
      <w:proofErr w:type="spellStart"/>
      <w:r w:rsidRPr="35298142">
        <w:t>MOXIe</w:t>
      </w:r>
      <w:proofErr w:type="spellEnd"/>
      <w:r w:rsidRPr="35298142">
        <w:t xml:space="preserve"> Part 2 trial represented the key evidence in support of the clinical claim in the submission. Details of the </w:t>
      </w:r>
      <w:proofErr w:type="spellStart"/>
      <w:r w:rsidRPr="35298142">
        <w:t>MOXIe</w:t>
      </w:r>
      <w:proofErr w:type="spellEnd"/>
      <w:r w:rsidRPr="35298142">
        <w:t xml:space="preserve"> Part 2 trial are provided in </w:t>
      </w:r>
      <w:r>
        <w:fldChar w:fldCharType="begin"/>
      </w:r>
      <w:r>
        <w:instrText xml:space="preserve"> REF _Ref104803956 \h  \* MERGEFORMAT </w:instrText>
      </w:r>
      <w:r>
        <w:fldChar w:fldCharType="separate"/>
      </w:r>
      <w:r w:rsidR="003A4643" w:rsidRPr="006128A4">
        <w:t xml:space="preserve">Table </w:t>
      </w:r>
      <w:r w:rsidR="003A4643">
        <w:rPr>
          <w:noProof/>
        </w:rPr>
        <w:t>3</w:t>
      </w:r>
      <w:r>
        <w:fldChar w:fldCharType="end"/>
      </w:r>
      <w:r w:rsidRPr="35298142">
        <w:t xml:space="preserve">. </w:t>
      </w:r>
    </w:p>
    <w:p w14:paraId="5E613455" w14:textId="182F2C85" w:rsidR="00CE2E65" w:rsidRPr="006128A4" w:rsidRDefault="00CE2E65" w:rsidP="00CE2E65">
      <w:pPr>
        <w:pStyle w:val="Caption"/>
      </w:pPr>
      <w:bookmarkStart w:id="19" w:name="_Ref104803956"/>
      <w:r w:rsidRPr="006128A4">
        <w:t xml:space="preserve">Table </w:t>
      </w:r>
      <w:r w:rsidR="00B717AF">
        <w:fldChar w:fldCharType="begin"/>
      </w:r>
      <w:r w:rsidR="00B717AF">
        <w:instrText xml:space="preserve"> SEQ Table \* ARABIC </w:instrText>
      </w:r>
      <w:r w:rsidR="00B717AF">
        <w:fldChar w:fldCharType="separate"/>
      </w:r>
      <w:r w:rsidR="003A4643">
        <w:rPr>
          <w:noProof/>
        </w:rPr>
        <w:t>3</w:t>
      </w:r>
      <w:r w:rsidR="00B717AF">
        <w:rPr>
          <w:noProof/>
        </w:rPr>
        <w:fldChar w:fldCharType="end"/>
      </w:r>
      <w:bookmarkEnd w:id="19"/>
      <w:r w:rsidRPr="006128A4">
        <w:t>:</w:t>
      </w:r>
      <w:r w:rsidRPr="006128A4">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5"/>
        <w:gridCol w:w="5459"/>
        <w:gridCol w:w="2123"/>
      </w:tblGrid>
      <w:tr w:rsidR="00CE2E65" w:rsidRPr="006128A4" w14:paraId="29975DF4" w14:textId="77777777" w:rsidTr="35298142">
        <w:trPr>
          <w:tblHeader/>
        </w:trPr>
        <w:tc>
          <w:tcPr>
            <w:tcW w:w="796" w:type="pct"/>
            <w:vAlign w:val="center"/>
          </w:tcPr>
          <w:p w14:paraId="52217985" w14:textId="77777777" w:rsidR="00CE2E65" w:rsidRPr="006128A4" w:rsidRDefault="00CE2E65" w:rsidP="00C83CBF">
            <w:pPr>
              <w:pStyle w:val="In-tableHeading"/>
            </w:pPr>
            <w:r w:rsidRPr="006128A4">
              <w:t>Trial ID</w:t>
            </w:r>
          </w:p>
        </w:tc>
        <w:tc>
          <w:tcPr>
            <w:tcW w:w="3027" w:type="pct"/>
            <w:vAlign w:val="center"/>
          </w:tcPr>
          <w:p w14:paraId="693FB895" w14:textId="77777777" w:rsidR="00CE2E65" w:rsidRPr="006128A4" w:rsidRDefault="00CE2E65" w:rsidP="00C83CBF">
            <w:pPr>
              <w:pStyle w:val="In-tableHeading"/>
            </w:pPr>
            <w:r w:rsidRPr="006128A4">
              <w:t>Protocol title/ Publication title</w:t>
            </w:r>
          </w:p>
        </w:tc>
        <w:tc>
          <w:tcPr>
            <w:tcW w:w="1177" w:type="pct"/>
            <w:vAlign w:val="center"/>
          </w:tcPr>
          <w:p w14:paraId="4C992117" w14:textId="77777777" w:rsidR="00CE2E65" w:rsidRPr="006128A4" w:rsidRDefault="00CE2E65" w:rsidP="00C83CBF">
            <w:pPr>
              <w:pStyle w:val="In-tableHeading"/>
            </w:pPr>
            <w:r w:rsidRPr="006128A4">
              <w:t>Publication citation</w:t>
            </w:r>
          </w:p>
        </w:tc>
      </w:tr>
      <w:tr w:rsidR="00CE2E65" w:rsidRPr="006128A4" w14:paraId="0E9337BC" w14:textId="77777777" w:rsidTr="35298142">
        <w:tc>
          <w:tcPr>
            <w:tcW w:w="796" w:type="pct"/>
            <w:tcBorders>
              <w:bottom w:val="nil"/>
            </w:tcBorders>
            <w:vAlign w:val="center"/>
          </w:tcPr>
          <w:p w14:paraId="2EFC1104" w14:textId="77777777" w:rsidR="00CE2E65" w:rsidRPr="006128A4" w:rsidRDefault="00CE2E65" w:rsidP="00967D46">
            <w:pPr>
              <w:pStyle w:val="TableText0"/>
            </w:pPr>
          </w:p>
        </w:tc>
        <w:tc>
          <w:tcPr>
            <w:tcW w:w="3027" w:type="pct"/>
            <w:tcBorders>
              <w:bottom w:val="nil"/>
            </w:tcBorders>
            <w:vAlign w:val="center"/>
          </w:tcPr>
          <w:p w14:paraId="172582D9" w14:textId="77777777" w:rsidR="00CE2E65" w:rsidRPr="006128A4" w:rsidRDefault="00CE2E65" w:rsidP="00967D46">
            <w:pPr>
              <w:pStyle w:val="TableText0"/>
            </w:pPr>
            <w:r w:rsidRPr="35298142">
              <w:t>Clinical study report: RTA 408 (</w:t>
            </w:r>
            <w:proofErr w:type="spellStart"/>
            <w:r w:rsidRPr="35298142">
              <w:t>Omaveloxolone</w:t>
            </w:r>
            <w:proofErr w:type="spellEnd"/>
            <w:r w:rsidRPr="35298142">
              <w:t>) 408-C-1402 Part 2: A Clinical Study Report: Phase 2 study of the safety, efficacy, and pharmacodynamics of RTA 408 in the treatment of Friedreich’s ataxia.</w:t>
            </w:r>
          </w:p>
        </w:tc>
        <w:tc>
          <w:tcPr>
            <w:tcW w:w="1177" w:type="pct"/>
            <w:tcBorders>
              <w:bottom w:val="nil"/>
            </w:tcBorders>
            <w:vAlign w:val="center"/>
          </w:tcPr>
          <w:p w14:paraId="151981BF" w14:textId="77777777" w:rsidR="00CE2E65" w:rsidRPr="006128A4" w:rsidRDefault="00CE2E65" w:rsidP="00967D46">
            <w:pPr>
              <w:pStyle w:val="TableText0"/>
            </w:pPr>
            <w:r w:rsidRPr="006128A4">
              <w:t>5 November 2020</w:t>
            </w:r>
          </w:p>
        </w:tc>
      </w:tr>
      <w:tr w:rsidR="00CE2E65" w:rsidRPr="006128A4" w14:paraId="14B63A77" w14:textId="77777777" w:rsidTr="35298142">
        <w:tc>
          <w:tcPr>
            <w:tcW w:w="796" w:type="pct"/>
            <w:vMerge w:val="restart"/>
            <w:tcBorders>
              <w:top w:val="nil"/>
            </w:tcBorders>
            <w:vAlign w:val="center"/>
          </w:tcPr>
          <w:p w14:paraId="40CDD561" w14:textId="77777777" w:rsidR="00CE2E65" w:rsidRPr="006128A4" w:rsidRDefault="00CE2E65" w:rsidP="00967D46">
            <w:pPr>
              <w:pStyle w:val="TableText0"/>
            </w:pPr>
            <w:proofErr w:type="spellStart"/>
            <w:r w:rsidRPr="35298142">
              <w:t>MOXIe</w:t>
            </w:r>
            <w:proofErr w:type="spellEnd"/>
            <w:r w:rsidRPr="35298142">
              <w:t xml:space="preserve"> Part 2</w:t>
            </w:r>
          </w:p>
          <w:p w14:paraId="337FB8EA" w14:textId="77777777" w:rsidR="00CE2E65" w:rsidRPr="006128A4" w:rsidRDefault="00CE2E65" w:rsidP="00967D46">
            <w:pPr>
              <w:pStyle w:val="TableText0"/>
            </w:pPr>
            <w:r w:rsidRPr="006128A4">
              <w:rPr>
                <w:bCs w:val="0"/>
              </w:rPr>
              <w:t>NCT02255435</w:t>
            </w:r>
          </w:p>
        </w:tc>
        <w:tc>
          <w:tcPr>
            <w:tcW w:w="3027" w:type="pct"/>
            <w:tcBorders>
              <w:top w:val="nil"/>
              <w:bottom w:val="nil"/>
            </w:tcBorders>
            <w:vAlign w:val="center"/>
          </w:tcPr>
          <w:p w14:paraId="45E5B835" w14:textId="77777777" w:rsidR="00CE2E65" w:rsidRPr="006128A4" w:rsidRDefault="00CE2E65" w:rsidP="00967D46">
            <w:pPr>
              <w:pStyle w:val="TableText0"/>
            </w:pPr>
          </w:p>
          <w:p w14:paraId="18D8A2DF" w14:textId="77777777" w:rsidR="00CE2E65" w:rsidRPr="006128A4" w:rsidRDefault="00CE2E65" w:rsidP="00967D46">
            <w:pPr>
              <w:pStyle w:val="TableText0"/>
            </w:pPr>
            <w:r w:rsidRPr="35298142">
              <w:t xml:space="preserve">Lynch, DR, Chin, MP et al. Safety and Efficacy of </w:t>
            </w:r>
            <w:proofErr w:type="spellStart"/>
            <w:r w:rsidRPr="35298142">
              <w:t>Omaveloxolone</w:t>
            </w:r>
            <w:proofErr w:type="spellEnd"/>
            <w:r w:rsidRPr="35298142">
              <w:t xml:space="preserve"> in Friedreich Ataxia (</w:t>
            </w:r>
            <w:proofErr w:type="spellStart"/>
            <w:r w:rsidRPr="35298142">
              <w:t>MOXIe</w:t>
            </w:r>
            <w:proofErr w:type="spellEnd"/>
            <w:r w:rsidRPr="35298142">
              <w:t xml:space="preserve"> Study).</w:t>
            </w:r>
          </w:p>
          <w:p w14:paraId="49ED01C7" w14:textId="77777777" w:rsidR="00CE2E65" w:rsidRPr="006128A4" w:rsidRDefault="00CE2E65" w:rsidP="00967D46">
            <w:pPr>
              <w:pStyle w:val="TableText0"/>
            </w:pPr>
          </w:p>
        </w:tc>
        <w:tc>
          <w:tcPr>
            <w:tcW w:w="1177" w:type="pct"/>
            <w:tcBorders>
              <w:top w:val="nil"/>
              <w:bottom w:val="nil"/>
            </w:tcBorders>
            <w:vAlign w:val="center"/>
          </w:tcPr>
          <w:p w14:paraId="246A150C" w14:textId="77777777" w:rsidR="00CE2E65" w:rsidRPr="006128A4" w:rsidRDefault="00CE2E65" w:rsidP="00967D46">
            <w:pPr>
              <w:pStyle w:val="TableText0"/>
            </w:pPr>
            <w:r w:rsidRPr="006128A4">
              <w:t>Annals of Neurology 2021; 89(2):212-225</w:t>
            </w:r>
          </w:p>
        </w:tc>
      </w:tr>
      <w:tr w:rsidR="00CE2E65" w:rsidRPr="006128A4" w14:paraId="05E097C3" w14:textId="77777777" w:rsidTr="35298142">
        <w:tc>
          <w:tcPr>
            <w:tcW w:w="796" w:type="pct"/>
            <w:vMerge/>
            <w:vAlign w:val="center"/>
          </w:tcPr>
          <w:p w14:paraId="2DED9730" w14:textId="77777777" w:rsidR="00CE2E65" w:rsidRPr="006128A4" w:rsidRDefault="00CE2E65" w:rsidP="00967D46">
            <w:pPr>
              <w:pStyle w:val="TableText0"/>
            </w:pPr>
          </w:p>
        </w:tc>
        <w:tc>
          <w:tcPr>
            <w:tcW w:w="3027" w:type="pct"/>
            <w:tcBorders>
              <w:top w:val="nil"/>
              <w:bottom w:val="single" w:sz="4" w:space="0" w:color="auto"/>
            </w:tcBorders>
            <w:vAlign w:val="center"/>
          </w:tcPr>
          <w:p w14:paraId="0ECDC982" w14:textId="77777777" w:rsidR="00CE2E65" w:rsidRPr="006128A4" w:rsidRDefault="00CE2E65" w:rsidP="00967D46">
            <w:pPr>
              <w:pStyle w:val="TableText0"/>
            </w:pPr>
            <w:r w:rsidRPr="35298142">
              <w:t xml:space="preserve">Hendrix, S, Goldsberry, A et al. Efficacy of </w:t>
            </w:r>
            <w:proofErr w:type="spellStart"/>
            <w:r w:rsidRPr="35298142">
              <w:t>Omaveloxolone</w:t>
            </w:r>
            <w:proofErr w:type="spellEnd"/>
            <w:r w:rsidRPr="35298142">
              <w:t xml:space="preserve"> in Friedreich' s Ataxia: Post-Hoc Analysis Using Global Statistics Test to Strengthen Secondary Endpoint Analyses [Conference abstract].</w:t>
            </w:r>
          </w:p>
          <w:p w14:paraId="07B83521" w14:textId="77777777" w:rsidR="00CE2E65" w:rsidRPr="006128A4" w:rsidRDefault="00CE2E65" w:rsidP="00967D46">
            <w:pPr>
              <w:pStyle w:val="TableText0"/>
            </w:pPr>
          </w:p>
          <w:p w14:paraId="40DAEF9B" w14:textId="77777777" w:rsidR="00CE2E65" w:rsidRPr="006128A4" w:rsidRDefault="00CE2E65" w:rsidP="00967D46">
            <w:pPr>
              <w:pStyle w:val="TableText0"/>
            </w:pPr>
            <w:r w:rsidRPr="003E2C63">
              <w:rPr>
                <w:lang w:val="de-DE"/>
              </w:rPr>
              <w:t xml:space="preserve">Zaoui, P, Chin, M et al. </w:t>
            </w:r>
            <w:r w:rsidRPr="35298142">
              <w:t xml:space="preserve">Kidney effects in the moxie trial: A study of </w:t>
            </w:r>
            <w:proofErr w:type="spellStart"/>
            <w:r w:rsidRPr="35298142">
              <w:t>omaveloxolone</w:t>
            </w:r>
            <w:proofErr w:type="spellEnd"/>
            <w:r w:rsidRPr="35298142">
              <w:t xml:space="preserve"> in patients with Friedrich's ataxia [Conference Abstract].</w:t>
            </w:r>
          </w:p>
        </w:tc>
        <w:tc>
          <w:tcPr>
            <w:tcW w:w="1177" w:type="pct"/>
            <w:tcBorders>
              <w:top w:val="nil"/>
              <w:bottom w:val="single" w:sz="4" w:space="0" w:color="auto"/>
            </w:tcBorders>
            <w:vAlign w:val="center"/>
          </w:tcPr>
          <w:p w14:paraId="2A26E520" w14:textId="77777777" w:rsidR="00CE2E65" w:rsidRPr="006128A4" w:rsidRDefault="00CE2E65" w:rsidP="00967D46">
            <w:pPr>
              <w:pStyle w:val="TableText0"/>
            </w:pPr>
            <w:r w:rsidRPr="35298142">
              <w:t xml:space="preserve">Neurology April 25 2023; </w:t>
            </w:r>
          </w:p>
          <w:p w14:paraId="3130D1F8" w14:textId="77777777" w:rsidR="00CE2E65" w:rsidRPr="006128A4" w:rsidRDefault="00CE2E65" w:rsidP="00967D46">
            <w:pPr>
              <w:pStyle w:val="TableText0"/>
            </w:pPr>
            <w:r w:rsidRPr="006128A4">
              <w:t>100 (17_supplement_2)</w:t>
            </w:r>
          </w:p>
          <w:p w14:paraId="38F3ECAA" w14:textId="77777777" w:rsidR="00CE2E65" w:rsidRPr="006128A4" w:rsidRDefault="00CE2E65" w:rsidP="00967D46">
            <w:pPr>
              <w:pStyle w:val="TableText0"/>
            </w:pPr>
          </w:p>
          <w:p w14:paraId="00CAF9DF" w14:textId="77777777" w:rsidR="00CE2E65" w:rsidRPr="006128A4" w:rsidRDefault="00CE2E65" w:rsidP="00967D46">
            <w:pPr>
              <w:pStyle w:val="TableText0"/>
            </w:pPr>
            <w:r w:rsidRPr="006128A4">
              <w:t>Nephrology dialysis transplantation 2020; 35(supplement 3), iii526</w:t>
            </w:r>
          </w:p>
        </w:tc>
      </w:tr>
      <w:tr w:rsidR="00CE2E65" w:rsidRPr="006128A4" w14:paraId="40483C64" w14:textId="77777777" w:rsidTr="35298142">
        <w:tc>
          <w:tcPr>
            <w:tcW w:w="796" w:type="pct"/>
            <w:vMerge w:val="restart"/>
            <w:vAlign w:val="center"/>
          </w:tcPr>
          <w:p w14:paraId="142ACCB7" w14:textId="77777777" w:rsidR="00CE2E65" w:rsidRPr="006128A4" w:rsidRDefault="00CE2E65" w:rsidP="00967D46">
            <w:pPr>
              <w:pStyle w:val="TableText0"/>
            </w:pPr>
            <w:r w:rsidRPr="35298142">
              <w:t xml:space="preserve">Propensity </w:t>
            </w:r>
            <w:proofErr w:type="gramStart"/>
            <w:r w:rsidRPr="35298142">
              <w:t>score</w:t>
            </w:r>
            <w:proofErr w:type="gramEnd"/>
            <w:r w:rsidRPr="35298142">
              <w:t xml:space="preserve"> matched analysis</w:t>
            </w:r>
          </w:p>
        </w:tc>
        <w:tc>
          <w:tcPr>
            <w:tcW w:w="3027" w:type="pct"/>
            <w:tcBorders>
              <w:bottom w:val="nil"/>
            </w:tcBorders>
            <w:vAlign w:val="center"/>
          </w:tcPr>
          <w:p w14:paraId="48FC4248" w14:textId="77777777" w:rsidR="00CE2E65" w:rsidRPr="006128A4" w:rsidRDefault="00CE2E65" w:rsidP="00967D46">
            <w:pPr>
              <w:pStyle w:val="TableText0"/>
            </w:pPr>
            <w:r w:rsidRPr="006128A4">
              <w:t xml:space="preserve">Clinical study report: RTA 408 Post Hoc Propensity-matched analysis of Study 408-C-1402 Extension and Natural History. </w:t>
            </w:r>
          </w:p>
        </w:tc>
        <w:tc>
          <w:tcPr>
            <w:tcW w:w="1177" w:type="pct"/>
            <w:tcBorders>
              <w:bottom w:val="nil"/>
            </w:tcBorders>
            <w:vAlign w:val="center"/>
          </w:tcPr>
          <w:p w14:paraId="1087AEC4" w14:textId="77777777" w:rsidR="00CE2E65" w:rsidRPr="006128A4" w:rsidRDefault="00CE2E65" w:rsidP="00967D46">
            <w:pPr>
              <w:pStyle w:val="TableText0"/>
            </w:pPr>
            <w:r w:rsidRPr="006128A4">
              <w:t>24 August 2022.</w:t>
            </w:r>
          </w:p>
        </w:tc>
      </w:tr>
      <w:tr w:rsidR="00CE2E65" w:rsidRPr="006128A4" w14:paraId="2E4BAE3D" w14:textId="77777777" w:rsidTr="35298142">
        <w:tc>
          <w:tcPr>
            <w:tcW w:w="796" w:type="pct"/>
            <w:vMerge/>
            <w:vAlign w:val="center"/>
          </w:tcPr>
          <w:p w14:paraId="2E41A218" w14:textId="77777777" w:rsidR="00CE2E65" w:rsidRPr="006128A4" w:rsidRDefault="00CE2E65" w:rsidP="00967D46">
            <w:pPr>
              <w:pStyle w:val="TableText0"/>
            </w:pPr>
          </w:p>
        </w:tc>
        <w:tc>
          <w:tcPr>
            <w:tcW w:w="3027" w:type="pct"/>
            <w:tcBorders>
              <w:top w:val="nil"/>
              <w:bottom w:val="nil"/>
            </w:tcBorders>
            <w:vAlign w:val="center"/>
          </w:tcPr>
          <w:p w14:paraId="26F43D6D" w14:textId="77777777" w:rsidR="00CE2E65" w:rsidRPr="006128A4" w:rsidRDefault="00CE2E65" w:rsidP="00967D46">
            <w:pPr>
              <w:pStyle w:val="TableText0"/>
            </w:pPr>
          </w:p>
        </w:tc>
        <w:tc>
          <w:tcPr>
            <w:tcW w:w="1177" w:type="pct"/>
            <w:tcBorders>
              <w:top w:val="nil"/>
              <w:bottom w:val="nil"/>
            </w:tcBorders>
            <w:vAlign w:val="center"/>
          </w:tcPr>
          <w:p w14:paraId="02E535C0" w14:textId="77777777" w:rsidR="00CE2E65" w:rsidRPr="006128A4" w:rsidRDefault="00CE2E65" w:rsidP="00967D46">
            <w:pPr>
              <w:pStyle w:val="TableText0"/>
            </w:pPr>
          </w:p>
        </w:tc>
      </w:tr>
      <w:tr w:rsidR="00CE2E65" w:rsidRPr="006128A4" w14:paraId="523F0F71" w14:textId="77777777" w:rsidTr="35298142">
        <w:tc>
          <w:tcPr>
            <w:tcW w:w="796" w:type="pct"/>
            <w:vMerge/>
            <w:vAlign w:val="center"/>
          </w:tcPr>
          <w:p w14:paraId="28682970" w14:textId="77777777" w:rsidR="00CE2E65" w:rsidRPr="006128A4" w:rsidRDefault="00CE2E65" w:rsidP="00967D46">
            <w:pPr>
              <w:pStyle w:val="TableText0"/>
            </w:pPr>
          </w:p>
        </w:tc>
        <w:tc>
          <w:tcPr>
            <w:tcW w:w="3027" w:type="pct"/>
            <w:tcBorders>
              <w:top w:val="nil"/>
              <w:bottom w:val="single" w:sz="4" w:space="0" w:color="auto"/>
            </w:tcBorders>
            <w:vAlign w:val="center"/>
          </w:tcPr>
          <w:p w14:paraId="3F0A7EE9" w14:textId="77777777" w:rsidR="00CE2E65" w:rsidRPr="006128A4" w:rsidRDefault="00CE2E65" w:rsidP="00967D46">
            <w:pPr>
              <w:pStyle w:val="TableText0"/>
            </w:pPr>
            <w:r w:rsidRPr="35298142">
              <w:t xml:space="preserve">Lynch, DR, Goldsberry, A et al. Propensity matched comparison of </w:t>
            </w:r>
            <w:proofErr w:type="spellStart"/>
            <w:r w:rsidRPr="35298142">
              <w:t>omaveloxolone</w:t>
            </w:r>
            <w:proofErr w:type="spellEnd"/>
            <w:r w:rsidRPr="35298142">
              <w:t xml:space="preserve"> treatment to Friedreich ataxia natural history data.</w:t>
            </w:r>
          </w:p>
        </w:tc>
        <w:tc>
          <w:tcPr>
            <w:tcW w:w="1177" w:type="pct"/>
            <w:tcBorders>
              <w:top w:val="nil"/>
              <w:bottom w:val="single" w:sz="4" w:space="0" w:color="auto"/>
            </w:tcBorders>
            <w:vAlign w:val="center"/>
          </w:tcPr>
          <w:p w14:paraId="10B38697" w14:textId="77777777" w:rsidR="00CE2E65" w:rsidRPr="006128A4" w:rsidRDefault="00CE2E65" w:rsidP="00967D46">
            <w:pPr>
              <w:pStyle w:val="TableText0"/>
            </w:pPr>
            <w:r w:rsidRPr="006128A4">
              <w:t>Annals of clinical and translational neurology 2024; 11(1):4-16.</w:t>
            </w:r>
          </w:p>
        </w:tc>
      </w:tr>
    </w:tbl>
    <w:p w14:paraId="584051EB" w14:textId="77777777" w:rsidR="00CE2E65" w:rsidRPr="006128A4" w:rsidRDefault="00CE2E65" w:rsidP="00CE2E65">
      <w:pPr>
        <w:pStyle w:val="TableFigureHeading"/>
        <w:rPr>
          <w:b w:val="0"/>
          <w:bCs w:val="0"/>
        </w:rPr>
      </w:pPr>
      <w:r w:rsidRPr="006128A4">
        <w:rPr>
          <w:b w:val="0"/>
          <w:bCs w:val="0"/>
        </w:rPr>
        <w:t>Source: Table 2.3, pp62-63 of the submission.</w:t>
      </w:r>
    </w:p>
    <w:p w14:paraId="3693857B" w14:textId="08AECED9" w:rsidR="00CE2E65" w:rsidRPr="006128A4" w:rsidRDefault="00CE2E65" w:rsidP="00CE2E65">
      <w:pPr>
        <w:pStyle w:val="3-BodyText"/>
      </w:pPr>
      <w:r w:rsidRPr="35298142">
        <w:t xml:space="preserve">The key features of the </w:t>
      </w:r>
      <w:proofErr w:type="spellStart"/>
      <w:r w:rsidRPr="35298142">
        <w:t>MOXIe</w:t>
      </w:r>
      <w:proofErr w:type="spellEnd"/>
      <w:r w:rsidRPr="35298142">
        <w:t xml:space="preserve"> Part 2 trial are summarised in </w:t>
      </w:r>
      <w:r>
        <w:fldChar w:fldCharType="begin"/>
      </w:r>
      <w:r>
        <w:instrText xml:space="preserve"> REF _Ref104804098 \h  \* MERGEFORMAT </w:instrText>
      </w:r>
      <w:r>
        <w:fldChar w:fldCharType="separate"/>
      </w:r>
      <w:r w:rsidR="003A4643" w:rsidRPr="003A4643">
        <w:t>Table 4</w:t>
      </w:r>
      <w:r>
        <w:fldChar w:fldCharType="end"/>
      </w:r>
      <w:r w:rsidRPr="35298142">
        <w:t xml:space="preserve">. </w:t>
      </w:r>
    </w:p>
    <w:p w14:paraId="547482BE" w14:textId="234DED8B" w:rsidR="00CE2E65" w:rsidRPr="006128A4" w:rsidRDefault="00CE2E65" w:rsidP="35298142">
      <w:pPr>
        <w:pStyle w:val="Caption"/>
        <w:rPr>
          <w:rStyle w:val="CommentReference"/>
          <w:rFonts w:eastAsiaTheme="majorEastAsia" w:cstheme="majorBidi"/>
          <w:b/>
        </w:rPr>
      </w:pPr>
      <w:bookmarkStart w:id="20" w:name="_Ref104804098"/>
      <w:r w:rsidRPr="35298142">
        <w:rPr>
          <w:rStyle w:val="CommentReference"/>
          <w:rFonts w:eastAsiaTheme="majorEastAsia" w:cstheme="majorBidi"/>
          <w:b/>
        </w:rPr>
        <w:t xml:space="preserve">Table </w:t>
      </w:r>
      <w:r w:rsidRPr="35298142">
        <w:rPr>
          <w:rStyle w:val="CommentReference"/>
          <w:rFonts w:eastAsiaTheme="majorEastAsia" w:cstheme="majorBidi"/>
          <w:b/>
        </w:rPr>
        <w:fldChar w:fldCharType="begin"/>
      </w:r>
      <w:r w:rsidRPr="35298142">
        <w:rPr>
          <w:rStyle w:val="CommentReference"/>
          <w:rFonts w:eastAsiaTheme="majorEastAsia" w:cstheme="majorBidi"/>
          <w:b/>
        </w:rPr>
        <w:instrText xml:space="preserve"> SEQ Table \* ARABIC </w:instrText>
      </w:r>
      <w:r w:rsidRPr="35298142">
        <w:rPr>
          <w:rStyle w:val="CommentReference"/>
          <w:rFonts w:eastAsiaTheme="majorEastAsia" w:cstheme="majorBidi"/>
          <w:b/>
        </w:rPr>
        <w:fldChar w:fldCharType="separate"/>
      </w:r>
      <w:r w:rsidR="003A4643">
        <w:rPr>
          <w:rStyle w:val="CommentReference"/>
          <w:rFonts w:eastAsiaTheme="majorEastAsia" w:cstheme="majorBidi"/>
          <w:b/>
          <w:noProof/>
        </w:rPr>
        <w:t>4</w:t>
      </w:r>
      <w:r w:rsidRPr="35298142">
        <w:rPr>
          <w:rStyle w:val="CommentReference"/>
          <w:rFonts w:eastAsiaTheme="majorEastAsia" w:cstheme="majorBidi"/>
          <w:b/>
        </w:rPr>
        <w:fldChar w:fldCharType="end"/>
      </w:r>
      <w:bookmarkEnd w:id="20"/>
      <w:r w:rsidRPr="35298142">
        <w:rPr>
          <w:rStyle w:val="CommentReference"/>
          <w:rFonts w:eastAsiaTheme="majorEastAsia" w:cstheme="majorBidi"/>
          <w:b/>
        </w:rPr>
        <w:t xml:space="preserve">: Key characteristics of the key </w:t>
      </w:r>
      <w:proofErr w:type="spellStart"/>
      <w:r w:rsidRPr="35298142">
        <w:rPr>
          <w:rStyle w:val="CommentReference"/>
          <w:rFonts w:eastAsiaTheme="majorEastAsia" w:cstheme="majorBidi"/>
          <w:b/>
        </w:rPr>
        <w:t>MOXIe</w:t>
      </w:r>
      <w:proofErr w:type="spellEnd"/>
      <w:r w:rsidRPr="35298142">
        <w:rPr>
          <w:rStyle w:val="CommentReference"/>
          <w:rFonts w:eastAsiaTheme="majorEastAsia" w:cstheme="majorBidi"/>
          <w:b/>
        </w:rPr>
        <w:t xml:space="preserve"> Part 2 trial</w:t>
      </w:r>
    </w:p>
    <w:tbl>
      <w:tblPr>
        <w:tblStyle w:val="TableGrid"/>
        <w:tblW w:w="5000" w:type="pct"/>
        <w:tblLook w:val="04A0" w:firstRow="1" w:lastRow="0" w:firstColumn="1" w:lastColumn="0" w:noHBand="0" w:noVBand="1"/>
        <w:tblCaption w:val="Table 4: Key characteristics of the key MOXIe Part 2 trial"/>
      </w:tblPr>
      <w:tblGrid>
        <w:gridCol w:w="846"/>
        <w:gridCol w:w="1417"/>
        <w:gridCol w:w="1767"/>
        <w:gridCol w:w="1023"/>
        <w:gridCol w:w="1261"/>
        <w:gridCol w:w="1282"/>
        <w:gridCol w:w="1421"/>
      </w:tblGrid>
      <w:tr w:rsidR="00CE2E65" w:rsidRPr="006128A4" w14:paraId="1B79CF5D" w14:textId="77777777" w:rsidTr="35298142">
        <w:trPr>
          <w:cantSplit/>
        </w:trPr>
        <w:tc>
          <w:tcPr>
            <w:tcW w:w="469" w:type="pct"/>
            <w:tcMar>
              <w:left w:w="20" w:type="dxa"/>
              <w:right w:w="20" w:type="dxa"/>
            </w:tcMar>
          </w:tcPr>
          <w:p w14:paraId="14C8A2AB" w14:textId="77777777" w:rsidR="00CE2E65" w:rsidRPr="00437618" w:rsidRDefault="00CE2E65" w:rsidP="00437618">
            <w:pPr>
              <w:pStyle w:val="FooterTableFigure"/>
              <w:keepNext/>
              <w:jc w:val="left"/>
              <w:rPr>
                <w:b/>
                <w:bCs/>
                <w:sz w:val="20"/>
                <w:szCs w:val="20"/>
              </w:rPr>
            </w:pPr>
            <w:r w:rsidRPr="00437618">
              <w:rPr>
                <w:b/>
                <w:bCs/>
                <w:sz w:val="20"/>
                <w:szCs w:val="20"/>
              </w:rPr>
              <w:t>Design</w:t>
            </w:r>
          </w:p>
        </w:tc>
        <w:tc>
          <w:tcPr>
            <w:tcW w:w="786" w:type="pct"/>
            <w:tcMar>
              <w:left w:w="20" w:type="dxa"/>
              <w:right w:w="20" w:type="dxa"/>
            </w:tcMar>
          </w:tcPr>
          <w:p w14:paraId="70154652" w14:textId="77777777" w:rsidR="00CE2E65" w:rsidRPr="00437618" w:rsidRDefault="00CE2E65" w:rsidP="00437618">
            <w:pPr>
              <w:pStyle w:val="FooterTableFigure"/>
              <w:keepNext/>
              <w:jc w:val="left"/>
              <w:rPr>
                <w:b/>
                <w:bCs/>
                <w:sz w:val="20"/>
                <w:szCs w:val="20"/>
              </w:rPr>
            </w:pPr>
            <w:r w:rsidRPr="00437618">
              <w:rPr>
                <w:b/>
                <w:bCs/>
                <w:sz w:val="20"/>
                <w:szCs w:val="20"/>
              </w:rPr>
              <w:t>Treatment regimens</w:t>
            </w:r>
          </w:p>
        </w:tc>
        <w:tc>
          <w:tcPr>
            <w:tcW w:w="980" w:type="pct"/>
            <w:tcMar>
              <w:left w:w="20" w:type="dxa"/>
              <w:right w:w="20" w:type="dxa"/>
            </w:tcMar>
          </w:tcPr>
          <w:p w14:paraId="7B37AD93" w14:textId="77777777" w:rsidR="00CE2E65" w:rsidRPr="00437618" w:rsidRDefault="00CE2E65" w:rsidP="00437618">
            <w:pPr>
              <w:pStyle w:val="FooterTableFigure"/>
              <w:keepNext/>
              <w:jc w:val="left"/>
              <w:rPr>
                <w:b/>
                <w:bCs/>
                <w:sz w:val="20"/>
                <w:szCs w:val="20"/>
              </w:rPr>
            </w:pPr>
            <w:r w:rsidRPr="00437618">
              <w:rPr>
                <w:b/>
                <w:bCs/>
                <w:sz w:val="20"/>
                <w:szCs w:val="20"/>
              </w:rPr>
              <w:t>Patient population</w:t>
            </w:r>
          </w:p>
        </w:tc>
        <w:tc>
          <w:tcPr>
            <w:tcW w:w="567" w:type="pct"/>
            <w:tcMar>
              <w:left w:w="20" w:type="dxa"/>
              <w:right w:w="20" w:type="dxa"/>
            </w:tcMar>
          </w:tcPr>
          <w:p w14:paraId="220ACEEC" w14:textId="77777777" w:rsidR="00CE2E65" w:rsidRPr="00437618" w:rsidRDefault="00CE2E65" w:rsidP="00437618">
            <w:pPr>
              <w:pStyle w:val="FooterTableFigure"/>
              <w:keepNext/>
              <w:jc w:val="left"/>
              <w:rPr>
                <w:b/>
                <w:bCs/>
                <w:sz w:val="20"/>
                <w:szCs w:val="20"/>
              </w:rPr>
            </w:pPr>
            <w:r w:rsidRPr="00437618">
              <w:rPr>
                <w:b/>
                <w:bCs/>
                <w:sz w:val="20"/>
                <w:szCs w:val="20"/>
              </w:rPr>
              <w:t>N</w:t>
            </w:r>
          </w:p>
        </w:tc>
        <w:tc>
          <w:tcPr>
            <w:tcW w:w="699" w:type="pct"/>
            <w:tcMar>
              <w:left w:w="20" w:type="dxa"/>
              <w:right w:w="20" w:type="dxa"/>
            </w:tcMar>
          </w:tcPr>
          <w:p w14:paraId="13B10A94" w14:textId="77777777" w:rsidR="00CE2E65" w:rsidRPr="00437618" w:rsidRDefault="00CE2E65" w:rsidP="00437618">
            <w:pPr>
              <w:pStyle w:val="FooterTableFigure"/>
              <w:keepNext/>
              <w:jc w:val="left"/>
              <w:rPr>
                <w:b/>
                <w:bCs/>
                <w:sz w:val="20"/>
                <w:szCs w:val="20"/>
              </w:rPr>
            </w:pPr>
            <w:r w:rsidRPr="00437618">
              <w:rPr>
                <w:b/>
                <w:bCs/>
                <w:sz w:val="20"/>
                <w:szCs w:val="20"/>
              </w:rPr>
              <w:t>Efficacy outcomes</w:t>
            </w:r>
          </w:p>
        </w:tc>
        <w:tc>
          <w:tcPr>
            <w:tcW w:w="711" w:type="pct"/>
            <w:tcMar>
              <w:left w:w="20" w:type="dxa"/>
              <w:right w:w="20" w:type="dxa"/>
            </w:tcMar>
          </w:tcPr>
          <w:p w14:paraId="09EF9740" w14:textId="77777777" w:rsidR="00CE2E65" w:rsidRPr="00437618" w:rsidRDefault="00CE2E65" w:rsidP="00437618">
            <w:pPr>
              <w:pStyle w:val="FooterTableFigure"/>
              <w:keepNext/>
              <w:jc w:val="left"/>
              <w:rPr>
                <w:b/>
                <w:bCs/>
                <w:sz w:val="20"/>
                <w:szCs w:val="20"/>
              </w:rPr>
            </w:pPr>
            <w:r w:rsidRPr="00437618">
              <w:rPr>
                <w:b/>
                <w:bCs/>
                <w:sz w:val="20"/>
                <w:szCs w:val="20"/>
              </w:rPr>
              <w:t>Safety outcomes</w:t>
            </w:r>
          </w:p>
        </w:tc>
        <w:tc>
          <w:tcPr>
            <w:tcW w:w="789" w:type="pct"/>
            <w:tcMar>
              <w:left w:w="20" w:type="dxa"/>
              <w:right w:w="20" w:type="dxa"/>
            </w:tcMar>
          </w:tcPr>
          <w:p w14:paraId="478A30AA" w14:textId="77777777" w:rsidR="00CE2E65" w:rsidRPr="00437618" w:rsidRDefault="00CE2E65" w:rsidP="00437618">
            <w:pPr>
              <w:pStyle w:val="FooterTableFigure"/>
              <w:keepNext/>
              <w:jc w:val="left"/>
              <w:rPr>
                <w:b/>
                <w:bCs/>
                <w:sz w:val="20"/>
                <w:szCs w:val="20"/>
              </w:rPr>
            </w:pPr>
            <w:r w:rsidRPr="00437618">
              <w:rPr>
                <w:b/>
                <w:bCs/>
                <w:sz w:val="20"/>
                <w:szCs w:val="20"/>
              </w:rPr>
              <w:t>Risk of bias/applicability</w:t>
            </w:r>
          </w:p>
        </w:tc>
      </w:tr>
      <w:tr w:rsidR="00CE2E65" w:rsidRPr="006128A4" w14:paraId="6C4A39B9" w14:textId="77777777" w:rsidTr="35298142">
        <w:trPr>
          <w:cantSplit/>
          <w:trHeight w:val="3751"/>
        </w:trPr>
        <w:tc>
          <w:tcPr>
            <w:tcW w:w="469" w:type="pct"/>
            <w:tcMar>
              <w:left w:w="20" w:type="dxa"/>
              <w:right w:w="20" w:type="dxa"/>
            </w:tcMar>
          </w:tcPr>
          <w:p w14:paraId="5B2D05D6" w14:textId="17E4EE6B" w:rsidR="00CE2E65" w:rsidRPr="00437618" w:rsidRDefault="00CE2E65" w:rsidP="00437618">
            <w:pPr>
              <w:pStyle w:val="FooterTableFigure"/>
              <w:jc w:val="left"/>
              <w:rPr>
                <w:sz w:val="20"/>
                <w:szCs w:val="20"/>
              </w:rPr>
            </w:pPr>
            <w:r w:rsidRPr="00437618">
              <w:rPr>
                <w:sz w:val="20"/>
                <w:szCs w:val="20"/>
              </w:rPr>
              <w:t>MC, DB, PC,</w:t>
            </w:r>
            <w:r w:rsidR="00437618">
              <w:rPr>
                <w:sz w:val="20"/>
                <w:szCs w:val="20"/>
              </w:rPr>
              <w:t xml:space="preserve"> </w:t>
            </w:r>
            <w:r w:rsidRPr="00437618">
              <w:rPr>
                <w:sz w:val="20"/>
                <w:szCs w:val="20"/>
              </w:rPr>
              <w:t>PG, Phase 2</w:t>
            </w:r>
          </w:p>
          <w:p w14:paraId="6945C56C" w14:textId="77777777" w:rsidR="00CE2E65" w:rsidRPr="00437618" w:rsidRDefault="00CE2E65" w:rsidP="00437618">
            <w:pPr>
              <w:pStyle w:val="FooterTableFigure"/>
              <w:jc w:val="left"/>
              <w:rPr>
                <w:sz w:val="20"/>
                <w:szCs w:val="20"/>
              </w:rPr>
            </w:pPr>
            <w:r w:rsidRPr="00437618">
              <w:rPr>
                <w:sz w:val="20"/>
                <w:szCs w:val="20"/>
              </w:rPr>
              <w:t>RCT</w:t>
            </w:r>
          </w:p>
        </w:tc>
        <w:tc>
          <w:tcPr>
            <w:tcW w:w="786" w:type="pct"/>
            <w:tcMar>
              <w:left w:w="20" w:type="dxa"/>
              <w:right w:w="20" w:type="dxa"/>
            </w:tcMar>
            <w:vAlign w:val="center"/>
          </w:tcPr>
          <w:p w14:paraId="34B3A28B" w14:textId="6D5A9160" w:rsidR="00CE2E65" w:rsidRPr="00437618" w:rsidRDefault="00CE2E65" w:rsidP="35298142">
            <w:pPr>
              <w:pStyle w:val="FooterTableFigure"/>
              <w:jc w:val="center"/>
              <w:rPr>
                <w:sz w:val="20"/>
                <w:szCs w:val="20"/>
              </w:rPr>
            </w:pPr>
            <w:proofErr w:type="spellStart"/>
            <w:r w:rsidRPr="35298142">
              <w:rPr>
                <w:sz w:val="20"/>
                <w:szCs w:val="20"/>
              </w:rPr>
              <w:t>Omaveloxolone</w:t>
            </w:r>
            <w:proofErr w:type="spellEnd"/>
          </w:p>
          <w:p w14:paraId="6A6F6DF5" w14:textId="32AC8019" w:rsidR="00CE2E65" w:rsidRPr="00437618" w:rsidRDefault="00CE2E65" w:rsidP="00AC6A4A">
            <w:pPr>
              <w:pStyle w:val="FooterTableFigure"/>
              <w:jc w:val="center"/>
              <w:rPr>
                <w:sz w:val="20"/>
                <w:szCs w:val="20"/>
              </w:rPr>
            </w:pPr>
            <w:r w:rsidRPr="00437618">
              <w:rPr>
                <w:sz w:val="20"/>
                <w:szCs w:val="20"/>
              </w:rPr>
              <w:t>150 mg once</w:t>
            </w:r>
          </w:p>
          <w:p w14:paraId="4FDA4A70" w14:textId="77777777" w:rsidR="00CE2E65" w:rsidRPr="00437618" w:rsidRDefault="00CE2E65" w:rsidP="00AC6A4A">
            <w:pPr>
              <w:pStyle w:val="FooterTableFigure"/>
              <w:jc w:val="center"/>
              <w:rPr>
                <w:sz w:val="20"/>
                <w:szCs w:val="20"/>
              </w:rPr>
            </w:pPr>
            <w:r w:rsidRPr="00437618">
              <w:rPr>
                <w:sz w:val="20"/>
                <w:szCs w:val="20"/>
              </w:rPr>
              <w:t>daily for 48 weeks</w:t>
            </w:r>
          </w:p>
          <w:p w14:paraId="04667CE3" w14:textId="6D51ADCC" w:rsidR="00CE2E65" w:rsidRPr="00437618" w:rsidRDefault="000A0ED1" w:rsidP="00AC6A4A">
            <w:pPr>
              <w:pStyle w:val="FooterTableFigure"/>
              <w:jc w:val="center"/>
              <w:rPr>
                <w:sz w:val="20"/>
                <w:szCs w:val="20"/>
              </w:rPr>
            </w:pPr>
            <w:r>
              <w:rPr>
                <w:sz w:val="20"/>
                <w:szCs w:val="20"/>
              </w:rPr>
              <w:t>OR</w:t>
            </w:r>
          </w:p>
          <w:p w14:paraId="6AD1CDE7" w14:textId="46880523" w:rsidR="00CE2E65" w:rsidRPr="00437618" w:rsidRDefault="00CE2E65" w:rsidP="00AC6A4A">
            <w:pPr>
              <w:pStyle w:val="FooterTableFigure"/>
              <w:jc w:val="center"/>
              <w:rPr>
                <w:sz w:val="20"/>
                <w:szCs w:val="20"/>
              </w:rPr>
            </w:pPr>
            <w:r w:rsidRPr="00437618">
              <w:rPr>
                <w:sz w:val="20"/>
                <w:szCs w:val="20"/>
              </w:rPr>
              <w:t>Placebo orally</w:t>
            </w:r>
          </w:p>
          <w:p w14:paraId="0DD51507" w14:textId="77777777" w:rsidR="00CE2E65" w:rsidRPr="00437618" w:rsidRDefault="00CE2E65" w:rsidP="00AC6A4A">
            <w:pPr>
              <w:pStyle w:val="FooterTableFigure"/>
              <w:jc w:val="center"/>
              <w:rPr>
                <w:sz w:val="20"/>
                <w:szCs w:val="20"/>
              </w:rPr>
            </w:pPr>
            <w:r w:rsidRPr="00437618">
              <w:rPr>
                <w:sz w:val="20"/>
                <w:szCs w:val="20"/>
              </w:rPr>
              <w:t>once daily for 48</w:t>
            </w:r>
          </w:p>
          <w:p w14:paraId="429455A1" w14:textId="77777777" w:rsidR="00CE2E65" w:rsidRPr="00437618" w:rsidRDefault="00CE2E65" w:rsidP="00AC6A4A">
            <w:pPr>
              <w:pStyle w:val="FooterTableFigure"/>
              <w:jc w:val="center"/>
              <w:rPr>
                <w:sz w:val="20"/>
                <w:szCs w:val="20"/>
              </w:rPr>
            </w:pPr>
            <w:r w:rsidRPr="00437618">
              <w:rPr>
                <w:sz w:val="20"/>
                <w:szCs w:val="20"/>
              </w:rPr>
              <w:t>weeks</w:t>
            </w:r>
          </w:p>
        </w:tc>
        <w:tc>
          <w:tcPr>
            <w:tcW w:w="980" w:type="pct"/>
            <w:tcMar>
              <w:left w:w="20" w:type="dxa"/>
              <w:right w:w="20" w:type="dxa"/>
            </w:tcMar>
          </w:tcPr>
          <w:p w14:paraId="4FA5E225" w14:textId="77777777" w:rsidR="00CE2E65" w:rsidRPr="00437618" w:rsidRDefault="00CE2E65" w:rsidP="00437618">
            <w:pPr>
              <w:pStyle w:val="FooterTableFigure"/>
              <w:jc w:val="left"/>
              <w:rPr>
                <w:sz w:val="20"/>
                <w:szCs w:val="20"/>
                <w:u w:val="single"/>
              </w:rPr>
            </w:pPr>
            <w:r w:rsidRPr="00437618">
              <w:rPr>
                <w:sz w:val="20"/>
                <w:szCs w:val="20"/>
                <w:u w:val="single"/>
              </w:rPr>
              <w:t>Demographics</w:t>
            </w:r>
          </w:p>
          <w:p w14:paraId="29E18B6C" w14:textId="77777777" w:rsidR="00CE2E65" w:rsidRPr="00437618" w:rsidRDefault="00CE2E65" w:rsidP="00437618">
            <w:pPr>
              <w:pStyle w:val="FooterTableFigure"/>
              <w:jc w:val="left"/>
              <w:rPr>
                <w:sz w:val="20"/>
                <w:szCs w:val="20"/>
              </w:rPr>
            </w:pPr>
            <w:r w:rsidRPr="00437618">
              <w:rPr>
                <w:sz w:val="20"/>
                <w:szCs w:val="20"/>
              </w:rPr>
              <w:t>Male: 53%</w:t>
            </w:r>
          </w:p>
          <w:p w14:paraId="4CAE69E0" w14:textId="77777777" w:rsidR="00CE2E65" w:rsidRPr="00437618" w:rsidRDefault="00CE2E65" w:rsidP="35298142">
            <w:pPr>
              <w:pStyle w:val="FooterTableFigure"/>
              <w:jc w:val="left"/>
              <w:rPr>
                <w:sz w:val="20"/>
                <w:szCs w:val="20"/>
              </w:rPr>
            </w:pPr>
            <w:r w:rsidRPr="35298142">
              <w:rPr>
                <w:sz w:val="20"/>
                <w:szCs w:val="20"/>
              </w:rPr>
              <w:t xml:space="preserve">Mean age: 24 </w:t>
            </w:r>
            <w:proofErr w:type="spellStart"/>
            <w:r w:rsidRPr="35298142">
              <w:rPr>
                <w:sz w:val="20"/>
                <w:szCs w:val="20"/>
              </w:rPr>
              <w:t>yo</w:t>
            </w:r>
            <w:proofErr w:type="spellEnd"/>
          </w:p>
          <w:p w14:paraId="5A20A6B1" w14:textId="77777777" w:rsidR="00CE2E65" w:rsidRPr="00437618" w:rsidRDefault="00CE2E65" w:rsidP="00437618">
            <w:pPr>
              <w:pStyle w:val="FooterTableFigure"/>
              <w:jc w:val="left"/>
              <w:rPr>
                <w:sz w:val="20"/>
                <w:szCs w:val="20"/>
              </w:rPr>
            </w:pPr>
            <w:r w:rsidRPr="00437618">
              <w:rPr>
                <w:sz w:val="20"/>
                <w:szCs w:val="20"/>
              </w:rPr>
              <w:t>White: 97%</w:t>
            </w:r>
          </w:p>
          <w:p w14:paraId="31A7B8DB" w14:textId="77777777" w:rsidR="00CE2E65" w:rsidRPr="00437618" w:rsidRDefault="00CE2E65" w:rsidP="35298142">
            <w:pPr>
              <w:pStyle w:val="FooterTableFigure"/>
              <w:jc w:val="left"/>
              <w:rPr>
                <w:sz w:val="20"/>
                <w:szCs w:val="20"/>
              </w:rPr>
            </w:pPr>
            <w:r w:rsidRPr="35298142">
              <w:rPr>
                <w:sz w:val="20"/>
                <w:szCs w:val="20"/>
              </w:rPr>
              <w:t xml:space="preserve">Mean </w:t>
            </w:r>
            <w:proofErr w:type="spellStart"/>
            <w:r w:rsidRPr="35298142">
              <w:rPr>
                <w:sz w:val="20"/>
                <w:szCs w:val="20"/>
              </w:rPr>
              <w:t>mFARS</w:t>
            </w:r>
            <w:proofErr w:type="spellEnd"/>
            <w:r w:rsidRPr="35298142">
              <w:rPr>
                <w:sz w:val="20"/>
                <w:szCs w:val="20"/>
              </w:rPr>
              <w:t>: 40</w:t>
            </w:r>
          </w:p>
          <w:p w14:paraId="0A6B7A43" w14:textId="77777777" w:rsidR="00CE2E65" w:rsidRPr="00437618" w:rsidRDefault="00CE2E65" w:rsidP="00437618">
            <w:pPr>
              <w:pStyle w:val="FooterTableFigure"/>
              <w:jc w:val="left"/>
              <w:rPr>
                <w:sz w:val="20"/>
                <w:szCs w:val="20"/>
              </w:rPr>
            </w:pPr>
          </w:p>
          <w:p w14:paraId="583E0181" w14:textId="77777777" w:rsidR="00CE2E65" w:rsidRPr="00437618" w:rsidRDefault="00CE2E65" w:rsidP="00437618">
            <w:pPr>
              <w:pStyle w:val="FooterTableFigure"/>
              <w:jc w:val="left"/>
              <w:rPr>
                <w:sz w:val="20"/>
                <w:szCs w:val="20"/>
              </w:rPr>
            </w:pPr>
            <w:r w:rsidRPr="00437618">
              <w:rPr>
                <w:sz w:val="20"/>
                <w:szCs w:val="20"/>
                <w:u w:val="single"/>
              </w:rPr>
              <w:t>Inclusion Criteria</w:t>
            </w:r>
          </w:p>
          <w:p w14:paraId="5DCC8F4C" w14:textId="77777777" w:rsidR="00CE2E65" w:rsidRPr="00437618" w:rsidRDefault="00CE2E65" w:rsidP="35298142">
            <w:pPr>
              <w:pStyle w:val="FooterTableFigure"/>
              <w:jc w:val="left"/>
              <w:rPr>
                <w:sz w:val="20"/>
                <w:szCs w:val="20"/>
              </w:rPr>
            </w:pPr>
            <w:r w:rsidRPr="35298142">
              <w:rPr>
                <w:sz w:val="20"/>
                <w:szCs w:val="20"/>
              </w:rPr>
              <w:t xml:space="preserve">16 to 40 </w:t>
            </w:r>
            <w:proofErr w:type="spellStart"/>
            <w:r w:rsidRPr="35298142">
              <w:rPr>
                <w:sz w:val="20"/>
                <w:szCs w:val="20"/>
              </w:rPr>
              <w:t>yo</w:t>
            </w:r>
            <w:proofErr w:type="spellEnd"/>
            <w:r w:rsidRPr="35298142">
              <w:rPr>
                <w:sz w:val="20"/>
                <w:szCs w:val="20"/>
              </w:rPr>
              <w:t xml:space="preserve"> with</w:t>
            </w:r>
          </w:p>
          <w:p w14:paraId="0BA243DC" w14:textId="77777777" w:rsidR="00CE2E65" w:rsidRPr="00437618" w:rsidRDefault="00CE2E65" w:rsidP="00437618">
            <w:pPr>
              <w:pStyle w:val="FooterTableFigure"/>
              <w:jc w:val="left"/>
              <w:rPr>
                <w:sz w:val="20"/>
                <w:szCs w:val="20"/>
              </w:rPr>
            </w:pPr>
            <w:r w:rsidRPr="00437618">
              <w:rPr>
                <w:sz w:val="20"/>
                <w:szCs w:val="20"/>
              </w:rPr>
              <w:t>genetically confirmed FA</w:t>
            </w:r>
          </w:p>
          <w:p w14:paraId="6B11FBF4" w14:textId="77777777" w:rsidR="00CE2E65" w:rsidRPr="00437618" w:rsidRDefault="00CE2E65" w:rsidP="35298142">
            <w:pPr>
              <w:pStyle w:val="FooterTableFigure"/>
              <w:jc w:val="left"/>
              <w:rPr>
                <w:sz w:val="20"/>
                <w:szCs w:val="20"/>
              </w:rPr>
            </w:pPr>
            <w:r w:rsidRPr="35298142">
              <w:rPr>
                <w:sz w:val="20"/>
                <w:szCs w:val="20"/>
              </w:rPr>
              <w:t>-</w:t>
            </w:r>
            <w:proofErr w:type="spellStart"/>
            <w:r w:rsidRPr="35298142">
              <w:rPr>
                <w:sz w:val="20"/>
                <w:szCs w:val="20"/>
              </w:rPr>
              <w:t>mFARS</w:t>
            </w:r>
            <w:proofErr w:type="spellEnd"/>
            <w:r w:rsidRPr="35298142">
              <w:rPr>
                <w:sz w:val="20"/>
                <w:szCs w:val="20"/>
              </w:rPr>
              <w:t xml:space="preserve"> score ≥20 - ≤80</w:t>
            </w:r>
          </w:p>
          <w:p w14:paraId="2BFB9FDA" w14:textId="77777777" w:rsidR="00CE2E65" w:rsidRPr="00437618" w:rsidRDefault="00CE2E65" w:rsidP="00437618">
            <w:pPr>
              <w:pStyle w:val="FooterTableFigure"/>
              <w:jc w:val="left"/>
              <w:rPr>
                <w:sz w:val="20"/>
                <w:szCs w:val="20"/>
              </w:rPr>
            </w:pPr>
          </w:p>
          <w:p w14:paraId="6F302A5C" w14:textId="77777777" w:rsidR="00CE2E65" w:rsidRPr="00437618" w:rsidRDefault="00CE2E65" w:rsidP="00437618">
            <w:pPr>
              <w:pStyle w:val="FooterTableFigure"/>
              <w:jc w:val="left"/>
              <w:rPr>
                <w:sz w:val="20"/>
                <w:szCs w:val="20"/>
                <w:u w:val="single"/>
              </w:rPr>
            </w:pPr>
            <w:r w:rsidRPr="00437618">
              <w:rPr>
                <w:sz w:val="20"/>
                <w:szCs w:val="20"/>
                <w:u w:val="single"/>
              </w:rPr>
              <w:t>Exclusion Criteria</w:t>
            </w:r>
          </w:p>
          <w:p w14:paraId="25D60628" w14:textId="477D9A17" w:rsidR="00CE2E65" w:rsidRPr="00437618" w:rsidRDefault="00CE2E65" w:rsidP="00437618">
            <w:pPr>
              <w:pStyle w:val="FooterTableFigure"/>
              <w:jc w:val="left"/>
              <w:rPr>
                <w:sz w:val="20"/>
                <w:szCs w:val="20"/>
              </w:rPr>
            </w:pPr>
            <w:r w:rsidRPr="00437618">
              <w:rPr>
                <w:sz w:val="20"/>
                <w:szCs w:val="20"/>
              </w:rPr>
              <w:t xml:space="preserve">Uncontrolled diabetes </w:t>
            </w:r>
          </w:p>
          <w:p w14:paraId="1EB6F464" w14:textId="77777777" w:rsidR="00CE2E65" w:rsidRPr="00437618" w:rsidRDefault="00CE2E65" w:rsidP="35298142">
            <w:pPr>
              <w:pStyle w:val="FooterTableFigure"/>
              <w:jc w:val="left"/>
              <w:rPr>
                <w:sz w:val="20"/>
                <w:szCs w:val="20"/>
              </w:rPr>
            </w:pPr>
            <w:r w:rsidRPr="35298142">
              <w:rPr>
                <w:sz w:val="20"/>
                <w:szCs w:val="20"/>
              </w:rPr>
              <w:t xml:space="preserve">BNP &gt; 200 </w:t>
            </w:r>
            <w:proofErr w:type="spellStart"/>
            <w:r w:rsidRPr="35298142">
              <w:rPr>
                <w:sz w:val="20"/>
                <w:szCs w:val="20"/>
              </w:rPr>
              <w:t>pg</w:t>
            </w:r>
            <w:proofErr w:type="spellEnd"/>
            <w:r w:rsidRPr="35298142">
              <w:rPr>
                <w:sz w:val="20"/>
                <w:szCs w:val="20"/>
              </w:rPr>
              <w:t>/mL</w:t>
            </w:r>
          </w:p>
          <w:p w14:paraId="4D1A6AB4" w14:textId="40A1D847" w:rsidR="00CE2E65" w:rsidRPr="00437618" w:rsidRDefault="00CE2E65" w:rsidP="00437618">
            <w:pPr>
              <w:pStyle w:val="FooterTableFigure"/>
              <w:jc w:val="left"/>
              <w:rPr>
                <w:sz w:val="20"/>
                <w:szCs w:val="20"/>
              </w:rPr>
            </w:pPr>
            <w:r w:rsidRPr="00437618">
              <w:rPr>
                <w:sz w:val="20"/>
                <w:szCs w:val="20"/>
              </w:rPr>
              <w:t>History of significant cardiac or hepatic disease.</w:t>
            </w:r>
          </w:p>
        </w:tc>
        <w:tc>
          <w:tcPr>
            <w:tcW w:w="567" w:type="pct"/>
            <w:tcMar>
              <w:left w:w="20" w:type="dxa"/>
              <w:right w:w="20" w:type="dxa"/>
            </w:tcMar>
          </w:tcPr>
          <w:p w14:paraId="097C62DF" w14:textId="77777777" w:rsidR="00CE2E65" w:rsidRPr="00437618" w:rsidRDefault="00CE2E65" w:rsidP="00437618">
            <w:pPr>
              <w:pStyle w:val="FooterTableFigure"/>
              <w:jc w:val="left"/>
              <w:rPr>
                <w:sz w:val="20"/>
                <w:szCs w:val="20"/>
                <w:u w:val="single"/>
              </w:rPr>
            </w:pPr>
            <w:r w:rsidRPr="00437618">
              <w:rPr>
                <w:sz w:val="20"/>
                <w:szCs w:val="20"/>
                <w:u w:val="single"/>
              </w:rPr>
              <w:t>ITT</w:t>
            </w:r>
          </w:p>
          <w:p w14:paraId="7F552D43" w14:textId="51AA394E" w:rsidR="00D52824" w:rsidRPr="004E5EBA" w:rsidRDefault="00D52824" w:rsidP="00437618">
            <w:pPr>
              <w:pStyle w:val="FooterTableFigure"/>
              <w:jc w:val="left"/>
              <w:rPr>
                <w:sz w:val="20"/>
                <w:szCs w:val="20"/>
              </w:rPr>
            </w:pPr>
            <w:r w:rsidRPr="004E5EBA">
              <w:rPr>
                <w:sz w:val="20"/>
                <w:szCs w:val="20"/>
              </w:rPr>
              <w:t xml:space="preserve">N = </w:t>
            </w:r>
            <w:r w:rsidR="007B0B65" w:rsidRPr="004E5EBA">
              <w:rPr>
                <w:sz w:val="20"/>
                <w:szCs w:val="20"/>
              </w:rPr>
              <w:t>103</w:t>
            </w:r>
          </w:p>
          <w:p w14:paraId="03E9B292" w14:textId="6D5B24C2" w:rsidR="00CE2E65" w:rsidRPr="004E5EBA" w:rsidRDefault="007B0B65" w:rsidP="00437618">
            <w:pPr>
              <w:pStyle w:val="FooterTableFigure"/>
              <w:jc w:val="left"/>
              <w:rPr>
                <w:sz w:val="20"/>
                <w:szCs w:val="20"/>
              </w:rPr>
            </w:pPr>
            <w:r w:rsidRPr="004E5EBA">
              <w:rPr>
                <w:sz w:val="20"/>
                <w:szCs w:val="20"/>
              </w:rPr>
              <w:t>Oma</w:t>
            </w:r>
            <w:r w:rsidR="000A0ED1">
              <w:rPr>
                <w:sz w:val="20"/>
                <w:szCs w:val="20"/>
              </w:rPr>
              <w:t>, n</w:t>
            </w:r>
            <w:r w:rsidRPr="004E5EBA">
              <w:rPr>
                <w:sz w:val="20"/>
                <w:szCs w:val="20"/>
              </w:rPr>
              <w:t xml:space="preserve"> = </w:t>
            </w:r>
            <w:r w:rsidR="00CE2E65" w:rsidRPr="004E5EBA">
              <w:rPr>
                <w:sz w:val="20"/>
                <w:szCs w:val="20"/>
              </w:rPr>
              <w:t>51</w:t>
            </w:r>
            <w:r w:rsidR="00B47F73">
              <w:rPr>
                <w:sz w:val="20"/>
                <w:szCs w:val="20"/>
              </w:rPr>
              <w:t>;</w:t>
            </w:r>
          </w:p>
          <w:p w14:paraId="37744F4D" w14:textId="0A33CC6E" w:rsidR="00CE2E65" w:rsidRPr="004E5EBA" w:rsidRDefault="007B0B65" w:rsidP="00437618">
            <w:pPr>
              <w:pStyle w:val="FooterTableFigure"/>
              <w:jc w:val="left"/>
              <w:rPr>
                <w:sz w:val="20"/>
                <w:szCs w:val="20"/>
              </w:rPr>
            </w:pPr>
            <w:r w:rsidRPr="004E5EBA">
              <w:rPr>
                <w:sz w:val="20"/>
                <w:szCs w:val="20"/>
              </w:rPr>
              <w:t>Placebo</w:t>
            </w:r>
            <w:r w:rsidR="000A0ED1">
              <w:rPr>
                <w:sz w:val="20"/>
                <w:szCs w:val="20"/>
              </w:rPr>
              <w:t xml:space="preserve">, n </w:t>
            </w:r>
            <w:r w:rsidRPr="004E5EBA">
              <w:rPr>
                <w:sz w:val="20"/>
                <w:szCs w:val="20"/>
              </w:rPr>
              <w:t xml:space="preserve">= </w:t>
            </w:r>
            <w:r w:rsidR="00CE2E65" w:rsidRPr="004E5EBA">
              <w:rPr>
                <w:sz w:val="20"/>
                <w:szCs w:val="20"/>
              </w:rPr>
              <w:t>52</w:t>
            </w:r>
          </w:p>
          <w:p w14:paraId="041302A9" w14:textId="77777777" w:rsidR="00CE2E65" w:rsidRPr="004E5EBA" w:rsidRDefault="00CE2E65" w:rsidP="00437618">
            <w:pPr>
              <w:pStyle w:val="FooterTableFigure"/>
              <w:jc w:val="left"/>
              <w:rPr>
                <w:sz w:val="20"/>
                <w:szCs w:val="20"/>
                <w:u w:val="single"/>
              </w:rPr>
            </w:pPr>
          </w:p>
          <w:p w14:paraId="6D155040" w14:textId="77777777" w:rsidR="00CE2E65" w:rsidRPr="00437618" w:rsidRDefault="00CE2E65" w:rsidP="00437618">
            <w:pPr>
              <w:pStyle w:val="FooterTableFigure"/>
              <w:jc w:val="left"/>
              <w:rPr>
                <w:sz w:val="20"/>
                <w:szCs w:val="20"/>
              </w:rPr>
            </w:pPr>
            <w:r w:rsidRPr="00437618">
              <w:rPr>
                <w:sz w:val="20"/>
                <w:szCs w:val="20"/>
              </w:rPr>
              <w:t>FAS</w:t>
            </w:r>
          </w:p>
          <w:p w14:paraId="65B485BC" w14:textId="77777777" w:rsidR="00CE2E65" w:rsidRPr="00437618" w:rsidRDefault="00CE2E65" w:rsidP="35298142">
            <w:pPr>
              <w:pStyle w:val="FooterTableFigure"/>
              <w:jc w:val="left"/>
              <w:rPr>
                <w:sz w:val="20"/>
                <w:szCs w:val="20"/>
              </w:rPr>
            </w:pPr>
            <w:r w:rsidRPr="35298142">
              <w:rPr>
                <w:sz w:val="20"/>
                <w:szCs w:val="20"/>
              </w:rPr>
              <w:t>(without pes</w:t>
            </w:r>
          </w:p>
          <w:p w14:paraId="294D4D95" w14:textId="77777777" w:rsidR="007B0B65" w:rsidRDefault="00CE2E65" w:rsidP="35298142">
            <w:pPr>
              <w:pStyle w:val="FooterTableFigure"/>
              <w:jc w:val="left"/>
              <w:rPr>
                <w:sz w:val="20"/>
                <w:szCs w:val="20"/>
              </w:rPr>
            </w:pPr>
            <w:proofErr w:type="spellStart"/>
            <w:r w:rsidRPr="35298142">
              <w:rPr>
                <w:sz w:val="20"/>
                <w:szCs w:val="20"/>
              </w:rPr>
              <w:t>cavus</w:t>
            </w:r>
            <w:proofErr w:type="spellEnd"/>
            <w:r w:rsidRPr="35298142">
              <w:rPr>
                <w:sz w:val="20"/>
                <w:szCs w:val="20"/>
              </w:rPr>
              <w:t>)</w:t>
            </w:r>
          </w:p>
          <w:p w14:paraId="528BEC1B" w14:textId="77777777" w:rsidR="004E5EBA" w:rsidRDefault="007B0B65" w:rsidP="00437618">
            <w:pPr>
              <w:pStyle w:val="FooterTableFigure"/>
              <w:jc w:val="left"/>
              <w:rPr>
                <w:sz w:val="20"/>
                <w:szCs w:val="20"/>
              </w:rPr>
            </w:pPr>
            <w:r>
              <w:rPr>
                <w:sz w:val="20"/>
                <w:szCs w:val="20"/>
              </w:rPr>
              <w:t>N = 82</w:t>
            </w:r>
          </w:p>
          <w:p w14:paraId="412BB6D6" w14:textId="77777777" w:rsidR="004E5EBA" w:rsidRDefault="004E5EBA" w:rsidP="00437618">
            <w:pPr>
              <w:pStyle w:val="FooterTableFigure"/>
              <w:jc w:val="left"/>
              <w:rPr>
                <w:sz w:val="20"/>
                <w:szCs w:val="20"/>
              </w:rPr>
            </w:pPr>
            <w:r>
              <w:rPr>
                <w:sz w:val="20"/>
                <w:szCs w:val="20"/>
              </w:rPr>
              <w:t>Oma, n = 40;</w:t>
            </w:r>
          </w:p>
          <w:p w14:paraId="597B5915" w14:textId="00365F86" w:rsidR="00CE2E65" w:rsidRPr="00437618" w:rsidRDefault="004E5EBA" w:rsidP="00437618">
            <w:pPr>
              <w:pStyle w:val="FooterTableFigure"/>
              <w:jc w:val="left"/>
              <w:rPr>
                <w:sz w:val="20"/>
                <w:szCs w:val="20"/>
              </w:rPr>
            </w:pPr>
            <w:r>
              <w:rPr>
                <w:sz w:val="20"/>
                <w:szCs w:val="20"/>
              </w:rPr>
              <w:t>Placebo, n= 42</w:t>
            </w:r>
          </w:p>
          <w:p w14:paraId="0C448F84" w14:textId="1449F29F" w:rsidR="00CE2E65" w:rsidRPr="00437618" w:rsidRDefault="00CE2E65" w:rsidP="00437618">
            <w:pPr>
              <w:pStyle w:val="FooterTableFigure"/>
              <w:jc w:val="left"/>
              <w:rPr>
                <w:sz w:val="20"/>
                <w:szCs w:val="20"/>
              </w:rPr>
            </w:pPr>
          </w:p>
        </w:tc>
        <w:tc>
          <w:tcPr>
            <w:tcW w:w="699" w:type="pct"/>
            <w:tcMar>
              <w:left w:w="20" w:type="dxa"/>
              <w:right w:w="20" w:type="dxa"/>
            </w:tcMar>
          </w:tcPr>
          <w:p w14:paraId="3D426CA2" w14:textId="77777777" w:rsidR="00CE2E65" w:rsidRPr="000A0ED1" w:rsidRDefault="00CE2E65" w:rsidP="00437618">
            <w:pPr>
              <w:pStyle w:val="FooterTableFigure"/>
              <w:jc w:val="left"/>
              <w:rPr>
                <w:sz w:val="20"/>
                <w:szCs w:val="20"/>
                <w:u w:val="single"/>
              </w:rPr>
            </w:pPr>
            <w:r w:rsidRPr="000A0ED1">
              <w:rPr>
                <w:sz w:val="20"/>
                <w:szCs w:val="20"/>
                <w:u w:val="single"/>
              </w:rPr>
              <w:t>Primary Endpoint:</w:t>
            </w:r>
          </w:p>
          <w:p w14:paraId="384E46BD" w14:textId="77777777" w:rsidR="00CE2E65" w:rsidRPr="00437618" w:rsidRDefault="00CE2E65" w:rsidP="35298142">
            <w:pPr>
              <w:pStyle w:val="FooterTableFigure"/>
              <w:jc w:val="left"/>
              <w:rPr>
                <w:sz w:val="20"/>
                <w:szCs w:val="20"/>
              </w:rPr>
            </w:pPr>
            <w:r w:rsidRPr="35298142">
              <w:rPr>
                <w:sz w:val="20"/>
                <w:szCs w:val="20"/>
              </w:rPr>
              <w:t xml:space="preserve">LSM change from baseline in </w:t>
            </w:r>
            <w:proofErr w:type="spellStart"/>
            <w:r w:rsidRPr="35298142">
              <w:rPr>
                <w:sz w:val="20"/>
                <w:szCs w:val="20"/>
              </w:rPr>
              <w:t>mFARS</w:t>
            </w:r>
            <w:proofErr w:type="spellEnd"/>
            <w:r w:rsidRPr="35298142">
              <w:rPr>
                <w:sz w:val="20"/>
                <w:szCs w:val="20"/>
              </w:rPr>
              <w:t xml:space="preserve"> score at 48 weeks</w:t>
            </w:r>
          </w:p>
          <w:p w14:paraId="2BFEF847" w14:textId="77777777" w:rsidR="00CE2E65" w:rsidRPr="00437618" w:rsidRDefault="00CE2E65" w:rsidP="00437618">
            <w:pPr>
              <w:pStyle w:val="FooterTableFigure"/>
              <w:jc w:val="left"/>
              <w:rPr>
                <w:sz w:val="20"/>
                <w:szCs w:val="20"/>
              </w:rPr>
            </w:pPr>
          </w:p>
          <w:p w14:paraId="6F877C74" w14:textId="77777777" w:rsidR="00CE2E65" w:rsidRPr="000A0ED1" w:rsidRDefault="00CE2E65" w:rsidP="00437618">
            <w:pPr>
              <w:pStyle w:val="FooterTableFigure"/>
              <w:jc w:val="left"/>
              <w:rPr>
                <w:sz w:val="20"/>
                <w:szCs w:val="20"/>
                <w:u w:val="single"/>
              </w:rPr>
            </w:pPr>
            <w:r w:rsidRPr="000A0ED1">
              <w:rPr>
                <w:sz w:val="20"/>
                <w:szCs w:val="20"/>
                <w:u w:val="single"/>
              </w:rPr>
              <w:t>Secondary Endpoints:</w:t>
            </w:r>
          </w:p>
          <w:p w14:paraId="3BBE64FA" w14:textId="77777777" w:rsidR="00CE2E65" w:rsidRPr="00437618" w:rsidRDefault="00CE2E65" w:rsidP="00437618">
            <w:pPr>
              <w:pStyle w:val="FooterTableFigure"/>
              <w:jc w:val="left"/>
              <w:rPr>
                <w:sz w:val="20"/>
                <w:szCs w:val="20"/>
              </w:rPr>
            </w:pPr>
            <w:r w:rsidRPr="00437618">
              <w:rPr>
                <w:sz w:val="20"/>
                <w:szCs w:val="20"/>
              </w:rPr>
              <w:t>LSM change in PGIC from baseline at 48 weeks</w:t>
            </w:r>
          </w:p>
          <w:p w14:paraId="064143D4" w14:textId="77777777" w:rsidR="00CE2E65" w:rsidRPr="00437618" w:rsidRDefault="00CE2E65" w:rsidP="00437618">
            <w:pPr>
              <w:pStyle w:val="FooterTableFigure"/>
              <w:jc w:val="left"/>
              <w:rPr>
                <w:sz w:val="20"/>
                <w:szCs w:val="20"/>
              </w:rPr>
            </w:pPr>
          </w:p>
          <w:p w14:paraId="31CD69D1" w14:textId="58B0D29E" w:rsidR="00CE2E65" w:rsidRPr="00437618" w:rsidRDefault="00CE2E65" w:rsidP="00437618">
            <w:pPr>
              <w:pStyle w:val="FooterTableFigure"/>
              <w:jc w:val="left"/>
              <w:rPr>
                <w:sz w:val="20"/>
                <w:szCs w:val="20"/>
              </w:rPr>
            </w:pPr>
            <w:r w:rsidRPr="00437618">
              <w:rPr>
                <w:sz w:val="20"/>
                <w:szCs w:val="20"/>
              </w:rPr>
              <w:t>LSM change in CGIC from baseline at 48 weeks</w:t>
            </w:r>
          </w:p>
        </w:tc>
        <w:tc>
          <w:tcPr>
            <w:tcW w:w="711" w:type="pct"/>
            <w:tcMar>
              <w:left w:w="20" w:type="dxa"/>
              <w:right w:w="20" w:type="dxa"/>
            </w:tcMar>
          </w:tcPr>
          <w:p w14:paraId="3061381D" w14:textId="128CDCEE" w:rsidR="00CE2E65" w:rsidRPr="00437618" w:rsidRDefault="00CE2E65" w:rsidP="00437618">
            <w:pPr>
              <w:pStyle w:val="FooterTableFigure"/>
              <w:jc w:val="left"/>
              <w:rPr>
                <w:sz w:val="20"/>
                <w:szCs w:val="20"/>
              </w:rPr>
            </w:pPr>
            <w:r w:rsidRPr="00437618">
              <w:rPr>
                <w:sz w:val="20"/>
                <w:szCs w:val="20"/>
              </w:rPr>
              <w:t>Any SAE</w:t>
            </w:r>
            <w:r w:rsidR="000A0ED1">
              <w:rPr>
                <w:sz w:val="20"/>
                <w:szCs w:val="20"/>
              </w:rPr>
              <w:t>;</w:t>
            </w:r>
          </w:p>
          <w:p w14:paraId="1D115251" w14:textId="77777777" w:rsidR="00CE2E65" w:rsidRPr="00437618" w:rsidRDefault="00CE2E65" w:rsidP="00437618">
            <w:pPr>
              <w:pStyle w:val="FooterTableFigure"/>
              <w:jc w:val="left"/>
              <w:rPr>
                <w:sz w:val="20"/>
                <w:szCs w:val="20"/>
              </w:rPr>
            </w:pPr>
            <w:r w:rsidRPr="00437618">
              <w:rPr>
                <w:sz w:val="20"/>
                <w:szCs w:val="20"/>
              </w:rPr>
              <w:t>Discontinuation</w:t>
            </w:r>
          </w:p>
          <w:p w14:paraId="78249C47" w14:textId="6CBCF90E" w:rsidR="00CE2E65" w:rsidRPr="00437618" w:rsidRDefault="00CE2E65" w:rsidP="00437618">
            <w:pPr>
              <w:pStyle w:val="FooterTableFigure"/>
              <w:jc w:val="left"/>
              <w:rPr>
                <w:sz w:val="20"/>
                <w:szCs w:val="20"/>
              </w:rPr>
            </w:pPr>
            <w:r w:rsidRPr="00437618">
              <w:rPr>
                <w:sz w:val="20"/>
                <w:szCs w:val="20"/>
              </w:rPr>
              <w:t>due to AE</w:t>
            </w:r>
            <w:r w:rsidR="000A0ED1">
              <w:rPr>
                <w:sz w:val="20"/>
                <w:szCs w:val="20"/>
              </w:rPr>
              <w:t>;</w:t>
            </w:r>
          </w:p>
          <w:p w14:paraId="2F8C3BD7" w14:textId="1681806D" w:rsidR="00CE2E65" w:rsidRPr="00437618" w:rsidRDefault="00CE2E65" w:rsidP="00437618">
            <w:pPr>
              <w:pStyle w:val="FooterTableFigure"/>
              <w:jc w:val="left"/>
              <w:rPr>
                <w:sz w:val="20"/>
                <w:szCs w:val="20"/>
              </w:rPr>
            </w:pPr>
            <w:r w:rsidRPr="00437618">
              <w:rPr>
                <w:sz w:val="20"/>
                <w:szCs w:val="20"/>
              </w:rPr>
              <w:t>Increased ALT</w:t>
            </w:r>
            <w:r w:rsidR="00B47F73">
              <w:rPr>
                <w:sz w:val="20"/>
                <w:szCs w:val="20"/>
              </w:rPr>
              <w:t>;</w:t>
            </w:r>
          </w:p>
          <w:p w14:paraId="2AF390D2" w14:textId="58B23C4D" w:rsidR="00CE2E65" w:rsidRPr="00437618" w:rsidRDefault="00CE2E65" w:rsidP="00437618">
            <w:pPr>
              <w:pStyle w:val="FooterTableFigure"/>
              <w:jc w:val="left"/>
              <w:rPr>
                <w:sz w:val="20"/>
                <w:szCs w:val="20"/>
              </w:rPr>
            </w:pPr>
            <w:r w:rsidRPr="00437618">
              <w:rPr>
                <w:sz w:val="20"/>
                <w:szCs w:val="20"/>
              </w:rPr>
              <w:t>Increased AST</w:t>
            </w:r>
            <w:r w:rsidR="000A0ED1">
              <w:rPr>
                <w:sz w:val="20"/>
                <w:szCs w:val="20"/>
              </w:rPr>
              <w:t xml:space="preserve">. </w:t>
            </w:r>
          </w:p>
          <w:p w14:paraId="0520A8FD" w14:textId="7B1E71D6" w:rsidR="00CE2E65" w:rsidRPr="00437618" w:rsidRDefault="00CE2E65" w:rsidP="00437618">
            <w:pPr>
              <w:pStyle w:val="FooterTableFigure"/>
              <w:jc w:val="left"/>
              <w:rPr>
                <w:sz w:val="20"/>
                <w:szCs w:val="20"/>
              </w:rPr>
            </w:pPr>
          </w:p>
        </w:tc>
        <w:tc>
          <w:tcPr>
            <w:tcW w:w="789" w:type="pct"/>
            <w:tcMar>
              <w:left w:w="20" w:type="dxa"/>
              <w:right w:w="20" w:type="dxa"/>
            </w:tcMar>
          </w:tcPr>
          <w:p w14:paraId="50FFA469" w14:textId="48C038E1" w:rsidR="00CE2E65" w:rsidRPr="00437618" w:rsidRDefault="00CE2E65" w:rsidP="00437618">
            <w:pPr>
              <w:pStyle w:val="FooterTableFigure"/>
              <w:jc w:val="left"/>
              <w:rPr>
                <w:sz w:val="20"/>
                <w:szCs w:val="20"/>
              </w:rPr>
            </w:pPr>
            <w:r w:rsidRPr="00437618">
              <w:rPr>
                <w:sz w:val="20"/>
                <w:szCs w:val="20"/>
                <w:u w:val="single"/>
              </w:rPr>
              <w:t>Selection Bias</w:t>
            </w:r>
            <w:r w:rsidRPr="00437618">
              <w:rPr>
                <w:sz w:val="20"/>
                <w:szCs w:val="20"/>
              </w:rPr>
              <w:t>: Unclear</w:t>
            </w:r>
            <w:r w:rsidR="00F4440C" w:rsidRPr="00437618">
              <w:rPr>
                <w:sz w:val="20"/>
                <w:szCs w:val="20"/>
              </w:rPr>
              <w:t xml:space="preserve"> due to</w:t>
            </w:r>
            <w:r w:rsidRPr="00437618">
              <w:rPr>
                <w:sz w:val="20"/>
                <w:szCs w:val="20"/>
              </w:rPr>
              <w:t xml:space="preserve">. </w:t>
            </w:r>
            <w:r w:rsidR="00F4440C" w:rsidRPr="00437618">
              <w:rPr>
                <w:sz w:val="20"/>
                <w:szCs w:val="20"/>
              </w:rPr>
              <w:t>s</w:t>
            </w:r>
            <w:r w:rsidRPr="00437618">
              <w:rPr>
                <w:sz w:val="20"/>
                <w:szCs w:val="20"/>
              </w:rPr>
              <w:t xml:space="preserve">mall sample size and imbalances for some baseline characteristics. </w:t>
            </w:r>
            <w:r w:rsidRPr="00437618">
              <w:rPr>
                <w:sz w:val="20"/>
                <w:szCs w:val="20"/>
                <w:u w:val="single"/>
              </w:rPr>
              <w:t>Performance Bias</w:t>
            </w:r>
            <w:r w:rsidRPr="00437618">
              <w:rPr>
                <w:sz w:val="20"/>
                <w:szCs w:val="20"/>
              </w:rPr>
              <w:t>: Unclear</w:t>
            </w:r>
            <w:r w:rsidR="00F4440C" w:rsidRPr="00437618">
              <w:rPr>
                <w:sz w:val="20"/>
                <w:szCs w:val="20"/>
              </w:rPr>
              <w:t xml:space="preserve"> as </w:t>
            </w:r>
            <w:r w:rsidRPr="00437618">
              <w:rPr>
                <w:sz w:val="20"/>
                <w:szCs w:val="20"/>
              </w:rPr>
              <w:t>AEs may have resulted in unblinding.</w:t>
            </w:r>
          </w:p>
          <w:p w14:paraId="7A533A51" w14:textId="77777777" w:rsidR="00CE2E65" w:rsidRPr="00437618" w:rsidRDefault="00CE2E65" w:rsidP="00437618">
            <w:pPr>
              <w:pStyle w:val="FooterTableFigure"/>
              <w:jc w:val="left"/>
              <w:rPr>
                <w:sz w:val="20"/>
                <w:szCs w:val="20"/>
              </w:rPr>
            </w:pPr>
            <w:r w:rsidRPr="00437618">
              <w:rPr>
                <w:sz w:val="20"/>
                <w:szCs w:val="20"/>
                <w:u w:val="single"/>
              </w:rPr>
              <w:t>Detection Bias:</w:t>
            </w:r>
            <w:r w:rsidRPr="00437618">
              <w:rPr>
                <w:sz w:val="20"/>
                <w:szCs w:val="20"/>
              </w:rPr>
              <w:t xml:space="preserve"> Unclear (see performance bias).</w:t>
            </w:r>
          </w:p>
          <w:p w14:paraId="65F11E06" w14:textId="77777777" w:rsidR="00CE2E65" w:rsidRPr="00437618" w:rsidRDefault="00CE2E65" w:rsidP="00437618">
            <w:pPr>
              <w:pStyle w:val="FooterTableFigure"/>
              <w:jc w:val="left"/>
              <w:rPr>
                <w:sz w:val="20"/>
                <w:szCs w:val="20"/>
              </w:rPr>
            </w:pPr>
            <w:r w:rsidRPr="00437618">
              <w:rPr>
                <w:sz w:val="20"/>
                <w:szCs w:val="20"/>
                <w:u w:val="single"/>
              </w:rPr>
              <w:t>Attrition Bias</w:t>
            </w:r>
            <w:r w:rsidRPr="00437618">
              <w:rPr>
                <w:sz w:val="20"/>
                <w:szCs w:val="20"/>
              </w:rPr>
              <w:t xml:space="preserve">: High. </w:t>
            </w:r>
          </w:p>
          <w:p w14:paraId="6E19BBE5" w14:textId="77777777" w:rsidR="00CE2E65" w:rsidRPr="00437618" w:rsidRDefault="00CE2E65" w:rsidP="00437618">
            <w:pPr>
              <w:pStyle w:val="FooterTableFigure"/>
              <w:jc w:val="left"/>
              <w:rPr>
                <w:sz w:val="20"/>
                <w:szCs w:val="20"/>
              </w:rPr>
            </w:pPr>
            <w:r w:rsidRPr="00437618">
              <w:rPr>
                <w:sz w:val="20"/>
                <w:szCs w:val="20"/>
                <w:u w:val="single"/>
              </w:rPr>
              <w:t>Reporting Bias</w:t>
            </w:r>
            <w:r w:rsidRPr="00437618">
              <w:rPr>
                <w:sz w:val="20"/>
                <w:szCs w:val="20"/>
              </w:rPr>
              <w:t xml:space="preserve">: Low. </w:t>
            </w:r>
          </w:p>
        </w:tc>
      </w:tr>
    </w:tbl>
    <w:p w14:paraId="76956005" w14:textId="77777777" w:rsidR="00CE2E65" w:rsidRPr="006128A4" w:rsidRDefault="00CE2E65" w:rsidP="00CE2E65">
      <w:pPr>
        <w:pStyle w:val="FooterTableFigure"/>
      </w:pPr>
      <w:r w:rsidRPr="35298142">
        <w:t xml:space="preserve">Source: Section 2 of the submission and the </w:t>
      </w:r>
      <w:proofErr w:type="spellStart"/>
      <w:r w:rsidRPr="35298142">
        <w:t>MOXIe</w:t>
      </w:r>
      <w:proofErr w:type="spellEnd"/>
      <w:r w:rsidRPr="35298142">
        <w:t xml:space="preserve"> Part 2 Clinical Study Report </w:t>
      </w:r>
    </w:p>
    <w:p w14:paraId="5B919CB8" w14:textId="49461155" w:rsidR="00CE2E65" w:rsidRPr="006128A4" w:rsidRDefault="00CE2E65" w:rsidP="35298142">
      <w:pPr>
        <w:pStyle w:val="FooterTableFigure"/>
        <w:rPr>
          <w:sz w:val="20"/>
          <w:szCs w:val="20"/>
        </w:rPr>
      </w:pPr>
      <w:r w:rsidRPr="35298142">
        <w:t>AE=adverse event; ALT=alanine aminotransferase; AST=aspartate aminotransferase; BNP=beta natriuretic peptide; CGIC=Clinical Global Impression of Change; CI=confidence interval; DB=double blind; FA=Friedreich’s ataxia; FAR-ADL=Friedreich’s Ataxia Rating-Activities of Daily Living; FAS=full-analysis set; GAA=guanine-adenine-adenine; HbA1c=haemoglobin A1c; ITT=intention to treat; IWRS=interactive web response system; MC=multi-</w:t>
      </w:r>
      <w:r w:rsidR="002D27EA" w:rsidRPr="35298142">
        <w:t>centre</w:t>
      </w:r>
      <w:r w:rsidRPr="35298142">
        <w:t xml:space="preserve">; MCID=minimal clinically important difference; </w:t>
      </w:r>
      <w:proofErr w:type="spellStart"/>
      <w:r w:rsidRPr="35298142">
        <w:t>mFARS</w:t>
      </w:r>
      <w:proofErr w:type="spellEnd"/>
      <w:r w:rsidRPr="35298142">
        <w:t xml:space="preserve">=modified Friedreich’s Ataxia Rating Scale; LSM=least squares mean; N=number of subjects; NR = not reported; OHP=Oregon Health Plan; PC=placebo controlled; PG=parallel group; PGIC=Patient Global Impression of Change; PO=orally; PP=per protocol; RCT=randomised controlled trial; SAE=serious adverse event; </w:t>
      </w:r>
      <w:proofErr w:type="spellStart"/>
      <w:r w:rsidRPr="35298142">
        <w:t>yo</w:t>
      </w:r>
      <w:proofErr w:type="spellEnd"/>
      <w:r w:rsidRPr="35298142">
        <w:t>=years old.</w:t>
      </w:r>
    </w:p>
    <w:p w14:paraId="7C363740" w14:textId="365DEF6E" w:rsidR="00CE2E65" w:rsidRPr="006128A4" w:rsidRDefault="00CE2E65" w:rsidP="35298142">
      <w:pPr>
        <w:pStyle w:val="3-BodyText"/>
        <w:rPr>
          <w:color w:val="0066FF"/>
        </w:rPr>
      </w:pPr>
      <w:r w:rsidRPr="35298142">
        <w:t xml:space="preserve">Patients were randomised in a 1:1 ratio to 48 weeks of </w:t>
      </w:r>
      <w:proofErr w:type="spellStart"/>
      <w:r w:rsidRPr="35298142">
        <w:t>omaveloxolone</w:t>
      </w:r>
      <w:proofErr w:type="spellEnd"/>
      <w:r w:rsidRPr="35298142">
        <w:t xml:space="preserve"> </w:t>
      </w:r>
      <w:r w:rsidR="00834204">
        <w:br/>
      </w:r>
      <w:r w:rsidRPr="35298142">
        <w:t>(150 mg daily) or placebo. Acknowledging the standard approach of randomisation, the small number of patients per treatment arm (approximately 40 patients per arm in the Full Analysis Set [</w:t>
      </w:r>
      <w:r w:rsidR="0078271C" w:rsidRPr="35298142">
        <w:t xml:space="preserve">without </w:t>
      </w:r>
      <w:r w:rsidRPr="35298142">
        <w:t xml:space="preserve">pes </w:t>
      </w:r>
      <w:proofErr w:type="spellStart"/>
      <w:r w:rsidRPr="35298142">
        <w:t>cavus</w:t>
      </w:r>
      <w:proofErr w:type="spellEnd"/>
      <w:r w:rsidRPr="35298142">
        <w:t xml:space="preserve">] and approximately 50 patients per arm in the total randomised population) resulted in some imbalances in baseline characteristics that could potentially confound the comparative efficacy. The overall direction of the impact of confounding is unclear. </w:t>
      </w:r>
    </w:p>
    <w:p w14:paraId="46F28E7B" w14:textId="68FFA40E" w:rsidR="00CE2E65" w:rsidRPr="006128A4" w:rsidRDefault="00CE2E65" w:rsidP="00CE2E65">
      <w:pPr>
        <w:pStyle w:val="3-BodyText"/>
      </w:pPr>
      <w:r w:rsidRPr="35298142">
        <w:t xml:space="preserve">All patients and investigators with direct involvement in the conduct of the study were blinded to treatment assignments. However, the risk of bias in the assessment of subjective measures were considered unclear as adverse events (AEs) consistent with the known safety profile of </w:t>
      </w:r>
      <w:proofErr w:type="spellStart"/>
      <w:r w:rsidRPr="35298142">
        <w:t>omaveloxolone</w:t>
      </w:r>
      <w:proofErr w:type="spellEnd"/>
      <w:r w:rsidRPr="35298142">
        <w:t xml:space="preserve"> (such as an increase in ALT and AST levels), were more frequent in patients treated with </w:t>
      </w:r>
      <w:proofErr w:type="spellStart"/>
      <w:r w:rsidRPr="35298142">
        <w:t>omaveloxolone</w:t>
      </w:r>
      <w:proofErr w:type="spellEnd"/>
      <w:r w:rsidRPr="35298142">
        <w:t xml:space="preserve"> than patients in the placebo arm which may have resulted in unblinding.</w:t>
      </w:r>
    </w:p>
    <w:p w14:paraId="6250E4D1" w14:textId="0CAB396E" w:rsidR="00CE2E65" w:rsidRPr="006128A4" w:rsidRDefault="00CE2E65" w:rsidP="00CE2E65">
      <w:pPr>
        <w:pStyle w:val="3-BodyText"/>
      </w:pPr>
      <w:r w:rsidRPr="35298142">
        <w:t xml:space="preserve">The risk of confounding from differential attrition rates was considered high given the higher percentage of missing data in the </w:t>
      </w:r>
      <w:proofErr w:type="spellStart"/>
      <w:r w:rsidRPr="35298142">
        <w:t>omaveloxolone</w:t>
      </w:r>
      <w:proofErr w:type="spellEnd"/>
      <w:r w:rsidRPr="35298142">
        <w:t xml:space="preserve"> arm (15%</w:t>
      </w:r>
      <w:r w:rsidR="00C20BD2" w:rsidRPr="35298142">
        <w:t>)</w:t>
      </w:r>
      <w:r w:rsidRPr="35298142">
        <w:t xml:space="preserve"> compared to placebo arm (2.3%)</w:t>
      </w:r>
      <w:r w:rsidR="00A61966" w:rsidRPr="35298142">
        <w:t xml:space="preserve"> and the small sample size</w:t>
      </w:r>
      <w:r w:rsidRPr="35298142">
        <w:t xml:space="preserve">. </w:t>
      </w:r>
    </w:p>
    <w:p w14:paraId="6E98A787" w14:textId="18E43E32" w:rsidR="00441F5A" w:rsidRPr="006128A4" w:rsidRDefault="00441F5A" w:rsidP="00441F5A">
      <w:pPr>
        <w:pStyle w:val="3-BodyText"/>
      </w:pPr>
      <w:r w:rsidRPr="35298142">
        <w:t xml:space="preserve">Most patients completed treatment through to Week 48 (91.3%), although there was a higher treatment discontinuation rate in the </w:t>
      </w:r>
      <w:proofErr w:type="spellStart"/>
      <w:r w:rsidRPr="35298142">
        <w:t>omaveloxolone</w:t>
      </w:r>
      <w:proofErr w:type="spellEnd"/>
      <w:r w:rsidRPr="35298142">
        <w:t xml:space="preserve"> arm compared to the placebo arm (</w:t>
      </w:r>
      <w:r w:rsidR="003D425E" w:rsidRPr="35298142">
        <w:t>13.7</w:t>
      </w:r>
      <w:r w:rsidRPr="35298142">
        <w:t xml:space="preserve">% versus </w:t>
      </w:r>
      <w:r w:rsidR="003D425E" w:rsidRPr="35298142">
        <w:t>3.8</w:t>
      </w:r>
      <w:r w:rsidRPr="35298142">
        <w:t>%</w:t>
      </w:r>
      <w:r w:rsidR="00BD658F" w:rsidRPr="35298142">
        <w:t>, respectively</w:t>
      </w:r>
      <w:r w:rsidRPr="35298142">
        <w:t>). The most common reason for treatment discontinuation was AE</w:t>
      </w:r>
      <w:r w:rsidR="002E7352" w:rsidRPr="35298142">
        <w:t>s</w:t>
      </w:r>
      <w:r w:rsidRPr="35298142">
        <w:t xml:space="preserve"> (</w:t>
      </w:r>
      <w:r w:rsidR="00E520D9" w:rsidRPr="35298142">
        <w:t>5.8%</w:t>
      </w:r>
      <w:r w:rsidRPr="35298142">
        <w:t xml:space="preserve">). </w:t>
      </w:r>
    </w:p>
    <w:p w14:paraId="0EB0F0E7" w14:textId="77777777" w:rsidR="00CE2E65" w:rsidRPr="001B2C1D" w:rsidRDefault="00CE2E65" w:rsidP="00CE2E65">
      <w:pPr>
        <w:pStyle w:val="4-SubsectionHeading"/>
      </w:pPr>
      <w:bookmarkStart w:id="21" w:name="_Toc22897641"/>
      <w:bookmarkStart w:id="22" w:name="_Toc188438058"/>
      <w:r w:rsidRPr="001B2C1D">
        <w:t>Comparative effectiveness</w:t>
      </w:r>
      <w:bookmarkEnd w:id="21"/>
      <w:bookmarkEnd w:id="22"/>
    </w:p>
    <w:p w14:paraId="35169540" w14:textId="7D71FD08" w:rsidR="00CE2E65" w:rsidRPr="00C41ECA" w:rsidRDefault="00CE2E65" w:rsidP="00CE2E65">
      <w:pPr>
        <w:pStyle w:val="3-BodyText"/>
      </w:pPr>
      <w:r w:rsidRPr="00C41ECA">
        <w:rPr>
          <w:lang w:val="en-GB"/>
        </w:rPr>
        <w:t xml:space="preserve">The primary endpoint in </w:t>
      </w:r>
      <w:proofErr w:type="spellStart"/>
      <w:r w:rsidRPr="00C41ECA">
        <w:rPr>
          <w:lang w:val="en-GB"/>
        </w:rPr>
        <w:t>MOXIe</w:t>
      </w:r>
      <w:proofErr w:type="spellEnd"/>
      <w:r w:rsidRPr="00C41ECA">
        <w:rPr>
          <w:lang w:val="en-GB"/>
        </w:rPr>
        <w:t xml:space="preserve"> Part 2 was the change in modified FARS (</w:t>
      </w:r>
      <w:proofErr w:type="spellStart"/>
      <w:r w:rsidRPr="00C41ECA">
        <w:rPr>
          <w:lang w:val="en-GB"/>
        </w:rPr>
        <w:t>mFARS</w:t>
      </w:r>
      <w:proofErr w:type="spellEnd"/>
      <w:r w:rsidRPr="00C41ECA">
        <w:rPr>
          <w:lang w:val="en-GB"/>
        </w:rPr>
        <w:t xml:space="preserve">) scores from baseline to Week 48. </w:t>
      </w:r>
      <w:r w:rsidRPr="00C41ECA">
        <w:rPr>
          <w:lang w:val="en-GB"/>
        </w:rPr>
        <w:fldChar w:fldCharType="begin"/>
      </w:r>
      <w:r w:rsidRPr="00C41ECA">
        <w:rPr>
          <w:lang w:val="en-GB"/>
        </w:rPr>
        <w:instrText xml:space="preserve"> REF _Ref187055373 \h </w:instrText>
      </w:r>
      <w:r w:rsidR="00C41ECA" w:rsidRPr="00C41ECA">
        <w:rPr>
          <w:lang w:val="en-GB"/>
        </w:rPr>
        <w:instrText xml:space="preserve"> \* MERGEFORMAT </w:instrText>
      </w:r>
      <w:r w:rsidRPr="00C41ECA">
        <w:rPr>
          <w:lang w:val="en-GB"/>
        </w:rPr>
      </w:r>
      <w:r w:rsidRPr="00C41ECA">
        <w:rPr>
          <w:lang w:val="en-GB"/>
        </w:rPr>
        <w:fldChar w:fldCharType="separate"/>
      </w:r>
      <w:r w:rsidR="003A4643" w:rsidRPr="35298142">
        <w:t xml:space="preserve">Table </w:t>
      </w:r>
      <w:r w:rsidR="003A4643">
        <w:rPr>
          <w:noProof/>
        </w:rPr>
        <w:t>5</w:t>
      </w:r>
      <w:r w:rsidRPr="00C41ECA">
        <w:rPr>
          <w:lang w:val="en-GB"/>
        </w:rPr>
        <w:fldChar w:fldCharType="end"/>
      </w:r>
      <w:r w:rsidRPr="00C41ECA">
        <w:rPr>
          <w:lang w:val="en-GB"/>
        </w:rPr>
        <w:t xml:space="preserve"> and </w:t>
      </w:r>
      <w:r w:rsidRPr="00C41ECA">
        <w:rPr>
          <w:lang w:val="en-GB"/>
        </w:rPr>
        <w:fldChar w:fldCharType="begin"/>
      </w:r>
      <w:r w:rsidRPr="00C41ECA">
        <w:rPr>
          <w:lang w:val="en-GB"/>
        </w:rPr>
        <w:instrText xml:space="preserve"> REF _Ref187055376 \h </w:instrText>
      </w:r>
      <w:r w:rsidR="00C41ECA" w:rsidRPr="00C41ECA">
        <w:rPr>
          <w:lang w:val="en-GB"/>
        </w:rPr>
        <w:instrText xml:space="preserve"> \* MERGEFORMAT </w:instrText>
      </w:r>
      <w:r w:rsidRPr="00C41ECA">
        <w:rPr>
          <w:lang w:val="en-GB"/>
        </w:rPr>
      </w:r>
      <w:r w:rsidRPr="00C41ECA">
        <w:rPr>
          <w:lang w:val="en-GB"/>
        </w:rPr>
        <w:fldChar w:fldCharType="separate"/>
      </w:r>
      <w:r w:rsidR="003A4643" w:rsidRPr="35298142">
        <w:t xml:space="preserve">Table </w:t>
      </w:r>
      <w:r w:rsidR="003A4643">
        <w:rPr>
          <w:noProof/>
        </w:rPr>
        <w:t>6</w:t>
      </w:r>
      <w:r w:rsidRPr="00C41ECA">
        <w:rPr>
          <w:lang w:val="en-GB"/>
        </w:rPr>
        <w:fldChar w:fldCharType="end"/>
      </w:r>
      <w:r w:rsidRPr="00C41ECA">
        <w:rPr>
          <w:lang w:val="en-GB"/>
        </w:rPr>
        <w:t xml:space="preserve"> summarise the scoring and assessments of </w:t>
      </w:r>
      <w:proofErr w:type="spellStart"/>
      <w:r w:rsidRPr="00C41ECA">
        <w:rPr>
          <w:lang w:val="en-GB"/>
        </w:rPr>
        <w:t>mFARS</w:t>
      </w:r>
      <w:proofErr w:type="spellEnd"/>
      <w:r w:rsidRPr="00C41ECA">
        <w:rPr>
          <w:lang w:val="en-GB"/>
        </w:rPr>
        <w:t>.</w:t>
      </w:r>
    </w:p>
    <w:p w14:paraId="3E688F18" w14:textId="39C8C8F4" w:rsidR="00CE2E65" w:rsidRPr="00C41ECA" w:rsidRDefault="00CE2E65" w:rsidP="00C76F5F">
      <w:pPr>
        <w:pStyle w:val="Caption"/>
        <w:spacing w:before="120"/>
      </w:pPr>
      <w:bookmarkStart w:id="23" w:name="_Ref187055373"/>
      <w:r w:rsidRPr="35298142">
        <w:t xml:space="preserve">Table </w:t>
      </w:r>
      <w:r w:rsidRPr="35298142">
        <w:fldChar w:fldCharType="begin"/>
      </w:r>
      <w:r>
        <w:instrText xml:space="preserve"> SEQ Table \* ARABIC </w:instrText>
      </w:r>
      <w:r w:rsidRPr="35298142">
        <w:fldChar w:fldCharType="separate"/>
      </w:r>
      <w:r w:rsidR="003A4643">
        <w:rPr>
          <w:noProof/>
        </w:rPr>
        <w:t>5</w:t>
      </w:r>
      <w:r w:rsidRPr="35298142">
        <w:rPr>
          <w:noProof/>
        </w:rPr>
        <w:fldChar w:fldCharType="end"/>
      </w:r>
      <w:bookmarkEnd w:id="23"/>
      <w:r w:rsidRPr="35298142">
        <w:t xml:space="preserve">: Overview of scoring of </w:t>
      </w:r>
      <w:proofErr w:type="spellStart"/>
      <w:r w:rsidRPr="35298142">
        <w:t>mFARS</w:t>
      </w:r>
      <w:proofErr w:type="spellEnd"/>
      <w:r w:rsidRPr="35298142">
        <w:t xml:space="preserve"> used in </w:t>
      </w:r>
      <w:proofErr w:type="spellStart"/>
      <w:r w:rsidRPr="35298142">
        <w:t>MOXIe</w:t>
      </w:r>
      <w:proofErr w:type="spellEnd"/>
      <w:r w:rsidRPr="35298142">
        <w:t xml:space="preserve"> Part 2</w:t>
      </w:r>
    </w:p>
    <w:tbl>
      <w:tblPr>
        <w:tblStyle w:val="TableGrid"/>
        <w:tblW w:w="5000" w:type="pct"/>
        <w:tblLook w:val="04A0" w:firstRow="1" w:lastRow="0" w:firstColumn="1" w:lastColumn="0" w:noHBand="0" w:noVBand="1"/>
        <w:tblCaption w:val="Table 5: Overview of scoring of mFARS used in MOXIe Part 2"/>
      </w:tblPr>
      <w:tblGrid>
        <w:gridCol w:w="3307"/>
        <w:gridCol w:w="2855"/>
        <w:gridCol w:w="2855"/>
      </w:tblGrid>
      <w:tr w:rsidR="00CE2E65" w:rsidRPr="00C41ECA" w14:paraId="13B92DB8" w14:textId="77777777" w:rsidTr="35298142">
        <w:trPr>
          <w:cantSplit/>
        </w:trPr>
        <w:tc>
          <w:tcPr>
            <w:tcW w:w="1834" w:type="pct"/>
          </w:tcPr>
          <w:p w14:paraId="4C465333" w14:textId="77777777" w:rsidR="00CE2E65" w:rsidRPr="00C41ECA" w:rsidRDefault="00CE2E65" w:rsidP="00967D46">
            <w:pPr>
              <w:pStyle w:val="TableText0"/>
              <w:rPr>
                <w:b/>
                <w:bCs w:val="0"/>
              </w:rPr>
            </w:pPr>
            <w:r w:rsidRPr="00C41ECA">
              <w:rPr>
                <w:b/>
                <w:bCs w:val="0"/>
              </w:rPr>
              <w:t>Section</w:t>
            </w:r>
          </w:p>
        </w:tc>
        <w:tc>
          <w:tcPr>
            <w:tcW w:w="1583" w:type="pct"/>
          </w:tcPr>
          <w:p w14:paraId="40F2B04E" w14:textId="77777777" w:rsidR="00CE2E65" w:rsidRPr="00C41ECA" w:rsidRDefault="00CE2E65" w:rsidP="00967D46">
            <w:pPr>
              <w:pStyle w:val="TableText0"/>
              <w:rPr>
                <w:b/>
                <w:bCs w:val="0"/>
              </w:rPr>
            </w:pPr>
            <w:r w:rsidRPr="00C41ECA">
              <w:rPr>
                <w:b/>
                <w:bCs w:val="0"/>
              </w:rPr>
              <w:t>FARS</w:t>
            </w:r>
          </w:p>
        </w:tc>
        <w:tc>
          <w:tcPr>
            <w:tcW w:w="1583" w:type="pct"/>
          </w:tcPr>
          <w:p w14:paraId="396285F0" w14:textId="77777777" w:rsidR="00CE2E65" w:rsidRPr="00C41ECA" w:rsidRDefault="00CE2E65" w:rsidP="35298142">
            <w:pPr>
              <w:pStyle w:val="TableText0"/>
              <w:rPr>
                <w:b/>
              </w:rPr>
            </w:pPr>
            <w:proofErr w:type="spellStart"/>
            <w:r w:rsidRPr="35298142">
              <w:rPr>
                <w:b/>
              </w:rPr>
              <w:t>mFARS</w:t>
            </w:r>
            <w:proofErr w:type="spellEnd"/>
            <w:r w:rsidRPr="35298142">
              <w:rPr>
                <w:b/>
              </w:rPr>
              <w:t xml:space="preserve"> (range 0-99)</w:t>
            </w:r>
          </w:p>
        </w:tc>
      </w:tr>
      <w:tr w:rsidR="00CE2E65" w:rsidRPr="00C41ECA" w14:paraId="2D8D24FA" w14:textId="77777777" w:rsidTr="00870EBC">
        <w:trPr>
          <w:cantSplit/>
          <w:trHeight w:val="60"/>
        </w:trPr>
        <w:tc>
          <w:tcPr>
            <w:tcW w:w="1834" w:type="pct"/>
          </w:tcPr>
          <w:p w14:paraId="421BA40A" w14:textId="77777777" w:rsidR="00CE2E65" w:rsidRPr="00C41ECA" w:rsidRDefault="00CE2E65" w:rsidP="00967D46">
            <w:pPr>
              <w:pStyle w:val="TableText0"/>
            </w:pPr>
            <w:r w:rsidRPr="00C41ECA">
              <w:t xml:space="preserve">Upper limb coordination </w:t>
            </w:r>
          </w:p>
        </w:tc>
        <w:tc>
          <w:tcPr>
            <w:tcW w:w="1583" w:type="pct"/>
          </w:tcPr>
          <w:p w14:paraId="3970F650" w14:textId="77777777" w:rsidR="00CE2E65" w:rsidRPr="00C41ECA" w:rsidRDefault="00CE2E65" w:rsidP="00967D46">
            <w:pPr>
              <w:pStyle w:val="TableText0"/>
            </w:pPr>
            <w:r w:rsidRPr="00C41ECA">
              <w:t>0-36</w:t>
            </w:r>
          </w:p>
        </w:tc>
        <w:tc>
          <w:tcPr>
            <w:tcW w:w="1583" w:type="pct"/>
          </w:tcPr>
          <w:p w14:paraId="3DA63D5E" w14:textId="77777777" w:rsidR="00CE2E65" w:rsidRPr="00C41ECA" w:rsidRDefault="00CE2E65" w:rsidP="00967D46">
            <w:pPr>
              <w:pStyle w:val="TableText0"/>
            </w:pPr>
            <w:r w:rsidRPr="00C41ECA">
              <w:t>0-36</w:t>
            </w:r>
          </w:p>
        </w:tc>
      </w:tr>
      <w:tr w:rsidR="00CE2E65" w:rsidRPr="00C41ECA" w14:paraId="103A1B4B" w14:textId="77777777" w:rsidTr="35298142">
        <w:trPr>
          <w:cantSplit/>
        </w:trPr>
        <w:tc>
          <w:tcPr>
            <w:tcW w:w="1834" w:type="pct"/>
          </w:tcPr>
          <w:p w14:paraId="1AD05EE4" w14:textId="77777777" w:rsidR="00CE2E65" w:rsidRPr="00C41ECA" w:rsidRDefault="00CE2E65" w:rsidP="00967D46">
            <w:pPr>
              <w:pStyle w:val="TableText0"/>
            </w:pPr>
            <w:r w:rsidRPr="00C41ECA">
              <w:t>Upright stability</w:t>
            </w:r>
          </w:p>
        </w:tc>
        <w:tc>
          <w:tcPr>
            <w:tcW w:w="1583" w:type="pct"/>
          </w:tcPr>
          <w:p w14:paraId="46D52306" w14:textId="77777777" w:rsidR="00CE2E65" w:rsidRPr="00C41ECA" w:rsidRDefault="00CE2E65" w:rsidP="00967D46">
            <w:pPr>
              <w:pStyle w:val="TableText0"/>
            </w:pPr>
            <w:r w:rsidRPr="00C41ECA">
              <w:t>0-36</w:t>
            </w:r>
          </w:p>
        </w:tc>
        <w:tc>
          <w:tcPr>
            <w:tcW w:w="1583" w:type="pct"/>
          </w:tcPr>
          <w:p w14:paraId="79AD80FB" w14:textId="77777777" w:rsidR="00CE2E65" w:rsidRPr="00C41ECA" w:rsidRDefault="00CE2E65" w:rsidP="00967D46">
            <w:pPr>
              <w:pStyle w:val="TableText0"/>
            </w:pPr>
            <w:r w:rsidRPr="00C41ECA">
              <w:t>0-36</w:t>
            </w:r>
          </w:p>
        </w:tc>
      </w:tr>
      <w:tr w:rsidR="00CE2E65" w:rsidRPr="00C41ECA" w14:paraId="312DE365" w14:textId="77777777" w:rsidTr="35298142">
        <w:trPr>
          <w:cantSplit/>
        </w:trPr>
        <w:tc>
          <w:tcPr>
            <w:tcW w:w="1834" w:type="pct"/>
          </w:tcPr>
          <w:p w14:paraId="2035B456" w14:textId="77777777" w:rsidR="00CE2E65" w:rsidRPr="00C41ECA" w:rsidRDefault="00CE2E65" w:rsidP="00967D46">
            <w:pPr>
              <w:pStyle w:val="TableText0"/>
            </w:pPr>
            <w:r w:rsidRPr="00C41ECA">
              <w:t>Lower limb coordination</w:t>
            </w:r>
          </w:p>
        </w:tc>
        <w:tc>
          <w:tcPr>
            <w:tcW w:w="1583" w:type="pct"/>
          </w:tcPr>
          <w:p w14:paraId="47540189" w14:textId="77777777" w:rsidR="00CE2E65" w:rsidRPr="00C41ECA" w:rsidRDefault="00CE2E65" w:rsidP="00967D46">
            <w:pPr>
              <w:pStyle w:val="TableText0"/>
            </w:pPr>
            <w:r w:rsidRPr="00C41ECA">
              <w:t>0-16</w:t>
            </w:r>
          </w:p>
        </w:tc>
        <w:tc>
          <w:tcPr>
            <w:tcW w:w="1583" w:type="pct"/>
          </w:tcPr>
          <w:p w14:paraId="7CCBCABE" w14:textId="77777777" w:rsidR="00CE2E65" w:rsidRPr="00C41ECA" w:rsidRDefault="00CE2E65" w:rsidP="00967D46">
            <w:pPr>
              <w:pStyle w:val="TableText0"/>
            </w:pPr>
            <w:r w:rsidRPr="00C41ECA">
              <w:t>0-16</w:t>
            </w:r>
          </w:p>
        </w:tc>
      </w:tr>
      <w:tr w:rsidR="00CE2E65" w:rsidRPr="00C41ECA" w14:paraId="00B45259" w14:textId="77777777" w:rsidTr="35298142">
        <w:trPr>
          <w:cantSplit/>
        </w:trPr>
        <w:tc>
          <w:tcPr>
            <w:tcW w:w="1834" w:type="pct"/>
          </w:tcPr>
          <w:p w14:paraId="487963A5" w14:textId="77777777" w:rsidR="00CE2E65" w:rsidRPr="00C41ECA" w:rsidRDefault="00CE2E65" w:rsidP="00967D46">
            <w:pPr>
              <w:pStyle w:val="TableText0"/>
            </w:pPr>
            <w:r w:rsidRPr="00C41ECA">
              <w:t>Bulbar function</w:t>
            </w:r>
          </w:p>
        </w:tc>
        <w:tc>
          <w:tcPr>
            <w:tcW w:w="1583" w:type="pct"/>
          </w:tcPr>
          <w:p w14:paraId="73F0957E" w14:textId="77777777" w:rsidR="00CE2E65" w:rsidRPr="00C41ECA" w:rsidRDefault="00CE2E65" w:rsidP="00967D46">
            <w:pPr>
              <w:pStyle w:val="TableText0"/>
            </w:pPr>
            <w:r w:rsidRPr="00C41ECA">
              <w:t>0-11</w:t>
            </w:r>
          </w:p>
        </w:tc>
        <w:tc>
          <w:tcPr>
            <w:tcW w:w="1583" w:type="pct"/>
          </w:tcPr>
          <w:p w14:paraId="6FA3F9D5" w14:textId="77777777" w:rsidR="00CE2E65" w:rsidRPr="00C41ECA" w:rsidRDefault="00CE2E65" w:rsidP="00967D46">
            <w:pPr>
              <w:pStyle w:val="TableText0"/>
            </w:pPr>
            <w:r w:rsidRPr="00C41ECA">
              <w:t>0-11</w:t>
            </w:r>
          </w:p>
        </w:tc>
      </w:tr>
      <w:tr w:rsidR="00CE2E65" w:rsidRPr="00C41ECA" w14:paraId="3538CF96" w14:textId="77777777" w:rsidTr="35298142">
        <w:trPr>
          <w:cantSplit/>
        </w:trPr>
        <w:tc>
          <w:tcPr>
            <w:tcW w:w="1834" w:type="pct"/>
          </w:tcPr>
          <w:p w14:paraId="20C7DE73" w14:textId="77777777" w:rsidR="00CE2E65" w:rsidRPr="00C41ECA" w:rsidRDefault="00CE2E65" w:rsidP="00967D46">
            <w:pPr>
              <w:pStyle w:val="TableText0"/>
            </w:pPr>
            <w:r w:rsidRPr="00C41ECA">
              <w:t>Peripheral nervous system</w:t>
            </w:r>
          </w:p>
        </w:tc>
        <w:tc>
          <w:tcPr>
            <w:tcW w:w="1583" w:type="pct"/>
          </w:tcPr>
          <w:p w14:paraId="2EADAB82" w14:textId="77777777" w:rsidR="00CE2E65" w:rsidRPr="00C41ECA" w:rsidRDefault="00CE2E65" w:rsidP="00967D46">
            <w:pPr>
              <w:pStyle w:val="TableText0"/>
            </w:pPr>
            <w:r w:rsidRPr="00C41ECA">
              <w:t>0-26</w:t>
            </w:r>
          </w:p>
        </w:tc>
        <w:tc>
          <w:tcPr>
            <w:tcW w:w="1583" w:type="pct"/>
          </w:tcPr>
          <w:p w14:paraId="57997560" w14:textId="77777777" w:rsidR="00CE2E65" w:rsidRPr="00C41ECA" w:rsidRDefault="00CE2E65" w:rsidP="00967D46">
            <w:pPr>
              <w:pStyle w:val="TableText0"/>
            </w:pPr>
            <w:r w:rsidRPr="00C41ECA">
              <w:t>–</w:t>
            </w:r>
          </w:p>
        </w:tc>
      </w:tr>
      <w:tr w:rsidR="00CE2E65" w:rsidRPr="00C41ECA" w14:paraId="0D8E4F82" w14:textId="77777777" w:rsidTr="35298142">
        <w:trPr>
          <w:cantSplit/>
        </w:trPr>
        <w:tc>
          <w:tcPr>
            <w:tcW w:w="1834" w:type="pct"/>
          </w:tcPr>
          <w:p w14:paraId="5F807845" w14:textId="77777777" w:rsidR="00CE2E65" w:rsidRPr="00C41ECA" w:rsidRDefault="00CE2E65" w:rsidP="00967D46">
            <w:pPr>
              <w:pStyle w:val="TableText0"/>
            </w:pPr>
            <w:r w:rsidRPr="00C41ECA">
              <w:t>Total score</w:t>
            </w:r>
          </w:p>
        </w:tc>
        <w:tc>
          <w:tcPr>
            <w:tcW w:w="1583" w:type="pct"/>
          </w:tcPr>
          <w:p w14:paraId="5E92D38B" w14:textId="77777777" w:rsidR="00CE2E65" w:rsidRPr="00C41ECA" w:rsidRDefault="00CE2E65" w:rsidP="00967D46">
            <w:pPr>
              <w:pStyle w:val="TableText0"/>
            </w:pPr>
            <w:r w:rsidRPr="00C41ECA">
              <w:t>0–125</w:t>
            </w:r>
          </w:p>
        </w:tc>
        <w:tc>
          <w:tcPr>
            <w:tcW w:w="1583" w:type="pct"/>
          </w:tcPr>
          <w:p w14:paraId="41CA6B97" w14:textId="77777777" w:rsidR="00CE2E65" w:rsidRPr="00C41ECA" w:rsidRDefault="00CE2E65" w:rsidP="00967D46">
            <w:pPr>
              <w:pStyle w:val="TableText0"/>
            </w:pPr>
            <w:r w:rsidRPr="00C41ECA">
              <w:t>0–99</w:t>
            </w:r>
          </w:p>
        </w:tc>
      </w:tr>
    </w:tbl>
    <w:p w14:paraId="278CE4ED" w14:textId="77777777" w:rsidR="00CE2E65" w:rsidRPr="00C41ECA" w:rsidRDefault="00CE2E65" w:rsidP="00CE2E65">
      <w:pPr>
        <w:pStyle w:val="TableFooter"/>
        <w:rPr>
          <w:lang w:val="en-GB"/>
        </w:rPr>
      </w:pPr>
      <w:r w:rsidRPr="00C41ECA">
        <w:rPr>
          <w:lang w:val="en-GB"/>
        </w:rPr>
        <w:t>Source: Table 2.14, p88 of the submission.</w:t>
      </w:r>
    </w:p>
    <w:p w14:paraId="63372280" w14:textId="77777777" w:rsidR="00CE2E65" w:rsidRPr="00C41ECA" w:rsidRDefault="00CE2E65" w:rsidP="00CE2E65">
      <w:pPr>
        <w:pStyle w:val="TableFooter"/>
      </w:pPr>
      <w:r w:rsidRPr="35298142">
        <w:t xml:space="preserve">FARS= Friedreich’s ataxia (FA) rating scale; </w:t>
      </w:r>
      <w:proofErr w:type="spellStart"/>
      <w:r w:rsidRPr="35298142">
        <w:t>mFARS</w:t>
      </w:r>
      <w:proofErr w:type="spellEnd"/>
      <w:r w:rsidRPr="35298142">
        <w:t>=modified FARS</w:t>
      </w:r>
    </w:p>
    <w:p w14:paraId="31449909" w14:textId="77777777" w:rsidR="00297213" w:rsidRPr="00C41ECA" w:rsidRDefault="00297213" w:rsidP="00CE2E65">
      <w:pPr>
        <w:pStyle w:val="TableFooter"/>
      </w:pPr>
    </w:p>
    <w:p w14:paraId="55337080" w14:textId="45BB4E6C" w:rsidR="00CE2E65" w:rsidRPr="00C41ECA" w:rsidRDefault="00CE2E65" w:rsidP="00CE2E65">
      <w:pPr>
        <w:pStyle w:val="Caption"/>
      </w:pPr>
      <w:bookmarkStart w:id="24" w:name="_Ref187055376"/>
      <w:r w:rsidRPr="35298142">
        <w:t xml:space="preserve">Table </w:t>
      </w:r>
      <w:r w:rsidRPr="35298142">
        <w:fldChar w:fldCharType="begin"/>
      </w:r>
      <w:r>
        <w:instrText xml:space="preserve"> SEQ Table \* ARABIC </w:instrText>
      </w:r>
      <w:r w:rsidRPr="35298142">
        <w:fldChar w:fldCharType="separate"/>
      </w:r>
      <w:r w:rsidR="003A4643">
        <w:rPr>
          <w:noProof/>
        </w:rPr>
        <w:t>6</w:t>
      </w:r>
      <w:r w:rsidRPr="35298142">
        <w:rPr>
          <w:noProof/>
        </w:rPr>
        <w:fldChar w:fldCharType="end"/>
      </w:r>
      <w:bookmarkEnd w:id="24"/>
      <w:r w:rsidRPr="35298142">
        <w:t xml:space="preserve">: Overview of the assessment of </w:t>
      </w:r>
      <w:proofErr w:type="spellStart"/>
      <w:r w:rsidRPr="35298142">
        <w:t>mFARS</w:t>
      </w:r>
      <w:proofErr w:type="spellEnd"/>
      <w:r w:rsidRPr="35298142">
        <w:t xml:space="preserve"> used in </w:t>
      </w:r>
      <w:proofErr w:type="spellStart"/>
      <w:r w:rsidRPr="35298142">
        <w:t>MOXIe</w:t>
      </w:r>
      <w:proofErr w:type="spellEnd"/>
      <w:r w:rsidRPr="35298142">
        <w:t xml:space="preserve"> Part 2 </w:t>
      </w:r>
    </w:p>
    <w:tbl>
      <w:tblPr>
        <w:tblStyle w:val="TableGrid"/>
        <w:tblW w:w="5000" w:type="pct"/>
        <w:tblLook w:val="04A0" w:firstRow="1" w:lastRow="0" w:firstColumn="1" w:lastColumn="0" w:noHBand="0" w:noVBand="1"/>
        <w:tblCaption w:val="Table 6: Overview of the assessment of mFARS used in MOXIe Part 2 "/>
      </w:tblPr>
      <w:tblGrid>
        <w:gridCol w:w="1280"/>
        <w:gridCol w:w="2224"/>
        <w:gridCol w:w="1504"/>
        <w:gridCol w:w="4009"/>
      </w:tblGrid>
      <w:tr w:rsidR="00CE2E65" w:rsidRPr="00C41ECA" w14:paraId="5BC748DD" w14:textId="77777777" w:rsidTr="00967D46">
        <w:trPr>
          <w:cantSplit/>
        </w:trPr>
        <w:tc>
          <w:tcPr>
            <w:tcW w:w="710" w:type="pct"/>
          </w:tcPr>
          <w:p w14:paraId="316FBCD6" w14:textId="77777777" w:rsidR="00CE2E65" w:rsidRPr="00C41ECA" w:rsidRDefault="00CE2E65" w:rsidP="00967D46">
            <w:pPr>
              <w:pStyle w:val="TableText0"/>
              <w:rPr>
                <w:b/>
                <w:bCs w:val="0"/>
              </w:rPr>
            </w:pPr>
            <w:r w:rsidRPr="00C41ECA">
              <w:rPr>
                <w:b/>
                <w:bCs w:val="0"/>
              </w:rPr>
              <w:t>Section</w:t>
            </w:r>
          </w:p>
        </w:tc>
        <w:tc>
          <w:tcPr>
            <w:tcW w:w="1233" w:type="pct"/>
          </w:tcPr>
          <w:p w14:paraId="26AC2B85" w14:textId="77777777" w:rsidR="00CE2E65" w:rsidRPr="00C41ECA" w:rsidRDefault="00CE2E65" w:rsidP="00967D46">
            <w:pPr>
              <w:pStyle w:val="TableText0"/>
              <w:rPr>
                <w:b/>
                <w:bCs w:val="0"/>
              </w:rPr>
            </w:pPr>
            <w:r w:rsidRPr="00C41ECA">
              <w:rPr>
                <w:b/>
                <w:bCs w:val="0"/>
              </w:rPr>
              <w:t>Evaluation</w:t>
            </w:r>
          </w:p>
        </w:tc>
        <w:tc>
          <w:tcPr>
            <w:tcW w:w="834" w:type="pct"/>
          </w:tcPr>
          <w:p w14:paraId="360E55A0" w14:textId="77777777" w:rsidR="00CE2E65" w:rsidRPr="00C41ECA" w:rsidRDefault="00CE2E65" w:rsidP="00967D46">
            <w:pPr>
              <w:pStyle w:val="TableText0"/>
              <w:rPr>
                <w:b/>
                <w:bCs w:val="0"/>
              </w:rPr>
            </w:pPr>
            <w:r w:rsidRPr="00C41ECA">
              <w:rPr>
                <w:b/>
                <w:bCs w:val="0"/>
              </w:rPr>
              <w:t>Number of assessments</w:t>
            </w:r>
          </w:p>
        </w:tc>
        <w:tc>
          <w:tcPr>
            <w:tcW w:w="2223" w:type="pct"/>
          </w:tcPr>
          <w:p w14:paraId="5EF79977" w14:textId="77777777" w:rsidR="00CE2E65" w:rsidRPr="00C41ECA" w:rsidRDefault="00CE2E65" w:rsidP="00967D46">
            <w:pPr>
              <w:pStyle w:val="TableText0"/>
              <w:rPr>
                <w:b/>
                <w:bCs w:val="0"/>
              </w:rPr>
            </w:pPr>
            <w:r w:rsidRPr="00C41ECA">
              <w:rPr>
                <w:b/>
                <w:bCs w:val="0"/>
              </w:rPr>
              <w:t>Assessments</w:t>
            </w:r>
          </w:p>
        </w:tc>
      </w:tr>
      <w:tr w:rsidR="00CE2E65" w:rsidRPr="00C41ECA" w14:paraId="420E5FE4" w14:textId="77777777" w:rsidTr="00967D46">
        <w:trPr>
          <w:cantSplit/>
          <w:trHeight w:val="269"/>
        </w:trPr>
        <w:tc>
          <w:tcPr>
            <w:tcW w:w="710" w:type="pct"/>
          </w:tcPr>
          <w:p w14:paraId="07432FF0" w14:textId="77777777" w:rsidR="00CE2E65" w:rsidRPr="00C41ECA" w:rsidRDefault="00CE2E65" w:rsidP="00967D46">
            <w:pPr>
              <w:pStyle w:val="TableText0"/>
            </w:pPr>
            <w:r w:rsidRPr="00C41ECA">
              <w:t xml:space="preserve">Upper limb coordination </w:t>
            </w:r>
          </w:p>
        </w:tc>
        <w:tc>
          <w:tcPr>
            <w:tcW w:w="1233" w:type="pct"/>
          </w:tcPr>
          <w:p w14:paraId="3792C203" w14:textId="77777777" w:rsidR="00CE2E65" w:rsidRPr="00C41ECA" w:rsidRDefault="00CE2E65" w:rsidP="00967D46">
            <w:pPr>
              <w:pStyle w:val="TableText0"/>
            </w:pPr>
            <w:r w:rsidRPr="00C41ECA">
              <w:t>Coordination of the arms and hands and tremor</w:t>
            </w:r>
          </w:p>
        </w:tc>
        <w:tc>
          <w:tcPr>
            <w:tcW w:w="834" w:type="pct"/>
          </w:tcPr>
          <w:p w14:paraId="1429ACEF" w14:textId="77777777" w:rsidR="00CE2E65" w:rsidRPr="00C41ECA" w:rsidRDefault="00CE2E65" w:rsidP="00967D46">
            <w:pPr>
              <w:pStyle w:val="TableText0"/>
            </w:pPr>
            <w:r w:rsidRPr="00C41ECA">
              <w:t>10 assessments; scored 0–36</w:t>
            </w:r>
          </w:p>
        </w:tc>
        <w:tc>
          <w:tcPr>
            <w:tcW w:w="2223" w:type="pct"/>
          </w:tcPr>
          <w:p w14:paraId="1DDBF703" w14:textId="4DCC0E8E" w:rsidR="00CE2E65" w:rsidRPr="00C41ECA" w:rsidRDefault="00CE2E65" w:rsidP="00967D46">
            <w:pPr>
              <w:pStyle w:val="TableText0"/>
            </w:pPr>
            <w:r w:rsidRPr="00C41ECA">
              <w:t>Finger to finger test</w:t>
            </w:r>
            <w:r w:rsidR="00DF2DDE">
              <w:t xml:space="preserve"> </w:t>
            </w:r>
            <w:r w:rsidRPr="00C41ECA">
              <w:t>(left/right)</w:t>
            </w:r>
          </w:p>
          <w:p w14:paraId="1A9FEBAF" w14:textId="77777777" w:rsidR="00CE2E65" w:rsidRPr="00C41ECA" w:rsidRDefault="00CE2E65" w:rsidP="00967D46">
            <w:pPr>
              <w:pStyle w:val="TableText0"/>
            </w:pPr>
            <w:r w:rsidRPr="00C41ECA">
              <w:t>Nose to finger test (left/right)</w:t>
            </w:r>
          </w:p>
          <w:p w14:paraId="042157E5" w14:textId="77777777" w:rsidR="00CE2E65" w:rsidRPr="00C41ECA" w:rsidRDefault="00CE2E65" w:rsidP="00967D46">
            <w:pPr>
              <w:pStyle w:val="TableText0"/>
            </w:pPr>
            <w:r w:rsidRPr="00C41ECA">
              <w:t>Dysmetria test – touching target (left/right)</w:t>
            </w:r>
          </w:p>
          <w:p w14:paraId="0E358BF7" w14:textId="77777777" w:rsidR="00CE2E65" w:rsidRPr="00C41ECA" w:rsidRDefault="00CE2E65" w:rsidP="00967D46">
            <w:pPr>
              <w:pStyle w:val="TableText0"/>
            </w:pPr>
            <w:r w:rsidRPr="00C41ECA">
              <w:t>Rapid alternating movements (left/right)</w:t>
            </w:r>
          </w:p>
          <w:p w14:paraId="374736CE" w14:textId="77777777" w:rsidR="00CE2E65" w:rsidRPr="00C41ECA" w:rsidRDefault="00CE2E65" w:rsidP="00967D46">
            <w:pPr>
              <w:pStyle w:val="TableText0"/>
            </w:pPr>
            <w:r w:rsidRPr="00C41ECA">
              <w:t>Finger taps (left/right)</w:t>
            </w:r>
          </w:p>
        </w:tc>
      </w:tr>
      <w:tr w:rsidR="00CE2E65" w:rsidRPr="00C41ECA" w14:paraId="7AA14C5C" w14:textId="77777777" w:rsidTr="00967D46">
        <w:trPr>
          <w:cantSplit/>
        </w:trPr>
        <w:tc>
          <w:tcPr>
            <w:tcW w:w="710" w:type="pct"/>
          </w:tcPr>
          <w:p w14:paraId="3C818C9D" w14:textId="77777777" w:rsidR="00CE2E65" w:rsidRPr="00C41ECA" w:rsidRDefault="00CE2E65" w:rsidP="00967D46">
            <w:pPr>
              <w:pStyle w:val="TableText0"/>
            </w:pPr>
            <w:r w:rsidRPr="00C41ECA">
              <w:t>Upright stability</w:t>
            </w:r>
          </w:p>
        </w:tc>
        <w:tc>
          <w:tcPr>
            <w:tcW w:w="1233" w:type="pct"/>
          </w:tcPr>
          <w:p w14:paraId="50FC3442" w14:textId="77777777" w:rsidR="00CE2E65" w:rsidRPr="00C41ECA" w:rsidRDefault="00CE2E65" w:rsidP="00967D46">
            <w:pPr>
              <w:pStyle w:val="TableText0"/>
            </w:pPr>
            <w:r w:rsidRPr="00C41ECA">
              <w:t>Ability to sit, stand and walk</w:t>
            </w:r>
          </w:p>
        </w:tc>
        <w:tc>
          <w:tcPr>
            <w:tcW w:w="834" w:type="pct"/>
          </w:tcPr>
          <w:p w14:paraId="766D9DEB" w14:textId="77777777" w:rsidR="00CE2E65" w:rsidRPr="00C41ECA" w:rsidRDefault="00CE2E65" w:rsidP="00967D46">
            <w:pPr>
              <w:pStyle w:val="TableText0"/>
            </w:pPr>
            <w:r w:rsidRPr="00C41ECA">
              <w:t>9 assessments; scored 0–36</w:t>
            </w:r>
          </w:p>
        </w:tc>
        <w:tc>
          <w:tcPr>
            <w:tcW w:w="2223" w:type="pct"/>
          </w:tcPr>
          <w:p w14:paraId="66502752" w14:textId="77777777" w:rsidR="00CE2E65" w:rsidRPr="00C41ECA" w:rsidRDefault="00CE2E65" w:rsidP="00967D46">
            <w:pPr>
              <w:pStyle w:val="TableText0"/>
            </w:pPr>
            <w:r w:rsidRPr="00C41ECA">
              <w:t>Sitting posture</w:t>
            </w:r>
          </w:p>
          <w:p w14:paraId="2C0164CF" w14:textId="77777777" w:rsidR="00CE2E65" w:rsidRPr="00C41ECA" w:rsidRDefault="00CE2E65" w:rsidP="00967D46">
            <w:pPr>
              <w:pStyle w:val="TableText0"/>
            </w:pPr>
            <w:r w:rsidRPr="00C41ECA">
              <w:t>Stance (eyes opened/closed, and feet together/apart)</w:t>
            </w:r>
          </w:p>
          <w:p w14:paraId="4C8521E1" w14:textId="77777777" w:rsidR="00CE2E65" w:rsidRPr="00C41ECA" w:rsidRDefault="00CE2E65" w:rsidP="00967D46">
            <w:pPr>
              <w:pStyle w:val="TableText0"/>
            </w:pPr>
            <w:r w:rsidRPr="00C41ECA">
              <w:t>Gait</w:t>
            </w:r>
          </w:p>
          <w:p w14:paraId="2A7195EC" w14:textId="77777777" w:rsidR="00CE2E65" w:rsidRPr="00C41ECA" w:rsidRDefault="00CE2E65" w:rsidP="00967D46">
            <w:pPr>
              <w:pStyle w:val="TableText0"/>
            </w:pPr>
            <w:r w:rsidRPr="00C41ECA">
              <w:t>Tandem walk</w:t>
            </w:r>
          </w:p>
          <w:p w14:paraId="629148C3" w14:textId="77777777" w:rsidR="00CE2E65" w:rsidRPr="00C41ECA" w:rsidRDefault="00CE2E65" w:rsidP="00967D46">
            <w:pPr>
              <w:pStyle w:val="TableText0"/>
            </w:pPr>
            <w:r w:rsidRPr="00C41ECA">
              <w:t>Tandem stance; and stance on dominant foot</w:t>
            </w:r>
          </w:p>
        </w:tc>
      </w:tr>
      <w:tr w:rsidR="00CE2E65" w:rsidRPr="00C41ECA" w14:paraId="2A94CA36" w14:textId="77777777" w:rsidTr="00967D46">
        <w:trPr>
          <w:cantSplit/>
        </w:trPr>
        <w:tc>
          <w:tcPr>
            <w:tcW w:w="710" w:type="pct"/>
          </w:tcPr>
          <w:p w14:paraId="18FB585D" w14:textId="77777777" w:rsidR="00CE2E65" w:rsidRPr="00C41ECA" w:rsidRDefault="00CE2E65" w:rsidP="00967D46">
            <w:pPr>
              <w:pStyle w:val="TableText0"/>
            </w:pPr>
            <w:r w:rsidRPr="00C41ECA">
              <w:t>Lower limb coordination</w:t>
            </w:r>
          </w:p>
        </w:tc>
        <w:tc>
          <w:tcPr>
            <w:tcW w:w="1233" w:type="pct"/>
          </w:tcPr>
          <w:p w14:paraId="7D79B3D5" w14:textId="77777777" w:rsidR="00CE2E65" w:rsidRPr="00C41ECA" w:rsidRDefault="00CE2E65" w:rsidP="00967D46">
            <w:pPr>
              <w:pStyle w:val="TableText0"/>
            </w:pPr>
            <w:r w:rsidRPr="00C41ECA">
              <w:t>Coordination of movement and function of lower limbs</w:t>
            </w:r>
          </w:p>
        </w:tc>
        <w:tc>
          <w:tcPr>
            <w:tcW w:w="834" w:type="pct"/>
          </w:tcPr>
          <w:p w14:paraId="40F50098" w14:textId="77777777" w:rsidR="00CE2E65" w:rsidRPr="00C41ECA" w:rsidRDefault="00CE2E65" w:rsidP="00967D46">
            <w:pPr>
              <w:pStyle w:val="TableText0"/>
            </w:pPr>
            <w:r w:rsidRPr="00C41ECA">
              <w:t>4 assessments; scored 0–16</w:t>
            </w:r>
          </w:p>
        </w:tc>
        <w:tc>
          <w:tcPr>
            <w:tcW w:w="2223" w:type="pct"/>
          </w:tcPr>
          <w:p w14:paraId="122497C5" w14:textId="77777777" w:rsidR="00CE2E65" w:rsidRPr="00C41ECA" w:rsidRDefault="00CE2E65" w:rsidP="00967D46">
            <w:pPr>
              <w:pStyle w:val="TableText0"/>
            </w:pPr>
            <w:r w:rsidRPr="00C41ECA">
              <w:t>Heel along shin slide (left/right)</w:t>
            </w:r>
          </w:p>
          <w:p w14:paraId="20DF1E29" w14:textId="77777777" w:rsidR="00CE2E65" w:rsidRPr="00C41ECA" w:rsidRDefault="00CE2E65" w:rsidP="00967D46">
            <w:pPr>
              <w:pStyle w:val="TableText0"/>
            </w:pPr>
            <w:r w:rsidRPr="00C41ECA">
              <w:t>Heel to shin tap (left/right)</w:t>
            </w:r>
          </w:p>
        </w:tc>
      </w:tr>
      <w:tr w:rsidR="00CE2E65" w:rsidRPr="00C41ECA" w14:paraId="6F937A3A" w14:textId="77777777" w:rsidTr="00967D46">
        <w:trPr>
          <w:cantSplit/>
        </w:trPr>
        <w:tc>
          <w:tcPr>
            <w:tcW w:w="710" w:type="pct"/>
          </w:tcPr>
          <w:p w14:paraId="291E3FC0" w14:textId="77777777" w:rsidR="00CE2E65" w:rsidRPr="00C41ECA" w:rsidRDefault="00CE2E65" w:rsidP="00967D46">
            <w:pPr>
              <w:pStyle w:val="TableText0"/>
            </w:pPr>
            <w:r w:rsidRPr="00C41ECA">
              <w:t>Bulbar function</w:t>
            </w:r>
          </w:p>
        </w:tc>
        <w:tc>
          <w:tcPr>
            <w:tcW w:w="1233" w:type="pct"/>
          </w:tcPr>
          <w:p w14:paraId="08808331" w14:textId="77777777" w:rsidR="00CE2E65" w:rsidRPr="00C41ECA" w:rsidRDefault="00CE2E65" w:rsidP="00967D46">
            <w:pPr>
              <w:pStyle w:val="TableText0"/>
            </w:pPr>
            <w:r w:rsidRPr="00C41ECA">
              <w:t>Speech, cough, facial strength</w:t>
            </w:r>
          </w:p>
        </w:tc>
        <w:tc>
          <w:tcPr>
            <w:tcW w:w="834" w:type="pct"/>
          </w:tcPr>
          <w:p w14:paraId="4535AB7E" w14:textId="77777777" w:rsidR="00CE2E65" w:rsidRPr="00C41ECA" w:rsidRDefault="00CE2E65" w:rsidP="00967D46">
            <w:pPr>
              <w:pStyle w:val="TableText0"/>
            </w:pPr>
            <w:r w:rsidRPr="00C41ECA">
              <w:t>2 assessments; scored 0–11</w:t>
            </w:r>
          </w:p>
        </w:tc>
        <w:tc>
          <w:tcPr>
            <w:tcW w:w="2223" w:type="pct"/>
          </w:tcPr>
          <w:p w14:paraId="3700DF8F" w14:textId="77777777" w:rsidR="00CE2E65" w:rsidRPr="00C41ECA" w:rsidRDefault="00CE2E65" w:rsidP="00967D46">
            <w:pPr>
              <w:pStyle w:val="TableText0"/>
            </w:pPr>
            <w:r w:rsidRPr="00C41ECA">
              <w:t>Forceful cough</w:t>
            </w:r>
          </w:p>
          <w:p w14:paraId="378D422C" w14:textId="77777777" w:rsidR="00CE2E65" w:rsidRPr="00C41ECA" w:rsidRDefault="00CE2E65" w:rsidP="00967D46">
            <w:pPr>
              <w:pStyle w:val="TableText0"/>
            </w:pPr>
            <w:r w:rsidRPr="00C41ECA">
              <w:t>Spontaneous speech (repeat specific sentences)</w:t>
            </w:r>
          </w:p>
          <w:p w14:paraId="413067ED" w14:textId="77777777" w:rsidR="00CE2E65" w:rsidRPr="00C41ECA" w:rsidRDefault="00CE2E65" w:rsidP="00967D46">
            <w:pPr>
              <w:pStyle w:val="TableText0"/>
            </w:pPr>
            <w:r w:rsidRPr="00C41ECA">
              <w:t>Tongue atrophy</w:t>
            </w:r>
          </w:p>
          <w:p w14:paraId="790FD60C" w14:textId="77777777" w:rsidR="00CE2E65" w:rsidRPr="00C41ECA" w:rsidRDefault="00CE2E65" w:rsidP="00967D46">
            <w:pPr>
              <w:pStyle w:val="TableText0"/>
            </w:pPr>
            <w:r w:rsidRPr="00C41ECA">
              <w:t>Facial atrophy</w:t>
            </w:r>
          </w:p>
        </w:tc>
      </w:tr>
      <w:tr w:rsidR="00AC6A4A" w:rsidRPr="00C41ECA" w14:paraId="236D2A49" w14:textId="77777777" w:rsidTr="00AC6A4A">
        <w:trPr>
          <w:cantSplit/>
        </w:trPr>
        <w:tc>
          <w:tcPr>
            <w:tcW w:w="1943" w:type="pct"/>
            <w:gridSpan w:val="2"/>
          </w:tcPr>
          <w:p w14:paraId="27755BB8" w14:textId="7C37E2C1" w:rsidR="00AC6A4A" w:rsidRPr="00C41ECA" w:rsidRDefault="00AC6A4A" w:rsidP="00967D46">
            <w:pPr>
              <w:pStyle w:val="TableText0"/>
            </w:pPr>
            <w:r w:rsidRPr="00C41ECA">
              <w:t>Total score</w:t>
            </w:r>
          </w:p>
        </w:tc>
        <w:tc>
          <w:tcPr>
            <w:tcW w:w="834" w:type="pct"/>
          </w:tcPr>
          <w:p w14:paraId="5C4C6DF8" w14:textId="607C6BF7" w:rsidR="00AC6A4A" w:rsidRPr="00C41ECA" w:rsidRDefault="00AC6A4A" w:rsidP="00967D46">
            <w:pPr>
              <w:pStyle w:val="TableText0"/>
            </w:pPr>
            <w:r w:rsidRPr="00C41ECA">
              <w:t>0–99</w:t>
            </w:r>
          </w:p>
        </w:tc>
        <w:tc>
          <w:tcPr>
            <w:tcW w:w="2223" w:type="pct"/>
          </w:tcPr>
          <w:p w14:paraId="7B23B1E9" w14:textId="77777777" w:rsidR="00AC6A4A" w:rsidRPr="00C41ECA" w:rsidRDefault="00AC6A4A" w:rsidP="00967D46">
            <w:pPr>
              <w:pStyle w:val="TableText0"/>
            </w:pPr>
          </w:p>
        </w:tc>
      </w:tr>
    </w:tbl>
    <w:p w14:paraId="2DFC0910" w14:textId="77777777" w:rsidR="00CE2E65" w:rsidRPr="00C41ECA" w:rsidRDefault="00CE2E65" w:rsidP="00CE2E65">
      <w:pPr>
        <w:pStyle w:val="TableFooter"/>
      </w:pPr>
      <w:r w:rsidRPr="00C41ECA">
        <w:t>Source: Table 2-15, p89 of the submission.</w:t>
      </w:r>
    </w:p>
    <w:p w14:paraId="38F47CC9" w14:textId="77777777" w:rsidR="00CE2E65" w:rsidRPr="00C41ECA" w:rsidRDefault="00CE2E65" w:rsidP="00CE2E65">
      <w:pPr>
        <w:pStyle w:val="TableFooter"/>
      </w:pPr>
      <w:proofErr w:type="spellStart"/>
      <w:r w:rsidRPr="35298142">
        <w:t>mFARS</w:t>
      </w:r>
      <w:proofErr w:type="spellEnd"/>
      <w:r w:rsidRPr="35298142">
        <w:t>=modified Friedreich’s ataxia rating scale</w:t>
      </w:r>
    </w:p>
    <w:p w14:paraId="6ABBDC55" w14:textId="77777777" w:rsidR="00CE2E65" w:rsidRPr="00C41ECA" w:rsidRDefault="00CE2E65" w:rsidP="00CE2E65">
      <w:pPr>
        <w:pStyle w:val="3-BodyText"/>
      </w:pPr>
      <w:r w:rsidRPr="35298142">
        <w:t>Secondary endpoints were assessed using hierarchical testing. If the study was able to demonstrate statistical significance of a benefit for the primary outcome, then the key and other secondary endpoints would be analysed using a hierarchical approach to maintain the family-wise overall Type I error rate of 0.05. Hierarchical testing of the key secondary and secondary outcomes continued in the following order:</w:t>
      </w:r>
    </w:p>
    <w:p w14:paraId="4400AB2E" w14:textId="77777777" w:rsidR="00CE2E65" w:rsidRPr="00C41ECA" w:rsidRDefault="00CE2E65" w:rsidP="000764A0">
      <w:pPr>
        <w:pStyle w:val="3-BodyText"/>
        <w:numPr>
          <w:ilvl w:val="0"/>
          <w:numId w:val="14"/>
        </w:numPr>
        <w:ind w:left="1080"/>
      </w:pPr>
      <w:r w:rsidRPr="00C41ECA">
        <w:t>Patient Global Impression of Change (PGIC) at Week 48</w:t>
      </w:r>
    </w:p>
    <w:p w14:paraId="68B3D8AD" w14:textId="77777777" w:rsidR="00CE2E65" w:rsidRPr="00C41ECA" w:rsidRDefault="00CE2E65" w:rsidP="000764A0">
      <w:pPr>
        <w:pStyle w:val="3-BodyText"/>
        <w:numPr>
          <w:ilvl w:val="0"/>
          <w:numId w:val="14"/>
        </w:numPr>
        <w:ind w:left="1080"/>
      </w:pPr>
      <w:r w:rsidRPr="00C41ECA">
        <w:t>Clinician Global Impression of Change (CGIC) at Week 48</w:t>
      </w:r>
    </w:p>
    <w:p w14:paraId="568C644D" w14:textId="77777777" w:rsidR="00CE2E65" w:rsidRPr="00C41ECA" w:rsidRDefault="00CE2E65" w:rsidP="000764A0">
      <w:pPr>
        <w:pStyle w:val="3-BodyText"/>
        <w:numPr>
          <w:ilvl w:val="0"/>
          <w:numId w:val="14"/>
        </w:numPr>
        <w:ind w:left="1080"/>
      </w:pPr>
      <w:r w:rsidRPr="00C41ECA">
        <w:t>Change in nine-hole peg test (9-HPT) at Week 48</w:t>
      </w:r>
    </w:p>
    <w:p w14:paraId="62F0B6B0" w14:textId="77777777" w:rsidR="00CE2E65" w:rsidRPr="00C41ECA" w:rsidRDefault="00CE2E65" w:rsidP="000764A0">
      <w:pPr>
        <w:pStyle w:val="3-BodyText"/>
        <w:numPr>
          <w:ilvl w:val="0"/>
          <w:numId w:val="14"/>
        </w:numPr>
        <w:ind w:left="1080"/>
      </w:pPr>
      <w:r w:rsidRPr="00C41ECA">
        <w:t>Change in 25-foot walk test (T25-FWT) at Week 48</w:t>
      </w:r>
    </w:p>
    <w:p w14:paraId="479D5A2D" w14:textId="77777777" w:rsidR="00CE2E65" w:rsidRPr="00C41ECA" w:rsidRDefault="00CE2E65" w:rsidP="000764A0">
      <w:pPr>
        <w:pStyle w:val="3-BodyText"/>
        <w:numPr>
          <w:ilvl w:val="0"/>
          <w:numId w:val="14"/>
        </w:numPr>
        <w:ind w:left="1080"/>
      </w:pPr>
      <w:r w:rsidRPr="00C41ECA">
        <w:t>Frequency of falls over 48 weeks</w:t>
      </w:r>
    </w:p>
    <w:p w14:paraId="7A993AD3" w14:textId="77777777" w:rsidR="00CE2E65" w:rsidRPr="00C41ECA" w:rsidRDefault="00CE2E65" w:rsidP="000764A0">
      <w:pPr>
        <w:pStyle w:val="3-BodyText"/>
        <w:numPr>
          <w:ilvl w:val="0"/>
          <w:numId w:val="14"/>
        </w:numPr>
        <w:ind w:left="1080"/>
      </w:pPr>
      <w:r w:rsidRPr="00C41ECA">
        <w:t>Change in peak work during maximal exercise testing at Week 48</w:t>
      </w:r>
    </w:p>
    <w:p w14:paraId="63729F9F" w14:textId="77777777" w:rsidR="00CE2E65" w:rsidRPr="00C41ECA" w:rsidRDefault="00CE2E65" w:rsidP="000764A0">
      <w:pPr>
        <w:pStyle w:val="3-BodyText"/>
        <w:numPr>
          <w:ilvl w:val="0"/>
          <w:numId w:val="14"/>
        </w:numPr>
        <w:ind w:left="1080"/>
      </w:pPr>
      <w:r w:rsidRPr="00C41ECA">
        <w:t>Change in Activities of Daily Living (ADL) score at Week 48</w:t>
      </w:r>
    </w:p>
    <w:p w14:paraId="1E1C010B" w14:textId="3BE5A5C1" w:rsidR="001B2F90" w:rsidRPr="00E66E2A" w:rsidRDefault="001B2F90" w:rsidP="00CE2E65">
      <w:pPr>
        <w:pStyle w:val="3-BodyText"/>
      </w:pPr>
      <w:r w:rsidRPr="00E66E2A">
        <w:rPr>
          <w:lang w:val="en-GB"/>
        </w:rPr>
        <w:t xml:space="preserve">The ESC noted that the submission nominated a minimally clinical important difference (MCID) of a change in baseline of less than or equal to -1 point in </w:t>
      </w:r>
      <w:proofErr w:type="spellStart"/>
      <w:r w:rsidRPr="00E66E2A">
        <w:rPr>
          <w:lang w:val="en-GB"/>
        </w:rPr>
        <w:t>mFARS</w:t>
      </w:r>
      <w:proofErr w:type="spellEnd"/>
      <w:r w:rsidR="007867F1" w:rsidRPr="00E66E2A">
        <w:rPr>
          <w:lang w:val="en-GB"/>
        </w:rPr>
        <w:t xml:space="preserve"> (on a 99</w:t>
      </w:r>
      <w:r w:rsidR="007C20E5" w:rsidRPr="00E66E2A">
        <w:rPr>
          <w:lang w:val="en-GB"/>
        </w:rPr>
        <w:t>-point scale</w:t>
      </w:r>
      <w:r w:rsidR="007867F1" w:rsidRPr="00E66E2A">
        <w:rPr>
          <w:lang w:val="en-GB"/>
        </w:rPr>
        <w:t>)</w:t>
      </w:r>
      <w:r w:rsidR="004B108C" w:rsidRPr="00E66E2A">
        <w:rPr>
          <w:lang w:val="en-GB"/>
        </w:rPr>
        <w:t>. The ESC w</w:t>
      </w:r>
      <w:r w:rsidR="00A455C0" w:rsidRPr="00E66E2A">
        <w:rPr>
          <w:lang w:val="en-GB"/>
        </w:rPr>
        <w:t>as</w:t>
      </w:r>
      <w:r w:rsidR="004B108C" w:rsidRPr="00E66E2A">
        <w:rPr>
          <w:lang w:val="en-GB"/>
        </w:rPr>
        <w:t xml:space="preserve"> concerned that </w:t>
      </w:r>
      <w:r w:rsidR="00417F83" w:rsidRPr="00E66E2A">
        <w:rPr>
          <w:lang w:val="en-GB"/>
        </w:rPr>
        <w:t>a change of -1 point could be the result of random variation or measurement error</w:t>
      </w:r>
      <w:r w:rsidR="003D00A8" w:rsidRPr="00E66E2A">
        <w:rPr>
          <w:lang w:val="en-GB"/>
        </w:rPr>
        <w:t xml:space="preserve">. </w:t>
      </w:r>
    </w:p>
    <w:p w14:paraId="3F62710D" w14:textId="69A5F103" w:rsidR="00CE2E65" w:rsidRPr="00C41ECA" w:rsidRDefault="00CE2E65" w:rsidP="00CE2E65">
      <w:pPr>
        <w:pStyle w:val="3-BodyText"/>
      </w:pPr>
      <w:r w:rsidRPr="00C41ECA">
        <w:rPr>
          <w:lang w:val="en-GB"/>
        </w:rPr>
        <w:t xml:space="preserve">The FAS primary analysis set was based on all patients without pes </w:t>
      </w:r>
      <w:proofErr w:type="spellStart"/>
      <w:r w:rsidRPr="00C41ECA">
        <w:rPr>
          <w:lang w:val="en-GB"/>
        </w:rPr>
        <w:t>cavus</w:t>
      </w:r>
      <w:proofErr w:type="spellEnd"/>
      <w:r w:rsidRPr="00C41ECA">
        <w:rPr>
          <w:lang w:val="en-GB"/>
        </w:rPr>
        <w:t xml:space="preserve"> who had at least 1 post-baseline measurement. The primary analysis utilised all </w:t>
      </w:r>
      <w:proofErr w:type="spellStart"/>
      <w:r w:rsidRPr="00C41ECA">
        <w:rPr>
          <w:lang w:val="en-GB"/>
        </w:rPr>
        <w:t>mFARS</w:t>
      </w:r>
      <w:proofErr w:type="spellEnd"/>
      <w:r w:rsidRPr="00C41ECA">
        <w:rPr>
          <w:lang w:val="en-GB"/>
        </w:rPr>
        <w:t xml:space="preserve"> values collected through Week 48, irrespective of whether a patient was receiving treatment. </w:t>
      </w:r>
    </w:p>
    <w:p w14:paraId="3E97D4D7" w14:textId="5CE86A62" w:rsidR="00CE2E65" w:rsidRPr="00C41ECA" w:rsidRDefault="00CE2E65" w:rsidP="00CE2E65">
      <w:pPr>
        <w:pStyle w:val="3-BodyText"/>
      </w:pPr>
      <w:r>
        <w:fldChar w:fldCharType="begin"/>
      </w:r>
      <w:r>
        <w:instrText xml:space="preserve"> REF _Ref187056166 \h  \* MERGEFORMAT </w:instrText>
      </w:r>
      <w:r>
        <w:fldChar w:fldCharType="separate"/>
      </w:r>
      <w:r w:rsidR="003A4643" w:rsidRPr="35298142">
        <w:t xml:space="preserve">Table </w:t>
      </w:r>
      <w:r w:rsidR="003A4643">
        <w:rPr>
          <w:noProof/>
        </w:rPr>
        <w:t>7</w:t>
      </w:r>
      <w:r>
        <w:fldChar w:fldCharType="end"/>
      </w:r>
      <w:r w:rsidRPr="35298142">
        <w:t xml:space="preserve"> summarises the results for the primary outcome of mean change from baseline in </w:t>
      </w:r>
      <w:proofErr w:type="spellStart"/>
      <w:r w:rsidRPr="35298142">
        <w:t>mFARS</w:t>
      </w:r>
      <w:proofErr w:type="spellEnd"/>
      <w:r w:rsidRPr="35298142">
        <w:t xml:space="preserve"> for the FAS population in the key </w:t>
      </w:r>
      <w:proofErr w:type="spellStart"/>
      <w:r w:rsidRPr="35298142">
        <w:t>MOXIe</w:t>
      </w:r>
      <w:proofErr w:type="spellEnd"/>
      <w:r w:rsidRPr="35298142">
        <w:t xml:space="preserve"> Part 2 trial. </w:t>
      </w:r>
      <w:r>
        <w:fldChar w:fldCharType="begin"/>
      </w:r>
      <w:r>
        <w:instrText xml:space="preserve"> REF _Ref187056398 \h  \* MERGEFORMAT </w:instrText>
      </w:r>
      <w:r>
        <w:fldChar w:fldCharType="separate"/>
      </w:r>
      <w:r w:rsidR="003A4643" w:rsidRPr="35298142">
        <w:t xml:space="preserve">Figure </w:t>
      </w:r>
      <w:r w:rsidR="003A4643">
        <w:rPr>
          <w:noProof/>
        </w:rPr>
        <w:t>1</w:t>
      </w:r>
      <w:r>
        <w:fldChar w:fldCharType="end"/>
      </w:r>
      <w:r w:rsidRPr="35298142">
        <w:t xml:space="preserve"> shows the change from baseline in </w:t>
      </w:r>
      <w:proofErr w:type="spellStart"/>
      <w:r w:rsidRPr="35298142">
        <w:t>mFARS</w:t>
      </w:r>
      <w:proofErr w:type="spellEnd"/>
      <w:r w:rsidRPr="35298142">
        <w:t xml:space="preserve"> over time in the FAS.</w:t>
      </w:r>
    </w:p>
    <w:p w14:paraId="61CD2321" w14:textId="0C81B806" w:rsidR="00CE2E65" w:rsidRPr="00C41ECA" w:rsidRDefault="00CE2E65" w:rsidP="35298142">
      <w:pPr>
        <w:pStyle w:val="Caption"/>
        <w:spacing w:before="120"/>
      </w:pPr>
      <w:bookmarkStart w:id="25" w:name="_Ref187056166"/>
      <w:r w:rsidRPr="35298142">
        <w:t xml:space="preserve">Table </w:t>
      </w:r>
      <w:r w:rsidRPr="35298142">
        <w:fldChar w:fldCharType="begin"/>
      </w:r>
      <w:r>
        <w:instrText xml:space="preserve"> SEQ Table \* ARABIC </w:instrText>
      </w:r>
      <w:r w:rsidRPr="35298142">
        <w:fldChar w:fldCharType="separate"/>
      </w:r>
      <w:r w:rsidR="003A4643">
        <w:rPr>
          <w:noProof/>
        </w:rPr>
        <w:t>7</w:t>
      </w:r>
      <w:r w:rsidRPr="35298142">
        <w:rPr>
          <w:noProof/>
        </w:rPr>
        <w:fldChar w:fldCharType="end"/>
      </w:r>
      <w:bookmarkEnd w:id="25"/>
      <w:r w:rsidRPr="35298142">
        <w:t xml:space="preserve">: Mean change in </w:t>
      </w:r>
      <w:proofErr w:type="spellStart"/>
      <w:r w:rsidRPr="35298142">
        <w:t>mFARS</w:t>
      </w:r>
      <w:proofErr w:type="spellEnd"/>
      <w:r w:rsidRPr="35298142">
        <w:t xml:space="preserve"> score from baseline at Week 48 in </w:t>
      </w:r>
      <w:proofErr w:type="spellStart"/>
      <w:r w:rsidRPr="35298142">
        <w:t>MOXIe</w:t>
      </w:r>
      <w:proofErr w:type="spellEnd"/>
      <w:r w:rsidRPr="35298142">
        <w:t xml:space="preserve"> Part 2 (FAS)</w:t>
      </w:r>
      <w:r w:rsidR="00F26F81" w:rsidRPr="35298142">
        <w:t xml:space="preserve">-patients without pes </w:t>
      </w:r>
      <w:proofErr w:type="spellStart"/>
      <w:r w:rsidR="00F26F81" w:rsidRPr="35298142">
        <w:t>cavus</w:t>
      </w:r>
      <w:proofErr w:type="spellEnd"/>
    </w:p>
    <w:tbl>
      <w:tblPr>
        <w:tblStyle w:val="TableGrid"/>
        <w:tblW w:w="5000" w:type="pct"/>
        <w:tblLook w:val="04A0" w:firstRow="1" w:lastRow="0" w:firstColumn="1" w:lastColumn="0" w:noHBand="0" w:noVBand="1"/>
        <w:tblCaption w:val="Table 7: Mean change in mFARS score from baseline at Week 48 in MOXIe Part 2 (FAS)-patients without pes cavus"/>
      </w:tblPr>
      <w:tblGrid>
        <w:gridCol w:w="3005"/>
        <w:gridCol w:w="3004"/>
        <w:gridCol w:w="3008"/>
      </w:tblGrid>
      <w:tr w:rsidR="00CE2E65" w:rsidRPr="00C41ECA" w14:paraId="726BA835" w14:textId="77777777" w:rsidTr="35298142">
        <w:trPr>
          <w:trHeight w:val="60"/>
          <w:tblHeader/>
        </w:trPr>
        <w:tc>
          <w:tcPr>
            <w:tcW w:w="1666" w:type="pct"/>
            <w:tcBorders>
              <w:bottom w:val="single" w:sz="4" w:space="0" w:color="auto"/>
            </w:tcBorders>
          </w:tcPr>
          <w:p w14:paraId="15C99FD4" w14:textId="77777777" w:rsidR="00CE2E65" w:rsidRPr="00C41ECA" w:rsidRDefault="00CE2E65" w:rsidP="00117112">
            <w:pPr>
              <w:pStyle w:val="PBACTableText0"/>
              <w:keepNext/>
              <w:keepLines/>
              <w:spacing w:before="0" w:after="0"/>
              <w:rPr>
                <w:b/>
                <w:bCs/>
              </w:rPr>
            </w:pPr>
            <w:r w:rsidRPr="00C41ECA">
              <w:rPr>
                <w:b/>
                <w:bCs/>
              </w:rPr>
              <w:t>Measure</w:t>
            </w:r>
          </w:p>
        </w:tc>
        <w:tc>
          <w:tcPr>
            <w:tcW w:w="1666" w:type="pct"/>
            <w:tcBorders>
              <w:bottom w:val="single" w:sz="4" w:space="0" w:color="auto"/>
            </w:tcBorders>
          </w:tcPr>
          <w:p w14:paraId="73053EA3" w14:textId="77777777" w:rsidR="00CE2E65" w:rsidRPr="00C41ECA" w:rsidRDefault="00CE2E65" w:rsidP="35298142">
            <w:pPr>
              <w:pStyle w:val="PBACTableText0"/>
              <w:keepNext/>
              <w:keepLines/>
              <w:spacing w:before="0" w:after="0"/>
              <w:jc w:val="center"/>
              <w:rPr>
                <w:b/>
                <w:bCs/>
              </w:rPr>
            </w:pPr>
            <w:proofErr w:type="spellStart"/>
            <w:r w:rsidRPr="35298142">
              <w:rPr>
                <w:b/>
                <w:bCs/>
              </w:rPr>
              <w:t>Omaveloxolone</w:t>
            </w:r>
            <w:proofErr w:type="spellEnd"/>
            <w:r w:rsidRPr="35298142">
              <w:rPr>
                <w:b/>
                <w:bCs/>
              </w:rPr>
              <w:t xml:space="preserve"> 150 mg (N=40)</w:t>
            </w:r>
          </w:p>
        </w:tc>
        <w:tc>
          <w:tcPr>
            <w:tcW w:w="1667" w:type="pct"/>
            <w:tcBorders>
              <w:bottom w:val="single" w:sz="4" w:space="0" w:color="auto"/>
            </w:tcBorders>
          </w:tcPr>
          <w:p w14:paraId="2B40DD04" w14:textId="77777777" w:rsidR="00CE2E65" w:rsidRPr="00C41ECA" w:rsidRDefault="00CE2E65" w:rsidP="00117112">
            <w:pPr>
              <w:pStyle w:val="PBACTableText0"/>
              <w:keepNext/>
              <w:keepLines/>
              <w:spacing w:before="0" w:after="0"/>
              <w:jc w:val="center"/>
              <w:rPr>
                <w:b/>
                <w:bCs/>
              </w:rPr>
            </w:pPr>
            <w:r w:rsidRPr="00C41ECA">
              <w:rPr>
                <w:b/>
                <w:bCs/>
              </w:rPr>
              <w:t>Placebo (N=42)</w:t>
            </w:r>
          </w:p>
        </w:tc>
      </w:tr>
      <w:tr w:rsidR="00CE2E65" w:rsidRPr="00C41ECA" w14:paraId="37ACE837" w14:textId="77777777" w:rsidTr="35298142">
        <w:tc>
          <w:tcPr>
            <w:tcW w:w="5000" w:type="pct"/>
            <w:gridSpan w:val="3"/>
            <w:tcBorders>
              <w:bottom w:val="single" w:sz="4" w:space="0" w:color="auto"/>
            </w:tcBorders>
          </w:tcPr>
          <w:p w14:paraId="2720FD94" w14:textId="2BE038BA" w:rsidR="00CE2E65" w:rsidRPr="002D5E3F" w:rsidRDefault="00CE2E65" w:rsidP="00117112">
            <w:pPr>
              <w:pStyle w:val="PBACTableText0"/>
              <w:keepNext/>
              <w:keepLines/>
              <w:spacing w:before="0" w:after="0"/>
              <w:rPr>
                <w:b/>
                <w:bCs/>
              </w:rPr>
            </w:pPr>
            <w:r w:rsidRPr="002D5E3F">
              <w:rPr>
                <w:b/>
                <w:bCs/>
              </w:rPr>
              <w:t>Baseline</w:t>
            </w:r>
            <w:r w:rsidR="00EE104F" w:rsidRPr="002D5E3F">
              <w:rPr>
                <w:b/>
                <w:bCs/>
              </w:rPr>
              <w:t xml:space="preserve"> score</w:t>
            </w:r>
          </w:p>
        </w:tc>
      </w:tr>
      <w:tr w:rsidR="00CE2E65" w:rsidRPr="00C41ECA" w14:paraId="2BD7C0C9" w14:textId="77777777" w:rsidTr="35298142">
        <w:tc>
          <w:tcPr>
            <w:tcW w:w="1666" w:type="pct"/>
            <w:tcBorders>
              <w:top w:val="single" w:sz="4" w:space="0" w:color="auto"/>
              <w:bottom w:val="single" w:sz="4" w:space="0" w:color="auto"/>
            </w:tcBorders>
          </w:tcPr>
          <w:p w14:paraId="7F554A76" w14:textId="77777777" w:rsidR="00CE2E65" w:rsidRPr="00C41ECA" w:rsidRDefault="00CE2E65" w:rsidP="00117112">
            <w:pPr>
              <w:pStyle w:val="PBACTableText0"/>
              <w:keepNext/>
              <w:keepLines/>
              <w:spacing w:before="0" w:after="0"/>
            </w:pPr>
            <w:r w:rsidRPr="00C41ECA">
              <w:t>N</w:t>
            </w:r>
          </w:p>
        </w:tc>
        <w:tc>
          <w:tcPr>
            <w:tcW w:w="1666" w:type="pct"/>
            <w:tcBorders>
              <w:top w:val="single" w:sz="4" w:space="0" w:color="auto"/>
              <w:bottom w:val="single" w:sz="4" w:space="0" w:color="auto"/>
            </w:tcBorders>
          </w:tcPr>
          <w:p w14:paraId="061691D3" w14:textId="77777777" w:rsidR="00CE2E65" w:rsidRPr="00C41ECA" w:rsidRDefault="00CE2E65" w:rsidP="00117112">
            <w:pPr>
              <w:pStyle w:val="PBACTableText0"/>
              <w:keepNext/>
              <w:keepLines/>
              <w:spacing w:before="0" w:after="0"/>
              <w:jc w:val="center"/>
            </w:pPr>
            <w:r w:rsidRPr="00C41ECA">
              <w:t>40</w:t>
            </w:r>
          </w:p>
        </w:tc>
        <w:tc>
          <w:tcPr>
            <w:tcW w:w="1667" w:type="pct"/>
            <w:tcBorders>
              <w:top w:val="single" w:sz="4" w:space="0" w:color="auto"/>
              <w:bottom w:val="single" w:sz="4" w:space="0" w:color="auto"/>
            </w:tcBorders>
          </w:tcPr>
          <w:p w14:paraId="2AE4EFFF" w14:textId="77777777" w:rsidR="00CE2E65" w:rsidRPr="00C41ECA" w:rsidRDefault="00CE2E65" w:rsidP="00117112">
            <w:pPr>
              <w:pStyle w:val="PBACTableText0"/>
              <w:keepNext/>
              <w:keepLines/>
              <w:spacing w:before="0" w:after="0"/>
              <w:jc w:val="center"/>
            </w:pPr>
            <w:r w:rsidRPr="00C41ECA">
              <w:t>42</w:t>
            </w:r>
          </w:p>
        </w:tc>
      </w:tr>
      <w:tr w:rsidR="00CE2E65" w:rsidRPr="00C41ECA" w14:paraId="67759774" w14:textId="77777777" w:rsidTr="35298142">
        <w:tc>
          <w:tcPr>
            <w:tcW w:w="1666" w:type="pct"/>
            <w:tcBorders>
              <w:top w:val="single" w:sz="4" w:space="0" w:color="auto"/>
              <w:bottom w:val="single" w:sz="4" w:space="0" w:color="auto"/>
            </w:tcBorders>
          </w:tcPr>
          <w:p w14:paraId="0F0BACE0" w14:textId="77777777" w:rsidR="00CE2E65" w:rsidRPr="00C41ECA" w:rsidRDefault="00CE2E65" w:rsidP="00117112">
            <w:pPr>
              <w:pStyle w:val="PBACTableText0"/>
              <w:keepNext/>
              <w:keepLines/>
              <w:spacing w:before="0" w:after="0"/>
            </w:pPr>
            <w:r w:rsidRPr="00C41ECA">
              <w:t>Mean (SD)</w:t>
            </w:r>
          </w:p>
        </w:tc>
        <w:tc>
          <w:tcPr>
            <w:tcW w:w="1666" w:type="pct"/>
            <w:tcBorders>
              <w:top w:val="single" w:sz="4" w:space="0" w:color="auto"/>
              <w:bottom w:val="single" w:sz="4" w:space="0" w:color="auto"/>
            </w:tcBorders>
          </w:tcPr>
          <w:p w14:paraId="4DF3B649" w14:textId="48126A99" w:rsidR="00CE2E65" w:rsidRPr="00C41ECA" w:rsidRDefault="00CE2E65" w:rsidP="00117112">
            <w:pPr>
              <w:pStyle w:val="PBACTableText0"/>
              <w:keepNext/>
              <w:keepLines/>
              <w:spacing w:before="0" w:after="0"/>
              <w:jc w:val="center"/>
            </w:pPr>
            <w:r w:rsidRPr="00C41ECA">
              <w:t>40.94 (10.39)</w:t>
            </w:r>
          </w:p>
        </w:tc>
        <w:tc>
          <w:tcPr>
            <w:tcW w:w="1667" w:type="pct"/>
            <w:tcBorders>
              <w:top w:val="single" w:sz="4" w:space="0" w:color="auto"/>
              <w:bottom w:val="single" w:sz="4" w:space="0" w:color="auto"/>
            </w:tcBorders>
          </w:tcPr>
          <w:p w14:paraId="19A4EF1B" w14:textId="0C8AAFE3" w:rsidR="00CE2E65" w:rsidRPr="00C41ECA" w:rsidRDefault="00CE2E65" w:rsidP="00117112">
            <w:pPr>
              <w:pStyle w:val="PBACTableText0"/>
              <w:keepNext/>
              <w:keepLines/>
              <w:spacing w:before="0" w:after="0"/>
              <w:jc w:val="center"/>
            </w:pPr>
            <w:r w:rsidRPr="00C41ECA">
              <w:t>38.77 (11.0</w:t>
            </w:r>
            <w:r w:rsidR="00EE104F" w:rsidRPr="00C41ECA">
              <w:t>3</w:t>
            </w:r>
            <w:r w:rsidRPr="00C41ECA">
              <w:t>)</w:t>
            </w:r>
          </w:p>
        </w:tc>
      </w:tr>
      <w:tr w:rsidR="00CE2E65" w:rsidRPr="00C41ECA" w14:paraId="742627C1" w14:textId="77777777" w:rsidTr="35298142">
        <w:tc>
          <w:tcPr>
            <w:tcW w:w="1666" w:type="pct"/>
            <w:tcBorders>
              <w:top w:val="single" w:sz="4" w:space="0" w:color="auto"/>
              <w:bottom w:val="single" w:sz="4" w:space="0" w:color="auto"/>
            </w:tcBorders>
          </w:tcPr>
          <w:p w14:paraId="25402345" w14:textId="77777777" w:rsidR="00CE2E65" w:rsidRPr="00C41ECA" w:rsidRDefault="00CE2E65" w:rsidP="00117112">
            <w:pPr>
              <w:pStyle w:val="PBACTableText0"/>
              <w:keepNext/>
              <w:keepLines/>
              <w:spacing w:before="0" w:after="0"/>
            </w:pPr>
            <w:r w:rsidRPr="00C41ECA">
              <w:t>Median (range)</w:t>
            </w:r>
          </w:p>
        </w:tc>
        <w:tc>
          <w:tcPr>
            <w:tcW w:w="1666" w:type="pct"/>
            <w:tcBorders>
              <w:top w:val="single" w:sz="4" w:space="0" w:color="auto"/>
              <w:bottom w:val="single" w:sz="4" w:space="0" w:color="auto"/>
            </w:tcBorders>
          </w:tcPr>
          <w:p w14:paraId="2895D7A6" w14:textId="508EC3ED" w:rsidR="00CE2E65" w:rsidRPr="00C41ECA" w:rsidRDefault="00CE2E65" w:rsidP="00117112">
            <w:pPr>
              <w:pStyle w:val="PBACTableText0"/>
              <w:keepNext/>
              <w:keepLines/>
              <w:spacing w:before="0" w:after="0"/>
              <w:jc w:val="center"/>
            </w:pPr>
            <w:r w:rsidRPr="00C41ECA">
              <w:t>39.15</w:t>
            </w:r>
          </w:p>
        </w:tc>
        <w:tc>
          <w:tcPr>
            <w:tcW w:w="1667" w:type="pct"/>
            <w:tcBorders>
              <w:top w:val="single" w:sz="4" w:space="0" w:color="auto"/>
              <w:bottom w:val="single" w:sz="4" w:space="0" w:color="auto"/>
            </w:tcBorders>
          </w:tcPr>
          <w:p w14:paraId="177EBD05" w14:textId="20787F0A" w:rsidR="00CE2E65" w:rsidRPr="00C41ECA" w:rsidRDefault="00CE2E65" w:rsidP="00117112">
            <w:pPr>
              <w:pStyle w:val="PBACTableText0"/>
              <w:keepNext/>
              <w:keepLines/>
              <w:spacing w:before="0" w:after="0"/>
              <w:jc w:val="center"/>
            </w:pPr>
            <w:r w:rsidRPr="00C41ECA">
              <w:t>35.65</w:t>
            </w:r>
          </w:p>
        </w:tc>
      </w:tr>
      <w:tr w:rsidR="00CE2E65" w:rsidRPr="00C41ECA" w14:paraId="25AE6C1C" w14:textId="77777777" w:rsidTr="35298142">
        <w:tc>
          <w:tcPr>
            <w:tcW w:w="5000" w:type="pct"/>
            <w:gridSpan w:val="3"/>
            <w:tcBorders>
              <w:bottom w:val="single" w:sz="4" w:space="0" w:color="auto"/>
            </w:tcBorders>
          </w:tcPr>
          <w:p w14:paraId="76D00721" w14:textId="43194CDC" w:rsidR="00CE2E65" w:rsidRPr="002D5E3F" w:rsidRDefault="00CE2E65" w:rsidP="00117112">
            <w:pPr>
              <w:pStyle w:val="PBACTableText0"/>
              <w:keepNext/>
              <w:keepLines/>
              <w:spacing w:before="0" w:after="0"/>
              <w:rPr>
                <w:b/>
                <w:bCs/>
              </w:rPr>
            </w:pPr>
            <w:r w:rsidRPr="002D5E3F">
              <w:rPr>
                <w:b/>
                <w:bCs/>
              </w:rPr>
              <w:t>Week 48</w:t>
            </w:r>
            <w:r w:rsidR="00EE104F" w:rsidRPr="002D5E3F">
              <w:rPr>
                <w:b/>
                <w:bCs/>
              </w:rPr>
              <w:t xml:space="preserve"> score</w:t>
            </w:r>
          </w:p>
        </w:tc>
      </w:tr>
      <w:tr w:rsidR="00CE2E65" w:rsidRPr="00C41ECA" w14:paraId="0AD3BAC7" w14:textId="77777777" w:rsidTr="35298142">
        <w:tc>
          <w:tcPr>
            <w:tcW w:w="1666" w:type="pct"/>
            <w:tcBorders>
              <w:top w:val="single" w:sz="4" w:space="0" w:color="auto"/>
              <w:bottom w:val="single" w:sz="4" w:space="0" w:color="auto"/>
            </w:tcBorders>
          </w:tcPr>
          <w:p w14:paraId="2F763009" w14:textId="77777777" w:rsidR="00CE2E65" w:rsidRPr="00C41ECA" w:rsidRDefault="00CE2E65" w:rsidP="00117112">
            <w:pPr>
              <w:pStyle w:val="PBACTableText0"/>
              <w:keepNext/>
              <w:keepLines/>
              <w:spacing w:before="0" w:after="0"/>
            </w:pPr>
            <w:r w:rsidRPr="00C41ECA">
              <w:t>N</w:t>
            </w:r>
          </w:p>
        </w:tc>
        <w:tc>
          <w:tcPr>
            <w:tcW w:w="1666" w:type="pct"/>
            <w:tcBorders>
              <w:top w:val="single" w:sz="4" w:space="0" w:color="auto"/>
              <w:bottom w:val="single" w:sz="4" w:space="0" w:color="auto"/>
            </w:tcBorders>
          </w:tcPr>
          <w:p w14:paraId="641D9625" w14:textId="77777777" w:rsidR="00CE2E65" w:rsidRPr="00C41ECA" w:rsidRDefault="00CE2E65" w:rsidP="00117112">
            <w:pPr>
              <w:pStyle w:val="PBACTableText0"/>
              <w:keepNext/>
              <w:keepLines/>
              <w:spacing w:before="0" w:after="0"/>
              <w:jc w:val="center"/>
            </w:pPr>
            <w:r w:rsidRPr="00C41ECA">
              <w:t>34</w:t>
            </w:r>
          </w:p>
        </w:tc>
        <w:tc>
          <w:tcPr>
            <w:tcW w:w="1667" w:type="pct"/>
            <w:tcBorders>
              <w:top w:val="single" w:sz="4" w:space="0" w:color="auto"/>
              <w:bottom w:val="single" w:sz="4" w:space="0" w:color="auto"/>
            </w:tcBorders>
          </w:tcPr>
          <w:p w14:paraId="5E15F137" w14:textId="77777777" w:rsidR="00CE2E65" w:rsidRPr="00C41ECA" w:rsidRDefault="00CE2E65" w:rsidP="00117112">
            <w:pPr>
              <w:pStyle w:val="PBACTableText0"/>
              <w:keepNext/>
              <w:keepLines/>
              <w:spacing w:before="0" w:after="0"/>
              <w:jc w:val="center"/>
            </w:pPr>
            <w:r w:rsidRPr="00C41ECA">
              <w:t>41</w:t>
            </w:r>
          </w:p>
        </w:tc>
      </w:tr>
      <w:tr w:rsidR="00CE2E65" w:rsidRPr="00C41ECA" w14:paraId="67CA9B00" w14:textId="77777777" w:rsidTr="35298142">
        <w:tc>
          <w:tcPr>
            <w:tcW w:w="1666" w:type="pct"/>
            <w:tcBorders>
              <w:top w:val="single" w:sz="4" w:space="0" w:color="auto"/>
              <w:bottom w:val="single" w:sz="4" w:space="0" w:color="auto"/>
            </w:tcBorders>
          </w:tcPr>
          <w:p w14:paraId="77B11811" w14:textId="77777777" w:rsidR="00CE2E65" w:rsidRPr="00C41ECA" w:rsidRDefault="00CE2E65" w:rsidP="00117112">
            <w:pPr>
              <w:pStyle w:val="PBACTableText0"/>
              <w:keepNext/>
              <w:keepLines/>
              <w:spacing w:before="0" w:after="0"/>
            </w:pPr>
            <w:r w:rsidRPr="00C41ECA">
              <w:t>Mean (SD)</w:t>
            </w:r>
          </w:p>
        </w:tc>
        <w:tc>
          <w:tcPr>
            <w:tcW w:w="1666" w:type="pct"/>
            <w:tcBorders>
              <w:top w:val="single" w:sz="4" w:space="0" w:color="auto"/>
              <w:bottom w:val="single" w:sz="4" w:space="0" w:color="auto"/>
            </w:tcBorders>
          </w:tcPr>
          <w:p w14:paraId="5FF531B8" w14:textId="36477E49" w:rsidR="00CE2E65" w:rsidRPr="00C41ECA" w:rsidRDefault="00CE2E65" w:rsidP="00117112">
            <w:pPr>
              <w:pStyle w:val="PBACTableText0"/>
              <w:keepNext/>
              <w:keepLines/>
              <w:spacing w:before="0" w:after="0"/>
              <w:jc w:val="center"/>
            </w:pPr>
            <w:r w:rsidRPr="00C41ECA">
              <w:t>39.17 (10.0</w:t>
            </w:r>
            <w:r w:rsidR="00EE104F" w:rsidRPr="00C41ECA">
              <w:t>2</w:t>
            </w:r>
            <w:r w:rsidRPr="00C41ECA">
              <w:t>)</w:t>
            </w:r>
          </w:p>
        </w:tc>
        <w:tc>
          <w:tcPr>
            <w:tcW w:w="1667" w:type="pct"/>
            <w:tcBorders>
              <w:top w:val="single" w:sz="4" w:space="0" w:color="auto"/>
              <w:bottom w:val="single" w:sz="4" w:space="0" w:color="auto"/>
            </w:tcBorders>
          </w:tcPr>
          <w:p w14:paraId="5C814F43" w14:textId="61F455D3" w:rsidR="00CE2E65" w:rsidRPr="00C41ECA" w:rsidRDefault="00CE2E65" w:rsidP="00117112">
            <w:pPr>
              <w:pStyle w:val="PBACTableText0"/>
              <w:keepNext/>
              <w:keepLines/>
              <w:spacing w:before="0" w:after="0"/>
              <w:jc w:val="center"/>
            </w:pPr>
            <w:r w:rsidRPr="00C41ECA">
              <w:t>39.54 (11.5</w:t>
            </w:r>
            <w:r w:rsidR="00EE104F" w:rsidRPr="00C41ECA">
              <w:t>7</w:t>
            </w:r>
            <w:r w:rsidRPr="00C41ECA">
              <w:t>)</w:t>
            </w:r>
          </w:p>
        </w:tc>
      </w:tr>
      <w:tr w:rsidR="00CE2E65" w:rsidRPr="00C41ECA" w14:paraId="7E582511" w14:textId="77777777" w:rsidTr="35298142">
        <w:tc>
          <w:tcPr>
            <w:tcW w:w="1666" w:type="pct"/>
            <w:tcBorders>
              <w:top w:val="single" w:sz="4" w:space="0" w:color="auto"/>
              <w:bottom w:val="single" w:sz="4" w:space="0" w:color="auto"/>
            </w:tcBorders>
          </w:tcPr>
          <w:p w14:paraId="62A92AC9" w14:textId="77777777" w:rsidR="00CE2E65" w:rsidRPr="00C41ECA" w:rsidRDefault="00CE2E65" w:rsidP="00117112">
            <w:pPr>
              <w:pStyle w:val="PBACTableText0"/>
              <w:keepNext/>
              <w:keepLines/>
              <w:spacing w:before="0" w:after="0"/>
            </w:pPr>
            <w:r w:rsidRPr="00C41ECA">
              <w:t>LS mean (SE)</w:t>
            </w:r>
          </w:p>
        </w:tc>
        <w:tc>
          <w:tcPr>
            <w:tcW w:w="1666" w:type="pct"/>
            <w:tcBorders>
              <w:top w:val="single" w:sz="4" w:space="0" w:color="auto"/>
              <w:bottom w:val="single" w:sz="4" w:space="0" w:color="auto"/>
            </w:tcBorders>
          </w:tcPr>
          <w:p w14:paraId="0EDB4E6B" w14:textId="30EB0D6A" w:rsidR="00CE2E65" w:rsidRPr="00C41ECA" w:rsidRDefault="00D45019" w:rsidP="00117112">
            <w:pPr>
              <w:pStyle w:val="PBACTableText0"/>
              <w:keepNext/>
              <w:keepLines/>
              <w:spacing w:before="0" w:after="0"/>
              <w:jc w:val="center"/>
            </w:pPr>
            <w:r>
              <w:t>-</w:t>
            </w:r>
            <w:r w:rsidR="00CE2E65" w:rsidRPr="00C41ECA">
              <w:t>1.55 (0.69)</w:t>
            </w:r>
          </w:p>
        </w:tc>
        <w:tc>
          <w:tcPr>
            <w:tcW w:w="1667" w:type="pct"/>
            <w:tcBorders>
              <w:top w:val="single" w:sz="4" w:space="0" w:color="auto"/>
              <w:bottom w:val="single" w:sz="4" w:space="0" w:color="auto"/>
            </w:tcBorders>
          </w:tcPr>
          <w:p w14:paraId="0E5C19D8" w14:textId="4FE4CC70" w:rsidR="00CE2E65" w:rsidRPr="00C41ECA" w:rsidRDefault="00CE2E65" w:rsidP="00117112">
            <w:pPr>
              <w:pStyle w:val="PBACTableText0"/>
              <w:keepNext/>
              <w:keepLines/>
              <w:spacing w:before="0" w:after="0"/>
              <w:jc w:val="center"/>
            </w:pPr>
            <w:r w:rsidRPr="00C41ECA">
              <w:t>0.85 (0.64)</w:t>
            </w:r>
          </w:p>
        </w:tc>
      </w:tr>
      <w:tr w:rsidR="00CE2E65" w:rsidRPr="00C41ECA" w14:paraId="0DC8D9F0" w14:textId="77777777" w:rsidTr="35298142">
        <w:tc>
          <w:tcPr>
            <w:tcW w:w="1666" w:type="pct"/>
            <w:tcBorders>
              <w:top w:val="single" w:sz="4" w:space="0" w:color="auto"/>
              <w:bottom w:val="single" w:sz="4" w:space="0" w:color="auto"/>
            </w:tcBorders>
          </w:tcPr>
          <w:p w14:paraId="169306D2" w14:textId="77777777" w:rsidR="00CE2E65" w:rsidRPr="00C41ECA" w:rsidRDefault="00CE2E65" w:rsidP="00117112">
            <w:pPr>
              <w:pStyle w:val="PBACTableText0"/>
              <w:keepNext/>
              <w:keepLines/>
              <w:spacing w:before="0" w:after="0"/>
            </w:pPr>
            <w:r w:rsidRPr="00C41ECA">
              <w:t>Median (range)</w:t>
            </w:r>
          </w:p>
        </w:tc>
        <w:tc>
          <w:tcPr>
            <w:tcW w:w="1666" w:type="pct"/>
            <w:tcBorders>
              <w:top w:val="single" w:sz="4" w:space="0" w:color="auto"/>
              <w:bottom w:val="single" w:sz="4" w:space="0" w:color="auto"/>
            </w:tcBorders>
          </w:tcPr>
          <w:p w14:paraId="217973B1" w14:textId="13EEE6BD" w:rsidR="00CE2E65" w:rsidRPr="00C41ECA" w:rsidRDefault="00CE2E65" w:rsidP="00117112">
            <w:pPr>
              <w:pStyle w:val="PBACTableText0"/>
              <w:keepNext/>
              <w:keepLines/>
              <w:spacing w:before="0" w:after="0"/>
              <w:jc w:val="center"/>
            </w:pPr>
            <w:r w:rsidRPr="00C41ECA">
              <w:t>38.10</w:t>
            </w:r>
          </w:p>
        </w:tc>
        <w:tc>
          <w:tcPr>
            <w:tcW w:w="1667" w:type="pct"/>
            <w:tcBorders>
              <w:top w:val="single" w:sz="4" w:space="0" w:color="auto"/>
              <w:bottom w:val="single" w:sz="4" w:space="0" w:color="auto"/>
            </w:tcBorders>
          </w:tcPr>
          <w:p w14:paraId="4B581921" w14:textId="4F16AAC3" w:rsidR="00CE2E65" w:rsidRPr="00C41ECA" w:rsidRDefault="00CE2E65" w:rsidP="00117112">
            <w:pPr>
              <w:pStyle w:val="PBACTableText0"/>
              <w:keepNext/>
              <w:keepLines/>
              <w:spacing w:before="0" w:after="0"/>
              <w:jc w:val="center"/>
            </w:pPr>
            <w:r w:rsidRPr="00C41ECA">
              <w:t>38.70</w:t>
            </w:r>
          </w:p>
        </w:tc>
      </w:tr>
      <w:tr w:rsidR="00CE2E65" w:rsidRPr="00C41ECA" w14:paraId="330E27C5" w14:textId="77777777" w:rsidTr="35298142">
        <w:tc>
          <w:tcPr>
            <w:tcW w:w="1666" w:type="pct"/>
            <w:tcBorders>
              <w:top w:val="single" w:sz="4" w:space="0" w:color="auto"/>
            </w:tcBorders>
          </w:tcPr>
          <w:p w14:paraId="6D5D8295" w14:textId="77777777" w:rsidR="00CE2E65" w:rsidRPr="00C41ECA" w:rsidRDefault="00CE2E65" w:rsidP="00117112">
            <w:pPr>
              <w:pStyle w:val="PBACTableText0"/>
              <w:keepNext/>
              <w:keepLines/>
              <w:spacing w:before="0" w:after="0"/>
            </w:pPr>
            <w:r w:rsidRPr="00C41ECA">
              <w:t>LS mean difference (SE)</w:t>
            </w:r>
          </w:p>
          <w:p w14:paraId="37678963" w14:textId="77777777" w:rsidR="00CE2E65" w:rsidRPr="00C41ECA" w:rsidRDefault="00CE2E65" w:rsidP="00117112">
            <w:pPr>
              <w:pStyle w:val="PBACTableText0"/>
              <w:keepNext/>
              <w:keepLines/>
              <w:spacing w:before="0" w:after="0"/>
            </w:pPr>
            <w:r w:rsidRPr="00C41ECA">
              <w:t>[95% CI]; p-value</w:t>
            </w:r>
          </w:p>
        </w:tc>
        <w:tc>
          <w:tcPr>
            <w:tcW w:w="3334" w:type="pct"/>
            <w:gridSpan w:val="2"/>
            <w:tcBorders>
              <w:top w:val="single" w:sz="4" w:space="0" w:color="auto"/>
            </w:tcBorders>
          </w:tcPr>
          <w:p w14:paraId="1A0E6D2A" w14:textId="4F3EC43C" w:rsidR="00CE2E65" w:rsidRPr="00C41ECA" w:rsidRDefault="00D45019" w:rsidP="00117112">
            <w:pPr>
              <w:pStyle w:val="PBACTableText0"/>
              <w:keepNext/>
              <w:keepLines/>
              <w:spacing w:before="0" w:after="0"/>
              <w:jc w:val="center"/>
            </w:pPr>
            <w:r>
              <w:t>-</w:t>
            </w:r>
            <w:r w:rsidR="00CE2E65" w:rsidRPr="00C41ECA">
              <w:t>2.40 (0.96)</w:t>
            </w:r>
          </w:p>
          <w:p w14:paraId="367EA1B3" w14:textId="7EB1B314" w:rsidR="00CE2E65" w:rsidRPr="00C41ECA" w:rsidRDefault="00CE2E65" w:rsidP="00117112">
            <w:pPr>
              <w:pStyle w:val="PBACTableText0"/>
              <w:keepNext/>
              <w:keepLines/>
              <w:spacing w:before="0" w:after="0"/>
              <w:jc w:val="center"/>
            </w:pPr>
            <w:r w:rsidRPr="00C41ECA">
              <w:t>[</w:t>
            </w:r>
            <w:r w:rsidR="00D45019">
              <w:t>-</w:t>
            </w:r>
            <w:r w:rsidRPr="00C41ECA">
              <w:t xml:space="preserve">4.31, </w:t>
            </w:r>
            <w:r w:rsidR="00D45019">
              <w:t>-</w:t>
            </w:r>
            <w:r w:rsidRPr="00C41ECA">
              <w:t>0.50]; 0.0141</w:t>
            </w:r>
          </w:p>
        </w:tc>
      </w:tr>
    </w:tbl>
    <w:p w14:paraId="41187EF1" w14:textId="77777777" w:rsidR="00CE2E65" w:rsidRPr="00C41ECA" w:rsidRDefault="00CE2E65" w:rsidP="00117112">
      <w:pPr>
        <w:pStyle w:val="TableFooter"/>
        <w:keepNext/>
        <w:keepLines/>
      </w:pPr>
      <w:r w:rsidRPr="00C41ECA">
        <w:t>Source: Table 2-19, p99 of the submission.</w:t>
      </w:r>
    </w:p>
    <w:p w14:paraId="63CABD3D" w14:textId="77777777" w:rsidR="00CE2E65" w:rsidRPr="00C41ECA" w:rsidRDefault="00CE2E65" w:rsidP="00117112">
      <w:pPr>
        <w:pStyle w:val="TableFooter"/>
        <w:keepNext/>
        <w:keepLines/>
      </w:pPr>
      <w:r w:rsidRPr="35298142">
        <w:t xml:space="preserve">CI=confidence intervals; FAS=full analysis set; LS=least squares; </w:t>
      </w:r>
      <w:proofErr w:type="spellStart"/>
      <w:r w:rsidRPr="35298142">
        <w:t>mFARS</w:t>
      </w:r>
      <w:proofErr w:type="spellEnd"/>
      <w:r w:rsidRPr="35298142">
        <w:t>=modified Friedreich’s ataxia rating scale; N=number of participants in treatment arm/with available data; SD=standard deviation; SE=standard error.</w:t>
      </w:r>
    </w:p>
    <w:p w14:paraId="73CAB741" w14:textId="77777777" w:rsidR="00CE2E65" w:rsidRPr="00C41ECA" w:rsidRDefault="00CE2E65" w:rsidP="00117112">
      <w:pPr>
        <w:pStyle w:val="TableFooter"/>
        <w:keepNext/>
        <w:keepLines/>
      </w:pPr>
      <w:r w:rsidRPr="35298142">
        <w:t xml:space="preserve">NOTE: LS means calculated from mixed model repeated measures. LS mean difference refers to difference in LS means change from baseline of </w:t>
      </w:r>
      <w:proofErr w:type="spellStart"/>
      <w:r w:rsidRPr="35298142">
        <w:t>omaveloxolone</w:t>
      </w:r>
      <w:proofErr w:type="spellEnd"/>
      <w:r w:rsidRPr="35298142">
        <w:t xml:space="preserve"> – placebo</w:t>
      </w:r>
    </w:p>
    <w:p w14:paraId="42E5409C" w14:textId="77777777" w:rsidR="00CE2E65" w:rsidRPr="00C41ECA" w:rsidRDefault="00CE2E65" w:rsidP="00CE2E65"/>
    <w:p w14:paraId="6FEC6E38" w14:textId="00A54D84" w:rsidR="00CE2E65" w:rsidRPr="00C41ECA" w:rsidRDefault="00CE2E65" w:rsidP="00CE2E65">
      <w:pPr>
        <w:pStyle w:val="Caption"/>
      </w:pPr>
      <w:bookmarkStart w:id="26" w:name="_Ref187056398"/>
      <w:r w:rsidRPr="35298142">
        <w:t xml:space="preserve">Figure </w:t>
      </w:r>
      <w:r w:rsidRPr="35298142">
        <w:fldChar w:fldCharType="begin"/>
      </w:r>
      <w:r>
        <w:instrText xml:space="preserve"> SEQ Figure \* ARABIC </w:instrText>
      </w:r>
      <w:r w:rsidRPr="35298142">
        <w:fldChar w:fldCharType="separate"/>
      </w:r>
      <w:r w:rsidR="003A4643">
        <w:rPr>
          <w:noProof/>
        </w:rPr>
        <w:t>1</w:t>
      </w:r>
      <w:r w:rsidRPr="35298142">
        <w:rPr>
          <w:noProof/>
        </w:rPr>
        <w:fldChar w:fldCharType="end"/>
      </w:r>
      <w:bookmarkEnd w:id="26"/>
      <w:r w:rsidRPr="35298142">
        <w:t xml:space="preserve">: </w:t>
      </w:r>
      <w:proofErr w:type="spellStart"/>
      <w:r w:rsidRPr="35298142">
        <w:t>MOXIe</w:t>
      </w:r>
      <w:proofErr w:type="spellEnd"/>
      <w:r w:rsidRPr="35298142">
        <w:t xml:space="preserve"> Part 2 - Change from baseline over time in </w:t>
      </w:r>
      <w:proofErr w:type="spellStart"/>
      <w:r w:rsidRPr="35298142">
        <w:t>mFARS</w:t>
      </w:r>
      <w:proofErr w:type="spellEnd"/>
      <w:r w:rsidR="0079252C" w:rsidRPr="35298142">
        <w:t xml:space="preserve"> by visit</w:t>
      </w:r>
      <w:r w:rsidRPr="35298142">
        <w:t xml:space="preserve"> (FAS)</w:t>
      </w:r>
    </w:p>
    <w:p w14:paraId="5C4D5A78" w14:textId="77777777" w:rsidR="00CE2E65" w:rsidRPr="00C41ECA" w:rsidRDefault="00CE2E65" w:rsidP="00CE2E65">
      <w:r w:rsidRPr="00C41ECA">
        <w:rPr>
          <w:noProof/>
        </w:rPr>
        <w:drawing>
          <wp:inline distT="0" distB="0" distL="0" distR="0" wp14:anchorId="2A9E47AA" wp14:editId="7BF04E04">
            <wp:extent cx="5731510" cy="2955290"/>
            <wp:effectExtent l="0" t="0" r="2540" b="0"/>
            <wp:docPr id="1665418391" name="Picture 1" descr="Figure 1: MOXIe Part 2 - Change from baseline over time in mFARS by visit (FA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18391" name="Picture 1" descr="Figure 1: MOXIe Part 2 - Change from baseline over time in mFARS by visit (FAS)&#10;"/>
                    <pic:cNvPicPr/>
                  </pic:nvPicPr>
                  <pic:blipFill>
                    <a:blip r:embed="rId11"/>
                    <a:stretch>
                      <a:fillRect/>
                    </a:stretch>
                  </pic:blipFill>
                  <pic:spPr>
                    <a:xfrm>
                      <a:off x="0" y="0"/>
                      <a:ext cx="5731510" cy="2955290"/>
                    </a:xfrm>
                    <a:prstGeom prst="rect">
                      <a:avLst/>
                    </a:prstGeom>
                  </pic:spPr>
                </pic:pic>
              </a:graphicData>
            </a:graphic>
          </wp:inline>
        </w:drawing>
      </w:r>
    </w:p>
    <w:p w14:paraId="1E949ED0" w14:textId="77777777" w:rsidR="00CE2E65" w:rsidRPr="00C41ECA" w:rsidRDefault="00CE2E65" w:rsidP="00CE2E65">
      <w:pPr>
        <w:pStyle w:val="TableFooter"/>
      </w:pPr>
      <w:r w:rsidRPr="00C41ECA">
        <w:t>Source: Figure 2.4, p99 of the submission</w:t>
      </w:r>
    </w:p>
    <w:p w14:paraId="469D56A5" w14:textId="77777777" w:rsidR="00CE2E65" w:rsidRPr="00C41ECA" w:rsidRDefault="00CE2E65" w:rsidP="00CE2E65">
      <w:pPr>
        <w:pStyle w:val="TableFooter"/>
      </w:pPr>
      <w:r w:rsidRPr="35298142">
        <w:t xml:space="preserve">LS=least squares; </w:t>
      </w:r>
      <w:proofErr w:type="spellStart"/>
      <w:r w:rsidRPr="35298142">
        <w:t>mFARS</w:t>
      </w:r>
      <w:proofErr w:type="spellEnd"/>
      <w:r w:rsidRPr="35298142">
        <w:t>=modified Friedreich’s ataxia rating scale; Omav=</w:t>
      </w:r>
      <w:proofErr w:type="spellStart"/>
      <w:r w:rsidRPr="35298142">
        <w:t>omaveloxolone</w:t>
      </w:r>
      <w:proofErr w:type="spellEnd"/>
      <w:r w:rsidRPr="35298142">
        <w:t>; SD=standard deviation</w:t>
      </w:r>
    </w:p>
    <w:p w14:paraId="1D11E3EA" w14:textId="52853386" w:rsidR="00CE2E65" w:rsidRPr="00C41ECA" w:rsidRDefault="00CE2E65" w:rsidP="00CE2E65">
      <w:pPr>
        <w:pStyle w:val="3-BodyText"/>
      </w:pPr>
      <w:r w:rsidRPr="35298142">
        <w:t xml:space="preserve">The study met its primary efficacy objective. For the FAS with no pes </w:t>
      </w:r>
      <w:proofErr w:type="spellStart"/>
      <w:r w:rsidRPr="35298142">
        <w:t>cavus</w:t>
      </w:r>
      <w:proofErr w:type="spellEnd"/>
      <w:r w:rsidRPr="35298142">
        <w:t xml:space="preserve"> (N=82), there was a statistically significant difference of -2.4</w:t>
      </w:r>
      <w:r w:rsidR="008D64E2" w:rsidRPr="35298142">
        <w:t>0</w:t>
      </w:r>
      <w:r w:rsidRPr="35298142">
        <w:t xml:space="preserve"> points in </w:t>
      </w:r>
      <w:proofErr w:type="spellStart"/>
      <w:r w:rsidRPr="35298142">
        <w:t>mFARS</w:t>
      </w:r>
      <w:proofErr w:type="spellEnd"/>
      <w:r w:rsidRPr="35298142">
        <w:t xml:space="preserve"> at Week 48 (on a scale of 99) favouring the </w:t>
      </w:r>
      <w:proofErr w:type="spellStart"/>
      <w:r w:rsidRPr="35298142">
        <w:t>omaveloxolone</w:t>
      </w:r>
      <w:proofErr w:type="spellEnd"/>
      <w:r w:rsidRPr="35298142">
        <w:t xml:space="preserve"> arm compared to the placebo arm (p=0.0138</w:t>
      </w:r>
      <w:r w:rsidRPr="00760B81">
        <w:t xml:space="preserve">). </w:t>
      </w:r>
      <w:r w:rsidR="00CD2EB3" w:rsidRPr="00760B81">
        <w:t xml:space="preserve">Although the difference in </w:t>
      </w:r>
      <w:proofErr w:type="spellStart"/>
      <w:r w:rsidR="00CD2EB3" w:rsidRPr="00760B81">
        <w:t>mFARS</w:t>
      </w:r>
      <w:proofErr w:type="spellEnd"/>
      <w:r w:rsidR="00CD2EB3" w:rsidRPr="00760B81">
        <w:t xml:space="preserve"> at Week 48 between the </w:t>
      </w:r>
      <w:proofErr w:type="spellStart"/>
      <w:r w:rsidR="00CD2EB3" w:rsidRPr="00760B81">
        <w:t>omaveloxolone</w:t>
      </w:r>
      <w:proofErr w:type="spellEnd"/>
      <w:r w:rsidR="00CD2EB3" w:rsidRPr="00760B81">
        <w:t xml:space="preserve"> and placebo arms was statistically significant (-2.4</w:t>
      </w:r>
      <w:r w:rsidR="008E61E6" w:rsidRPr="00760B81">
        <w:t>0</w:t>
      </w:r>
      <w:r w:rsidR="00CD2EB3" w:rsidRPr="00760B81">
        <w:t xml:space="preserve"> points), the ESC questioned the clinical relevance of this small change (</w:t>
      </w:r>
      <w:r w:rsidR="00D44E7B" w:rsidRPr="00760B81">
        <w:t>on</w:t>
      </w:r>
      <w:r w:rsidR="00CD2EB3" w:rsidRPr="00760B81">
        <w:t xml:space="preserve"> a 99-point scale) and whether it would result in benefits in terms of disease outcomes for the patient. </w:t>
      </w:r>
      <w:r w:rsidR="00CD6FDF" w:rsidRPr="00760B81">
        <w:t>T</w:t>
      </w:r>
      <w:r w:rsidR="00C5221D" w:rsidRPr="00760B81">
        <w:t xml:space="preserve">he ESC noted that the </w:t>
      </w:r>
      <w:r w:rsidR="00CD6FDF" w:rsidRPr="00760B81">
        <w:t xml:space="preserve">mean </w:t>
      </w:r>
      <w:proofErr w:type="spellStart"/>
      <w:r w:rsidR="00D520D7" w:rsidRPr="00760B81">
        <w:t>mFARS</w:t>
      </w:r>
      <w:proofErr w:type="spellEnd"/>
      <w:r w:rsidR="00D520D7" w:rsidRPr="00760B81">
        <w:t xml:space="preserve"> at </w:t>
      </w:r>
      <w:r w:rsidR="00C5221D" w:rsidRPr="00760B81">
        <w:t>Week 48</w:t>
      </w:r>
      <w:r w:rsidR="00222835" w:rsidRPr="00760B81">
        <w:t xml:space="preserve"> </w:t>
      </w:r>
      <w:r w:rsidR="00D520D7" w:rsidRPr="00760B81">
        <w:t xml:space="preserve">were similar as the baseline score in the placebo arm </w:t>
      </w:r>
      <w:r w:rsidR="006C51E1" w:rsidRPr="00760B81">
        <w:t xml:space="preserve">(38.77) </w:t>
      </w:r>
      <w:r w:rsidR="00D520D7" w:rsidRPr="00760B81">
        <w:t>was lower than in</w:t>
      </w:r>
      <w:r w:rsidR="006C51E1" w:rsidRPr="00760B81">
        <w:t xml:space="preserve"> the </w:t>
      </w:r>
      <w:proofErr w:type="spellStart"/>
      <w:r w:rsidR="004A538C" w:rsidRPr="00760B81">
        <w:t>omaveloxolone</w:t>
      </w:r>
      <w:proofErr w:type="spellEnd"/>
      <w:r w:rsidR="006C51E1" w:rsidRPr="00760B81">
        <w:t xml:space="preserve"> arm (40.94).</w:t>
      </w:r>
      <w:r w:rsidR="00C5221D" w:rsidRPr="00760B81">
        <w:t xml:space="preserve"> </w:t>
      </w:r>
      <w:r w:rsidRPr="00760B81">
        <w:t xml:space="preserve">Patients in the </w:t>
      </w:r>
      <w:proofErr w:type="spellStart"/>
      <w:r w:rsidRPr="00760B81">
        <w:t>omaveloxolone</w:t>
      </w:r>
      <w:proofErr w:type="spellEnd"/>
      <w:r w:rsidRPr="00760B81">
        <w:t xml:space="preserve"> arm had</w:t>
      </w:r>
      <w:r w:rsidRPr="35298142">
        <w:t xml:space="preserve"> a mean change from baseline in </w:t>
      </w:r>
      <w:proofErr w:type="spellStart"/>
      <w:r w:rsidRPr="35298142">
        <w:t>mFARS</w:t>
      </w:r>
      <w:proofErr w:type="spellEnd"/>
      <w:r w:rsidRPr="35298142">
        <w:t xml:space="preserve"> of -1.56 points compared to 0.85 points for patients in the placebo arm at Week 48. The change from baseline in neurological function favouring </w:t>
      </w:r>
      <w:proofErr w:type="spellStart"/>
      <w:r w:rsidRPr="35298142">
        <w:t>omaveloxolone</w:t>
      </w:r>
      <w:proofErr w:type="spellEnd"/>
      <w:r w:rsidRPr="35298142">
        <w:t xml:space="preserve"> over placebo was time dependent, with a progressively larger separation from placebo observed at each study visit over time.</w:t>
      </w:r>
      <w:r w:rsidR="00D81C50" w:rsidRPr="35298142">
        <w:t xml:space="preserve"> </w:t>
      </w:r>
    </w:p>
    <w:p w14:paraId="52615808" w14:textId="73ACF397" w:rsidR="00CE2E65" w:rsidRPr="00C41ECA" w:rsidRDefault="00CE2E65" w:rsidP="00CE2E65">
      <w:pPr>
        <w:pStyle w:val="3-BodyText"/>
      </w:pPr>
      <w:r w:rsidRPr="35298142">
        <w:t xml:space="preserve">The FAS restriction to patients without pes </w:t>
      </w:r>
      <w:proofErr w:type="spellStart"/>
      <w:r w:rsidRPr="35298142">
        <w:t>cavus</w:t>
      </w:r>
      <w:proofErr w:type="spellEnd"/>
      <w:r w:rsidRPr="35298142">
        <w:t xml:space="preserve"> is not in line with the ITT principle</w:t>
      </w:r>
      <w:r w:rsidR="005B4E44" w:rsidRPr="35298142">
        <w:t>,</w:t>
      </w:r>
      <w:r w:rsidRPr="35298142">
        <w:t xml:space="preserve"> although sensitivity analyses were conducted for a number of population sets including covariate adjustment for pes </w:t>
      </w:r>
      <w:proofErr w:type="spellStart"/>
      <w:r w:rsidRPr="35298142">
        <w:t>cavus</w:t>
      </w:r>
      <w:proofErr w:type="spellEnd"/>
      <w:r w:rsidRPr="35298142">
        <w:t xml:space="preserve"> in the ITT or in the total randomised population. In the total randomised population, treatment with </w:t>
      </w:r>
      <w:proofErr w:type="spellStart"/>
      <w:r w:rsidRPr="35298142">
        <w:t>omaveloxolone</w:t>
      </w:r>
      <w:proofErr w:type="spellEnd"/>
      <w:r w:rsidRPr="35298142">
        <w:t xml:space="preserve"> significantly improved </w:t>
      </w:r>
      <w:proofErr w:type="spellStart"/>
      <w:r w:rsidRPr="35298142">
        <w:t>mFARS</w:t>
      </w:r>
      <w:proofErr w:type="spellEnd"/>
      <w:r w:rsidRPr="35298142">
        <w:t xml:space="preserve"> by -1.94 points relative to that for placebo (n=103; p=0.0331).</w:t>
      </w:r>
    </w:p>
    <w:p w14:paraId="7B7B0471" w14:textId="4EB22A72" w:rsidR="00CE2E65" w:rsidRPr="00C41ECA" w:rsidRDefault="00CE2E65" w:rsidP="00CE2E65">
      <w:pPr>
        <w:pStyle w:val="3-BodyText"/>
      </w:pPr>
      <w:r>
        <w:fldChar w:fldCharType="begin"/>
      </w:r>
      <w:r>
        <w:instrText xml:space="preserve"> REF _Ref187056662 \h  \* MERGEFORMAT </w:instrText>
      </w:r>
      <w:r>
        <w:fldChar w:fldCharType="separate"/>
      </w:r>
      <w:r w:rsidR="003A4643" w:rsidRPr="35298142">
        <w:t xml:space="preserve">Figure </w:t>
      </w:r>
      <w:r w:rsidR="003A4643">
        <w:rPr>
          <w:noProof/>
        </w:rPr>
        <w:t>2</w:t>
      </w:r>
      <w:r>
        <w:fldChar w:fldCharType="end"/>
      </w:r>
      <w:r w:rsidRPr="35298142">
        <w:t xml:space="preserve"> summarises the distribution of change from baseline in </w:t>
      </w:r>
      <w:proofErr w:type="spellStart"/>
      <w:r w:rsidRPr="35298142">
        <w:t>mFARS</w:t>
      </w:r>
      <w:proofErr w:type="spellEnd"/>
      <w:r w:rsidRPr="35298142">
        <w:t xml:space="preserve"> across the treatment arms in </w:t>
      </w:r>
      <w:proofErr w:type="spellStart"/>
      <w:r w:rsidRPr="35298142">
        <w:t>MOXIe</w:t>
      </w:r>
      <w:proofErr w:type="spellEnd"/>
      <w:r w:rsidRPr="35298142">
        <w:t xml:space="preserve"> Part 2</w:t>
      </w:r>
    </w:p>
    <w:p w14:paraId="39666594" w14:textId="5C5970C7" w:rsidR="00CE2E65" w:rsidRPr="00C41ECA" w:rsidRDefault="00CE2E65" w:rsidP="00CE2E65">
      <w:pPr>
        <w:pStyle w:val="Caption"/>
      </w:pPr>
      <w:bookmarkStart w:id="27" w:name="_Ref187056662"/>
      <w:r w:rsidRPr="35298142">
        <w:t xml:space="preserve">Figure </w:t>
      </w:r>
      <w:r w:rsidRPr="35298142">
        <w:fldChar w:fldCharType="begin"/>
      </w:r>
      <w:r>
        <w:instrText xml:space="preserve"> SEQ Figure \* ARABIC </w:instrText>
      </w:r>
      <w:r w:rsidRPr="35298142">
        <w:fldChar w:fldCharType="separate"/>
      </w:r>
      <w:r w:rsidR="003A4643">
        <w:rPr>
          <w:noProof/>
        </w:rPr>
        <w:t>2</w:t>
      </w:r>
      <w:r w:rsidRPr="35298142">
        <w:rPr>
          <w:noProof/>
        </w:rPr>
        <w:fldChar w:fldCharType="end"/>
      </w:r>
      <w:bookmarkEnd w:id="27"/>
      <w:r w:rsidRPr="35298142">
        <w:t xml:space="preserve">: </w:t>
      </w:r>
      <w:proofErr w:type="spellStart"/>
      <w:r w:rsidRPr="35298142">
        <w:t>MOXIe</w:t>
      </w:r>
      <w:proofErr w:type="spellEnd"/>
      <w:r w:rsidRPr="35298142">
        <w:t xml:space="preserve"> Part 2 – Distribution of change from baseline in </w:t>
      </w:r>
      <w:proofErr w:type="spellStart"/>
      <w:r w:rsidRPr="35298142">
        <w:t>mFARS</w:t>
      </w:r>
      <w:proofErr w:type="spellEnd"/>
      <w:r w:rsidR="006E32A1" w:rsidRPr="35298142">
        <w:t xml:space="preserve"> (FAS)</w:t>
      </w:r>
    </w:p>
    <w:p w14:paraId="2853A26D" w14:textId="77777777" w:rsidR="00CE2E65" w:rsidRPr="00C41ECA" w:rsidRDefault="00CE2E65" w:rsidP="00CE2E65">
      <w:pPr>
        <w:pStyle w:val="TableFooter"/>
      </w:pPr>
      <w:r w:rsidRPr="00C41ECA">
        <w:rPr>
          <w:noProof/>
        </w:rPr>
        <w:drawing>
          <wp:inline distT="0" distB="0" distL="0" distR="0" wp14:anchorId="6EB72BEB" wp14:editId="1F7A497F">
            <wp:extent cx="5657850" cy="2775585"/>
            <wp:effectExtent l="0" t="0" r="0" b="5715"/>
            <wp:docPr id="1916421752" name="Picture 1" descr="Figure 2: MOXIe Part 2 – Distribution of change from baseline in mFARS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21752" name="Picture 1" descr="Figure 2: MOXIe Part 2 – Distribution of change from baseline in mFARS (FAS)"/>
                    <pic:cNvPicPr/>
                  </pic:nvPicPr>
                  <pic:blipFill>
                    <a:blip r:embed="rId12"/>
                    <a:stretch>
                      <a:fillRect/>
                    </a:stretch>
                  </pic:blipFill>
                  <pic:spPr>
                    <a:xfrm>
                      <a:off x="0" y="0"/>
                      <a:ext cx="5657850" cy="2775585"/>
                    </a:xfrm>
                    <a:prstGeom prst="rect">
                      <a:avLst/>
                    </a:prstGeom>
                  </pic:spPr>
                </pic:pic>
              </a:graphicData>
            </a:graphic>
          </wp:inline>
        </w:drawing>
      </w:r>
    </w:p>
    <w:p w14:paraId="2B8B0A43" w14:textId="5B4CEF5E" w:rsidR="00CE2E65" w:rsidRPr="00C41ECA" w:rsidRDefault="00CE2E65" w:rsidP="00CE2E65">
      <w:pPr>
        <w:pStyle w:val="TableFooter"/>
      </w:pPr>
      <w:r w:rsidRPr="35298142">
        <w:t xml:space="preserve">Source: Figure 7, p58 of the FDA Clinical Review of </w:t>
      </w:r>
      <w:proofErr w:type="spellStart"/>
      <w:r w:rsidRPr="35298142">
        <w:t>omaveloxolone</w:t>
      </w:r>
      <w:proofErr w:type="spellEnd"/>
      <w:r w:rsidRPr="35298142">
        <w:t>, September 2017, Application number: 216718Orig1s000, Reference ID 5133070</w:t>
      </w:r>
      <w:r w:rsidR="006E32A1" w:rsidRPr="35298142">
        <w:t>.</w:t>
      </w:r>
    </w:p>
    <w:p w14:paraId="2B1381A2" w14:textId="28C6E637" w:rsidR="006E32A1" w:rsidRPr="00C41ECA" w:rsidRDefault="006E32A1" w:rsidP="00CE2E65">
      <w:pPr>
        <w:pStyle w:val="TableFooter"/>
      </w:pPr>
      <w:r w:rsidRPr="35298142">
        <w:t xml:space="preserve">FAS=Full Analysis Set (non-pes </w:t>
      </w:r>
      <w:proofErr w:type="spellStart"/>
      <w:r w:rsidRPr="35298142">
        <w:t>cavus</w:t>
      </w:r>
      <w:proofErr w:type="spellEnd"/>
      <w:r w:rsidRPr="35298142">
        <w:t xml:space="preserve"> patients); FD</w:t>
      </w:r>
      <w:r w:rsidR="00456E1C" w:rsidRPr="35298142">
        <w:t>A</w:t>
      </w:r>
      <w:r w:rsidRPr="35298142">
        <w:t xml:space="preserve">=Food and Drug Administration; </w:t>
      </w:r>
      <w:proofErr w:type="spellStart"/>
      <w:r w:rsidRPr="35298142">
        <w:t>mFARS</w:t>
      </w:r>
      <w:proofErr w:type="spellEnd"/>
      <w:r w:rsidRPr="35298142">
        <w:t>= modified Friedreich’s Ataxia Rating Scale.</w:t>
      </w:r>
    </w:p>
    <w:p w14:paraId="10157DF1" w14:textId="77777777" w:rsidR="00CE2E65" w:rsidRPr="00C41ECA" w:rsidRDefault="00CE2E65" w:rsidP="00CE2E65">
      <w:pPr>
        <w:rPr>
          <w:rStyle w:val="CommentReference"/>
          <w:b w:val="0"/>
        </w:rPr>
      </w:pPr>
    </w:p>
    <w:p w14:paraId="238D329C" w14:textId="33C2E12C" w:rsidR="00CE2E65" w:rsidRPr="00C41ECA" w:rsidRDefault="008B6F89" w:rsidP="00CE2E65">
      <w:pPr>
        <w:pStyle w:val="3-BodyText"/>
      </w:pPr>
      <w:r w:rsidRPr="00760B81">
        <w:t>The ESC noted that w</w:t>
      </w:r>
      <w:r w:rsidR="00CE2E65" w:rsidRPr="00760B81">
        <w:t xml:space="preserve">hilst 52.5% of patients in the </w:t>
      </w:r>
      <w:proofErr w:type="spellStart"/>
      <w:r w:rsidR="00CE2E65" w:rsidRPr="00760B81">
        <w:t>omaveloxolone</w:t>
      </w:r>
      <w:proofErr w:type="spellEnd"/>
      <w:r w:rsidR="00CE2E65" w:rsidRPr="00760B81">
        <w:t xml:space="preserve"> arm compared to 42.8% in the placebo arm showed improvement from baseline in </w:t>
      </w:r>
      <w:proofErr w:type="spellStart"/>
      <w:r w:rsidR="00CE2E65" w:rsidRPr="00760B81">
        <w:t>mFARS</w:t>
      </w:r>
      <w:proofErr w:type="spellEnd"/>
      <w:r w:rsidR="00CE2E65" w:rsidRPr="00760B81">
        <w:t xml:space="preserve">, the higher percentage of missing data in the </w:t>
      </w:r>
      <w:proofErr w:type="spellStart"/>
      <w:r w:rsidR="00CE2E65" w:rsidRPr="00760B81">
        <w:t>omaveloxolone</w:t>
      </w:r>
      <w:proofErr w:type="spellEnd"/>
      <w:r w:rsidR="00CE2E65" w:rsidRPr="35298142">
        <w:t xml:space="preserve"> arm compared to the placebo arm (15.0% vs. 2.3%) decreased confidence in the results. The 15% of patients with missing data in the </w:t>
      </w:r>
      <w:proofErr w:type="spellStart"/>
      <w:r w:rsidR="00CE2E65" w:rsidRPr="35298142">
        <w:t>omaveloxolone</w:t>
      </w:r>
      <w:proofErr w:type="spellEnd"/>
      <w:r w:rsidR="00CE2E65" w:rsidRPr="35298142">
        <w:t xml:space="preserve"> arm could fall into either improvement or worsening categories. Overall, based on a worst-case scenario for </w:t>
      </w:r>
      <w:proofErr w:type="spellStart"/>
      <w:r w:rsidR="00CE2E65" w:rsidRPr="35298142">
        <w:t>omaveloxolone</w:t>
      </w:r>
      <w:proofErr w:type="spellEnd"/>
      <w:r w:rsidR="00CE2E65" w:rsidRPr="35298142">
        <w:t xml:space="preserve"> where all 15% of patients are assumed to have worsened, and recognising the low attrition rate in the placebo arm, the difference in </w:t>
      </w:r>
      <w:proofErr w:type="spellStart"/>
      <w:r w:rsidR="00CE2E65" w:rsidRPr="35298142">
        <w:t>mFARS</w:t>
      </w:r>
      <w:proofErr w:type="spellEnd"/>
      <w:r w:rsidR="00CE2E65" w:rsidRPr="35298142">
        <w:t xml:space="preserve"> would remain favourable to </w:t>
      </w:r>
      <w:proofErr w:type="spellStart"/>
      <w:r w:rsidR="00CE2E65" w:rsidRPr="35298142">
        <w:t>omaveloxolone</w:t>
      </w:r>
      <w:proofErr w:type="spellEnd"/>
      <w:r w:rsidR="00CE2E65" w:rsidRPr="35298142">
        <w:t xml:space="preserve">, although the treatment effect </w:t>
      </w:r>
      <w:r w:rsidR="00DC6BB5" w:rsidRPr="35298142">
        <w:t>would likely be modest.</w:t>
      </w:r>
    </w:p>
    <w:p w14:paraId="79E59CCB" w14:textId="59830D2B" w:rsidR="00100462" w:rsidRPr="00760B81" w:rsidRDefault="00CE2E65" w:rsidP="00100462">
      <w:pPr>
        <w:pStyle w:val="3-BodyText"/>
      </w:pPr>
      <w:r w:rsidRPr="00760B81">
        <w:t xml:space="preserve">Sensitivity tipping point analyses of missing data were presented in the </w:t>
      </w:r>
      <w:proofErr w:type="spellStart"/>
      <w:r w:rsidRPr="00760B81">
        <w:t>MOXIe</w:t>
      </w:r>
      <w:proofErr w:type="spellEnd"/>
      <w:r w:rsidRPr="00760B81">
        <w:t xml:space="preserve"> Part 2 CSR. Various shifts of the imputed data in the </w:t>
      </w:r>
      <w:proofErr w:type="spellStart"/>
      <w:r w:rsidRPr="00760B81">
        <w:t>omaveloxolone</w:t>
      </w:r>
      <w:proofErr w:type="spellEnd"/>
      <w:r w:rsidRPr="00760B81">
        <w:t xml:space="preserve"> group were explored. </w:t>
      </w:r>
      <w:r w:rsidR="00167160" w:rsidRPr="00760B81">
        <w:rPr>
          <w:rFonts w:eastAsia="Calibri"/>
        </w:rPr>
        <w:t xml:space="preserve">The ESC </w:t>
      </w:r>
      <w:r w:rsidR="0085104E" w:rsidRPr="00760B81">
        <w:rPr>
          <w:rFonts w:eastAsia="Calibri"/>
        </w:rPr>
        <w:t>noted</w:t>
      </w:r>
      <w:r w:rsidR="00167160" w:rsidRPr="00760B81">
        <w:rPr>
          <w:rFonts w:eastAsia="Calibri"/>
        </w:rPr>
        <w:t xml:space="preserve"> that generally, tipping point analysis is a reasonable, valid, somewhat subjective and well documented approach (also referred to ‘breakdown point’ in robust statistical theory) to assess the impact of imputation on analyses.</w:t>
      </w:r>
      <w:r w:rsidR="00635C95" w:rsidRPr="00760B81">
        <w:rPr>
          <w:rFonts w:eastAsia="Calibri"/>
        </w:rPr>
        <w:t xml:space="preserve"> </w:t>
      </w:r>
      <w:r w:rsidRPr="00760B81">
        <w:t xml:space="preserve">The tipping point for the trial, where the treatment effect loses statistical significance, is a shift of +2 points (worsening) in the imputed data for missing </w:t>
      </w:r>
      <w:proofErr w:type="spellStart"/>
      <w:r w:rsidRPr="00760B81">
        <w:t>mFARS</w:t>
      </w:r>
      <w:proofErr w:type="spellEnd"/>
      <w:r w:rsidRPr="00760B81">
        <w:t xml:space="preserve"> values in the </w:t>
      </w:r>
      <w:proofErr w:type="spellStart"/>
      <w:r w:rsidRPr="00760B81">
        <w:t>omaveloxolone</w:t>
      </w:r>
      <w:proofErr w:type="spellEnd"/>
      <w:r w:rsidRPr="00760B81">
        <w:t xml:space="preserve"> arm at Week 48. This shift is more than twice the magnitude of worsening in the placebo arm (+0.85 points). Whilst these analyses suggest the primary analysis may be robust, </w:t>
      </w:r>
      <w:r w:rsidR="003A1587" w:rsidRPr="00760B81">
        <w:t xml:space="preserve">the ESC agreed with the evaluation that </w:t>
      </w:r>
      <w:r w:rsidRPr="00760B81">
        <w:t>concern</w:t>
      </w:r>
      <w:r w:rsidR="00A0231C" w:rsidRPr="00760B81">
        <w:t>s</w:t>
      </w:r>
      <w:r w:rsidRPr="00760B81">
        <w:t xml:space="preserve"> remain as to whether the decreased differences between the treatment arms resulting from worsening shifts for </w:t>
      </w:r>
      <w:proofErr w:type="spellStart"/>
      <w:r w:rsidRPr="00760B81">
        <w:t>omaveloxolone</w:t>
      </w:r>
      <w:proofErr w:type="spellEnd"/>
      <w:r w:rsidRPr="00760B81">
        <w:t xml:space="preserve"> are clinically meaningful.</w:t>
      </w:r>
      <w:r w:rsidR="00814732" w:rsidRPr="00760B81">
        <w:t xml:space="preserve"> </w:t>
      </w:r>
    </w:p>
    <w:p w14:paraId="452AE4C5" w14:textId="77777777" w:rsidR="003A4643" w:rsidRDefault="00CE2E65" w:rsidP="003A4643">
      <w:pPr>
        <w:pStyle w:val="3-BodyText"/>
      </w:pPr>
      <w:r w:rsidRPr="35298142">
        <w:t xml:space="preserve">The comparative treatment effect by </w:t>
      </w:r>
      <w:proofErr w:type="spellStart"/>
      <w:r w:rsidRPr="35298142">
        <w:t>mFARS</w:t>
      </w:r>
      <w:proofErr w:type="spellEnd"/>
      <w:r w:rsidRPr="35298142">
        <w:t xml:space="preserve"> component is presented in </w:t>
      </w:r>
      <w:r>
        <w:fldChar w:fldCharType="begin"/>
      </w:r>
      <w:r>
        <w:instrText xml:space="preserve"> REF _Ref187063506 \h  \* MERGEFORMAT </w:instrText>
      </w:r>
      <w:r>
        <w:fldChar w:fldCharType="separate"/>
      </w:r>
    </w:p>
    <w:p w14:paraId="4C8C5432" w14:textId="57DB571E" w:rsidR="00CE2E65" w:rsidRPr="00C41ECA" w:rsidRDefault="003A4643" w:rsidP="00100462">
      <w:pPr>
        <w:pStyle w:val="3-BodyText"/>
      </w:pPr>
      <w:r w:rsidRPr="35298142">
        <w:t>Figure</w:t>
      </w:r>
      <w:r w:rsidRPr="35298142">
        <w:rPr>
          <w:noProof/>
        </w:rPr>
        <w:t xml:space="preserve"> </w:t>
      </w:r>
      <w:r>
        <w:rPr>
          <w:noProof/>
        </w:rPr>
        <w:t>3</w:t>
      </w:r>
      <w:r w:rsidR="00CE2E65">
        <w:fldChar w:fldCharType="end"/>
      </w:r>
      <w:r w:rsidR="00CE2E65" w:rsidRPr="35298142">
        <w:t>.</w:t>
      </w:r>
    </w:p>
    <w:p w14:paraId="1604D2B1" w14:textId="77777777" w:rsidR="00100462" w:rsidRDefault="00100462" w:rsidP="00CE2E65">
      <w:pPr>
        <w:pStyle w:val="Caption"/>
      </w:pPr>
      <w:bookmarkStart w:id="28" w:name="_Ref187063506"/>
    </w:p>
    <w:p w14:paraId="3E86D1D0" w14:textId="2DFFD0F6" w:rsidR="00CE2E65" w:rsidRPr="00C41ECA" w:rsidRDefault="00CE2E65" w:rsidP="00CE2E65">
      <w:pPr>
        <w:pStyle w:val="Caption"/>
      </w:pPr>
      <w:r w:rsidRPr="35298142">
        <w:t xml:space="preserve">Figure </w:t>
      </w:r>
      <w:r w:rsidRPr="35298142">
        <w:fldChar w:fldCharType="begin"/>
      </w:r>
      <w:r>
        <w:instrText xml:space="preserve"> SEQ Figure \* ARABIC </w:instrText>
      </w:r>
      <w:r w:rsidRPr="35298142">
        <w:fldChar w:fldCharType="separate"/>
      </w:r>
      <w:r w:rsidR="003A4643">
        <w:rPr>
          <w:noProof/>
        </w:rPr>
        <w:t>3</w:t>
      </w:r>
      <w:r w:rsidRPr="35298142">
        <w:rPr>
          <w:noProof/>
        </w:rPr>
        <w:fldChar w:fldCharType="end"/>
      </w:r>
      <w:bookmarkEnd w:id="28"/>
      <w:r w:rsidRPr="35298142">
        <w:t xml:space="preserve">: </w:t>
      </w:r>
      <w:proofErr w:type="spellStart"/>
      <w:r w:rsidRPr="35298142">
        <w:t>MOXIe</w:t>
      </w:r>
      <w:proofErr w:type="spellEnd"/>
      <w:r w:rsidRPr="35298142">
        <w:t xml:space="preserve"> Part 2 - Change in </w:t>
      </w:r>
      <w:proofErr w:type="spellStart"/>
      <w:r w:rsidRPr="35298142">
        <w:t>mFARS</w:t>
      </w:r>
      <w:proofErr w:type="spellEnd"/>
      <w:r w:rsidRPr="35298142">
        <w:t xml:space="preserve"> subsections at week 48 in Full Analysis Set</w:t>
      </w:r>
    </w:p>
    <w:p w14:paraId="552BF59F" w14:textId="77777777" w:rsidR="00CE2E65" w:rsidRPr="00C41ECA" w:rsidRDefault="00CE2E65" w:rsidP="00CE2E65">
      <w:r w:rsidRPr="00C41ECA">
        <w:rPr>
          <w:noProof/>
        </w:rPr>
        <w:drawing>
          <wp:inline distT="0" distB="0" distL="0" distR="0" wp14:anchorId="61FEB01C" wp14:editId="6620B144">
            <wp:extent cx="5731510" cy="2645410"/>
            <wp:effectExtent l="0" t="0" r="2540" b="2540"/>
            <wp:docPr id="673885542" name="Picture 1" descr="Figure 3: MOXIe Part 2 - Change in mFARS subsections at week 48 in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85542" name="Picture 1" descr="Figure 3: MOXIe Part 2 - Change in mFARS subsections at week 48 in Full Analysis Set"/>
                    <pic:cNvPicPr/>
                  </pic:nvPicPr>
                  <pic:blipFill>
                    <a:blip r:embed="rId13"/>
                    <a:stretch>
                      <a:fillRect/>
                    </a:stretch>
                  </pic:blipFill>
                  <pic:spPr>
                    <a:xfrm>
                      <a:off x="0" y="0"/>
                      <a:ext cx="5731510" cy="2645410"/>
                    </a:xfrm>
                    <a:prstGeom prst="rect">
                      <a:avLst/>
                    </a:prstGeom>
                  </pic:spPr>
                </pic:pic>
              </a:graphicData>
            </a:graphic>
          </wp:inline>
        </w:drawing>
      </w:r>
    </w:p>
    <w:p w14:paraId="127AC588" w14:textId="77777777" w:rsidR="00CE2E65" w:rsidRPr="00C41ECA" w:rsidRDefault="00CE2E65" w:rsidP="00CE2E65">
      <w:pPr>
        <w:pStyle w:val="TableFooter"/>
      </w:pPr>
      <w:r w:rsidRPr="00C41ECA">
        <w:t>Source: Figure 2-6, p101 of the submission.</w:t>
      </w:r>
    </w:p>
    <w:p w14:paraId="0AF8B40C" w14:textId="0EC13802" w:rsidR="00CE2E65" w:rsidRPr="00C41ECA" w:rsidRDefault="00CE2E65" w:rsidP="00CE2E65">
      <w:pPr>
        <w:pStyle w:val="TableFooter"/>
      </w:pPr>
      <w:proofErr w:type="spellStart"/>
      <w:r w:rsidRPr="35298142">
        <w:t>mFARS</w:t>
      </w:r>
      <w:proofErr w:type="spellEnd"/>
      <w:r w:rsidRPr="35298142">
        <w:t>=modified Friedreich’s ataxia rating scale; SE=standard error</w:t>
      </w:r>
      <w:r w:rsidR="00CE5E62" w:rsidRPr="35298142">
        <w:t>.</w:t>
      </w:r>
    </w:p>
    <w:p w14:paraId="2EFA00C0" w14:textId="5213953C" w:rsidR="00CE5E62" w:rsidRPr="00C41ECA" w:rsidRDefault="00CE5E62" w:rsidP="00CE2E65">
      <w:pPr>
        <w:pStyle w:val="TableFooter"/>
      </w:pPr>
      <w:r w:rsidRPr="35298142">
        <w:t xml:space="preserve">Difference </w:t>
      </w:r>
      <w:proofErr w:type="spellStart"/>
      <w:r w:rsidRPr="35298142">
        <w:t>Omaveloxolone</w:t>
      </w:r>
      <w:proofErr w:type="spellEnd"/>
      <w:r w:rsidRPr="35298142">
        <w:t xml:space="preserve"> minus Placebo (95% CI): Bulbar: -0.17 (-0.37, 0.04); Upper Limb Coordination: -1.29 (-2.51, 0.06); Lower Limb Coordination: -0.21 (-1.17, 0.76); Upright Stability: -0.72 (-1.67, 0.24)</w:t>
      </w:r>
    </w:p>
    <w:p w14:paraId="021FE856" w14:textId="77777777" w:rsidR="00CE2E65" w:rsidRPr="00C41ECA" w:rsidRDefault="00CE2E65" w:rsidP="00CE2E65">
      <w:pPr>
        <w:pStyle w:val="3-BodyText"/>
      </w:pPr>
      <w:r w:rsidRPr="35298142">
        <w:t xml:space="preserve">Treatment with </w:t>
      </w:r>
      <w:proofErr w:type="spellStart"/>
      <w:r w:rsidRPr="35298142">
        <w:t>omaveloxolone</w:t>
      </w:r>
      <w:proofErr w:type="spellEnd"/>
      <w:r w:rsidRPr="35298142">
        <w:t xml:space="preserve"> numerically improved each of the individual components of the </w:t>
      </w:r>
      <w:proofErr w:type="spellStart"/>
      <w:r w:rsidRPr="35298142">
        <w:t>mFARS</w:t>
      </w:r>
      <w:proofErr w:type="spellEnd"/>
      <w:r w:rsidRPr="35298142">
        <w:t xml:space="preserve"> assessment (bulbar, upper limb coordination, lower limb coordination, and upright stability) relative to placebo although the difference for lower limb coordination was not statistically significant. The largest treatment effects were observed for upper limb coordination and upright stability. The submission noted that importantly, the improvements in upright stability with </w:t>
      </w:r>
      <w:proofErr w:type="spellStart"/>
      <w:r w:rsidRPr="35298142">
        <w:t>omaveloxolone</w:t>
      </w:r>
      <w:proofErr w:type="spellEnd"/>
      <w:r w:rsidRPr="35298142">
        <w:t xml:space="preserve"> relative to those for placebo demonstrate an effect on the </w:t>
      </w:r>
      <w:proofErr w:type="spellStart"/>
      <w:r w:rsidRPr="35298142">
        <w:t>mFARS</w:t>
      </w:r>
      <w:proofErr w:type="spellEnd"/>
      <w:r w:rsidRPr="35298142">
        <w:t xml:space="preserve"> component that defines important clinical milestones in FA, including loss of ambulation.</w:t>
      </w:r>
    </w:p>
    <w:p w14:paraId="1D20D2A8" w14:textId="17E1534C" w:rsidR="00CE2E65" w:rsidRPr="00C41ECA" w:rsidRDefault="00CE2E65" w:rsidP="00CE2E65">
      <w:pPr>
        <w:pStyle w:val="3-BodyText"/>
      </w:pPr>
      <w:r w:rsidRPr="35298142">
        <w:t xml:space="preserve">Pre-specified subgroup analyses of the </w:t>
      </w:r>
      <w:proofErr w:type="spellStart"/>
      <w:r w:rsidRPr="35298142">
        <w:t>MOXIe</w:t>
      </w:r>
      <w:proofErr w:type="spellEnd"/>
      <w:r w:rsidRPr="35298142">
        <w:t xml:space="preserve"> Part 2 trial (</w:t>
      </w:r>
      <w:r>
        <w:fldChar w:fldCharType="begin"/>
      </w:r>
      <w:r>
        <w:instrText xml:space="preserve"> REF _Ref187064173 \h  \* MERGEFORMAT </w:instrText>
      </w:r>
      <w:r>
        <w:fldChar w:fldCharType="separate"/>
      </w:r>
      <w:r w:rsidR="003A4643" w:rsidRPr="35298142">
        <w:t xml:space="preserve">Figure </w:t>
      </w:r>
      <w:r w:rsidR="003A4643">
        <w:rPr>
          <w:noProof/>
        </w:rPr>
        <w:t>4</w:t>
      </w:r>
      <w:r>
        <w:fldChar w:fldCharType="end"/>
      </w:r>
      <w:r w:rsidRPr="35298142">
        <w:t xml:space="preserve">) were presented for the primary efficacy endpoint of change from baseline in </w:t>
      </w:r>
      <w:proofErr w:type="spellStart"/>
      <w:r w:rsidRPr="35298142">
        <w:t>mFARS</w:t>
      </w:r>
      <w:proofErr w:type="spellEnd"/>
      <w:r w:rsidRPr="35298142">
        <w:t xml:space="preserve"> at Week 48 for the following subset categories:</w:t>
      </w:r>
    </w:p>
    <w:p w14:paraId="0F3E3F58" w14:textId="77777777" w:rsidR="00CE2E65" w:rsidRPr="00C41ECA" w:rsidRDefault="00CE2E65" w:rsidP="00AC6A4A">
      <w:pPr>
        <w:pStyle w:val="3-BodyText"/>
        <w:numPr>
          <w:ilvl w:val="0"/>
          <w:numId w:val="15"/>
        </w:numPr>
        <w:ind w:left="1080"/>
      </w:pPr>
      <w:r w:rsidRPr="00C41ECA">
        <w:t>Age group: Age &lt; 18 years, Age ≥ 18 years</w:t>
      </w:r>
    </w:p>
    <w:p w14:paraId="6210C1F2" w14:textId="77777777" w:rsidR="00CE2E65" w:rsidRPr="00C41ECA" w:rsidRDefault="00CE2E65" w:rsidP="00AC6A4A">
      <w:pPr>
        <w:pStyle w:val="3-BodyText"/>
        <w:numPr>
          <w:ilvl w:val="0"/>
          <w:numId w:val="15"/>
        </w:numPr>
        <w:ind w:left="1080"/>
      </w:pPr>
      <w:r w:rsidRPr="00C41ECA">
        <w:t>Gender: female, male</w:t>
      </w:r>
    </w:p>
    <w:p w14:paraId="37ED5CD9" w14:textId="77777777" w:rsidR="00CE2E65" w:rsidRPr="00C41ECA" w:rsidRDefault="00CE2E65" w:rsidP="00AC6A4A">
      <w:pPr>
        <w:pStyle w:val="3-BodyText"/>
        <w:numPr>
          <w:ilvl w:val="0"/>
          <w:numId w:val="15"/>
        </w:numPr>
        <w:ind w:left="1080"/>
      </w:pPr>
      <w:r w:rsidRPr="00C41ECA">
        <w:t>GAA1 repeat length ≥ 675: yes, no</w:t>
      </w:r>
    </w:p>
    <w:p w14:paraId="280FB4F2" w14:textId="77777777" w:rsidR="00CE2E65" w:rsidRPr="00C41ECA" w:rsidRDefault="00CE2E65" w:rsidP="00AC6A4A">
      <w:pPr>
        <w:pStyle w:val="3-BodyText"/>
        <w:numPr>
          <w:ilvl w:val="0"/>
          <w:numId w:val="15"/>
        </w:numPr>
        <w:ind w:left="1080"/>
      </w:pPr>
      <w:r w:rsidRPr="00C41ECA">
        <w:t>Ambulatory status: non-ambulatory, ambulatory.</w:t>
      </w:r>
    </w:p>
    <w:p w14:paraId="7D9D5FA8" w14:textId="5F849163" w:rsidR="00CE2E65" w:rsidRPr="00C41ECA" w:rsidRDefault="00CE2E65" w:rsidP="00CE2E65">
      <w:pPr>
        <w:pStyle w:val="Caption"/>
      </w:pPr>
      <w:bookmarkStart w:id="29" w:name="_Ref187064173"/>
      <w:r w:rsidRPr="35298142">
        <w:t xml:space="preserve">Figure </w:t>
      </w:r>
      <w:r w:rsidRPr="35298142">
        <w:fldChar w:fldCharType="begin"/>
      </w:r>
      <w:r>
        <w:instrText xml:space="preserve"> SEQ Figure \* ARABIC </w:instrText>
      </w:r>
      <w:r w:rsidRPr="35298142">
        <w:fldChar w:fldCharType="separate"/>
      </w:r>
      <w:r w:rsidR="003A4643">
        <w:rPr>
          <w:noProof/>
        </w:rPr>
        <w:t>4</w:t>
      </w:r>
      <w:r w:rsidRPr="35298142">
        <w:rPr>
          <w:noProof/>
        </w:rPr>
        <w:fldChar w:fldCharType="end"/>
      </w:r>
      <w:bookmarkEnd w:id="29"/>
      <w:r w:rsidRPr="35298142">
        <w:t xml:space="preserve">: </w:t>
      </w:r>
      <w:proofErr w:type="spellStart"/>
      <w:r w:rsidRPr="35298142">
        <w:t>MOXIe</w:t>
      </w:r>
      <w:proofErr w:type="spellEnd"/>
      <w:r w:rsidRPr="35298142">
        <w:t xml:space="preserve"> Part 2 –Change in </w:t>
      </w:r>
      <w:proofErr w:type="spellStart"/>
      <w:r w:rsidRPr="35298142">
        <w:t>mFARS</w:t>
      </w:r>
      <w:proofErr w:type="spellEnd"/>
      <w:r w:rsidRPr="35298142">
        <w:t xml:space="preserve"> at week 48 across subgroups in the FAS and other analysis populations </w:t>
      </w:r>
    </w:p>
    <w:p w14:paraId="196BB5A2" w14:textId="77777777" w:rsidR="00CE2E65" w:rsidRPr="00C41ECA" w:rsidRDefault="00CE2E65" w:rsidP="00CE2E65">
      <w:pPr>
        <w:ind w:left="1080"/>
      </w:pPr>
      <w:r w:rsidRPr="00C41ECA">
        <w:rPr>
          <w:noProof/>
        </w:rPr>
        <w:drawing>
          <wp:inline distT="0" distB="0" distL="0" distR="0" wp14:anchorId="437B5368" wp14:editId="6922240F">
            <wp:extent cx="4902835" cy="3658870"/>
            <wp:effectExtent l="0" t="0" r="0" b="0"/>
            <wp:docPr id="1572393117" name="Picture 1" descr="Figure 4: MOXIe Part 2 –Change in mFARS at week 48 across subgroups in the FAS and other analysis popul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93117" name="Picture 1" descr="Figure 4: MOXIe Part 2 –Change in mFARS at week 48 across subgroups in the FAS and other analysis populations "/>
                    <pic:cNvPicPr/>
                  </pic:nvPicPr>
                  <pic:blipFill>
                    <a:blip r:embed="rId14"/>
                    <a:stretch>
                      <a:fillRect/>
                    </a:stretch>
                  </pic:blipFill>
                  <pic:spPr>
                    <a:xfrm>
                      <a:off x="0" y="0"/>
                      <a:ext cx="4902835" cy="3658870"/>
                    </a:xfrm>
                    <a:prstGeom prst="rect">
                      <a:avLst/>
                    </a:prstGeom>
                  </pic:spPr>
                </pic:pic>
              </a:graphicData>
            </a:graphic>
          </wp:inline>
        </w:drawing>
      </w:r>
    </w:p>
    <w:p w14:paraId="5423B63B" w14:textId="77777777" w:rsidR="00CE2E65" w:rsidRPr="00C41ECA" w:rsidRDefault="00CE2E65" w:rsidP="00CE2E65">
      <w:pPr>
        <w:pStyle w:val="TableFooter"/>
      </w:pPr>
      <w:r w:rsidRPr="00C41ECA">
        <w:t>Source: Figure 2-16, p139 of the submission</w:t>
      </w:r>
    </w:p>
    <w:p w14:paraId="7912DFFA" w14:textId="77777777" w:rsidR="00CE2E65" w:rsidRPr="00C41ECA" w:rsidRDefault="00CE2E65" w:rsidP="00CE2E65">
      <w:pPr>
        <w:pStyle w:val="TableFooter"/>
      </w:pPr>
      <w:r w:rsidRPr="35298142">
        <w:t xml:space="preserve">ARP=all randomized population; FAS=full analysis set; MMRM=mixed model for repeated measures; PP=per protocol; </w:t>
      </w:r>
      <w:proofErr w:type="spellStart"/>
      <w:r w:rsidRPr="35298142">
        <w:t>mFARS</w:t>
      </w:r>
      <w:proofErr w:type="spellEnd"/>
      <w:r w:rsidRPr="35298142">
        <w:t>=modified Friedreich’s ataxia rating scale.</w:t>
      </w:r>
    </w:p>
    <w:p w14:paraId="64278543" w14:textId="77777777" w:rsidR="00CE2E65" w:rsidRPr="00C41ECA" w:rsidRDefault="00CE2E65" w:rsidP="00CE2E65">
      <w:pPr>
        <w:pStyle w:val="TableFooter"/>
      </w:pPr>
      <w:r w:rsidRPr="35298142">
        <w:t xml:space="preserve">Note: Data plotted are LS means differences between </w:t>
      </w:r>
      <w:proofErr w:type="spellStart"/>
      <w:proofErr w:type="gramStart"/>
      <w:r w:rsidRPr="35298142">
        <w:t>omaveloxolone</w:t>
      </w:r>
      <w:proofErr w:type="spellEnd"/>
      <w:proofErr w:type="gramEnd"/>
      <w:r w:rsidRPr="35298142">
        <w:t xml:space="preserve"> and placebo patients estimated from a mixed model repeated measures (MMRM) analysis. The analysis used Visits 4, 12, 18, 24, 36, and 48. The number of patients (n) shown is the number of patients with an </w:t>
      </w:r>
      <w:proofErr w:type="spellStart"/>
      <w:r w:rsidRPr="35298142">
        <w:t>mFARS</w:t>
      </w:r>
      <w:proofErr w:type="spellEnd"/>
      <w:r w:rsidRPr="35298142">
        <w:t xml:space="preserve"> assessment at Week 48.</w:t>
      </w:r>
    </w:p>
    <w:p w14:paraId="5B303687" w14:textId="77777777" w:rsidR="00CE2E65" w:rsidRPr="00C41ECA" w:rsidRDefault="00CE2E65" w:rsidP="0024152A">
      <w:pPr>
        <w:pStyle w:val="3-BodyText"/>
        <w:spacing w:after="0"/>
      </w:pPr>
      <w:r w:rsidRPr="00C41ECA">
        <w:rPr>
          <w:lang w:val="en-GB"/>
        </w:rPr>
        <w:t xml:space="preserve">The treatment benefit associated with </w:t>
      </w:r>
      <w:proofErr w:type="spellStart"/>
      <w:r w:rsidRPr="00C41ECA">
        <w:rPr>
          <w:lang w:val="en-GB"/>
        </w:rPr>
        <w:t>omaveloxolone</w:t>
      </w:r>
      <w:proofErr w:type="spellEnd"/>
      <w:r w:rsidRPr="00C41ECA">
        <w:rPr>
          <w:lang w:val="en-GB"/>
        </w:rPr>
        <w:t xml:space="preserve"> over placebo appeared larger in the subgroup of patients &lt;18 years of age in the FAS. Placebo-treated patients worsened by +2.17 points at Week 48, while </w:t>
      </w:r>
      <w:proofErr w:type="spellStart"/>
      <w:r w:rsidRPr="00C41ECA">
        <w:rPr>
          <w:lang w:val="en-GB"/>
        </w:rPr>
        <w:t>omaveloxolone</w:t>
      </w:r>
      <w:proofErr w:type="spellEnd"/>
      <w:r w:rsidRPr="00C41ECA">
        <w:rPr>
          <w:lang w:val="en-GB"/>
        </w:rPr>
        <w:t xml:space="preserve">-treated patients improved by -3.42 points at Week 48 resulting in a placebo-corrected improvement of -4.16 points (n=20; p=0.0565). The sample size of the subgroup is too small to test for a treatment interaction by age. Other prespecified subgroup analyses favoured </w:t>
      </w:r>
      <w:proofErr w:type="spellStart"/>
      <w:r w:rsidRPr="00C41ECA">
        <w:rPr>
          <w:lang w:val="en-GB"/>
        </w:rPr>
        <w:t>omaveloxolone</w:t>
      </w:r>
      <w:proofErr w:type="spellEnd"/>
      <w:r w:rsidRPr="00C41ECA">
        <w:rPr>
          <w:lang w:val="en-GB"/>
        </w:rPr>
        <w:t xml:space="preserve"> over placebo although a definitive conclusion is difficult due to the small sample sizes and high risk of confounding.</w:t>
      </w:r>
    </w:p>
    <w:p w14:paraId="5C0FC888" w14:textId="5F80CA64" w:rsidR="00B717AF" w:rsidRPr="00C41ECA" w:rsidRDefault="00CE2E65" w:rsidP="00CE2E65">
      <w:pPr>
        <w:pStyle w:val="3-BodyText"/>
      </w:pPr>
      <w:r w:rsidRPr="00C41ECA">
        <w:t xml:space="preserve">Notably, </w:t>
      </w:r>
      <w:r w:rsidRPr="00C41ECA">
        <w:rPr>
          <w:lang w:val="en-GB"/>
        </w:rPr>
        <w:t xml:space="preserve">the </w:t>
      </w:r>
      <w:proofErr w:type="spellStart"/>
      <w:r w:rsidRPr="00C41ECA">
        <w:rPr>
          <w:lang w:val="en-GB"/>
        </w:rPr>
        <w:t>MOXIe</w:t>
      </w:r>
      <w:proofErr w:type="spellEnd"/>
      <w:r w:rsidRPr="00C41ECA">
        <w:rPr>
          <w:lang w:val="en-GB"/>
        </w:rPr>
        <w:t xml:space="preserve"> Part 2 CSR also presented subgroup analysis by pes </w:t>
      </w:r>
      <w:proofErr w:type="spellStart"/>
      <w:r w:rsidRPr="00C41ECA">
        <w:rPr>
          <w:lang w:val="en-GB"/>
        </w:rPr>
        <w:t>cavus</w:t>
      </w:r>
      <w:proofErr w:type="spellEnd"/>
      <w:r w:rsidRPr="00C41ECA">
        <w:rPr>
          <w:lang w:val="en-GB"/>
        </w:rPr>
        <w:t>.</w:t>
      </w:r>
      <w:r w:rsidR="00261A25" w:rsidRPr="00C41ECA">
        <w:rPr>
          <w:lang w:val="en-GB"/>
        </w:rPr>
        <w:t xml:space="preserve"> Results for </w:t>
      </w:r>
      <w:proofErr w:type="spellStart"/>
      <w:r w:rsidR="00261A25" w:rsidRPr="00C41ECA">
        <w:rPr>
          <w:lang w:val="en-GB"/>
        </w:rPr>
        <w:t>mFARS</w:t>
      </w:r>
      <w:proofErr w:type="spellEnd"/>
      <w:r w:rsidR="00261A25" w:rsidRPr="00C41ECA">
        <w:rPr>
          <w:lang w:val="en-GB"/>
        </w:rPr>
        <w:t xml:space="preserve"> change from baseline at Week 48 are presented in </w:t>
      </w:r>
      <w:r w:rsidR="00261A25" w:rsidRPr="00C41ECA">
        <w:rPr>
          <w:lang w:val="en-GB"/>
        </w:rPr>
        <w:fldChar w:fldCharType="begin"/>
      </w:r>
      <w:r w:rsidR="00261A25" w:rsidRPr="00C41ECA">
        <w:rPr>
          <w:lang w:val="en-GB"/>
        </w:rPr>
        <w:instrText xml:space="preserve"> REF _Ref188184868 \h  \* MERGEFORMAT </w:instrText>
      </w:r>
      <w:r w:rsidR="00261A25" w:rsidRPr="00C41ECA">
        <w:rPr>
          <w:lang w:val="en-GB"/>
        </w:rPr>
      </w:r>
      <w:r w:rsidR="00261A25" w:rsidRPr="00C41ECA">
        <w:rPr>
          <w:lang w:val="en-GB"/>
        </w:rPr>
        <w:fldChar w:fldCharType="separate"/>
      </w:r>
      <w:r w:rsidR="003A4643" w:rsidRPr="35298142">
        <w:t xml:space="preserve">Table </w:t>
      </w:r>
      <w:r w:rsidR="003A4643">
        <w:rPr>
          <w:noProof/>
        </w:rPr>
        <w:t>8</w:t>
      </w:r>
      <w:r w:rsidR="00261A25" w:rsidRPr="00C41ECA">
        <w:rPr>
          <w:lang w:val="en-GB"/>
        </w:rPr>
        <w:fldChar w:fldCharType="end"/>
      </w:r>
      <w:r w:rsidR="00261A25" w:rsidRPr="00C41ECA">
        <w:rPr>
          <w:lang w:val="en-GB"/>
        </w:rPr>
        <w:t>.</w:t>
      </w:r>
    </w:p>
    <w:p w14:paraId="6C4FBA43" w14:textId="5D137EB3" w:rsidR="00B717AF" w:rsidRPr="00C41ECA" w:rsidRDefault="00B717AF" w:rsidP="35298142">
      <w:pPr>
        <w:pStyle w:val="Caption"/>
        <w:spacing w:before="120"/>
      </w:pPr>
      <w:bookmarkStart w:id="30" w:name="_Ref188184868"/>
      <w:r w:rsidRPr="35298142">
        <w:t xml:space="preserve">Table </w:t>
      </w:r>
      <w:r>
        <w:fldChar w:fldCharType="begin"/>
      </w:r>
      <w:r>
        <w:instrText xml:space="preserve"> SEQ Table \* ARABIC </w:instrText>
      </w:r>
      <w:r>
        <w:fldChar w:fldCharType="separate"/>
      </w:r>
      <w:r w:rsidR="003A4643">
        <w:rPr>
          <w:noProof/>
        </w:rPr>
        <w:t>8</w:t>
      </w:r>
      <w:r>
        <w:rPr>
          <w:noProof/>
        </w:rPr>
        <w:fldChar w:fldCharType="end"/>
      </w:r>
      <w:bookmarkEnd w:id="30"/>
      <w:r w:rsidRPr="35298142">
        <w:t xml:space="preserve">: </w:t>
      </w:r>
      <w:proofErr w:type="spellStart"/>
      <w:r w:rsidR="001B64E4" w:rsidRPr="35298142">
        <w:t>MOXIe</w:t>
      </w:r>
      <w:proofErr w:type="spellEnd"/>
      <w:r w:rsidR="001B64E4" w:rsidRPr="35298142">
        <w:t xml:space="preserve"> Part 2 - </w:t>
      </w:r>
      <w:proofErr w:type="spellStart"/>
      <w:r w:rsidR="00CD69F6" w:rsidRPr="35298142">
        <w:t>mFARS</w:t>
      </w:r>
      <w:proofErr w:type="spellEnd"/>
      <w:r w:rsidRPr="35298142">
        <w:t xml:space="preserve"> change from baseline </w:t>
      </w:r>
      <w:r w:rsidR="004D3AFE" w:rsidRPr="35298142">
        <w:t>at Week 48 (</w:t>
      </w:r>
      <w:r w:rsidRPr="35298142">
        <w:t xml:space="preserve">pes </w:t>
      </w:r>
      <w:proofErr w:type="spellStart"/>
      <w:r w:rsidRPr="35298142">
        <w:t>cavus</w:t>
      </w:r>
      <w:proofErr w:type="spellEnd"/>
      <w:r w:rsidRPr="35298142">
        <w:t xml:space="preserve"> population</w:t>
      </w:r>
      <w:r w:rsidR="004D3AFE" w:rsidRPr="35298142">
        <w:t>)</w:t>
      </w:r>
    </w:p>
    <w:tbl>
      <w:tblPr>
        <w:tblStyle w:val="TableGrid"/>
        <w:tblW w:w="5000" w:type="pct"/>
        <w:tblLook w:val="04A0" w:firstRow="1" w:lastRow="0" w:firstColumn="1" w:lastColumn="0" w:noHBand="0" w:noVBand="1"/>
        <w:tblCaption w:val="Table 8: MOXIe Part 2 - mFARS change from baseline at Week 48 (pes cavus population)"/>
      </w:tblPr>
      <w:tblGrid>
        <w:gridCol w:w="3538"/>
        <w:gridCol w:w="2691"/>
        <w:gridCol w:w="2788"/>
      </w:tblGrid>
      <w:tr w:rsidR="001B64E4" w:rsidRPr="00C41ECA" w14:paraId="7CF423B7" w14:textId="77777777" w:rsidTr="00261A25">
        <w:trPr>
          <w:cantSplit/>
        </w:trPr>
        <w:tc>
          <w:tcPr>
            <w:tcW w:w="1962" w:type="pct"/>
          </w:tcPr>
          <w:p w14:paraId="6BFF3D99" w14:textId="77777777" w:rsidR="001B64E4" w:rsidRPr="00C41ECA" w:rsidRDefault="001B64E4" w:rsidP="001B64E4">
            <w:pPr>
              <w:pStyle w:val="TableText0"/>
              <w:rPr>
                <w:lang w:val="en-GB"/>
              </w:rPr>
            </w:pPr>
          </w:p>
        </w:tc>
        <w:tc>
          <w:tcPr>
            <w:tcW w:w="1492" w:type="pct"/>
          </w:tcPr>
          <w:p w14:paraId="097CFE4A" w14:textId="09A45067" w:rsidR="001B64E4" w:rsidRPr="00C41ECA" w:rsidRDefault="001B64E4" w:rsidP="00AC6A4A">
            <w:pPr>
              <w:pStyle w:val="TableText0"/>
              <w:jc w:val="center"/>
              <w:rPr>
                <w:b/>
                <w:bCs w:val="0"/>
                <w:lang w:val="en-GB"/>
              </w:rPr>
            </w:pPr>
            <w:proofErr w:type="spellStart"/>
            <w:r w:rsidRPr="00C41ECA">
              <w:rPr>
                <w:b/>
                <w:bCs w:val="0"/>
                <w:lang w:val="en-GB"/>
              </w:rPr>
              <w:t>Omaveloxolone</w:t>
            </w:r>
            <w:proofErr w:type="spellEnd"/>
            <w:r w:rsidR="00261A25" w:rsidRPr="00C41ECA">
              <w:rPr>
                <w:b/>
                <w:bCs w:val="0"/>
                <w:lang w:val="en-GB"/>
              </w:rPr>
              <w:t xml:space="preserve"> (N=10)</w:t>
            </w:r>
          </w:p>
        </w:tc>
        <w:tc>
          <w:tcPr>
            <w:tcW w:w="1546" w:type="pct"/>
          </w:tcPr>
          <w:p w14:paraId="37BD8716" w14:textId="19D48D91" w:rsidR="001B64E4" w:rsidRPr="00C41ECA" w:rsidRDefault="001B64E4" w:rsidP="00AC6A4A">
            <w:pPr>
              <w:pStyle w:val="TableText0"/>
              <w:jc w:val="center"/>
              <w:rPr>
                <w:b/>
                <w:bCs w:val="0"/>
                <w:lang w:val="en-GB"/>
              </w:rPr>
            </w:pPr>
            <w:r w:rsidRPr="00C41ECA">
              <w:rPr>
                <w:b/>
                <w:bCs w:val="0"/>
                <w:lang w:val="en-GB"/>
              </w:rPr>
              <w:t>Placebo</w:t>
            </w:r>
            <w:r w:rsidR="00261A25" w:rsidRPr="00C41ECA">
              <w:rPr>
                <w:b/>
                <w:bCs w:val="0"/>
                <w:lang w:val="en-GB"/>
              </w:rPr>
              <w:t xml:space="preserve"> (N=10)</w:t>
            </w:r>
          </w:p>
        </w:tc>
      </w:tr>
      <w:tr w:rsidR="001B64E4" w:rsidRPr="00C41ECA" w14:paraId="22002D2B" w14:textId="77777777" w:rsidTr="00261A25">
        <w:trPr>
          <w:cantSplit/>
        </w:trPr>
        <w:tc>
          <w:tcPr>
            <w:tcW w:w="1962" w:type="pct"/>
          </w:tcPr>
          <w:p w14:paraId="3D0B23AF" w14:textId="67678ABB" w:rsidR="001B64E4" w:rsidRPr="00C41ECA" w:rsidRDefault="001B64E4" w:rsidP="001B64E4">
            <w:pPr>
              <w:pStyle w:val="TableText0"/>
              <w:rPr>
                <w:lang w:val="en-GB"/>
              </w:rPr>
            </w:pPr>
            <w:r w:rsidRPr="00C41ECA">
              <w:rPr>
                <w:lang w:val="en-GB"/>
              </w:rPr>
              <w:t>Least Square Means</w:t>
            </w:r>
            <w:r w:rsidR="00987F13" w:rsidRPr="00C41ECA">
              <w:rPr>
                <w:lang w:val="en-GB"/>
              </w:rPr>
              <w:t xml:space="preserve"> change</w:t>
            </w:r>
            <w:r w:rsidRPr="00C41ECA">
              <w:rPr>
                <w:lang w:val="en-GB"/>
              </w:rPr>
              <w:t xml:space="preserve"> (95% CI)</w:t>
            </w:r>
          </w:p>
        </w:tc>
        <w:tc>
          <w:tcPr>
            <w:tcW w:w="1492" w:type="pct"/>
          </w:tcPr>
          <w:p w14:paraId="077FA427" w14:textId="31FD712C" w:rsidR="001B64E4" w:rsidRPr="00C41ECA" w:rsidRDefault="001B64E4" w:rsidP="00AC6A4A">
            <w:pPr>
              <w:pStyle w:val="TableText0"/>
              <w:jc w:val="center"/>
              <w:rPr>
                <w:lang w:val="en-GB"/>
              </w:rPr>
            </w:pPr>
            <w:r w:rsidRPr="00C41ECA">
              <w:rPr>
                <w:lang w:val="en-GB"/>
              </w:rPr>
              <w:t>0.15 (-2.62, 2.91)</w:t>
            </w:r>
          </w:p>
        </w:tc>
        <w:tc>
          <w:tcPr>
            <w:tcW w:w="1546" w:type="pct"/>
          </w:tcPr>
          <w:p w14:paraId="2A79E984" w14:textId="40110C93" w:rsidR="001B64E4" w:rsidRPr="00C41ECA" w:rsidRDefault="001B64E4" w:rsidP="00AC6A4A">
            <w:pPr>
              <w:pStyle w:val="TableText0"/>
              <w:jc w:val="center"/>
              <w:rPr>
                <w:lang w:val="en-GB"/>
              </w:rPr>
            </w:pPr>
            <w:r w:rsidRPr="00C41ECA">
              <w:rPr>
                <w:lang w:val="en-GB"/>
              </w:rPr>
              <w:t>1.33 (-1.29, 3.96)</w:t>
            </w:r>
          </w:p>
        </w:tc>
      </w:tr>
      <w:tr w:rsidR="00261A25" w:rsidRPr="00C41ECA" w14:paraId="58697D86" w14:textId="77777777" w:rsidTr="00261A25">
        <w:trPr>
          <w:cantSplit/>
        </w:trPr>
        <w:tc>
          <w:tcPr>
            <w:tcW w:w="1962" w:type="pct"/>
          </w:tcPr>
          <w:p w14:paraId="248F7846" w14:textId="6F31C1FB" w:rsidR="00261A25" w:rsidRPr="00C41ECA" w:rsidRDefault="00261A25" w:rsidP="001B64E4">
            <w:pPr>
              <w:pStyle w:val="TableText0"/>
              <w:rPr>
                <w:lang w:val="en-GB"/>
              </w:rPr>
            </w:pPr>
            <w:r w:rsidRPr="00C41ECA">
              <w:rPr>
                <w:lang w:val="en-GB"/>
              </w:rPr>
              <w:t>Least Square Means Difference</w:t>
            </w:r>
            <w:r w:rsidR="00987F13" w:rsidRPr="00C41ECA">
              <w:rPr>
                <w:lang w:val="en-GB"/>
              </w:rPr>
              <w:t xml:space="preserve"> in change</w:t>
            </w:r>
          </w:p>
          <w:p w14:paraId="7BD197A5" w14:textId="72E88FF1" w:rsidR="00261A25" w:rsidRPr="00C41ECA" w:rsidRDefault="00261A25" w:rsidP="001B64E4">
            <w:pPr>
              <w:pStyle w:val="TableText0"/>
              <w:rPr>
                <w:lang w:val="en-GB"/>
              </w:rPr>
            </w:pPr>
            <w:proofErr w:type="spellStart"/>
            <w:r w:rsidRPr="00C41ECA">
              <w:rPr>
                <w:lang w:val="en-GB"/>
              </w:rPr>
              <w:t>Omaveloxolone</w:t>
            </w:r>
            <w:proofErr w:type="spellEnd"/>
            <w:r w:rsidRPr="00C41ECA">
              <w:rPr>
                <w:lang w:val="en-GB"/>
              </w:rPr>
              <w:t xml:space="preserve"> minus Placebo</w:t>
            </w:r>
          </w:p>
        </w:tc>
        <w:tc>
          <w:tcPr>
            <w:tcW w:w="3038" w:type="pct"/>
            <w:gridSpan w:val="2"/>
          </w:tcPr>
          <w:p w14:paraId="6A3D9AD3" w14:textId="0BD4CE72" w:rsidR="00261A25" w:rsidRPr="00C41ECA" w:rsidRDefault="00261A25" w:rsidP="00AC6A4A">
            <w:pPr>
              <w:pStyle w:val="TableText0"/>
              <w:jc w:val="center"/>
              <w:rPr>
                <w:lang w:val="en-GB"/>
              </w:rPr>
            </w:pPr>
            <w:r w:rsidRPr="00C41ECA">
              <w:rPr>
                <w:lang w:val="en-GB"/>
              </w:rPr>
              <w:t>-1.19 (-5.19, 2.82)</w:t>
            </w:r>
          </w:p>
        </w:tc>
      </w:tr>
    </w:tbl>
    <w:p w14:paraId="0AF2D1BB" w14:textId="18854EDA" w:rsidR="00B717AF" w:rsidRPr="00C41ECA" w:rsidRDefault="00261A25" w:rsidP="35298142">
      <w:pPr>
        <w:pStyle w:val="TableFooter"/>
      </w:pPr>
      <w:r w:rsidRPr="35298142">
        <w:t xml:space="preserve">Source: Table 14.2.2.3, p453 of the </w:t>
      </w:r>
      <w:proofErr w:type="spellStart"/>
      <w:r w:rsidRPr="35298142">
        <w:t>MOXIe</w:t>
      </w:r>
      <w:proofErr w:type="spellEnd"/>
      <w:r w:rsidRPr="35298142">
        <w:t xml:space="preserve"> Part 2 CSR.</w:t>
      </w:r>
    </w:p>
    <w:p w14:paraId="5A36B606" w14:textId="4D2ECE85" w:rsidR="00CE2E65" w:rsidRPr="00C41ECA" w:rsidRDefault="00CE2E65" w:rsidP="00842793">
      <w:pPr>
        <w:pStyle w:val="3-BodyText"/>
      </w:pPr>
      <w:r w:rsidRPr="35298142">
        <w:t xml:space="preserve">In the subset of patients with severe pes </w:t>
      </w:r>
      <w:proofErr w:type="spellStart"/>
      <w:r w:rsidRPr="35298142">
        <w:t>cavus</w:t>
      </w:r>
      <w:proofErr w:type="spellEnd"/>
      <w:r w:rsidRPr="35298142">
        <w:t xml:space="preserve"> (n=20), the improvement with </w:t>
      </w:r>
      <w:proofErr w:type="spellStart"/>
      <w:r w:rsidRPr="35298142">
        <w:t>omaveloxolone</w:t>
      </w:r>
      <w:proofErr w:type="spellEnd"/>
      <w:r w:rsidRPr="35298142">
        <w:t xml:space="preserve"> in </w:t>
      </w:r>
      <w:proofErr w:type="spellStart"/>
      <w:r w:rsidRPr="35298142">
        <w:t>mFARS</w:t>
      </w:r>
      <w:proofErr w:type="spellEnd"/>
      <w:r w:rsidRPr="35298142">
        <w:t xml:space="preserve"> relative to placebo was not statistically significant (-1.19 points; p=0.5379). Whilst there is high uncertainty arising from the small sample size of the subset, a</w:t>
      </w:r>
      <w:r w:rsidR="00977362" w:rsidRPr="35298142">
        <w:t xml:space="preserve"> potential</w:t>
      </w:r>
      <w:r w:rsidRPr="35298142">
        <w:t xml:space="preserve"> impact of foot structure on performance cannot be excluded.</w:t>
      </w:r>
    </w:p>
    <w:p w14:paraId="7FF1D925" w14:textId="0E572F9B" w:rsidR="00CE2E65" w:rsidRPr="00C41ECA" w:rsidRDefault="00CE2E65" w:rsidP="00CE2E65">
      <w:pPr>
        <w:pStyle w:val="3-BodyText"/>
      </w:pPr>
      <w:r w:rsidRPr="00C41ECA">
        <w:fldChar w:fldCharType="begin"/>
      </w:r>
      <w:r w:rsidRPr="00C41ECA">
        <w:instrText xml:space="preserve"> REF _Ref187057796 \h </w:instrText>
      </w:r>
      <w:r w:rsidR="00C41ECA" w:rsidRPr="00C41ECA">
        <w:instrText xml:space="preserve"> \* MERGEFORMAT </w:instrText>
      </w:r>
      <w:r w:rsidRPr="00C41ECA">
        <w:fldChar w:fldCharType="separate"/>
      </w:r>
      <w:r w:rsidR="003A4643" w:rsidRPr="35298142">
        <w:t xml:space="preserve">Table </w:t>
      </w:r>
      <w:r w:rsidR="003A4643">
        <w:rPr>
          <w:noProof/>
        </w:rPr>
        <w:t>9</w:t>
      </w:r>
      <w:r w:rsidRPr="00C41ECA">
        <w:fldChar w:fldCharType="end"/>
      </w:r>
      <w:r w:rsidRPr="00C41ECA">
        <w:t xml:space="preserve"> summarises the key secondary endpoints of global impression of change.</w:t>
      </w:r>
    </w:p>
    <w:p w14:paraId="7C245FE4" w14:textId="5CACEC58" w:rsidR="00CE2E65" w:rsidRPr="00C41ECA" w:rsidRDefault="00CE2E65" w:rsidP="00C46D2F">
      <w:pPr>
        <w:pStyle w:val="Caption"/>
        <w:spacing w:before="120"/>
      </w:pPr>
      <w:bookmarkStart w:id="31" w:name="_Ref187057796"/>
      <w:r w:rsidRPr="35298142">
        <w:t xml:space="preserve">Table </w:t>
      </w:r>
      <w:r w:rsidRPr="35298142">
        <w:fldChar w:fldCharType="begin"/>
      </w:r>
      <w:r>
        <w:instrText xml:space="preserve"> SEQ Table \* ARABIC </w:instrText>
      </w:r>
      <w:r w:rsidRPr="35298142">
        <w:fldChar w:fldCharType="separate"/>
      </w:r>
      <w:r w:rsidR="003A4643">
        <w:rPr>
          <w:noProof/>
        </w:rPr>
        <w:t>9</w:t>
      </w:r>
      <w:r w:rsidRPr="35298142">
        <w:rPr>
          <w:noProof/>
        </w:rPr>
        <w:fldChar w:fldCharType="end"/>
      </w:r>
      <w:bookmarkEnd w:id="31"/>
      <w:r w:rsidRPr="35298142">
        <w:t xml:space="preserve">: PGIC and CGIC from baseline at Week 48 in </w:t>
      </w:r>
      <w:proofErr w:type="spellStart"/>
      <w:r w:rsidRPr="35298142">
        <w:t>MOXIe</w:t>
      </w:r>
      <w:proofErr w:type="spellEnd"/>
      <w:r w:rsidRPr="35298142">
        <w:t xml:space="preserve"> Part 2 </w:t>
      </w:r>
    </w:p>
    <w:tbl>
      <w:tblPr>
        <w:tblStyle w:val="TableGrid"/>
        <w:tblW w:w="5000" w:type="pct"/>
        <w:tblLook w:val="04A0" w:firstRow="1" w:lastRow="0" w:firstColumn="1" w:lastColumn="0" w:noHBand="0" w:noVBand="1"/>
        <w:tblCaption w:val="Table 9: PGIC and CGIC from baseline at Week 48 in MOXIe Part 2 "/>
      </w:tblPr>
      <w:tblGrid>
        <w:gridCol w:w="3324"/>
        <w:gridCol w:w="1495"/>
        <w:gridCol w:w="1371"/>
        <w:gridCol w:w="1495"/>
        <w:gridCol w:w="1332"/>
      </w:tblGrid>
      <w:tr w:rsidR="00CE2E65" w:rsidRPr="00C41ECA" w14:paraId="2B53E8CF" w14:textId="77777777" w:rsidTr="35298142">
        <w:trPr>
          <w:cantSplit/>
        </w:trPr>
        <w:tc>
          <w:tcPr>
            <w:tcW w:w="1883" w:type="pct"/>
            <w:vMerge w:val="restart"/>
          </w:tcPr>
          <w:p w14:paraId="1A7FACFC" w14:textId="77777777" w:rsidR="00CE2E65" w:rsidRPr="00C41ECA" w:rsidRDefault="00CE2E65" w:rsidP="00901520">
            <w:pPr>
              <w:pStyle w:val="PBACTabletext"/>
              <w:spacing w:before="0" w:after="0"/>
              <w:rPr>
                <w:b/>
                <w:bCs/>
              </w:rPr>
            </w:pPr>
            <w:r w:rsidRPr="00C41ECA">
              <w:rPr>
                <w:b/>
                <w:bCs/>
              </w:rPr>
              <w:t>Measures</w:t>
            </w:r>
          </w:p>
        </w:tc>
        <w:tc>
          <w:tcPr>
            <w:tcW w:w="1510" w:type="pct"/>
            <w:gridSpan w:val="2"/>
          </w:tcPr>
          <w:p w14:paraId="2F1BFC77" w14:textId="77777777" w:rsidR="00CE2E65" w:rsidRPr="00C41ECA" w:rsidRDefault="00CE2E65" w:rsidP="00901520">
            <w:pPr>
              <w:pStyle w:val="PBACTabletext"/>
              <w:spacing w:before="0" w:after="0"/>
              <w:jc w:val="center"/>
              <w:rPr>
                <w:b/>
                <w:bCs/>
              </w:rPr>
            </w:pPr>
            <w:r w:rsidRPr="00C41ECA">
              <w:rPr>
                <w:b/>
                <w:bCs/>
              </w:rPr>
              <w:t>Full analysis set</w:t>
            </w:r>
          </w:p>
        </w:tc>
        <w:tc>
          <w:tcPr>
            <w:tcW w:w="1608" w:type="pct"/>
            <w:gridSpan w:val="2"/>
          </w:tcPr>
          <w:p w14:paraId="5FB12E8E" w14:textId="77777777" w:rsidR="00CE2E65" w:rsidRPr="00C41ECA" w:rsidRDefault="00CE2E65" w:rsidP="00901520">
            <w:pPr>
              <w:pStyle w:val="PBACTabletext"/>
              <w:spacing w:before="0" w:after="0"/>
              <w:jc w:val="center"/>
              <w:rPr>
                <w:b/>
                <w:bCs/>
              </w:rPr>
            </w:pPr>
            <w:r w:rsidRPr="00C41ECA">
              <w:rPr>
                <w:b/>
                <w:bCs/>
              </w:rPr>
              <w:t>All randomised population</w:t>
            </w:r>
          </w:p>
        </w:tc>
      </w:tr>
      <w:tr w:rsidR="00CE2E65" w:rsidRPr="00C41ECA" w14:paraId="11C6A6D8" w14:textId="77777777" w:rsidTr="35298142">
        <w:trPr>
          <w:cantSplit/>
        </w:trPr>
        <w:tc>
          <w:tcPr>
            <w:tcW w:w="1883" w:type="pct"/>
            <w:vMerge/>
          </w:tcPr>
          <w:p w14:paraId="4D172444" w14:textId="77777777" w:rsidR="00CE2E65" w:rsidRPr="00C41ECA" w:rsidRDefault="00CE2E65" w:rsidP="00901520">
            <w:pPr>
              <w:pStyle w:val="PBACTabletext"/>
              <w:spacing w:before="0" w:after="0"/>
              <w:rPr>
                <w:b/>
                <w:bCs/>
              </w:rPr>
            </w:pPr>
          </w:p>
        </w:tc>
        <w:tc>
          <w:tcPr>
            <w:tcW w:w="710" w:type="pct"/>
            <w:tcBorders>
              <w:bottom w:val="single" w:sz="4" w:space="0" w:color="auto"/>
            </w:tcBorders>
          </w:tcPr>
          <w:p w14:paraId="0BD72118" w14:textId="77777777" w:rsidR="00CE2E65" w:rsidRPr="00C41ECA" w:rsidRDefault="00CE2E65" w:rsidP="35298142">
            <w:pPr>
              <w:pStyle w:val="PBACTabletext"/>
              <w:spacing w:before="0" w:after="0"/>
              <w:jc w:val="center"/>
              <w:rPr>
                <w:b/>
                <w:bCs/>
              </w:rPr>
            </w:pPr>
            <w:proofErr w:type="spellStart"/>
            <w:r w:rsidRPr="35298142">
              <w:rPr>
                <w:b/>
                <w:bCs/>
              </w:rPr>
              <w:t>Omaveloxolone</w:t>
            </w:r>
            <w:proofErr w:type="spellEnd"/>
            <w:r w:rsidRPr="35298142">
              <w:rPr>
                <w:b/>
                <w:bCs/>
              </w:rPr>
              <w:t xml:space="preserve"> 150 mg</w:t>
            </w:r>
          </w:p>
          <w:p w14:paraId="571D47C5" w14:textId="77777777" w:rsidR="00CE2E65" w:rsidRPr="00C41ECA" w:rsidRDefault="00CE2E65" w:rsidP="00901520">
            <w:pPr>
              <w:pStyle w:val="PBACTabletext"/>
              <w:spacing w:before="0" w:after="0"/>
              <w:jc w:val="center"/>
              <w:rPr>
                <w:b/>
                <w:bCs/>
              </w:rPr>
            </w:pPr>
            <w:r w:rsidRPr="00C41ECA">
              <w:rPr>
                <w:b/>
                <w:bCs/>
              </w:rPr>
              <w:t>(N=40)</w:t>
            </w:r>
          </w:p>
        </w:tc>
        <w:tc>
          <w:tcPr>
            <w:tcW w:w="800" w:type="pct"/>
            <w:tcBorders>
              <w:bottom w:val="single" w:sz="4" w:space="0" w:color="auto"/>
            </w:tcBorders>
          </w:tcPr>
          <w:p w14:paraId="1957374C" w14:textId="77777777" w:rsidR="00CE2E65" w:rsidRPr="00C41ECA" w:rsidRDefault="00CE2E65" w:rsidP="00901520">
            <w:pPr>
              <w:pStyle w:val="PBACTabletext"/>
              <w:spacing w:before="0" w:after="0"/>
              <w:jc w:val="center"/>
              <w:rPr>
                <w:b/>
                <w:bCs/>
              </w:rPr>
            </w:pPr>
            <w:r w:rsidRPr="00C41ECA">
              <w:rPr>
                <w:b/>
                <w:bCs/>
              </w:rPr>
              <w:t>Placebo</w:t>
            </w:r>
          </w:p>
          <w:p w14:paraId="41F11336" w14:textId="77777777" w:rsidR="00CE2E65" w:rsidRPr="00C41ECA" w:rsidRDefault="00CE2E65" w:rsidP="00901520">
            <w:pPr>
              <w:pStyle w:val="PBACTabletext"/>
              <w:spacing w:before="0" w:after="0"/>
              <w:jc w:val="center"/>
              <w:rPr>
                <w:b/>
                <w:bCs/>
              </w:rPr>
            </w:pPr>
            <w:r w:rsidRPr="00C41ECA">
              <w:rPr>
                <w:b/>
                <w:bCs/>
              </w:rPr>
              <w:t>(N=42)</w:t>
            </w:r>
          </w:p>
        </w:tc>
        <w:tc>
          <w:tcPr>
            <w:tcW w:w="829" w:type="pct"/>
            <w:tcBorders>
              <w:bottom w:val="single" w:sz="4" w:space="0" w:color="auto"/>
            </w:tcBorders>
          </w:tcPr>
          <w:p w14:paraId="587AC5B9" w14:textId="77777777" w:rsidR="00CE2E65" w:rsidRPr="00C41ECA" w:rsidRDefault="00CE2E65" w:rsidP="35298142">
            <w:pPr>
              <w:pStyle w:val="PBACTabletext"/>
              <w:spacing w:before="0" w:after="0"/>
              <w:jc w:val="center"/>
              <w:rPr>
                <w:b/>
                <w:bCs/>
              </w:rPr>
            </w:pPr>
            <w:proofErr w:type="spellStart"/>
            <w:r w:rsidRPr="35298142">
              <w:rPr>
                <w:b/>
                <w:bCs/>
              </w:rPr>
              <w:t>Omaveloxolone</w:t>
            </w:r>
            <w:proofErr w:type="spellEnd"/>
            <w:r w:rsidRPr="35298142">
              <w:rPr>
                <w:b/>
                <w:bCs/>
              </w:rPr>
              <w:t xml:space="preserve"> 150 mg</w:t>
            </w:r>
          </w:p>
          <w:p w14:paraId="79003281" w14:textId="77777777" w:rsidR="00CE2E65" w:rsidRPr="00C41ECA" w:rsidRDefault="00CE2E65" w:rsidP="00901520">
            <w:pPr>
              <w:pStyle w:val="PBACTabletext"/>
              <w:spacing w:before="0" w:after="0"/>
              <w:jc w:val="center"/>
              <w:rPr>
                <w:b/>
                <w:bCs/>
              </w:rPr>
            </w:pPr>
            <w:r w:rsidRPr="00C41ECA">
              <w:rPr>
                <w:b/>
                <w:bCs/>
              </w:rPr>
              <w:t>(N=51)</w:t>
            </w:r>
          </w:p>
        </w:tc>
        <w:tc>
          <w:tcPr>
            <w:tcW w:w="779" w:type="pct"/>
            <w:tcBorders>
              <w:bottom w:val="single" w:sz="4" w:space="0" w:color="auto"/>
            </w:tcBorders>
          </w:tcPr>
          <w:p w14:paraId="179E7913" w14:textId="77777777" w:rsidR="00CE2E65" w:rsidRPr="00C41ECA" w:rsidRDefault="00CE2E65" w:rsidP="00901520">
            <w:pPr>
              <w:pStyle w:val="PBACTabletext"/>
              <w:spacing w:before="0" w:after="0"/>
              <w:jc w:val="center"/>
              <w:rPr>
                <w:b/>
                <w:bCs/>
              </w:rPr>
            </w:pPr>
            <w:r w:rsidRPr="00C41ECA">
              <w:rPr>
                <w:b/>
                <w:bCs/>
              </w:rPr>
              <w:t>Placebo</w:t>
            </w:r>
          </w:p>
          <w:p w14:paraId="35978B45" w14:textId="77777777" w:rsidR="00CE2E65" w:rsidRPr="00C41ECA" w:rsidRDefault="00CE2E65" w:rsidP="00901520">
            <w:pPr>
              <w:pStyle w:val="PBACTabletext"/>
              <w:spacing w:before="0" w:after="0"/>
              <w:jc w:val="center"/>
              <w:rPr>
                <w:b/>
                <w:bCs/>
              </w:rPr>
            </w:pPr>
            <w:r w:rsidRPr="00C41ECA">
              <w:rPr>
                <w:b/>
                <w:bCs/>
              </w:rPr>
              <w:t>(N=52)</w:t>
            </w:r>
          </w:p>
        </w:tc>
      </w:tr>
      <w:tr w:rsidR="00CE2E65" w:rsidRPr="00C41ECA" w14:paraId="2182E543" w14:textId="77777777" w:rsidTr="35298142">
        <w:trPr>
          <w:cantSplit/>
        </w:trPr>
        <w:tc>
          <w:tcPr>
            <w:tcW w:w="5000" w:type="pct"/>
            <w:gridSpan w:val="5"/>
            <w:tcBorders>
              <w:bottom w:val="single" w:sz="4" w:space="0" w:color="auto"/>
            </w:tcBorders>
          </w:tcPr>
          <w:p w14:paraId="0CFB589B" w14:textId="77777777" w:rsidR="00CE2E65" w:rsidRPr="00C41ECA" w:rsidRDefault="00CE2E65" w:rsidP="00901520">
            <w:pPr>
              <w:pStyle w:val="PBACTabletext"/>
              <w:spacing w:before="0" w:after="0"/>
            </w:pPr>
            <w:r w:rsidRPr="00C41ECA">
              <w:rPr>
                <w:b/>
                <w:bCs/>
              </w:rPr>
              <w:t>PGIC</w:t>
            </w:r>
          </w:p>
        </w:tc>
      </w:tr>
      <w:tr w:rsidR="00CE2E65" w:rsidRPr="00C41ECA" w14:paraId="7C2A87DD" w14:textId="77777777" w:rsidTr="35298142">
        <w:trPr>
          <w:cantSplit/>
        </w:trPr>
        <w:tc>
          <w:tcPr>
            <w:tcW w:w="1883" w:type="pct"/>
            <w:tcBorders>
              <w:top w:val="single" w:sz="4" w:space="0" w:color="auto"/>
              <w:bottom w:val="single" w:sz="4" w:space="0" w:color="auto"/>
            </w:tcBorders>
          </w:tcPr>
          <w:p w14:paraId="35A20299" w14:textId="2E73A0C5" w:rsidR="00CE2E65" w:rsidRPr="00C41ECA" w:rsidRDefault="00CE2E65" w:rsidP="00901520">
            <w:pPr>
              <w:pStyle w:val="PBACTabletext"/>
              <w:spacing w:before="0" w:after="0"/>
            </w:pPr>
            <w:r w:rsidRPr="00C41ECA">
              <w:t>LS mean</w:t>
            </w:r>
            <w:r w:rsidR="003A197B" w:rsidRPr="00C41ECA">
              <w:t xml:space="preserve"> change from baseline</w:t>
            </w:r>
          </w:p>
        </w:tc>
        <w:tc>
          <w:tcPr>
            <w:tcW w:w="710" w:type="pct"/>
            <w:tcBorders>
              <w:top w:val="single" w:sz="4" w:space="0" w:color="auto"/>
              <w:bottom w:val="single" w:sz="4" w:space="0" w:color="auto"/>
            </w:tcBorders>
          </w:tcPr>
          <w:p w14:paraId="234A7775" w14:textId="77777777" w:rsidR="00CE2E65" w:rsidRPr="00C41ECA" w:rsidRDefault="00CE2E65" w:rsidP="00901520">
            <w:pPr>
              <w:pStyle w:val="PBACTabletext"/>
              <w:spacing w:before="0" w:after="0"/>
              <w:jc w:val="center"/>
            </w:pPr>
            <w:r w:rsidRPr="00C41ECA">
              <w:t>3.89</w:t>
            </w:r>
          </w:p>
        </w:tc>
        <w:tc>
          <w:tcPr>
            <w:tcW w:w="800" w:type="pct"/>
            <w:tcBorders>
              <w:top w:val="single" w:sz="4" w:space="0" w:color="auto"/>
              <w:bottom w:val="single" w:sz="4" w:space="0" w:color="auto"/>
            </w:tcBorders>
          </w:tcPr>
          <w:p w14:paraId="7AD58F1A" w14:textId="77777777" w:rsidR="00CE2E65" w:rsidRPr="00C41ECA" w:rsidRDefault="00CE2E65" w:rsidP="00901520">
            <w:pPr>
              <w:pStyle w:val="PBACTabletext"/>
              <w:spacing w:before="0" w:after="0"/>
              <w:jc w:val="center"/>
            </w:pPr>
            <w:r w:rsidRPr="00C41ECA">
              <w:t>4.32</w:t>
            </w:r>
          </w:p>
        </w:tc>
        <w:tc>
          <w:tcPr>
            <w:tcW w:w="829" w:type="pct"/>
            <w:tcBorders>
              <w:top w:val="single" w:sz="4" w:space="0" w:color="auto"/>
              <w:bottom w:val="single" w:sz="4" w:space="0" w:color="auto"/>
            </w:tcBorders>
          </w:tcPr>
          <w:p w14:paraId="6DDFE336" w14:textId="77777777" w:rsidR="00CE2E65" w:rsidRPr="00C41ECA" w:rsidRDefault="00CE2E65" w:rsidP="00901520">
            <w:pPr>
              <w:pStyle w:val="PBACTabletext"/>
              <w:spacing w:before="0" w:after="0"/>
              <w:jc w:val="center"/>
            </w:pPr>
            <w:r w:rsidRPr="00C41ECA">
              <w:t>3.91</w:t>
            </w:r>
          </w:p>
        </w:tc>
        <w:tc>
          <w:tcPr>
            <w:tcW w:w="779" w:type="pct"/>
            <w:tcBorders>
              <w:top w:val="single" w:sz="4" w:space="0" w:color="auto"/>
              <w:bottom w:val="single" w:sz="4" w:space="0" w:color="auto"/>
            </w:tcBorders>
          </w:tcPr>
          <w:p w14:paraId="411C77BE" w14:textId="77777777" w:rsidR="00CE2E65" w:rsidRPr="00C41ECA" w:rsidRDefault="00CE2E65" w:rsidP="00901520">
            <w:pPr>
              <w:pStyle w:val="PBACTabletext"/>
              <w:spacing w:before="0" w:after="0"/>
              <w:jc w:val="center"/>
            </w:pPr>
            <w:r w:rsidRPr="00C41ECA">
              <w:t>4.47</w:t>
            </w:r>
          </w:p>
        </w:tc>
      </w:tr>
      <w:tr w:rsidR="00CE2E65" w:rsidRPr="00C41ECA" w14:paraId="4A8F9189" w14:textId="77777777" w:rsidTr="35298142">
        <w:trPr>
          <w:cantSplit/>
        </w:trPr>
        <w:tc>
          <w:tcPr>
            <w:tcW w:w="1883" w:type="pct"/>
            <w:tcBorders>
              <w:top w:val="single" w:sz="4" w:space="0" w:color="auto"/>
              <w:bottom w:val="single" w:sz="4" w:space="0" w:color="auto"/>
            </w:tcBorders>
          </w:tcPr>
          <w:p w14:paraId="06AB334F" w14:textId="77777777" w:rsidR="00CE2E65" w:rsidRPr="00C41ECA" w:rsidRDefault="00CE2E65" w:rsidP="00901520">
            <w:pPr>
              <w:pStyle w:val="PBACTabletext"/>
              <w:spacing w:before="0" w:after="0"/>
            </w:pPr>
            <w:r w:rsidRPr="00C41ECA">
              <w:t>LS mean difference between groups; p-value</w:t>
            </w:r>
          </w:p>
        </w:tc>
        <w:tc>
          <w:tcPr>
            <w:tcW w:w="1510" w:type="pct"/>
            <w:gridSpan w:val="2"/>
            <w:tcBorders>
              <w:top w:val="single" w:sz="4" w:space="0" w:color="auto"/>
              <w:bottom w:val="single" w:sz="4" w:space="0" w:color="auto"/>
            </w:tcBorders>
          </w:tcPr>
          <w:p w14:paraId="70DC014A" w14:textId="191464A5" w:rsidR="00CE2E65" w:rsidRPr="00C41ECA" w:rsidRDefault="008312E7" w:rsidP="00901520">
            <w:pPr>
              <w:pStyle w:val="PBACTabletext"/>
              <w:spacing w:before="0" w:after="0"/>
              <w:jc w:val="center"/>
            </w:pPr>
            <w:r>
              <w:t>-</w:t>
            </w:r>
            <w:r w:rsidR="00CE2E65" w:rsidRPr="00C41ECA">
              <w:t>0.43 (p=0.13)</w:t>
            </w:r>
          </w:p>
        </w:tc>
        <w:tc>
          <w:tcPr>
            <w:tcW w:w="1608" w:type="pct"/>
            <w:gridSpan w:val="2"/>
            <w:tcBorders>
              <w:top w:val="single" w:sz="4" w:space="0" w:color="auto"/>
              <w:bottom w:val="single" w:sz="4" w:space="0" w:color="auto"/>
            </w:tcBorders>
          </w:tcPr>
          <w:p w14:paraId="432A5870" w14:textId="3E65CF94" w:rsidR="00CE2E65" w:rsidRPr="00C41ECA" w:rsidRDefault="008312E7" w:rsidP="00901520">
            <w:pPr>
              <w:pStyle w:val="PBACTabletext"/>
              <w:spacing w:before="0" w:after="0"/>
              <w:jc w:val="center"/>
            </w:pPr>
            <w:r>
              <w:t>-</w:t>
            </w:r>
            <w:r w:rsidR="00CE2E65" w:rsidRPr="00C41ECA">
              <w:t>0.56 (p=0.028)</w:t>
            </w:r>
          </w:p>
        </w:tc>
      </w:tr>
      <w:tr w:rsidR="00CE2E65" w:rsidRPr="00C41ECA" w14:paraId="2261E8FE" w14:textId="77777777" w:rsidTr="35298142">
        <w:trPr>
          <w:cantSplit/>
        </w:trPr>
        <w:tc>
          <w:tcPr>
            <w:tcW w:w="5000" w:type="pct"/>
            <w:gridSpan w:val="5"/>
            <w:tcBorders>
              <w:bottom w:val="single" w:sz="4" w:space="0" w:color="auto"/>
            </w:tcBorders>
          </w:tcPr>
          <w:p w14:paraId="00CF0E3D" w14:textId="77777777" w:rsidR="00CE2E65" w:rsidRPr="00C41ECA" w:rsidRDefault="00CE2E65" w:rsidP="00901520">
            <w:pPr>
              <w:pStyle w:val="PBACTabletext"/>
              <w:spacing w:before="0" w:after="0"/>
            </w:pPr>
            <w:r w:rsidRPr="00C41ECA">
              <w:rPr>
                <w:b/>
                <w:bCs/>
              </w:rPr>
              <w:t>CGIC</w:t>
            </w:r>
          </w:p>
        </w:tc>
      </w:tr>
      <w:tr w:rsidR="00CE2E65" w:rsidRPr="00C41ECA" w14:paraId="656E11DB" w14:textId="77777777" w:rsidTr="35298142">
        <w:trPr>
          <w:cantSplit/>
        </w:trPr>
        <w:tc>
          <w:tcPr>
            <w:tcW w:w="1883" w:type="pct"/>
            <w:tcBorders>
              <w:top w:val="single" w:sz="4" w:space="0" w:color="auto"/>
              <w:bottom w:val="single" w:sz="4" w:space="0" w:color="auto"/>
            </w:tcBorders>
          </w:tcPr>
          <w:p w14:paraId="21341FE9" w14:textId="77777777" w:rsidR="00CE2E65" w:rsidRPr="00C41ECA" w:rsidRDefault="00CE2E65" w:rsidP="35298142">
            <w:pPr>
              <w:pStyle w:val="PBACTabletext"/>
              <w:spacing w:before="0" w:after="0"/>
            </w:pPr>
            <w:r w:rsidRPr="35298142">
              <w:t>LS mean</w:t>
            </w:r>
          </w:p>
        </w:tc>
        <w:tc>
          <w:tcPr>
            <w:tcW w:w="710" w:type="pct"/>
            <w:tcBorders>
              <w:top w:val="single" w:sz="4" w:space="0" w:color="auto"/>
              <w:bottom w:val="single" w:sz="4" w:space="0" w:color="auto"/>
            </w:tcBorders>
          </w:tcPr>
          <w:p w14:paraId="67B8DF22" w14:textId="77777777" w:rsidR="00CE2E65" w:rsidRPr="00C41ECA" w:rsidRDefault="00CE2E65" w:rsidP="00901520">
            <w:pPr>
              <w:pStyle w:val="PBACTabletext"/>
              <w:spacing w:before="0" w:after="0"/>
              <w:jc w:val="center"/>
            </w:pPr>
            <w:r w:rsidRPr="00C41ECA">
              <w:t>3.92</w:t>
            </w:r>
          </w:p>
        </w:tc>
        <w:tc>
          <w:tcPr>
            <w:tcW w:w="800" w:type="pct"/>
            <w:tcBorders>
              <w:top w:val="single" w:sz="4" w:space="0" w:color="auto"/>
              <w:bottom w:val="single" w:sz="4" w:space="0" w:color="auto"/>
            </w:tcBorders>
          </w:tcPr>
          <w:p w14:paraId="3A55075D" w14:textId="77777777" w:rsidR="00CE2E65" w:rsidRPr="00C41ECA" w:rsidRDefault="00CE2E65" w:rsidP="00901520">
            <w:pPr>
              <w:pStyle w:val="PBACTabletext"/>
              <w:spacing w:before="0" w:after="0"/>
              <w:jc w:val="center"/>
            </w:pPr>
            <w:r w:rsidRPr="00C41ECA">
              <w:t>4.06</w:t>
            </w:r>
          </w:p>
        </w:tc>
        <w:tc>
          <w:tcPr>
            <w:tcW w:w="829" w:type="pct"/>
            <w:tcBorders>
              <w:top w:val="single" w:sz="4" w:space="0" w:color="auto"/>
              <w:bottom w:val="single" w:sz="4" w:space="0" w:color="auto"/>
            </w:tcBorders>
          </w:tcPr>
          <w:p w14:paraId="6B083B12" w14:textId="77777777" w:rsidR="00CE2E65" w:rsidRPr="00C41ECA" w:rsidRDefault="00CE2E65" w:rsidP="00901520">
            <w:pPr>
              <w:pStyle w:val="PBACTabletext"/>
              <w:spacing w:before="0" w:after="0"/>
              <w:jc w:val="center"/>
            </w:pPr>
            <w:r w:rsidRPr="00C41ECA">
              <w:t>3.90</w:t>
            </w:r>
          </w:p>
        </w:tc>
        <w:tc>
          <w:tcPr>
            <w:tcW w:w="779" w:type="pct"/>
            <w:tcBorders>
              <w:top w:val="single" w:sz="4" w:space="0" w:color="auto"/>
              <w:bottom w:val="single" w:sz="4" w:space="0" w:color="auto"/>
            </w:tcBorders>
          </w:tcPr>
          <w:p w14:paraId="35CF1BE6" w14:textId="77777777" w:rsidR="00CE2E65" w:rsidRPr="00C41ECA" w:rsidRDefault="00CE2E65" w:rsidP="00901520">
            <w:pPr>
              <w:pStyle w:val="PBACTabletext"/>
              <w:spacing w:before="0" w:after="0"/>
              <w:jc w:val="center"/>
            </w:pPr>
            <w:r w:rsidRPr="00C41ECA">
              <w:t>4.18</w:t>
            </w:r>
          </w:p>
        </w:tc>
      </w:tr>
      <w:tr w:rsidR="00CE2E65" w:rsidRPr="00C41ECA" w14:paraId="6F822E91" w14:textId="77777777" w:rsidTr="35298142">
        <w:trPr>
          <w:cantSplit/>
        </w:trPr>
        <w:tc>
          <w:tcPr>
            <w:tcW w:w="1883" w:type="pct"/>
            <w:tcBorders>
              <w:top w:val="single" w:sz="4" w:space="0" w:color="auto"/>
            </w:tcBorders>
          </w:tcPr>
          <w:p w14:paraId="4AAFED74" w14:textId="77777777" w:rsidR="00CE2E65" w:rsidRPr="00C41ECA" w:rsidRDefault="00CE2E65" w:rsidP="00901520">
            <w:pPr>
              <w:pStyle w:val="PBACTabletext"/>
              <w:spacing w:before="0" w:after="0"/>
            </w:pPr>
            <w:r w:rsidRPr="00C41ECA">
              <w:t xml:space="preserve">LS mean difference between groups </w:t>
            </w:r>
            <w:r w:rsidRPr="00C41ECA">
              <w:rPr>
                <w:vertAlign w:val="superscript"/>
              </w:rPr>
              <w:t>a</w:t>
            </w:r>
          </w:p>
        </w:tc>
        <w:tc>
          <w:tcPr>
            <w:tcW w:w="1510" w:type="pct"/>
            <w:gridSpan w:val="2"/>
            <w:tcBorders>
              <w:top w:val="single" w:sz="4" w:space="0" w:color="auto"/>
            </w:tcBorders>
          </w:tcPr>
          <w:p w14:paraId="5A354E62" w14:textId="62D93F19" w:rsidR="00CE2E65" w:rsidRPr="00C41ECA" w:rsidRDefault="008312E7" w:rsidP="00901520">
            <w:pPr>
              <w:pStyle w:val="PBACTabletext"/>
              <w:spacing w:before="0" w:after="0"/>
              <w:jc w:val="center"/>
            </w:pPr>
            <w:r>
              <w:t>-</w:t>
            </w:r>
            <w:r w:rsidR="00CE2E65" w:rsidRPr="00C41ECA">
              <w:t>0.13 (p=0.526)</w:t>
            </w:r>
          </w:p>
        </w:tc>
        <w:tc>
          <w:tcPr>
            <w:tcW w:w="1608" w:type="pct"/>
            <w:gridSpan w:val="2"/>
            <w:tcBorders>
              <w:top w:val="single" w:sz="4" w:space="0" w:color="auto"/>
            </w:tcBorders>
          </w:tcPr>
          <w:p w14:paraId="4A0CFE3C" w14:textId="43569639" w:rsidR="00CE2E65" w:rsidRPr="00C41ECA" w:rsidRDefault="008312E7" w:rsidP="00901520">
            <w:pPr>
              <w:pStyle w:val="PBACTabletext"/>
              <w:spacing w:before="0" w:after="0"/>
              <w:jc w:val="center"/>
            </w:pPr>
            <w:r>
              <w:t>-</w:t>
            </w:r>
            <w:r w:rsidR="00CE2E65" w:rsidRPr="00C41ECA">
              <w:t>0.28 (p=0.133)</w:t>
            </w:r>
          </w:p>
        </w:tc>
      </w:tr>
    </w:tbl>
    <w:p w14:paraId="70416AA8" w14:textId="77777777" w:rsidR="00CE2E65" w:rsidRPr="00C41ECA" w:rsidRDefault="00CE2E65" w:rsidP="00CE2E65">
      <w:pPr>
        <w:pStyle w:val="TableFooter"/>
      </w:pPr>
      <w:r w:rsidRPr="00C41ECA">
        <w:t>Source: Table 2-20, p102 of the submission.</w:t>
      </w:r>
    </w:p>
    <w:p w14:paraId="18A5A426" w14:textId="77777777" w:rsidR="00CE2E65" w:rsidRPr="00C41ECA" w:rsidRDefault="00CE2E65" w:rsidP="00CE2E65">
      <w:pPr>
        <w:pStyle w:val="TableFooter"/>
      </w:pPr>
      <w:r w:rsidRPr="00C41ECA">
        <w:t>CGIC=Clinician Global Impression of Change; FAS=full analysis set; LS=least squares; N=total number of participants in treatment arm; PGIC=Patient Global Impression of Change</w:t>
      </w:r>
    </w:p>
    <w:p w14:paraId="2596F5B0" w14:textId="77777777" w:rsidR="00CE2E65" w:rsidRPr="00C41ECA" w:rsidRDefault="00CE2E65" w:rsidP="008B134F">
      <w:pPr>
        <w:pStyle w:val="TableFooter"/>
      </w:pPr>
      <w:r w:rsidRPr="35298142">
        <w:rPr>
          <w:vertAlign w:val="superscript"/>
        </w:rPr>
        <w:t xml:space="preserve">a </w:t>
      </w:r>
      <w:r w:rsidRPr="35298142">
        <w:t xml:space="preserve">Comparison of PGIC and CGIC change from baseline between in the </w:t>
      </w:r>
      <w:proofErr w:type="spellStart"/>
      <w:r w:rsidRPr="35298142">
        <w:t>omaveloxolone</w:t>
      </w:r>
      <w:proofErr w:type="spellEnd"/>
      <w:r w:rsidRPr="35298142">
        <w:t xml:space="preserve"> 150 mg arm and patients in the placebo arm was estimated using analyses of covariance, with the following fixed factors: site, pes </w:t>
      </w:r>
      <w:proofErr w:type="spellStart"/>
      <w:r w:rsidRPr="35298142">
        <w:t>cavus</w:t>
      </w:r>
      <w:proofErr w:type="spellEnd"/>
      <w:r w:rsidRPr="35298142">
        <w:t xml:space="preserve"> status, and treatment. Missing data were imputed using multiple imputation</w:t>
      </w:r>
    </w:p>
    <w:p w14:paraId="06EC93A8" w14:textId="77777777" w:rsidR="00CE2E65" w:rsidRPr="00C41ECA" w:rsidRDefault="00CE2E65" w:rsidP="008B134F">
      <w:pPr>
        <w:pStyle w:val="3-BodyText"/>
        <w:spacing w:after="0"/>
      </w:pPr>
      <w:r w:rsidRPr="35298142">
        <w:t xml:space="preserve">In the FAS population, mean PGIC and CGIC scores at Week 48 numerically favoured the </w:t>
      </w:r>
      <w:proofErr w:type="spellStart"/>
      <w:r w:rsidRPr="35298142">
        <w:t>omaveloxolone</w:t>
      </w:r>
      <w:proofErr w:type="spellEnd"/>
      <w:r w:rsidRPr="35298142">
        <w:t xml:space="preserve"> arm but were not statistically different from placebo. The least squares mean treatment difference between treatment groups for PGIC was -0.43 (p=0.1300) and for CGIC was -0.13 (p=0.5259). Higher scores in PGIC and CGIC indicate worsening. In the total randomised population, a nominally positive p-value was observed with PGIC (p=0.0282) but not for CGIC (p=0.1328).</w:t>
      </w:r>
    </w:p>
    <w:p w14:paraId="3CE95046" w14:textId="77777777" w:rsidR="00CE2E65" w:rsidRPr="00C41ECA" w:rsidRDefault="00CE2E65" w:rsidP="00CE2E65">
      <w:pPr>
        <w:pStyle w:val="3-BodyText"/>
      </w:pPr>
      <w:proofErr w:type="spellStart"/>
      <w:r w:rsidRPr="35298142">
        <w:t>Omaveloxolone</w:t>
      </w:r>
      <w:proofErr w:type="spellEnd"/>
      <w:r w:rsidRPr="35298142">
        <w:t xml:space="preserve"> treatment did not statistically significantly improve the other secondary endpoints including 25-foot timed walk test, frequency of falls, or peak work relative to placebo. Numerically, frequency of falls favoured </w:t>
      </w:r>
      <w:proofErr w:type="spellStart"/>
      <w:r w:rsidRPr="35298142">
        <w:t>omaveloxolone</w:t>
      </w:r>
      <w:proofErr w:type="spellEnd"/>
      <w:r w:rsidRPr="35298142">
        <w:t xml:space="preserve">. During the 48-week treatment period, </w:t>
      </w:r>
      <w:proofErr w:type="spellStart"/>
      <w:r w:rsidRPr="35298142">
        <w:t>omaveloxolone</w:t>
      </w:r>
      <w:proofErr w:type="spellEnd"/>
      <w:r w:rsidRPr="35298142">
        <w:t xml:space="preserve"> patients reported a median of 3.0 falls (range, 1 to 89), while placebo patients reported a median of 8.5 falls (range, 0 to 131). These estimates are imprecise.</w:t>
      </w:r>
    </w:p>
    <w:p w14:paraId="5DB968C4" w14:textId="77DCD9E8" w:rsidR="00CE2E65" w:rsidRPr="00C41ECA" w:rsidRDefault="00CE2E65" w:rsidP="00CE2E65">
      <w:pPr>
        <w:pStyle w:val="3-BodyText"/>
      </w:pPr>
      <w:r w:rsidRPr="35298142">
        <w:t xml:space="preserve">Change in ADL scores from baseline at Week 48 was last in the hierarchy of statistical testing in the statistical analysis plan. The least squares mean difference between treatment groups was -1.30 points favouring </w:t>
      </w:r>
      <w:proofErr w:type="spellStart"/>
      <w:r w:rsidRPr="35298142">
        <w:t>omaveloxolone</w:t>
      </w:r>
      <w:proofErr w:type="spellEnd"/>
      <w:r w:rsidRPr="35298142">
        <w:t xml:space="preserve"> which reached nominal statistical significance relative to placebo (p=0.04). These results should be interpreted with caution given the small data sets and </w:t>
      </w:r>
      <w:r w:rsidR="00C20BD2" w:rsidRPr="35298142">
        <w:t>lack of adjustment for multiplicity in the statistical analyses</w:t>
      </w:r>
      <w:r w:rsidRPr="35298142">
        <w:t>.</w:t>
      </w:r>
    </w:p>
    <w:p w14:paraId="2CF51127" w14:textId="7A71BEF7" w:rsidR="00CE2E65" w:rsidRPr="00C41ECA" w:rsidRDefault="00CE2E65" w:rsidP="00CE2E65">
      <w:pPr>
        <w:pStyle w:val="3-BodyText"/>
      </w:pPr>
      <w:r w:rsidRPr="35298142">
        <w:t xml:space="preserve">To help inform the longer-term magnitude of benefits with </w:t>
      </w:r>
      <w:proofErr w:type="spellStart"/>
      <w:r w:rsidRPr="35298142">
        <w:t>omaveloxolone</w:t>
      </w:r>
      <w:proofErr w:type="spellEnd"/>
      <w:r w:rsidRPr="35298142">
        <w:t xml:space="preserve"> treatment versus BSC, results from an unanchored propensity matched indirect comparison between </w:t>
      </w:r>
      <w:proofErr w:type="spellStart"/>
      <w:r w:rsidRPr="35298142">
        <w:t>omaveloxolone</w:t>
      </w:r>
      <w:proofErr w:type="spellEnd"/>
      <w:r w:rsidRPr="35298142">
        <w:t xml:space="preserve"> treated patients in the </w:t>
      </w:r>
      <w:proofErr w:type="spellStart"/>
      <w:r w:rsidRPr="35298142">
        <w:t>MOXIe</w:t>
      </w:r>
      <w:proofErr w:type="spellEnd"/>
      <w:r w:rsidRPr="35298142">
        <w:t xml:space="preserve"> Extension study and the FACOMS natural history data was presented in the submission.</w:t>
      </w:r>
    </w:p>
    <w:p w14:paraId="509FD8DD" w14:textId="40CA7736" w:rsidR="00CE2E65" w:rsidRPr="00C41ECA" w:rsidRDefault="00CE2E65" w:rsidP="00CE2E65">
      <w:pPr>
        <w:pStyle w:val="3-BodyText"/>
      </w:pPr>
      <w:r w:rsidRPr="35298142">
        <w:rPr>
          <w:lang w:val="en-GB"/>
        </w:rPr>
        <w:t xml:space="preserve">For inclusion in the </w:t>
      </w:r>
      <w:r w:rsidR="00261A25" w:rsidRPr="35298142">
        <w:rPr>
          <w:lang w:val="en-GB"/>
        </w:rPr>
        <w:t xml:space="preserve">indirect comparison </w:t>
      </w:r>
      <w:r w:rsidRPr="35298142">
        <w:rPr>
          <w:lang w:val="en-GB"/>
        </w:rPr>
        <w:t>analysis</w:t>
      </w:r>
      <w:r w:rsidR="00261A25" w:rsidRPr="35298142">
        <w:rPr>
          <w:lang w:val="en-GB"/>
        </w:rPr>
        <w:t>,</w:t>
      </w:r>
      <w:r w:rsidRPr="35298142">
        <w:rPr>
          <w:lang w:val="en-GB"/>
        </w:rPr>
        <w:t xml:space="preserve"> patients </w:t>
      </w:r>
      <w:r w:rsidR="00735BF0" w:rsidRPr="35298142">
        <w:rPr>
          <w:lang w:val="en-GB"/>
        </w:rPr>
        <w:t xml:space="preserve">from the </w:t>
      </w:r>
      <w:proofErr w:type="spellStart"/>
      <w:r w:rsidR="00735BF0" w:rsidRPr="35298142">
        <w:rPr>
          <w:lang w:val="en-GB"/>
        </w:rPr>
        <w:t>MOXIe</w:t>
      </w:r>
      <w:proofErr w:type="spellEnd"/>
      <w:r w:rsidR="00735BF0" w:rsidRPr="35298142">
        <w:rPr>
          <w:lang w:val="en-GB"/>
        </w:rPr>
        <w:t xml:space="preserve"> Extension study </w:t>
      </w:r>
      <w:r w:rsidRPr="35298142">
        <w:rPr>
          <w:lang w:val="en-GB"/>
        </w:rPr>
        <w:t xml:space="preserve">must have </w:t>
      </w:r>
      <w:r w:rsidR="00B628D8" w:rsidRPr="35298142">
        <w:rPr>
          <w:lang w:val="en-GB"/>
        </w:rPr>
        <w:t xml:space="preserve">had </w:t>
      </w:r>
      <w:r w:rsidRPr="35298142">
        <w:rPr>
          <w:lang w:val="en-GB"/>
        </w:rPr>
        <w:t xml:space="preserve">a baseline and at least one post baseline </w:t>
      </w:r>
      <w:proofErr w:type="spellStart"/>
      <w:r w:rsidRPr="35298142">
        <w:rPr>
          <w:lang w:val="en-GB"/>
        </w:rPr>
        <w:t>mFARS</w:t>
      </w:r>
      <w:proofErr w:type="spellEnd"/>
      <w:r w:rsidRPr="35298142">
        <w:rPr>
          <w:lang w:val="en-GB"/>
        </w:rPr>
        <w:t xml:space="preserve"> within 3 months of baseline; and must have data for all variables </w:t>
      </w:r>
      <w:r w:rsidR="00C86F78" w:rsidRPr="35298142">
        <w:rPr>
          <w:lang w:val="en-GB"/>
        </w:rPr>
        <w:t xml:space="preserve">included </w:t>
      </w:r>
      <w:r w:rsidRPr="35298142">
        <w:rPr>
          <w:lang w:val="en-GB"/>
        </w:rPr>
        <w:t xml:space="preserve">in the propensity score matching. For the propensity-matched analysis, the sample size was based on the 136 patients from </w:t>
      </w:r>
      <w:proofErr w:type="spellStart"/>
      <w:r w:rsidRPr="35298142">
        <w:rPr>
          <w:lang w:val="en-GB"/>
        </w:rPr>
        <w:t>MOXIe</w:t>
      </w:r>
      <w:proofErr w:type="spellEnd"/>
      <w:r w:rsidRPr="35298142">
        <w:rPr>
          <w:lang w:val="en-GB"/>
        </w:rPr>
        <w:t xml:space="preserve"> Extension who had an on-treatment post-baseline </w:t>
      </w:r>
      <w:proofErr w:type="spellStart"/>
      <w:r w:rsidRPr="35298142">
        <w:rPr>
          <w:lang w:val="en-GB"/>
        </w:rPr>
        <w:t>mFARS</w:t>
      </w:r>
      <w:proofErr w:type="spellEnd"/>
      <w:r w:rsidRPr="35298142">
        <w:rPr>
          <w:lang w:val="en-GB"/>
        </w:rPr>
        <w:t xml:space="preserve"> assessment and were thus available for matching to 136 patients from the FACOMS natural history study.</w:t>
      </w:r>
    </w:p>
    <w:p w14:paraId="1F4F6C01" w14:textId="77777777" w:rsidR="00CE2E65" w:rsidRPr="00C41ECA" w:rsidRDefault="00CE2E65" w:rsidP="00CE2E65">
      <w:pPr>
        <w:pStyle w:val="3-BodyText"/>
      </w:pPr>
      <w:r w:rsidRPr="35298142">
        <w:t xml:space="preserve">The analysis of change from baseline in </w:t>
      </w:r>
      <w:proofErr w:type="spellStart"/>
      <w:r w:rsidRPr="35298142">
        <w:t>mFARS</w:t>
      </w:r>
      <w:proofErr w:type="spellEnd"/>
      <w:r w:rsidRPr="35298142">
        <w:t xml:space="preserve"> at Year 3 was performed based on a mixed model repeated measures (MMRM) model, including treatment group, baseline </w:t>
      </w:r>
      <w:proofErr w:type="spellStart"/>
      <w:r w:rsidRPr="35298142">
        <w:t>mFARS</w:t>
      </w:r>
      <w:proofErr w:type="spellEnd"/>
      <w:r w:rsidRPr="35298142">
        <w:t>, visit, and interaction terms for visit-by-baseline and treatment group-by-visit as covariates.</w:t>
      </w:r>
    </w:p>
    <w:p w14:paraId="44EF3469" w14:textId="46A4DEA0" w:rsidR="00CE2E65" w:rsidRPr="00C41ECA" w:rsidRDefault="00CE2E65" w:rsidP="00CE2E65">
      <w:pPr>
        <w:pStyle w:val="3-BodyText"/>
      </w:pPr>
      <w:r w:rsidRPr="35298142">
        <w:t xml:space="preserve">The median treatment duration in </w:t>
      </w:r>
      <w:proofErr w:type="spellStart"/>
      <w:r w:rsidRPr="35298142">
        <w:t>MOXIe</w:t>
      </w:r>
      <w:proofErr w:type="spellEnd"/>
      <w:r w:rsidRPr="35298142">
        <w:t xml:space="preserve"> Extension (exclusive of treatment duration in Part 1 or Part 2) was 2.76 years, with a maximum treatment duration of 3.4 years and a minimum treatment duration of 0.5 years (. The 136 patients matched from FACOMS had a median follow-up duration of 2.92 years, with a maximum follow-up duration of 3.5 years and a minimum follow-up of 0.6 years.</w:t>
      </w:r>
    </w:p>
    <w:p w14:paraId="27BA7604" w14:textId="27E95600" w:rsidR="00CE2E65" w:rsidRPr="00C41ECA" w:rsidRDefault="00CE2E65" w:rsidP="00CE2E65">
      <w:pPr>
        <w:pStyle w:val="3-BodyText"/>
      </w:pPr>
      <w:r w:rsidRPr="35298142">
        <w:t xml:space="preserve">The covariates matched and not matched for the indirect comparison, and FACOMS covariates matched to the </w:t>
      </w:r>
      <w:proofErr w:type="spellStart"/>
      <w:r w:rsidRPr="35298142">
        <w:t>MOXIe</w:t>
      </w:r>
      <w:proofErr w:type="spellEnd"/>
      <w:r w:rsidRPr="35298142">
        <w:t xml:space="preserve"> Extension dataset are summarised in </w:t>
      </w:r>
      <w:r>
        <w:fldChar w:fldCharType="begin"/>
      </w:r>
      <w:r>
        <w:instrText xml:space="preserve"> REF _Ref187067040 \h  \* MERGEFORMAT </w:instrText>
      </w:r>
      <w:r>
        <w:fldChar w:fldCharType="separate"/>
      </w:r>
      <w:r w:rsidR="003A4643" w:rsidRPr="00C41ECA">
        <w:t xml:space="preserve">Table </w:t>
      </w:r>
      <w:r w:rsidR="003A4643">
        <w:rPr>
          <w:noProof/>
        </w:rPr>
        <w:t>10</w:t>
      </w:r>
      <w:r>
        <w:fldChar w:fldCharType="end"/>
      </w:r>
      <w:r w:rsidRPr="35298142">
        <w:t xml:space="preserve"> and </w:t>
      </w:r>
      <w:r>
        <w:fldChar w:fldCharType="begin"/>
      </w:r>
      <w:r>
        <w:instrText xml:space="preserve"> REF _Ref187067042 \h  \* MERGEFORMAT </w:instrText>
      </w:r>
      <w:r>
        <w:fldChar w:fldCharType="separate"/>
      </w:r>
      <w:r w:rsidR="003A4643" w:rsidRPr="35298142">
        <w:t xml:space="preserve">Table </w:t>
      </w:r>
      <w:r w:rsidR="003A4643">
        <w:rPr>
          <w:noProof/>
        </w:rPr>
        <w:t>11</w:t>
      </w:r>
      <w:r>
        <w:fldChar w:fldCharType="end"/>
      </w:r>
      <w:r w:rsidRPr="35298142">
        <w:t>, respectively.</w:t>
      </w:r>
    </w:p>
    <w:p w14:paraId="374E3113" w14:textId="23148B5B" w:rsidR="00CE2E65" w:rsidRPr="00C41ECA" w:rsidRDefault="00CE2E65" w:rsidP="00CE2E65">
      <w:pPr>
        <w:pStyle w:val="Caption"/>
      </w:pPr>
      <w:bookmarkStart w:id="32" w:name="_Ref187067040"/>
      <w:r w:rsidRPr="00C41ECA">
        <w:t xml:space="preserve">Table </w:t>
      </w:r>
      <w:r w:rsidR="00B717AF">
        <w:fldChar w:fldCharType="begin"/>
      </w:r>
      <w:r w:rsidR="00B717AF">
        <w:instrText xml:space="preserve"> SEQ Table \* ARABIC </w:instrText>
      </w:r>
      <w:r w:rsidR="00B717AF">
        <w:fldChar w:fldCharType="separate"/>
      </w:r>
      <w:r w:rsidR="003A4643">
        <w:rPr>
          <w:noProof/>
        </w:rPr>
        <w:t>10</w:t>
      </w:r>
      <w:r w:rsidR="00B717AF">
        <w:rPr>
          <w:noProof/>
        </w:rPr>
        <w:fldChar w:fldCharType="end"/>
      </w:r>
      <w:bookmarkEnd w:id="32"/>
      <w:r w:rsidRPr="00C41ECA">
        <w:t>: Covariates used for propensity score matching</w:t>
      </w:r>
    </w:p>
    <w:tbl>
      <w:tblPr>
        <w:tblStyle w:val="TableGrid"/>
        <w:tblW w:w="5000" w:type="pct"/>
        <w:tblLook w:val="04A0" w:firstRow="1" w:lastRow="0" w:firstColumn="1" w:lastColumn="0" w:noHBand="0" w:noVBand="1"/>
        <w:tblCaption w:val="Table 10: Covariates used for propensity score matching"/>
      </w:tblPr>
      <w:tblGrid>
        <w:gridCol w:w="1113"/>
        <w:gridCol w:w="2602"/>
        <w:gridCol w:w="2040"/>
        <w:gridCol w:w="1560"/>
        <w:gridCol w:w="1702"/>
      </w:tblGrid>
      <w:tr w:rsidR="00CE2E65" w:rsidRPr="00C41ECA" w14:paraId="542EFA15" w14:textId="77777777" w:rsidTr="35298142">
        <w:trPr>
          <w:cantSplit/>
        </w:trPr>
        <w:tc>
          <w:tcPr>
            <w:tcW w:w="617" w:type="pct"/>
            <w:tcMar>
              <w:left w:w="20" w:type="dxa"/>
              <w:right w:w="20" w:type="dxa"/>
            </w:tcMar>
          </w:tcPr>
          <w:p w14:paraId="4DBD7387" w14:textId="77777777" w:rsidR="00CE2E65" w:rsidRPr="00C41ECA" w:rsidRDefault="00CE2E65" w:rsidP="00967D46">
            <w:pPr>
              <w:pStyle w:val="PBACTabletext"/>
              <w:spacing w:before="0" w:after="0"/>
              <w:rPr>
                <w:b/>
                <w:bCs/>
              </w:rPr>
            </w:pPr>
            <w:r w:rsidRPr="00C41ECA">
              <w:rPr>
                <w:b/>
                <w:bCs/>
              </w:rPr>
              <w:t>Logistic regression covariate</w:t>
            </w:r>
          </w:p>
        </w:tc>
        <w:tc>
          <w:tcPr>
            <w:tcW w:w="1443" w:type="pct"/>
            <w:tcMar>
              <w:left w:w="20" w:type="dxa"/>
              <w:right w:w="20" w:type="dxa"/>
            </w:tcMar>
          </w:tcPr>
          <w:p w14:paraId="7805E2C6" w14:textId="77777777" w:rsidR="00CE2E65" w:rsidRPr="00C41ECA" w:rsidRDefault="00CE2E65" w:rsidP="00967D46">
            <w:pPr>
              <w:pStyle w:val="PBACTabletext"/>
              <w:spacing w:before="0" w:after="0"/>
              <w:rPr>
                <w:b/>
                <w:bCs/>
              </w:rPr>
            </w:pPr>
            <w:r w:rsidRPr="00C41ECA">
              <w:rPr>
                <w:b/>
                <w:bCs/>
              </w:rPr>
              <w:t>Rationale for inclusion</w:t>
            </w:r>
          </w:p>
        </w:tc>
        <w:tc>
          <w:tcPr>
            <w:tcW w:w="1131" w:type="pct"/>
            <w:tcMar>
              <w:left w:w="20" w:type="dxa"/>
              <w:right w:w="20" w:type="dxa"/>
            </w:tcMar>
          </w:tcPr>
          <w:p w14:paraId="14D9B2E1" w14:textId="77777777" w:rsidR="00CE2E65" w:rsidRPr="00C41ECA" w:rsidRDefault="00CE2E65" w:rsidP="00967D46">
            <w:pPr>
              <w:pStyle w:val="PBACTabletext"/>
              <w:spacing w:before="0" w:after="0"/>
              <w:rPr>
                <w:b/>
                <w:bCs/>
              </w:rPr>
            </w:pPr>
            <w:r w:rsidRPr="00C41ECA">
              <w:rPr>
                <w:b/>
                <w:bCs/>
              </w:rPr>
              <w:t>Reference supporting importance of covariate</w:t>
            </w:r>
          </w:p>
        </w:tc>
        <w:tc>
          <w:tcPr>
            <w:tcW w:w="865" w:type="pct"/>
            <w:tcMar>
              <w:left w:w="20" w:type="dxa"/>
              <w:right w:w="20" w:type="dxa"/>
            </w:tcMar>
          </w:tcPr>
          <w:p w14:paraId="7EB01968" w14:textId="77777777" w:rsidR="00CE2E65" w:rsidRPr="00C41ECA" w:rsidRDefault="00CE2E65" w:rsidP="00967D46">
            <w:pPr>
              <w:pStyle w:val="PBACTabletext"/>
              <w:spacing w:before="0" w:after="0"/>
              <w:rPr>
                <w:b/>
                <w:bCs/>
              </w:rPr>
            </w:pPr>
            <w:r w:rsidRPr="00C41ECA">
              <w:rPr>
                <w:b/>
                <w:bCs/>
              </w:rPr>
              <w:t>n (%) of FACOMS patients with data (N=810)</w:t>
            </w:r>
          </w:p>
        </w:tc>
        <w:tc>
          <w:tcPr>
            <w:tcW w:w="944" w:type="pct"/>
            <w:tcMar>
              <w:left w:w="20" w:type="dxa"/>
              <w:right w:w="20" w:type="dxa"/>
            </w:tcMar>
          </w:tcPr>
          <w:p w14:paraId="44CBA969" w14:textId="6B4250D2" w:rsidR="00CE2E65" w:rsidRPr="00C41ECA" w:rsidRDefault="00CE2E65" w:rsidP="35298142">
            <w:pPr>
              <w:pStyle w:val="PBACTabletext"/>
              <w:spacing w:before="0" w:after="0"/>
              <w:rPr>
                <w:b/>
                <w:bCs/>
              </w:rPr>
            </w:pPr>
            <w:r w:rsidRPr="35298142">
              <w:rPr>
                <w:b/>
                <w:bCs/>
              </w:rPr>
              <w:t xml:space="preserve">n (%) of </w:t>
            </w:r>
            <w:proofErr w:type="spellStart"/>
            <w:r w:rsidRPr="35298142">
              <w:rPr>
                <w:b/>
                <w:bCs/>
              </w:rPr>
              <w:t>MOXIe</w:t>
            </w:r>
            <w:proofErr w:type="spellEnd"/>
            <w:r w:rsidRPr="35298142">
              <w:rPr>
                <w:b/>
                <w:bCs/>
              </w:rPr>
              <w:t xml:space="preserve"> </w:t>
            </w:r>
            <w:r w:rsidR="00BE2308" w:rsidRPr="35298142">
              <w:rPr>
                <w:b/>
                <w:bCs/>
              </w:rPr>
              <w:t>e</w:t>
            </w:r>
            <w:r w:rsidRPr="35298142">
              <w:rPr>
                <w:b/>
                <w:bCs/>
              </w:rPr>
              <w:t>xtension patients with data (N=149)</w:t>
            </w:r>
          </w:p>
        </w:tc>
      </w:tr>
      <w:tr w:rsidR="00CE2E65" w:rsidRPr="00C41ECA" w14:paraId="20BAB20C" w14:textId="77777777" w:rsidTr="35298142">
        <w:trPr>
          <w:cantSplit/>
        </w:trPr>
        <w:tc>
          <w:tcPr>
            <w:tcW w:w="5000" w:type="pct"/>
            <w:gridSpan w:val="5"/>
            <w:tcMar>
              <w:left w:w="20" w:type="dxa"/>
              <w:right w:w="20" w:type="dxa"/>
            </w:tcMar>
          </w:tcPr>
          <w:p w14:paraId="293CE8C6" w14:textId="77777777" w:rsidR="00CE2E65" w:rsidRPr="00C41ECA" w:rsidRDefault="00CE2E65" w:rsidP="00967D46">
            <w:pPr>
              <w:pStyle w:val="PBACTabletext"/>
              <w:spacing w:before="0" w:after="0"/>
              <w:rPr>
                <w:b/>
                <w:bCs/>
              </w:rPr>
            </w:pPr>
            <w:r w:rsidRPr="00C41ECA">
              <w:rPr>
                <w:b/>
                <w:bCs/>
              </w:rPr>
              <w:t>Key covariates that were matched</w:t>
            </w:r>
          </w:p>
        </w:tc>
      </w:tr>
      <w:tr w:rsidR="00CE2E65" w:rsidRPr="00C41ECA" w14:paraId="012C2AFE" w14:textId="77777777" w:rsidTr="35298142">
        <w:trPr>
          <w:cantSplit/>
        </w:trPr>
        <w:tc>
          <w:tcPr>
            <w:tcW w:w="617" w:type="pct"/>
            <w:tcMar>
              <w:left w:w="20" w:type="dxa"/>
              <w:right w:w="20" w:type="dxa"/>
            </w:tcMar>
          </w:tcPr>
          <w:p w14:paraId="354D4017" w14:textId="77777777" w:rsidR="00CE2E65" w:rsidRPr="00C41ECA" w:rsidRDefault="00CE2E65" w:rsidP="00967D46">
            <w:pPr>
              <w:pStyle w:val="PBACTabletext"/>
              <w:spacing w:before="0" w:after="0"/>
            </w:pPr>
            <w:r w:rsidRPr="00C41ECA">
              <w:t>Age</w:t>
            </w:r>
          </w:p>
        </w:tc>
        <w:tc>
          <w:tcPr>
            <w:tcW w:w="1443" w:type="pct"/>
            <w:tcMar>
              <w:left w:w="20" w:type="dxa"/>
              <w:right w:w="20" w:type="dxa"/>
            </w:tcMar>
          </w:tcPr>
          <w:p w14:paraId="6FA08200" w14:textId="77777777" w:rsidR="00CE2E65" w:rsidRPr="00C41ECA" w:rsidRDefault="00CE2E65" w:rsidP="00967D46">
            <w:pPr>
              <w:pStyle w:val="PBACTabletext"/>
              <w:spacing w:before="0" w:after="0"/>
            </w:pPr>
            <w:r w:rsidRPr="00C41ECA">
              <w:t>Age is the primary determinant of phenotypic severity</w:t>
            </w:r>
          </w:p>
        </w:tc>
        <w:tc>
          <w:tcPr>
            <w:tcW w:w="1131" w:type="pct"/>
            <w:tcMar>
              <w:left w:w="20" w:type="dxa"/>
              <w:right w:w="20" w:type="dxa"/>
            </w:tcMar>
          </w:tcPr>
          <w:p w14:paraId="7BA83D6C" w14:textId="77777777" w:rsidR="00CE2E65" w:rsidRPr="00C41ECA" w:rsidRDefault="00CE2E65" w:rsidP="00967D46">
            <w:pPr>
              <w:pStyle w:val="PBACTabletext"/>
              <w:spacing w:before="0" w:after="0"/>
            </w:pPr>
            <w:r w:rsidRPr="00C41ECA">
              <w:t>Patel 2016</w:t>
            </w:r>
          </w:p>
        </w:tc>
        <w:tc>
          <w:tcPr>
            <w:tcW w:w="865" w:type="pct"/>
            <w:tcMar>
              <w:left w:w="20" w:type="dxa"/>
              <w:right w:w="20" w:type="dxa"/>
            </w:tcMar>
          </w:tcPr>
          <w:p w14:paraId="00494928" w14:textId="77777777" w:rsidR="00CE2E65" w:rsidRPr="00C41ECA" w:rsidRDefault="00CE2E65" w:rsidP="00967D46">
            <w:pPr>
              <w:pStyle w:val="PBACTabletext"/>
              <w:spacing w:before="0" w:after="0"/>
            </w:pPr>
            <w:r w:rsidRPr="00C41ECA">
              <w:t>807 (99.6%)</w:t>
            </w:r>
          </w:p>
        </w:tc>
        <w:tc>
          <w:tcPr>
            <w:tcW w:w="944" w:type="pct"/>
            <w:tcMar>
              <w:left w:w="20" w:type="dxa"/>
              <w:right w:w="20" w:type="dxa"/>
            </w:tcMar>
          </w:tcPr>
          <w:p w14:paraId="16882CD2" w14:textId="77777777" w:rsidR="00CE2E65" w:rsidRPr="00C41ECA" w:rsidRDefault="00CE2E65" w:rsidP="00967D46">
            <w:pPr>
              <w:pStyle w:val="PBACTabletext"/>
              <w:spacing w:before="0" w:after="0"/>
            </w:pPr>
            <w:r w:rsidRPr="00C41ECA">
              <w:t>149 (100%)</w:t>
            </w:r>
          </w:p>
        </w:tc>
      </w:tr>
      <w:tr w:rsidR="00CE2E65" w:rsidRPr="00C41ECA" w14:paraId="480B8AFD" w14:textId="77777777" w:rsidTr="35298142">
        <w:trPr>
          <w:cantSplit/>
          <w:trHeight w:val="668"/>
        </w:trPr>
        <w:tc>
          <w:tcPr>
            <w:tcW w:w="617" w:type="pct"/>
            <w:tcMar>
              <w:left w:w="20" w:type="dxa"/>
              <w:right w:w="20" w:type="dxa"/>
            </w:tcMar>
          </w:tcPr>
          <w:p w14:paraId="167A04AF" w14:textId="77777777" w:rsidR="00CE2E65" w:rsidRPr="00C41ECA" w:rsidRDefault="00CE2E65" w:rsidP="00967D46">
            <w:pPr>
              <w:pStyle w:val="PBACTabletext"/>
              <w:spacing w:before="0" w:after="0"/>
            </w:pPr>
            <w:r w:rsidRPr="00C41ECA">
              <w:t>Age of FA onset</w:t>
            </w:r>
          </w:p>
        </w:tc>
        <w:tc>
          <w:tcPr>
            <w:tcW w:w="1443" w:type="pct"/>
            <w:tcMar>
              <w:left w:w="20" w:type="dxa"/>
              <w:right w:w="20" w:type="dxa"/>
            </w:tcMar>
          </w:tcPr>
          <w:p w14:paraId="62127244" w14:textId="77777777" w:rsidR="00CE2E65" w:rsidRPr="00C41ECA" w:rsidRDefault="00CE2E65" w:rsidP="00967D46">
            <w:pPr>
              <w:pStyle w:val="PBACTabletext"/>
              <w:spacing w:before="0" w:after="0"/>
            </w:pPr>
            <w:r w:rsidRPr="00C41ECA">
              <w:t>Surrogate for relative rate of progression and GAA repeat length</w:t>
            </w:r>
          </w:p>
        </w:tc>
        <w:tc>
          <w:tcPr>
            <w:tcW w:w="1131" w:type="pct"/>
            <w:tcMar>
              <w:left w:w="20" w:type="dxa"/>
              <w:right w:w="20" w:type="dxa"/>
            </w:tcMar>
          </w:tcPr>
          <w:p w14:paraId="78B6772E" w14:textId="77777777" w:rsidR="00CE2E65" w:rsidRPr="00C41ECA" w:rsidRDefault="00CE2E65" w:rsidP="00967D46">
            <w:pPr>
              <w:pStyle w:val="PBACTabletext"/>
              <w:spacing w:before="0" w:after="0"/>
            </w:pPr>
            <w:r w:rsidRPr="00C41ECA">
              <w:t>Patel 2016</w:t>
            </w:r>
          </w:p>
        </w:tc>
        <w:tc>
          <w:tcPr>
            <w:tcW w:w="865" w:type="pct"/>
            <w:tcMar>
              <w:left w:w="20" w:type="dxa"/>
              <w:right w:w="20" w:type="dxa"/>
            </w:tcMar>
          </w:tcPr>
          <w:p w14:paraId="0B071D98" w14:textId="77777777" w:rsidR="00CE2E65" w:rsidRPr="00C41ECA" w:rsidRDefault="00CE2E65" w:rsidP="00967D46">
            <w:pPr>
              <w:pStyle w:val="PBACTabletext"/>
              <w:spacing w:before="0" w:after="0"/>
            </w:pPr>
            <w:r w:rsidRPr="00C41ECA">
              <w:t>801 (98.9%)</w:t>
            </w:r>
          </w:p>
        </w:tc>
        <w:tc>
          <w:tcPr>
            <w:tcW w:w="944" w:type="pct"/>
            <w:tcMar>
              <w:left w:w="20" w:type="dxa"/>
              <w:right w:w="20" w:type="dxa"/>
            </w:tcMar>
          </w:tcPr>
          <w:p w14:paraId="2B0709B1" w14:textId="77777777" w:rsidR="00CE2E65" w:rsidRPr="00C41ECA" w:rsidRDefault="00CE2E65" w:rsidP="00967D46">
            <w:pPr>
              <w:pStyle w:val="PBACTabletext"/>
              <w:spacing w:before="0" w:after="0"/>
            </w:pPr>
            <w:r w:rsidRPr="00C41ECA">
              <w:t>149 (100%)</w:t>
            </w:r>
          </w:p>
        </w:tc>
      </w:tr>
      <w:tr w:rsidR="00CE2E65" w:rsidRPr="00C41ECA" w14:paraId="5B8D72DB" w14:textId="77777777" w:rsidTr="35298142">
        <w:trPr>
          <w:cantSplit/>
          <w:trHeight w:val="536"/>
        </w:trPr>
        <w:tc>
          <w:tcPr>
            <w:tcW w:w="617" w:type="pct"/>
            <w:tcMar>
              <w:left w:w="20" w:type="dxa"/>
              <w:right w:w="20" w:type="dxa"/>
            </w:tcMar>
          </w:tcPr>
          <w:p w14:paraId="7DDFF4E2" w14:textId="77777777" w:rsidR="00CE2E65" w:rsidRPr="00C41ECA" w:rsidRDefault="00CE2E65" w:rsidP="00967D46">
            <w:pPr>
              <w:pStyle w:val="PBACTabletext"/>
              <w:spacing w:before="0" w:after="0"/>
            </w:pPr>
            <w:r w:rsidRPr="00C41ECA">
              <w:t>Sex</w:t>
            </w:r>
          </w:p>
        </w:tc>
        <w:tc>
          <w:tcPr>
            <w:tcW w:w="1443" w:type="pct"/>
            <w:tcMar>
              <w:left w:w="20" w:type="dxa"/>
              <w:right w:w="20" w:type="dxa"/>
            </w:tcMar>
          </w:tcPr>
          <w:p w14:paraId="13C26E4D" w14:textId="77777777" w:rsidR="00CE2E65" w:rsidRPr="00C41ECA" w:rsidRDefault="00CE2E65" w:rsidP="00967D46">
            <w:pPr>
              <w:pStyle w:val="PBACTabletext"/>
              <w:spacing w:before="0" w:after="0"/>
            </w:pPr>
            <w:r w:rsidRPr="35298142">
              <w:t>Sexual dimorphisms inconsistently observed in ataxia studies</w:t>
            </w:r>
          </w:p>
        </w:tc>
        <w:tc>
          <w:tcPr>
            <w:tcW w:w="1131" w:type="pct"/>
            <w:tcMar>
              <w:left w:w="20" w:type="dxa"/>
              <w:right w:w="20" w:type="dxa"/>
            </w:tcMar>
          </w:tcPr>
          <w:p w14:paraId="250E3E8A" w14:textId="77777777" w:rsidR="00CE2E65" w:rsidRPr="00C41ECA" w:rsidRDefault="00CE2E65" w:rsidP="00967D46">
            <w:pPr>
              <w:pStyle w:val="PBACTabletext"/>
              <w:spacing w:before="0" w:after="0"/>
              <w:rPr>
                <w:highlight w:val="green"/>
              </w:rPr>
            </w:pPr>
            <w:r w:rsidRPr="00C41ECA">
              <w:t>Friedman 2010</w:t>
            </w:r>
          </w:p>
        </w:tc>
        <w:tc>
          <w:tcPr>
            <w:tcW w:w="865" w:type="pct"/>
            <w:tcMar>
              <w:left w:w="20" w:type="dxa"/>
              <w:right w:w="20" w:type="dxa"/>
            </w:tcMar>
          </w:tcPr>
          <w:p w14:paraId="2E82014F" w14:textId="77777777" w:rsidR="00CE2E65" w:rsidRPr="00C41ECA" w:rsidRDefault="00CE2E65" w:rsidP="00967D46">
            <w:pPr>
              <w:pStyle w:val="PBACTabletext"/>
              <w:spacing w:before="0" w:after="0"/>
            </w:pPr>
            <w:r w:rsidRPr="00C41ECA">
              <w:t>810 (100%)</w:t>
            </w:r>
          </w:p>
        </w:tc>
        <w:tc>
          <w:tcPr>
            <w:tcW w:w="944" w:type="pct"/>
            <w:tcMar>
              <w:left w:w="20" w:type="dxa"/>
              <w:right w:w="20" w:type="dxa"/>
            </w:tcMar>
          </w:tcPr>
          <w:p w14:paraId="4C7910FC" w14:textId="77777777" w:rsidR="00CE2E65" w:rsidRPr="00C41ECA" w:rsidRDefault="00CE2E65" w:rsidP="00967D46">
            <w:pPr>
              <w:pStyle w:val="PBACTabletext"/>
              <w:spacing w:before="0" w:after="0"/>
            </w:pPr>
            <w:r w:rsidRPr="00C41ECA">
              <w:t>149 (100%)</w:t>
            </w:r>
          </w:p>
        </w:tc>
      </w:tr>
      <w:tr w:rsidR="00CE2E65" w:rsidRPr="00C41ECA" w14:paraId="56DCF230" w14:textId="77777777" w:rsidTr="35298142">
        <w:trPr>
          <w:cantSplit/>
          <w:trHeight w:val="170"/>
        </w:trPr>
        <w:tc>
          <w:tcPr>
            <w:tcW w:w="617" w:type="pct"/>
            <w:tcMar>
              <w:left w:w="20" w:type="dxa"/>
              <w:right w:w="20" w:type="dxa"/>
            </w:tcMar>
          </w:tcPr>
          <w:p w14:paraId="5C7C1732" w14:textId="77777777" w:rsidR="00CE2E65" w:rsidRPr="00C41ECA" w:rsidRDefault="00CE2E65" w:rsidP="00967D46">
            <w:pPr>
              <w:pStyle w:val="PBACTabletext"/>
              <w:spacing w:before="0" w:after="0"/>
            </w:pPr>
            <w:r w:rsidRPr="00C41ECA">
              <w:t>Gait score at baseline</w:t>
            </w:r>
          </w:p>
        </w:tc>
        <w:tc>
          <w:tcPr>
            <w:tcW w:w="1443" w:type="pct"/>
            <w:tcMar>
              <w:left w:w="20" w:type="dxa"/>
              <w:right w:w="20" w:type="dxa"/>
            </w:tcMar>
          </w:tcPr>
          <w:p w14:paraId="1F92B8A0" w14:textId="77777777" w:rsidR="00CE2E65" w:rsidRPr="00C41ECA" w:rsidRDefault="00CE2E65" w:rsidP="00967D46">
            <w:pPr>
              <w:pStyle w:val="PBACTabletext"/>
              <w:spacing w:before="0" w:after="0"/>
            </w:pPr>
            <w:r w:rsidRPr="00C41ECA">
              <w:t>Allows matching of patients at the same level of function</w:t>
            </w:r>
          </w:p>
        </w:tc>
        <w:tc>
          <w:tcPr>
            <w:tcW w:w="1131" w:type="pct"/>
            <w:tcMar>
              <w:left w:w="20" w:type="dxa"/>
              <w:right w:w="20" w:type="dxa"/>
            </w:tcMar>
          </w:tcPr>
          <w:p w14:paraId="5AC19556" w14:textId="77777777" w:rsidR="00CE2E65" w:rsidRPr="00C41ECA" w:rsidRDefault="00CE2E65" w:rsidP="00967D46">
            <w:pPr>
              <w:pStyle w:val="PBACTabletext"/>
              <w:spacing w:before="0" w:after="0"/>
            </w:pPr>
            <w:proofErr w:type="spellStart"/>
            <w:r w:rsidRPr="35298142">
              <w:t>Rummey</w:t>
            </w:r>
            <w:proofErr w:type="spellEnd"/>
            <w:r w:rsidRPr="35298142">
              <w:t xml:space="preserve"> 2022</w:t>
            </w:r>
          </w:p>
        </w:tc>
        <w:tc>
          <w:tcPr>
            <w:tcW w:w="865" w:type="pct"/>
            <w:tcMar>
              <w:left w:w="20" w:type="dxa"/>
              <w:right w:w="20" w:type="dxa"/>
            </w:tcMar>
          </w:tcPr>
          <w:p w14:paraId="4F8ADB75" w14:textId="77777777" w:rsidR="00CE2E65" w:rsidRPr="00C41ECA" w:rsidRDefault="00CE2E65" w:rsidP="00967D46">
            <w:pPr>
              <w:pStyle w:val="PBACTabletext"/>
              <w:spacing w:before="0" w:after="0"/>
            </w:pPr>
            <w:r w:rsidRPr="00C41ECA">
              <w:t>790 (97.5%)</w:t>
            </w:r>
          </w:p>
        </w:tc>
        <w:tc>
          <w:tcPr>
            <w:tcW w:w="944" w:type="pct"/>
            <w:tcMar>
              <w:left w:w="20" w:type="dxa"/>
              <w:right w:w="20" w:type="dxa"/>
            </w:tcMar>
          </w:tcPr>
          <w:p w14:paraId="1D1201D4" w14:textId="77777777" w:rsidR="00CE2E65" w:rsidRPr="00C41ECA" w:rsidRDefault="00CE2E65" w:rsidP="00967D46">
            <w:pPr>
              <w:pStyle w:val="PBACTabletext"/>
              <w:spacing w:before="0" w:after="0"/>
            </w:pPr>
            <w:r w:rsidRPr="00C41ECA">
              <w:t>149 (100%)</w:t>
            </w:r>
          </w:p>
        </w:tc>
      </w:tr>
      <w:tr w:rsidR="00CE2E65" w:rsidRPr="00C41ECA" w14:paraId="5963484A" w14:textId="77777777" w:rsidTr="35298142">
        <w:trPr>
          <w:cantSplit/>
          <w:trHeight w:val="698"/>
        </w:trPr>
        <w:tc>
          <w:tcPr>
            <w:tcW w:w="617" w:type="pct"/>
            <w:tcMar>
              <w:left w:w="20" w:type="dxa"/>
              <w:right w:w="20" w:type="dxa"/>
            </w:tcMar>
          </w:tcPr>
          <w:p w14:paraId="754402E9" w14:textId="5B4CB6A1" w:rsidR="00CE2E65" w:rsidRPr="00C41ECA" w:rsidRDefault="00CE2E65" w:rsidP="00967D46">
            <w:pPr>
              <w:pStyle w:val="PBACTabletext"/>
              <w:spacing w:before="0" w:after="0"/>
            </w:pPr>
            <w:proofErr w:type="spellStart"/>
            <w:r w:rsidRPr="35298142">
              <w:t>mFAR</w:t>
            </w:r>
            <w:r w:rsidR="009C5CE4" w:rsidRPr="35298142">
              <w:t>S</w:t>
            </w:r>
            <w:proofErr w:type="spellEnd"/>
            <w:r w:rsidRPr="35298142">
              <w:t xml:space="preserve"> score at</w:t>
            </w:r>
          </w:p>
          <w:p w14:paraId="4D309EED" w14:textId="77777777" w:rsidR="00CE2E65" w:rsidRPr="00C41ECA" w:rsidRDefault="00CE2E65" w:rsidP="00967D46">
            <w:pPr>
              <w:pStyle w:val="PBACTabletext"/>
              <w:spacing w:before="0" w:after="0"/>
            </w:pPr>
            <w:r w:rsidRPr="00C41ECA">
              <w:t>baseline</w:t>
            </w:r>
          </w:p>
        </w:tc>
        <w:tc>
          <w:tcPr>
            <w:tcW w:w="1443" w:type="pct"/>
            <w:tcMar>
              <w:left w:w="20" w:type="dxa"/>
              <w:right w:w="20" w:type="dxa"/>
            </w:tcMar>
          </w:tcPr>
          <w:p w14:paraId="5D4DD4B8" w14:textId="77777777" w:rsidR="00CE2E65" w:rsidRPr="00C41ECA" w:rsidRDefault="00CE2E65" w:rsidP="00967D46">
            <w:pPr>
              <w:pStyle w:val="PBACTabletext"/>
              <w:spacing w:before="0" w:after="0"/>
            </w:pPr>
            <w:r w:rsidRPr="00C41ECA">
              <w:t>Allows matching of patients at the same level of function</w:t>
            </w:r>
          </w:p>
        </w:tc>
        <w:tc>
          <w:tcPr>
            <w:tcW w:w="1131" w:type="pct"/>
            <w:tcMar>
              <w:left w:w="20" w:type="dxa"/>
              <w:right w:w="20" w:type="dxa"/>
            </w:tcMar>
          </w:tcPr>
          <w:p w14:paraId="0DE682E5" w14:textId="77777777" w:rsidR="00CE2E65" w:rsidRPr="00C41ECA" w:rsidRDefault="00CE2E65" w:rsidP="00967D46">
            <w:pPr>
              <w:pStyle w:val="PBACTabletext"/>
              <w:spacing w:before="0" w:after="0"/>
            </w:pPr>
            <w:proofErr w:type="spellStart"/>
            <w:r w:rsidRPr="35298142">
              <w:t>Rummey</w:t>
            </w:r>
            <w:proofErr w:type="spellEnd"/>
            <w:r w:rsidRPr="35298142">
              <w:t xml:space="preserve"> 2022</w:t>
            </w:r>
          </w:p>
        </w:tc>
        <w:tc>
          <w:tcPr>
            <w:tcW w:w="865" w:type="pct"/>
            <w:tcMar>
              <w:left w:w="20" w:type="dxa"/>
              <w:right w:w="20" w:type="dxa"/>
            </w:tcMar>
          </w:tcPr>
          <w:p w14:paraId="5F383BD1" w14:textId="77777777" w:rsidR="00CE2E65" w:rsidRPr="00C41ECA" w:rsidRDefault="00CE2E65" w:rsidP="00967D46">
            <w:pPr>
              <w:pStyle w:val="PBACTabletext"/>
              <w:spacing w:before="0" w:after="0"/>
            </w:pPr>
            <w:r w:rsidRPr="00C41ECA">
              <w:t>789 (97.4%)</w:t>
            </w:r>
          </w:p>
        </w:tc>
        <w:tc>
          <w:tcPr>
            <w:tcW w:w="944" w:type="pct"/>
            <w:tcMar>
              <w:left w:w="20" w:type="dxa"/>
              <w:right w:w="20" w:type="dxa"/>
            </w:tcMar>
          </w:tcPr>
          <w:p w14:paraId="0B5BBCB6" w14:textId="77777777" w:rsidR="00CE2E65" w:rsidRPr="00C41ECA" w:rsidRDefault="00CE2E65" w:rsidP="00967D46">
            <w:pPr>
              <w:pStyle w:val="PBACTabletext"/>
              <w:spacing w:before="0" w:after="0"/>
            </w:pPr>
            <w:r w:rsidRPr="00C41ECA">
              <w:t>149 (100%)</w:t>
            </w:r>
          </w:p>
        </w:tc>
      </w:tr>
      <w:tr w:rsidR="00CE2E65" w:rsidRPr="00C41ECA" w14:paraId="35764D48" w14:textId="77777777" w:rsidTr="35298142">
        <w:trPr>
          <w:cantSplit/>
          <w:trHeight w:val="60"/>
        </w:trPr>
        <w:tc>
          <w:tcPr>
            <w:tcW w:w="5000" w:type="pct"/>
            <w:gridSpan w:val="5"/>
            <w:tcMar>
              <w:left w:w="20" w:type="dxa"/>
              <w:right w:w="20" w:type="dxa"/>
            </w:tcMar>
          </w:tcPr>
          <w:p w14:paraId="50D9253C" w14:textId="77777777" w:rsidR="00CE2E65" w:rsidRPr="00C41ECA" w:rsidRDefault="00CE2E65" w:rsidP="00967D46">
            <w:pPr>
              <w:pStyle w:val="PBACTabletext"/>
              <w:spacing w:before="0" w:after="0"/>
              <w:rPr>
                <w:b/>
                <w:bCs/>
              </w:rPr>
            </w:pPr>
            <w:r w:rsidRPr="00C41ECA">
              <w:rPr>
                <w:b/>
                <w:bCs/>
              </w:rPr>
              <w:t>Key covariates that were not matched</w:t>
            </w:r>
          </w:p>
        </w:tc>
      </w:tr>
      <w:tr w:rsidR="00CE2E65" w:rsidRPr="00C41ECA" w14:paraId="575A5102" w14:textId="77777777" w:rsidTr="35298142">
        <w:trPr>
          <w:cantSplit/>
          <w:trHeight w:val="314"/>
        </w:trPr>
        <w:tc>
          <w:tcPr>
            <w:tcW w:w="617" w:type="pct"/>
            <w:tcMar>
              <w:left w:w="20" w:type="dxa"/>
              <w:right w:w="20" w:type="dxa"/>
            </w:tcMar>
          </w:tcPr>
          <w:p w14:paraId="167F9EDF" w14:textId="77777777" w:rsidR="00CE2E65" w:rsidRPr="00C41ECA" w:rsidRDefault="00CE2E65" w:rsidP="00967D46">
            <w:pPr>
              <w:pStyle w:val="PBACTabletext"/>
              <w:spacing w:before="0" w:after="0"/>
            </w:pPr>
            <w:r w:rsidRPr="00C41ECA">
              <w:t>GAA1 Repeat</w:t>
            </w:r>
          </w:p>
          <w:p w14:paraId="38FE9113" w14:textId="77777777" w:rsidR="00CE2E65" w:rsidRPr="00C41ECA" w:rsidRDefault="00CE2E65" w:rsidP="00967D46">
            <w:pPr>
              <w:pStyle w:val="PBACTabletext"/>
              <w:spacing w:before="0" w:after="0"/>
            </w:pPr>
            <w:r w:rsidRPr="00C41ECA">
              <w:t>Length</w:t>
            </w:r>
          </w:p>
        </w:tc>
        <w:tc>
          <w:tcPr>
            <w:tcW w:w="1443" w:type="pct"/>
            <w:tcMar>
              <w:left w:w="20" w:type="dxa"/>
              <w:right w:w="20" w:type="dxa"/>
            </w:tcMar>
          </w:tcPr>
          <w:p w14:paraId="19106B5C" w14:textId="77777777" w:rsidR="00CE2E65" w:rsidRPr="00C41ECA" w:rsidRDefault="00CE2E65" w:rsidP="00967D46">
            <w:pPr>
              <w:pStyle w:val="PBACTabletext"/>
              <w:spacing w:before="0" w:after="0"/>
            </w:pPr>
            <w:r w:rsidRPr="00C41ECA">
              <w:t>Not included, not available for all patients</w:t>
            </w:r>
          </w:p>
        </w:tc>
        <w:tc>
          <w:tcPr>
            <w:tcW w:w="1131" w:type="pct"/>
            <w:tcMar>
              <w:left w:w="20" w:type="dxa"/>
              <w:right w:w="20" w:type="dxa"/>
            </w:tcMar>
          </w:tcPr>
          <w:p w14:paraId="25F359A7" w14:textId="77777777" w:rsidR="00CE2E65" w:rsidRPr="00C41ECA" w:rsidRDefault="00CE2E65" w:rsidP="00967D46">
            <w:pPr>
              <w:pStyle w:val="PBACTabletext"/>
              <w:spacing w:before="0" w:after="0"/>
            </w:pPr>
            <w:r w:rsidRPr="00C41ECA">
              <w:t>None provided</w:t>
            </w:r>
          </w:p>
        </w:tc>
        <w:tc>
          <w:tcPr>
            <w:tcW w:w="865" w:type="pct"/>
            <w:tcMar>
              <w:left w:w="20" w:type="dxa"/>
              <w:right w:w="20" w:type="dxa"/>
            </w:tcMar>
          </w:tcPr>
          <w:p w14:paraId="03C31C1C" w14:textId="77777777" w:rsidR="00CE2E65" w:rsidRPr="00C41ECA" w:rsidRDefault="00CE2E65" w:rsidP="00967D46">
            <w:pPr>
              <w:pStyle w:val="PBACTabletext"/>
              <w:spacing w:before="0" w:after="0"/>
            </w:pPr>
            <w:r w:rsidRPr="00C41ECA">
              <w:t>745 (92.0%)</w:t>
            </w:r>
          </w:p>
        </w:tc>
        <w:tc>
          <w:tcPr>
            <w:tcW w:w="944" w:type="pct"/>
            <w:tcMar>
              <w:left w:w="20" w:type="dxa"/>
              <w:right w:w="20" w:type="dxa"/>
            </w:tcMar>
          </w:tcPr>
          <w:p w14:paraId="6F1A19BD" w14:textId="77777777" w:rsidR="00CE2E65" w:rsidRPr="00C41ECA" w:rsidRDefault="00CE2E65" w:rsidP="00967D46">
            <w:pPr>
              <w:pStyle w:val="PBACTabletext"/>
              <w:spacing w:before="0" w:after="0"/>
            </w:pPr>
            <w:r w:rsidRPr="00C41ECA">
              <w:t>131 (87.9%)</w:t>
            </w:r>
          </w:p>
        </w:tc>
      </w:tr>
      <w:tr w:rsidR="00CE2E65" w:rsidRPr="00C41ECA" w14:paraId="26EF5388" w14:textId="77777777" w:rsidTr="35298142">
        <w:trPr>
          <w:cantSplit/>
          <w:trHeight w:val="434"/>
        </w:trPr>
        <w:tc>
          <w:tcPr>
            <w:tcW w:w="617" w:type="pct"/>
            <w:tcMar>
              <w:left w:w="20" w:type="dxa"/>
              <w:right w:w="20" w:type="dxa"/>
            </w:tcMar>
          </w:tcPr>
          <w:p w14:paraId="3EE2A28D" w14:textId="77777777" w:rsidR="00CE2E65" w:rsidRPr="00C41ECA" w:rsidRDefault="00CE2E65" w:rsidP="00967D46">
            <w:pPr>
              <w:pStyle w:val="PBACTabletext"/>
              <w:spacing w:before="0" w:after="0"/>
            </w:pPr>
            <w:r w:rsidRPr="35298142">
              <w:t xml:space="preserve">Pes </w:t>
            </w:r>
            <w:proofErr w:type="spellStart"/>
            <w:r w:rsidRPr="35298142">
              <w:t>cavus</w:t>
            </w:r>
            <w:proofErr w:type="spellEnd"/>
            <w:r w:rsidRPr="35298142">
              <w:t xml:space="preserve"> </w:t>
            </w:r>
            <w:proofErr w:type="spellStart"/>
            <w:r w:rsidRPr="35298142">
              <w:t>status</w:t>
            </w:r>
            <w:r w:rsidRPr="35298142">
              <w:rPr>
                <w:vertAlign w:val="superscript"/>
              </w:rPr>
              <w:t>a</w:t>
            </w:r>
            <w:proofErr w:type="spellEnd"/>
          </w:p>
        </w:tc>
        <w:tc>
          <w:tcPr>
            <w:tcW w:w="1443" w:type="pct"/>
            <w:tcMar>
              <w:left w:w="20" w:type="dxa"/>
              <w:right w:w="20" w:type="dxa"/>
            </w:tcMar>
          </w:tcPr>
          <w:p w14:paraId="1782D97C" w14:textId="77777777" w:rsidR="00CE2E65" w:rsidRPr="00C41ECA" w:rsidRDefault="00CE2E65" w:rsidP="00967D46">
            <w:pPr>
              <w:pStyle w:val="PBACTabletext"/>
              <w:spacing w:before="0" w:after="0"/>
            </w:pPr>
            <w:r w:rsidRPr="00C41ECA">
              <w:t>Not included, not systematically recorded in FACOMS</w:t>
            </w:r>
          </w:p>
        </w:tc>
        <w:tc>
          <w:tcPr>
            <w:tcW w:w="1131" w:type="pct"/>
            <w:tcMar>
              <w:left w:w="20" w:type="dxa"/>
              <w:right w:w="20" w:type="dxa"/>
            </w:tcMar>
          </w:tcPr>
          <w:p w14:paraId="11DE30DB" w14:textId="77777777" w:rsidR="00CE2E65" w:rsidRPr="00C41ECA" w:rsidRDefault="00CE2E65" w:rsidP="00967D46">
            <w:pPr>
              <w:pStyle w:val="PBACTabletext"/>
              <w:spacing w:before="0" w:after="0"/>
            </w:pPr>
            <w:r w:rsidRPr="00C41ECA">
              <w:t>None provided</w:t>
            </w:r>
          </w:p>
        </w:tc>
        <w:tc>
          <w:tcPr>
            <w:tcW w:w="865" w:type="pct"/>
            <w:tcMar>
              <w:left w:w="20" w:type="dxa"/>
              <w:right w:w="20" w:type="dxa"/>
            </w:tcMar>
          </w:tcPr>
          <w:p w14:paraId="14050DFD" w14:textId="77777777" w:rsidR="00CE2E65" w:rsidRPr="00C41ECA" w:rsidRDefault="00CE2E65" w:rsidP="00967D46">
            <w:pPr>
              <w:pStyle w:val="PBACTabletext"/>
              <w:spacing w:before="0" w:after="0"/>
            </w:pPr>
            <w:r w:rsidRPr="00C41ECA">
              <w:t>432 (53.3%)</w:t>
            </w:r>
          </w:p>
        </w:tc>
        <w:tc>
          <w:tcPr>
            <w:tcW w:w="944" w:type="pct"/>
            <w:tcMar>
              <w:left w:w="20" w:type="dxa"/>
              <w:right w:w="20" w:type="dxa"/>
            </w:tcMar>
          </w:tcPr>
          <w:p w14:paraId="20F660E1" w14:textId="77777777" w:rsidR="00CE2E65" w:rsidRPr="00C41ECA" w:rsidRDefault="00CE2E65" w:rsidP="00967D46">
            <w:pPr>
              <w:pStyle w:val="PBACTabletext"/>
              <w:spacing w:before="0" w:after="0"/>
            </w:pPr>
            <w:r w:rsidRPr="00C41ECA">
              <w:t>149 (100%)</w:t>
            </w:r>
          </w:p>
        </w:tc>
      </w:tr>
    </w:tbl>
    <w:p w14:paraId="4664604C" w14:textId="77777777" w:rsidR="00CE2E65" w:rsidRPr="00C41ECA" w:rsidRDefault="00CE2E65" w:rsidP="00CE2E65">
      <w:pPr>
        <w:pStyle w:val="TableFooter"/>
        <w:rPr>
          <w:rStyle w:val="TableFigureFooterChar"/>
        </w:rPr>
      </w:pPr>
      <w:r w:rsidRPr="00C41ECA">
        <w:rPr>
          <w:rStyle w:val="TableFigureFooterChar"/>
        </w:rPr>
        <w:t>Source: Table 2-43, p143 of the submission.</w:t>
      </w:r>
    </w:p>
    <w:p w14:paraId="13CF1FED" w14:textId="77777777" w:rsidR="00CE2E65" w:rsidRPr="00C41ECA" w:rsidRDefault="00CE2E65" w:rsidP="35298142">
      <w:pPr>
        <w:pStyle w:val="TableFooter"/>
        <w:rPr>
          <w:rStyle w:val="TableFigureFooterChar"/>
        </w:rPr>
      </w:pPr>
      <w:r w:rsidRPr="35298142">
        <w:rPr>
          <w:rStyle w:val="TableFigureFooterChar"/>
        </w:rPr>
        <w:t>FA=</w:t>
      </w:r>
      <w:r w:rsidRPr="35298142">
        <w:rPr>
          <w:rFonts w:eastAsiaTheme="minorEastAsia" w:cstheme="minorBidi"/>
          <w:sz w:val="22"/>
          <w:szCs w:val="22"/>
          <w:lang w:eastAsia="en-US"/>
        </w:rPr>
        <w:t xml:space="preserve"> </w:t>
      </w:r>
      <w:r w:rsidRPr="35298142">
        <w:rPr>
          <w:snapToGrid w:val="0"/>
        </w:rPr>
        <w:t xml:space="preserve">Friedreich’s ataxia; </w:t>
      </w:r>
      <w:r w:rsidRPr="35298142">
        <w:rPr>
          <w:rStyle w:val="TableFigureFooterChar"/>
        </w:rPr>
        <w:t>FACOMS=</w:t>
      </w:r>
      <w:r w:rsidRPr="35298142">
        <w:rPr>
          <w:rFonts w:eastAsiaTheme="minorEastAsia" w:cstheme="minorBidi"/>
          <w:sz w:val="22"/>
          <w:szCs w:val="22"/>
          <w:lang w:eastAsia="en-US"/>
        </w:rPr>
        <w:t xml:space="preserve"> </w:t>
      </w:r>
      <w:r w:rsidRPr="35298142">
        <w:rPr>
          <w:snapToGrid w:val="0"/>
        </w:rPr>
        <w:t>Friedreich's Ataxia Clinical Outcome Measures Study; GAA=</w:t>
      </w:r>
      <w:r w:rsidRPr="35298142">
        <w:rPr>
          <w:rFonts w:eastAsiaTheme="minorEastAsia" w:cstheme="minorBidi"/>
          <w:sz w:val="22"/>
          <w:szCs w:val="22"/>
          <w:lang w:eastAsia="en-US"/>
        </w:rPr>
        <w:t xml:space="preserve"> </w:t>
      </w:r>
      <w:r w:rsidRPr="35298142">
        <w:rPr>
          <w:snapToGrid w:val="0"/>
        </w:rPr>
        <w:t xml:space="preserve">guanosine adenosine </w:t>
      </w:r>
      <w:proofErr w:type="spellStart"/>
      <w:r w:rsidRPr="35298142">
        <w:rPr>
          <w:snapToGrid w:val="0"/>
        </w:rPr>
        <w:t>adenosine</w:t>
      </w:r>
      <w:proofErr w:type="spellEnd"/>
      <w:r w:rsidRPr="35298142">
        <w:rPr>
          <w:snapToGrid w:val="0"/>
        </w:rPr>
        <w:t xml:space="preserve">; </w:t>
      </w:r>
      <w:proofErr w:type="spellStart"/>
      <w:r w:rsidRPr="35298142">
        <w:rPr>
          <w:snapToGrid w:val="0"/>
        </w:rPr>
        <w:t>mFARS</w:t>
      </w:r>
      <w:proofErr w:type="spellEnd"/>
      <w:r w:rsidRPr="35298142">
        <w:rPr>
          <w:snapToGrid w:val="0"/>
        </w:rPr>
        <w:t>=</w:t>
      </w:r>
      <w:r w:rsidRPr="35298142">
        <w:rPr>
          <w:rFonts w:eastAsiaTheme="minorEastAsia" w:cstheme="minorBidi"/>
          <w:sz w:val="22"/>
          <w:szCs w:val="22"/>
          <w:lang w:eastAsia="en-US"/>
        </w:rPr>
        <w:t xml:space="preserve"> </w:t>
      </w:r>
      <w:r w:rsidRPr="35298142">
        <w:rPr>
          <w:snapToGrid w:val="0"/>
        </w:rPr>
        <w:t>modified Friedreich’s ataxia rating scale.</w:t>
      </w:r>
    </w:p>
    <w:p w14:paraId="0C08722F" w14:textId="2013BAF4" w:rsidR="00CE2E65" w:rsidRDefault="00CE2E65" w:rsidP="00CE2E65">
      <w:pPr>
        <w:pStyle w:val="TableFooter"/>
      </w:pPr>
      <w:proofErr w:type="spellStart"/>
      <w:r w:rsidRPr="35298142">
        <w:rPr>
          <w:rStyle w:val="TableFigureFooterChar"/>
          <w:vertAlign w:val="superscript"/>
        </w:rPr>
        <w:t>a</w:t>
      </w:r>
      <w:proofErr w:type="spellEnd"/>
      <w:r w:rsidR="002D27EA">
        <w:rPr>
          <w:rStyle w:val="TableFigureFooterChar"/>
          <w:vertAlign w:val="superscript"/>
        </w:rPr>
        <w:t xml:space="preserve"> </w:t>
      </w:r>
      <w:r w:rsidRPr="35298142">
        <w:rPr>
          <w:rStyle w:val="TableFigureFooterChar"/>
        </w:rPr>
        <w:t xml:space="preserve">The definition of pes </w:t>
      </w:r>
      <w:proofErr w:type="spellStart"/>
      <w:r w:rsidRPr="35298142">
        <w:rPr>
          <w:rStyle w:val="TableFigureFooterChar"/>
        </w:rPr>
        <w:t>cavus</w:t>
      </w:r>
      <w:proofErr w:type="spellEnd"/>
      <w:r w:rsidRPr="35298142">
        <w:rPr>
          <w:rStyle w:val="TableFigureFooterChar"/>
        </w:rPr>
        <w:t xml:space="preserve"> between the two studies was not consistent. Pes </w:t>
      </w:r>
      <w:proofErr w:type="spellStart"/>
      <w:r w:rsidRPr="35298142">
        <w:rPr>
          <w:rStyle w:val="TableFigureFooterChar"/>
        </w:rPr>
        <w:t>cavus</w:t>
      </w:r>
      <w:proofErr w:type="spellEnd"/>
      <w:r w:rsidRPr="35298142">
        <w:rPr>
          <w:rStyle w:val="TableFigureFooterChar"/>
        </w:rPr>
        <w:t xml:space="preserve"> was based on clinical judgment in </w:t>
      </w:r>
      <w:r w:rsidR="00993B41" w:rsidRPr="35298142">
        <w:rPr>
          <w:rStyle w:val="TableFigureFooterChar"/>
        </w:rPr>
        <w:t>FACOMS</w:t>
      </w:r>
      <w:r w:rsidRPr="35298142">
        <w:rPr>
          <w:rStyle w:val="TableFigureFooterChar"/>
        </w:rPr>
        <w:t xml:space="preserve">; however, </w:t>
      </w:r>
      <w:proofErr w:type="spellStart"/>
      <w:r w:rsidRPr="35298142">
        <w:rPr>
          <w:rStyle w:val="TableFigureFooterChar"/>
        </w:rPr>
        <w:t>MOXIe</w:t>
      </w:r>
      <w:proofErr w:type="spellEnd"/>
      <w:r w:rsidRPr="35298142">
        <w:rPr>
          <w:rStyle w:val="TableFigureFooterChar"/>
        </w:rPr>
        <w:t xml:space="preserve"> Extension defined a flashlight test such that if light was visible under the arch of the foot while standing the patient was deemed as having pes </w:t>
      </w:r>
      <w:proofErr w:type="spellStart"/>
      <w:r w:rsidRPr="35298142">
        <w:rPr>
          <w:rStyle w:val="TableFigureFooterChar"/>
        </w:rPr>
        <w:t>cavus</w:t>
      </w:r>
      <w:proofErr w:type="spellEnd"/>
      <w:r w:rsidRPr="35298142">
        <w:t>.</w:t>
      </w:r>
    </w:p>
    <w:p w14:paraId="0B7A058B" w14:textId="77777777" w:rsidR="00A345D6" w:rsidRPr="00C41ECA" w:rsidRDefault="00A345D6" w:rsidP="00CE2E65">
      <w:pPr>
        <w:pStyle w:val="TableFooter"/>
      </w:pPr>
    </w:p>
    <w:p w14:paraId="1ED9FD8A" w14:textId="1F2ACD8B" w:rsidR="00CE2E65" w:rsidRPr="00C41ECA" w:rsidRDefault="00CE2E65" w:rsidP="00593406">
      <w:pPr>
        <w:pStyle w:val="Caption"/>
      </w:pPr>
      <w:bookmarkStart w:id="33" w:name="_Ref187067042"/>
      <w:r w:rsidRPr="35298142">
        <w:t xml:space="preserve">Table </w:t>
      </w:r>
      <w:r w:rsidRPr="35298142">
        <w:fldChar w:fldCharType="begin"/>
      </w:r>
      <w:r>
        <w:instrText xml:space="preserve"> SEQ Table \* ARABIC </w:instrText>
      </w:r>
      <w:r w:rsidRPr="35298142">
        <w:fldChar w:fldCharType="separate"/>
      </w:r>
      <w:r w:rsidR="003A4643">
        <w:rPr>
          <w:noProof/>
        </w:rPr>
        <w:t>11</w:t>
      </w:r>
      <w:r w:rsidRPr="35298142">
        <w:rPr>
          <w:noProof/>
        </w:rPr>
        <w:fldChar w:fldCharType="end"/>
      </w:r>
      <w:bookmarkEnd w:id="33"/>
      <w:r w:rsidRPr="35298142">
        <w:t xml:space="preserve">: Demographics and baseline FACOMS covariates matched to </w:t>
      </w:r>
      <w:proofErr w:type="spellStart"/>
      <w:r w:rsidRPr="35298142">
        <w:t>MOXIe</w:t>
      </w:r>
      <w:proofErr w:type="spellEnd"/>
      <w:r w:rsidRPr="35298142">
        <w:t xml:space="preserve"> Extension for propensity score calculation</w:t>
      </w:r>
    </w:p>
    <w:tbl>
      <w:tblPr>
        <w:tblStyle w:val="TableGrid"/>
        <w:tblW w:w="5000" w:type="pct"/>
        <w:tblLook w:val="04A0" w:firstRow="1" w:lastRow="0" w:firstColumn="1" w:lastColumn="0" w:noHBand="0" w:noVBand="1"/>
        <w:tblCaption w:val="Table 11: Demographics and baseline FACOMS covariates matched to MOXIe Extension for propensity score calculation"/>
      </w:tblPr>
      <w:tblGrid>
        <w:gridCol w:w="3955"/>
        <w:gridCol w:w="2671"/>
        <w:gridCol w:w="2391"/>
      </w:tblGrid>
      <w:tr w:rsidR="00CE2E65" w:rsidRPr="00C41ECA" w14:paraId="35895F4E" w14:textId="77777777" w:rsidTr="35298142">
        <w:trPr>
          <w:cantSplit/>
        </w:trPr>
        <w:tc>
          <w:tcPr>
            <w:tcW w:w="2193" w:type="pct"/>
            <w:tcBorders>
              <w:bottom w:val="single" w:sz="4" w:space="0" w:color="auto"/>
            </w:tcBorders>
          </w:tcPr>
          <w:p w14:paraId="2BE061C3" w14:textId="77777777" w:rsidR="00CE2E65" w:rsidRPr="00C41ECA" w:rsidRDefault="00CE2E65" w:rsidP="00593406">
            <w:pPr>
              <w:pStyle w:val="PBACTableText0"/>
              <w:keepNext/>
              <w:keepLines/>
              <w:spacing w:before="0" w:after="0"/>
              <w:rPr>
                <w:b/>
              </w:rPr>
            </w:pPr>
          </w:p>
        </w:tc>
        <w:tc>
          <w:tcPr>
            <w:tcW w:w="1481" w:type="pct"/>
            <w:tcBorders>
              <w:bottom w:val="single" w:sz="4" w:space="0" w:color="auto"/>
            </w:tcBorders>
          </w:tcPr>
          <w:p w14:paraId="5A134C61" w14:textId="77777777" w:rsidR="00CE2E65" w:rsidRPr="00C41ECA" w:rsidRDefault="00CE2E65" w:rsidP="00593406">
            <w:pPr>
              <w:pStyle w:val="PBACTableText0"/>
              <w:keepNext/>
              <w:keepLines/>
              <w:spacing w:before="0" w:after="0"/>
              <w:rPr>
                <w:b/>
              </w:rPr>
            </w:pPr>
            <w:r w:rsidRPr="00C41ECA">
              <w:rPr>
                <w:b/>
              </w:rPr>
              <w:t>Matched FACOMS (n=136)</w:t>
            </w:r>
          </w:p>
        </w:tc>
        <w:tc>
          <w:tcPr>
            <w:tcW w:w="1326" w:type="pct"/>
            <w:tcBorders>
              <w:bottom w:val="single" w:sz="4" w:space="0" w:color="auto"/>
            </w:tcBorders>
          </w:tcPr>
          <w:p w14:paraId="31661D93" w14:textId="77777777" w:rsidR="00CE2E65" w:rsidRPr="00C41ECA" w:rsidRDefault="00CE2E65" w:rsidP="35298142">
            <w:pPr>
              <w:pStyle w:val="PBACTableText0"/>
              <w:keepNext/>
              <w:keepLines/>
              <w:spacing w:before="0" w:after="0"/>
              <w:rPr>
                <w:b/>
                <w:bCs/>
              </w:rPr>
            </w:pPr>
            <w:proofErr w:type="spellStart"/>
            <w:r w:rsidRPr="35298142">
              <w:rPr>
                <w:b/>
                <w:bCs/>
              </w:rPr>
              <w:t>MOXIe</w:t>
            </w:r>
            <w:proofErr w:type="spellEnd"/>
            <w:r w:rsidRPr="35298142">
              <w:rPr>
                <w:b/>
                <w:bCs/>
              </w:rPr>
              <w:t xml:space="preserve"> Extension (N=136)</w:t>
            </w:r>
          </w:p>
        </w:tc>
      </w:tr>
      <w:tr w:rsidR="00CE2E65" w:rsidRPr="00C41ECA" w14:paraId="68425984" w14:textId="77777777" w:rsidTr="35298142">
        <w:trPr>
          <w:cantSplit/>
        </w:trPr>
        <w:tc>
          <w:tcPr>
            <w:tcW w:w="5000" w:type="pct"/>
            <w:gridSpan w:val="3"/>
          </w:tcPr>
          <w:p w14:paraId="7219F113" w14:textId="77777777" w:rsidR="00CE2E65" w:rsidRPr="00C41ECA" w:rsidRDefault="00CE2E65" w:rsidP="00593406">
            <w:pPr>
              <w:pStyle w:val="PBACTableText0"/>
              <w:keepNext/>
              <w:keepLines/>
              <w:spacing w:before="0" w:after="0"/>
              <w:rPr>
                <w:b/>
                <w:bCs/>
              </w:rPr>
            </w:pPr>
            <w:r w:rsidRPr="00C41ECA">
              <w:rPr>
                <w:b/>
                <w:bCs/>
              </w:rPr>
              <w:t>Covariates</w:t>
            </w:r>
          </w:p>
        </w:tc>
      </w:tr>
      <w:tr w:rsidR="00CE2E65" w:rsidRPr="00C41ECA" w14:paraId="783D81F3" w14:textId="77777777" w:rsidTr="35298142">
        <w:trPr>
          <w:cantSplit/>
        </w:trPr>
        <w:tc>
          <w:tcPr>
            <w:tcW w:w="2193" w:type="pct"/>
          </w:tcPr>
          <w:p w14:paraId="54710148" w14:textId="77777777" w:rsidR="00CE2E65" w:rsidRPr="00C41ECA" w:rsidRDefault="00CE2E65" w:rsidP="00593406">
            <w:pPr>
              <w:pStyle w:val="PBACTableText0"/>
              <w:keepNext/>
              <w:keepLines/>
              <w:spacing w:before="0" w:after="0"/>
            </w:pPr>
            <w:r w:rsidRPr="00C41ECA">
              <w:t>Age in years, mean (SD)</w:t>
            </w:r>
          </w:p>
        </w:tc>
        <w:tc>
          <w:tcPr>
            <w:tcW w:w="1481" w:type="pct"/>
          </w:tcPr>
          <w:p w14:paraId="0E4B0951" w14:textId="77777777" w:rsidR="00CE2E65" w:rsidRPr="00C41ECA" w:rsidRDefault="00CE2E65" w:rsidP="00593406">
            <w:pPr>
              <w:pStyle w:val="PBACTableText0"/>
              <w:keepNext/>
              <w:keepLines/>
              <w:spacing w:before="0" w:after="0"/>
            </w:pPr>
            <w:r w:rsidRPr="00C41ECA">
              <w:t>26.2 (13.7)</w:t>
            </w:r>
          </w:p>
        </w:tc>
        <w:tc>
          <w:tcPr>
            <w:tcW w:w="1326" w:type="pct"/>
          </w:tcPr>
          <w:p w14:paraId="6FB119F3" w14:textId="77777777" w:rsidR="00CE2E65" w:rsidRPr="00C41ECA" w:rsidRDefault="00CE2E65" w:rsidP="00593406">
            <w:pPr>
              <w:pStyle w:val="PBACTableText0"/>
              <w:keepNext/>
              <w:keepLines/>
              <w:spacing w:before="0" w:after="0"/>
            </w:pPr>
            <w:r w:rsidRPr="00C41ECA">
              <w:t>26.6 (7.3)</w:t>
            </w:r>
          </w:p>
        </w:tc>
      </w:tr>
      <w:tr w:rsidR="00CE2E65" w:rsidRPr="00C41ECA" w14:paraId="06B60C30" w14:textId="77777777" w:rsidTr="35298142">
        <w:trPr>
          <w:cantSplit/>
        </w:trPr>
        <w:tc>
          <w:tcPr>
            <w:tcW w:w="2193" w:type="pct"/>
          </w:tcPr>
          <w:p w14:paraId="6AAF3F16" w14:textId="77777777" w:rsidR="00CE2E65" w:rsidRPr="00C41ECA" w:rsidRDefault="00CE2E65" w:rsidP="00593406">
            <w:pPr>
              <w:pStyle w:val="PBACTableText0"/>
              <w:keepNext/>
              <w:keepLines/>
              <w:spacing w:before="0" w:after="0"/>
            </w:pPr>
            <w:r w:rsidRPr="00C41ECA">
              <w:t>Age at FA onset in years, mean (SD)</w:t>
            </w:r>
          </w:p>
        </w:tc>
        <w:tc>
          <w:tcPr>
            <w:tcW w:w="1481" w:type="pct"/>
          </w:tcPr>
          <w:p w14:paraId="601419EA" w14:textId="77777777" w:rsidR="00CE2E65" w:rsidRPr="00C41ECA" w:rsidRDefault="00CE2E65" w:rsidP="00593406">
            <w:pPr>
              <w:pStyle w:val="PBACTableText0"/>
              <w:keepNext/>
              <w:keepLines/>
              <w:spacing w:before="0" w:after="0"/>
            </w:pPr>
            <w:r w:rsidRPr="00C41ECA">
              <w:t>15.2 (10.2)</w:t>
            </w:r>
          </w:p>
        </w:tc>
        <w:tc>
          <w:tcPr>
            <w:tcW w:w="1326" w:type="pct"/>
          </w:tcPr>
          <w:p w14:paraId="7E330790" w14:textId="77777777" w:rsidR="00CE2E65" w:rsidRPr="00C41ECA" w:rsidRDefault="00CE2E65" w:rsidP="00593406">
            <w:pPr>
              <w:pStyle w:val="PBACTableText0"/>
              <w:keepNext/>
              <w:keepLines/>
              <w:spacing w:before="0" w:after="0"/>
            </w:pPr>
            <w:r w:rsidRPr="00C41ECA">
              <w:t>15.5 (5.3)</w:t>
            </w:r>
          </w:p>
        </w:tc>
      </w:tr>
      <w:tr w:rsidR="00CE2E65" w:rsidRPr="00C41ECA" w14:paraId="49656877" w14:textId="77777777" w:rsidTr="35298142">
        <w:trPr>
          <w:cantSplit/>
        </w:trPr>
        <w:tc>
          <w:tcPr>
            <w:tcW w:w="2193" w:type="pct"/>
          </w:tcPr>
          <w:p w14:paraId="10FE3E12" w14:textId="77777777" w:rsidR="00CE2E65" w:rsidRPr="00C41ECA" w:rsidRDefault="00CE2E65" w:rsidP="00593406">
            <w:pPr>
              <w:pStyle w:val="PBACTableText0"/>
              <w:keepNext/>
              <w:keepLines/>
              <w:spacing w:before="0" w:after="0"/>
            </w:pPr>
            <w:r w:rsidRPr="00C41ECA">
              <w:t>Sex, n (%)</w:t>
            </w:r>
          </w:p>
        </w:tc>
        <w:tc>
          <w:tcPr>
            <w:tcW w:w="1481" w:type="pct"/>
          </w:tcPr>
          <w:p w14:paraId="049FE799" w14:textId="77777777" w:rsidR="00CE2E65" w:rsidRPr="00C41ECA" w:rsidRDefault="00CE2E65" w:rsidP="00593406">
            <w:pPr>
              <w:pStyle w:val="PBACTableText0"/>
              <w:keepNext/>
              <w:keepLines/>
              <w:spacing w:before="0" w:after="0"/>
            </w:pPr>
            <w:r w:rsidRPr="00C41ECA">
              <w:t xml:space="preserve">70 (51.5%) </w:t>
            </w:r>
          </w:p>
        </w:tc>
        <w:tc>
          <w:tcPr>
            <w:tcW w:w="1326" w:type="pct"/>
          </w:tcPr>
          <w:p w14:paraId="05848EC2" w14:textId="77777777" w:rsidR="00CE2E65" w:rsidRPr="00C41ECA" w:rsidRDefault="00CE2E65" w:rsidP="00593406">
            <w:pPr>
              <w:pStyle w:val="PBACTableText0"/>
              <w:keepNext/>
              <w:keepLines/>
              <w:spacing w:before="0" w:after="0"/>
            </w:pPr>
            <w:r w:rsidRPr="00C41ECA">
              <w:t>70 (51.5%)</w:t>
            </w:r>
          </w:p>
        </w:tc>
      </w:tr>
      <w:tr w:rsidR="00CE2E65" w:rsidRPr="00C41ECA" w14:paraId="7F800B85" w14:textId="77777777" w:rsidTr="35298142">
        <w:trPr>
          <w:cantSplit/>
        </w:trPr>
        <w:tc>
          <w:tcPr>
            <w:tcW w:w="2193" w:type="pct"/>
          </w:tcPr>
          <w:p w14:paraId="52657BB7" w14:textId="77777777" w:rsidR="00CE2E65" w:rsidRPr="00C41ECA" w:rsidRDefault="00CE2E65" w:rsidP="00593406">
            <w:pPr>
              <w:pStyle w:val="PBACTableText0"/>
              <w:keepNext/>
              <w:keepLines/>
              <w:spacing w:before="0" w:after="0"/>
            </w:pPr>
            <w:proofErr w:type="spellStart"/>
            <w:r w:rsidRPr="35298142">
              <w:t>mFARS</w:t>
            </w:r>
            <w:proofErr w:type="spellEnd"/>
          </w:p>
        </w:tc>
        <w:tc>
          <w:tcPr>
            <w:tcW w:w="1481" w:type="pct"/>
          </w:tcPr>
          <w:p w14:paraId="1A47F732" w14:textId="77777777" w:rsidR="00CE2E65" w:rsidRPr="00C41ECA" w:rsidRDefault="00CE2E65" w:rsidP="00593406">
            <w:pPr>
              <w:pStyle w:val="PBACTableText0"/>
              <w:keepNext/>
              <w:keepLines/>
              <w:spacing w:before="0" w:after="0"/>
            </w:pPr>
            <w:r w:rsidRPr="00C41ECA">
              <w:t xml:space="preserve">41.0 (16.1) </w:t>
            </w:r>
          </w:p>
        </w:tc>
        <w:tc>
          <w:tcPr>
            <w:tcW w:w="1326" w:type="pct"/>
          </w:tcPr>
          <w:p w14:paraId="55E2F93A" w14:textId="77777777" w:rsidR="00CE2E65" w:rsidRPr="00C41ECA" w:rsidRDefault="00CE2E65" w:rsidP="00593406">
            <w:pPr>
              <w:pStyle w:val="PBACTableText0"/>
              <w:keepNext/>
              <w:keepLines/>
              <w:spacing w:before="0" w:after="0"/>
            </w:pPr>
            <w:r w:rsidRPr="00C41ECA">
              <w:t>42.2 (12.6)</w:t>
            </w:r>
          </w:p>
        </w:tc>
      </w:tr>
      <w:tr w:rsidR="00CE2E65" w:rsidRPr="00C41ECA" w14:paraId="7316AAE0" w14:textId="77777777" w:rsidTr="35298142">
        <w:trPr>
          <w:cantSplit/>
        </w:trPr>
        <w:tc>
          <w:tcPr>
            <w:tcW w:w="2193" w:type="pct"/>
            <w:tcBorders>
              <w:bottom w:val="single" w:sz="4" w:space="0" w:color="auto"/>
            </w:tcBorders>
          </w:tcPr>
          <w:p w14:paraId="6E46EB45" w14:textId="77777777" w:rsidR="00CE2E65" w:rsidRPr="00C41ECA" w:rsidRDefault="00CE2E65" w:rsidP="00593406">
            <w:pPr>
              <w:pStyle w:val="PBACTableText0"/>
              <w:keepNext/>
              <w:keepLines/>
              <w:spacing w:before="0" w:after="0"/>
            </w:pPr>
            <w:r w:rsidRPr="00C41ECA">
              <w:t>Gait</w:t>
            </w:r>
            <w:r w:rsidRPr="00C41ECA">
              <w:rPr>
                <w:vertAlign w:val="superscript"/>
              </w:rPr>
              <w:t>a</w:t>
            </w:r>
          </w:p>
        </w:tc>
        <w:tc>
          <w:tcPr>
            <w:tcW w:w="1481" w:type="pct"/>
            <w:tcBorders>
              <w:bottom w:val="single" w:sz="4" w:space="0" w:color="auto"/>
            </w:tcBorders>
          </w:tcPr>
          <w:p w14:paraId="31BC9CF2" w14:textId="77777777" w:rsidR="00CE2E65" w:rsidRPr="00C41ECA" w:rsidRDefault="00CE2E65" w:rsidP="00593406">
            <w:pPr>
              <w:pStyle w:val="PBACTableText0"/>
              <w:keepNext/>
              <w:keepLines/>
              <w:spacing w:before="0" w:after="0"/>
            </w:pPr>
            <w:r w:rsidRPr="00C41ECA">
              <w:t>2.7 (1.69)</w:t>
            </w:r>
          </w:p>
        </w:tc>
        <w:tc>
          <w:tcPr>
            <w:tcW w:w="1326" w:type="pct"/>
            <w:tcBorders>
              <w:bottom w:val="single" w:sz="4" w:space="0" w:color="auto"/>
            </w:tcBorders>
          </w:tcPr>
          <w:p w14:paraId="2BDDB287" w14:textId="77777777" w:rsidR="00CE2E65" w:rsidRPr="00C41ECA" w:rsidRDefault="00CE2E65" w:rsidP="00593406">
            <w:pPr>
              <w:pStyle w:val="PBACTableText0"/>
              <w:keepNext/>
              <w:keepLines/>
              <w:spacing w:before="0" w:after="0"/>
            </w:pPr>
            <w:r w:rsidRPr="00C41ECA">
              <w:t>2.8 (1.36)</w:t>
            </w:r>
          </w:p>
        </w:tc>
      </w:tr>
      <w:tr w:rsidR="00CE2E65" w:rsidRPr="00C41ECA" w14:paraId="4ECAD596" w14:textId="77777777" w:rsidTr="35298142">
        <w:trPr>
          <w:cantSplit/>
        </w:trPr>
        <w:tc>
          <w:tcPr>
            <w:tcW w:w="5000" w:type="pct"/>
            <w:gridSpan w:val="3"/>
          </w:tcPr>
          <w:p w14:paraId="47A6384E" w14:textId="77777777" w:rsidR="00CE2E65" w:rsidRPr="00C41ECA" w:rsidRDefault="00CE2E65" w:rsidP="00593406">
            <w:pPr>
              <w:pStyle w:val="PBACTableText0"/>
              <w:keepNext/>
              <w:keepLines/>
              <w:spacing w:before="0" w:after="0"/>
              <w:rPr>
                <w:b/>
              </w:rPr>
            </w:pPr>
            <w:r w:rsidRPr="00C41ECA">
              <w:rPr>
                <w:b/>
                <w:bCs/>
              </w:rPr>
              <w:t xml:space="preserve">Other characteristics </w:t>
            </w:r>
            <w:r w:rsidRPr="00C41ECA">
              <w:rPr>
                <w:b/>
                <w:bCs/>
                <w:vertAlign w:val="superscript"/>
              </w:rPr>
              <w:t>b</w:t>
            </w:r>
          </w:p>
        </w:tc>
      </w:tr>
      <w:tr w:rsidR="00CE2E65" w:rsidRPr="00C41ECA" w14:paraId="4F89BA72" w14:textId="77777777" w:rsidTr="35298142">
        <w:trPr>
          <w:cantSplit/>
        </w:trPr>
        <w:tc>
          <w:tcPr>
            <w:tcW w:w="2193" w:type="pct"/>
          </w:tcPr>
          <w:p w14:paraId="5670BFBF" w14:textId="77777777" w:rsidR="00CE2E65" w:rsidRPr="00C41ECA" w:rsidRDefault="00CE2E65" w:rsidP="00593406">
            <w:pPr>
              <w:pStyle w:val="PBACTableText0"/>
              <w:keepNext/>
              <w:keepLines/>
              <w:spacing w:before="0" w:after="0"/>
            </w:pPr>
            <w:r w:rsidRPr="00C41ECA">
              <w:t>White n (%)</w:t>
            </w:r>
          </w:p>
        </w:tc>
        <w:tc>
          <w:tcPr>
            <w:tcW w:w="1481" w:type="pct"/>
          </w:tcPr>
          <w:p w14:paraId="3E78DD93" w14:textId="77777777" w:rsidR="00CE2E65" w:rsidRPr="00C41ECA" w:rsidRDefault="00CE2E65" w:rsidP="00593406">
            <w:pPr>
              <w:pStyle w:val="PBACTableText0"/>
              <w:keepNext/>
              <w:keepLines/>
              <w:spacing w:before="0" w:after="0"/>
            </w:pPr>
            <w:r w:rsidRPr="00C41ECA">
              <w:t>125 (96.2%)</w:t>
            </w:r>
          </w:p>
        </w:tc>
        <w:tc>
          <w:tcPr>
            <w:tcW w:w="1326" w:type="pct"/>
          </w:tcPr>
          <w:p w14:paraId="3DD92C6A" w14:textId="77777777" w:rsidR="00CE2E65" w:rsidRPr="00C41ECA" w:rsidRDefault="00CE2E65" w:rsidP="00593406">
            <w:pPr>
              <w:pStyle w:val="PBACTableText0"/>
              <w:keepNext/>
              <w:keepLines/>
              <w:spacing w:before="0" w:after="0"/>
            </w:pPr>
            <w:r w:rsidRPr="00C41ECA">
              <w:t>133 (97.8%)</w:t>
            </w:r>
          </w:p>
        </w:tc>
      </w:tr>
      <w:tr w:rsidR="00CE2E65" w:rsidRPr="00C41ECA" w14:paraId="422A0C90" w14:textId="77777777" w:rsidTr="35298142">
        <w:trPr>
          <w:cantSplit/>
        </w:trPr>
        <w:tc>
          <w:tcPr>
            <w:tcW w:w="2193" w:type="pct"/>
          </w:tcPr>
          <w:p w14:paraId="71C27C61" w14:textId="77777777" w:rsidR="00CE2E65" w:rsidRPr="00C41ECA" w:rsidRDefault="00CE2E65" w:rsidP="00593406">
            <w:pPr>
              <w:pStyle w:val="PBACTableText0"/>
              <w:keepNext/>
              <w:keepLines/>
              <w:spacing w:before="0" w:after="0"/>
            </w:pPr>
            <w:r w:rsidRPr="00C41ECA">
              <w:t>BMI (kg/m</w:t>
            </w:r>
            <w:r w:rsidRPr="00C41ECA">
              <w:rPr>
                <w:vertAlign w:val="superscript"/>
              </w:rPr>
              <w:t>2</w:t>
            </w:r>
            <w:r w:rsidRPr="00C41ECA">
              <w:t>)</w:t>
            </w:r>
          </w:p>
        </w:tc>
        <w:tc>
          <w:tcPr>
            <w:tcW w:w="1481" w:type="pct"/>
          </w:tcPr>
          <w:p w14:paraId="4D2A94B1" w14:textId="77777777" w:rsidR="00CE2E65" w:rsidRPr="00C41ECA" w:rsidRDefault="00CE2E65" w:rsidP="00593406">
            <w:pPr>
              <w:pStyle w:val="PBACTableText0"/>
              <w:keepNext/>
              <w:keepLines/>
              <w:spacing w:before="0" w:after="0"/>
            </w:pPr>
            <w:r w:rsidRPr="00C41ECA">
              <w:t>22.0 (5.7)</w:t>
            </w:r>
          </w:p>
        </w:tc>
        <w:tc>
          <w:tcPr>
            <w:tcW w:w="1326" w:type="pct"/>
          </w:tcPr>
          <w:p w14:paraId="75972316" w14:textId="77777777" w:rsidR="00CE2E65" w:rsidRPr="00C41ECA" w:rsidRDefault="00CE2E65" w:rsidP="00593406">
            <w:pPr>
              <w:pStyle w:val="PBACTableText0"/>
              <w:keepNext/>
              <w:keepLines/>
              <w:spacing w:before="0" w:after="0"/>
            </w:pPr>
            <w:r w:rsidRPr="00C41ECA">
              <w:t>24.0 (5.2)</w:t>
            </w:r>
          </w:p>
        </w:tc>
      </w:tr>
      <w:tr w:rsidR="00CE2E65" w:rsidRPr="00C41ECA" w14:paraId="77B331A4" w14:textId="77777777" w:rsidTr="35298142">
        <w:trPr>
          <w:cantSplit/>
        </w:trPr>
        <w:tc>
          <w:tcPr>
            <w:tcW w:w="2193" w:type="pct"/>
          </w:tcPr>
          <w:p w14:paraId="6230B6AB" w14:textId="77777777" w:rsidR="00CE2E65" w:rsidRPr="00C41ECA" w:rsidRDefault="00CE2E65" w:rsidP="00593406">
            <w:pPr>
              <w:pStyle w:val="PBACTableText0"/>
              <w:keepNext/>
              <w:keepLines/>
              <w:spacing w:before="0" w:after="0"/>
            </w:pPr>
            <w:r w:rsidRPr="00C41ECA">
              <w:t>ADL Total Score</w:t>
            </w:r>
          </w:p>
        </w:tc>
        <w:tc>
          <w:tcPr>
            <w:tcW w:w="1481" w:type="pct"/>
          </w:tcPr>
          <w:p w14:paraId="01DCAD78" w14:textId="77777777" w:rsidR="00CE2E65" w:rsidRPr="00C41ECA" w:rsidRDefault="00CE2E65" w:rsidP="00593406">
            <w:pPr>
              <w:pStyle w:val="PBACTableText0"/>
              <w:keepNext/>
              <w:keepLines/>
              <w:spacing w:before="0" w:after="0"/>
            </w:pPr>
            <w:r w:rsidRPr="00C41ECA">
              <w:t>11.8 (5.9)</w:t>
            </w:r>
          </w:p>
        </w:tc>
        <w:tc>
          <w:tcPr>
            <w:tcW w:w="1326" w:type="pct"/>
          </w:tcPr>
          <w:p w14:paraId="09F784ED" w14:textId="77777777" w:rsidR="00CE2E65" w:rsidRPr="00C41ECA" w:rsidRDefault="00CE2E65" w:rsidP="00593406">
            <w:pPr>
              <w:pStyle w:val="PBACTableText0"/>
              <w:keepNext/>
              <w:keepLines/>
              <w:spacing w:before="0" w:after="0"/>
            </w:pPr>
            <w:r w:rsidRPr="00C41ECA">
              <w:t>12.5 (4.9)</w:t>
            </w:r>
          </w:p>
        </w:tc>
      </w:tr>
      <w:tr w:rsidR="00CE2E65" w:rsidRPr="00C41ECA" w14:paraId="64343BE4" w14:textId="77777777" w:rsidTr="35298142">
        <w:trPr>
          <w:cantSplit/>
        </w:trPr>
        <w:tc>
          <w:tcPr>
            <w:tcW w:w="2193" w:type="pct"/>
          </w:tcPr>
          <w:p w14:paraId="30846498" w14:textId="77777777" w:rsidR="00CE2E65" w:rsidRPr="00C41ECA" w:rsidRDefault="00CE2E65" w:rsidP="00593406">
            <w:pPr>
              <w:pStyle w:val="PBACTableText0"/>
              <w:keepNext/>
              <w:keepLines/>
              <w:spacing w:before="0" w:after="0"/>
            </w:pPr>
            <w:r w:rsidRPr="00C41ECA">
              <w:t>GAA1 Repeat Length</w:t>
            </w:r>
          </w:p>
        </w:tc>
        <w:tc>
          <w:tcPr>
            <w:tcW w:w="1481" w:type="pct"/>
          </w:tcPr>
          <w:p w14:paraId="6213E7DE" w14:textId="77777777" w:rsidR="00CE2E65" w:rsidRPr="00C41ECA" w:rsidRDefault="00CE2E65" w:rsidP="00593406">
            <w:pPr>
              <w:pStyle w:val="PBACTableText0"/>
              <w:keepNext/>
              <w:keepLines/>
              <w:spacing w:before="0" w:after="0"/>
            </w:pPr>
            <w:r w:rsidRPr="00C41ECA">
              <w:t>589.7 (245.5)</w:t>
            </w:r>
          </w:p>
        </w:tc>
        <w:tc>
          <w:tcPr>
            <w:tcW w:w="1326" w:type="pct"/>
          </w:tcPr>
          <w:p w14:paraId="30B328E2" w14:textId="77777777" w:rsidR="00CE2E65" w:rsidRPr="00C41ECA" w:rsidRDefault="00CE2E65" w:rsidP="00593406">
            <w:pPr>
              <w:pStyle w:val="PBACTableText0"/>
              <w:keepNext/>
              <w:keepLines/>
              <w:spacing w:before="0" w:after="0"/>
            </w:pPr>
            <w:r w:rsidRPr="00C41ECA">
              <w:t>720.9 (269.6)</w:t>
            </w:r>
          </w:p>
        </w:tc>
      </w:tr>
      <w:tr w:rsidR="00CE2E65" w:rsidRPr="00C41ECA" w14:paraId="1D690B87" w14:textId="77777777" w:rsidTr="35298142">
        <w:trPr>
          <w:cantSplit/>
        </w:trPr>
        <w:tc>
          <w:tcPr>
            <w:tcW w:w="2193" w:type="pct"/>
          </w:tcPr>
          <w:p w14:paraId="42EA9935" w14:textId="77777777" w:rsidR="00CE2E65" w:rsidRPr="00C41ECA" w:rsidRDefault="00CE2E65" w:rsidP="00593406">
            <w:pPr>
              <w:pStyle w:val="PBACTableText0"/>
              <w:keepNext/>
              <w:keepLines/>
              <w:spacing w:before="0" w:after="0"/>
            </w:pPr>
            <w:r w:rsidRPr="00C41ECA">
              <w:t>GAA2 Repeat Length</w:t>
            </w:r>
          </w:p>
        </w:tc>
        <w:tc>
          <w:tcPr>
            <w:tcW w:w="1481" w:type="pct"/>
          </w:tcPr>
          <w:p w14:paraId="3D045800" w14:textId="77777777" w:rsidR="00CE2E65" w:rsidRPr="00C41ECA" w:rsidRDefault="00CE2E65" w:rsidP="00593406">
            <w:pPr>
              <w:pStyle w:val="PBACTableText0"/>
              <w:keepNext/>
              <w:keepLines/>
              <w:spacing w:before="0" w:after="0"/>
            </w:pPr>
            <w:r w:rsidRPr="00C41ECA">
              <w:t>862.8 (232.4)</w:t>
            </w:r>
          </w:p>
        </w:tc>
        <w:tc>
          <w:tcPr>
            <w:tcW w:w="1326" w:type="pct"/>
          </w:tcPr>
          <w:p w14:paraId="6AB0D85B" w14:textId="6025AC93" w:rsidR="00CE2E65" w:rsidRPr="00C41ECA" w:rsidRDefault="00CE2E65" w:rsidP="00593406">
            <w:pPr>
              <w:pStyle w:val="PBACTableText0"/>
              <w:keepNext/>
              <w:keepLines/>
              <w:spacing w:before="0" w:after="0"/>
            </w:pPr>
            <w:r w:rsidRPr="00C41ECA">
              <w:t>727.6 (296.9)</w:t>
            </w:r>
          </w:p>
        </w:tc>
      </w:tr>
    </w:tbl>
    <w:p w14:paraId="61EC062B" w14:textId="77777777" w:rsidR="00CE2E65" w:rsidRPr="00C41ECA" w:rsidRDefault="00CE2E65" w:rsidP="00593406">
      <w:pPr>
        <w:pStyle w:val="TableFooter"/>
        <w:keepNext/>
        <w:keepLines/>
      </w:pPr>
      <w:r w:rsidRPr="00C41ECA">
        <w:t>Source: Table 2-44, p144 of the submission.</w:t>
      </w:r>
    </w:p>
    <w:p w14:paraId="36B58E71" w14:textId="77777777" w:rsidR="00CE2E65" w:rsidRPr="00C41ECA" w:rsidRDefault="00CE2E65" w:rsidP="00593406">
      <w:pPr>
        <w:pStyle w:val="TableFooter"/>
        <w:keepNext/>
        <w:keepLines/>
      </w:pPr>
      <w:r w:rsidRPr="35298142">
        <w:rPr>
          <w:rStyle w:val="TableFigureFooterChar"/>
        </w:rPr>
        <w:t>BMI=body mass index; FA=</w:t>
      </w:r>
      <w:r w:rsidRPr="35298142">
        <w:rPr>
          <w:snapToGrid w:val="0"/>
        </w:rPr>
        <w:t xml:space="preserve">Friedreich’s ataxia; </w:t>
      </w:r>
      <w:r w:rsidRPr="35298142">
        <w:rPr>
          <w:rStyle w:val="TableFigureFooterChar"/>
        </w:rPr>
        <w:t>FACOMS=</w:t>
      </w:r>
      <w:r w:rsidRPr="35298142">
        <w:rPr>
          <w:rFonts w:asciiTheme="minorHAnsi" w:eastAsiaTheme="minorEastAsia" w:hAnsiTheme="minorHAnsi" w:cstheme="minorBidi"/>
          <w:sz w:val="22"/>
          <w:szCs w:val="22"/>
          <w:lang w:eastAsia="en-US"/>
        </w:rPr>
        <w:t xml:space="preserve"> </w:t>
      </w:r>
      <w:r w:rsidRPr="35298142">
        <w:rPr>
          <w:snapToGrid w:val="0"/>
        </w:rPr>
        <w:t>Friedreich's Ataxia Clinical Outcome Measures Study; GAA=</w:t>
      </w:r>
      <w:r w:rsidRPr="35298142">
        <w:rPr>
          <w:rFonts w:asciiTheme="minorHAnsi" w:eastAsiaTheme="minorEastAsia" w:hAnsiTheme="minorHAnsi" w:cstheme="minorBidi"/>
          <w:sz w:val="22"/>
          <w:szCs w:val="22"/>
          <w:lang w:eastAsia="en-US"/>
        </w:rPr>
        <w:t xml:space="preserve"> </w:t>
      </w:r>
      <w:r w:rsidRPr="35298142">
        <w:rPr>
          <w:snapToGrid w:val="0"/>
        </w:rPr>
        <w:t xml:space="preserve">guanosine adenosine </w:t>
      </w:r>
      <w:proofErr w:type="spellStart"/>
      <w:r w:rsidRPr="35298142">
        <w:rPr>
          <w:snapToGrid w:val="0"/>
        </w:rPr>
        <w:t>adenosine</w:t>
      </w:r>
      <w:proofErr w:type="spellEnd"/>
      <w:r w:rsidRPr="35298142">
        <w:rPr>
          <w:snapToGrid w:val="0"/>
        </w:rPr>
        <w:t xml:space="preserve">; </w:t>
      </w:r>
      <w:proofErr w:type="spellStart"/>
      <w:r w:rsidRPr="35298142">
        <w:rPr>
          <w:snapToGrid w:val="0"/>
        </w:rPr>
        <w:t>mFARS</w:t>
      </w:r>
      <w:proofErr w:type="spellEnd"/>
      <w:r w:rsidRPr="35298142">
        <w:rPr>
          <w:snapToGrid w:val="0"/>
        </w:rPr>
        <w:t>=</w:t>
      </w:r>
      <w:r w:rsidRPr="35298142">
        <w:rPr>
          <w:rFonts w:asciiTheme="minorHAnsi" w:eastAsiaTheme="minorEastAsia" w:hAnsiTheme="minorHAnsi" w:cstheme="minorBidi"/>
          <w:sz w:val="22"/>
          <w:szCs w:val="22"/>
          <w:lang w:eastAsia="en-US"/>
        </w:rPr>
        <w:t xml:space="preserve"> </w:t>
      </w:r>
      <w:r w:rsidRPr="35298142">
        <w:rPr>
          <w:snapToGrid w:val="0"/>
        </w:rPr>
        <w:t>modified Friedreich’s ataxia rating scale</w:t>
      </w:r>
    </w:p>
    <w:p w14:paraId="6E265153" w14:textId="77777777" w:rsidR="00CE2E65" w:rsidRPr="00C41ECA" w:rsidRDefault="00CE2E65" w:rsidP="00593406">
      <w:pPr>
        <w:pStyle w:val="TableFooter"/>
        <w:keepNext/>
        <w:keepLines/>
      </w:pPr>
      <w:proofErr w:type="spellStart"/>
      <w:r w:rsidRPr="35298142">
        <w:rPr>
          <w:vertAlign w:val="superscript"/>
        </w:rPr>
        <w:t>a</w:t>
      </w:r>
      <w:proofErr w:type="spellEnd"/>
      <w:r w:rsidRPr="35298142">
        <w:t xml:space="preserve"> Assessment in FARS subsection E-Upright stability</w:t>
      </w:r>
    </w:p>
    <w:p w14:paraId="4F0AD9E8" w14:textId="77777777" w:rsidR="00CE2E65" w:rsidRPr="00C41ECA" w:rsidRDefault="00CE2E65" w:rsidP="00A345D6">
      <w:pPr>
        <w:pStyle w:val="TableFooter"/>
      </w:pPr>
      <w:r w:rsidRPr="00C41ECA">
        <w:rPr>
          <w:vertAlign w:val="superscript"/>
        </w:rPr>
        <w:t xml:space="preserve">b </w:t>
      </w:r>
      <w:r w:rsidRPr="00C41ECA">
        <w:t>Note number of patients in either cohort varied across other characteristics due to missing data</w:t>
      </w:r>
    </w:p>
    <w:p w14:paraId="6E5683C0" w14:textId="2F8B28D5" w:rsidR="00CE2E65" w:rsidRPr="00C41ECA" w:rsidRDefault="00CE2E65" w:rsidP="00CE2E65">
      <w:pPr>
        <w:pStyle w:val="3-BodyText"/>
      </w:pPr>
      <w:r w:rsidRPr="00C41ECA">
        <w:rPr>
          <w:lang w:val="en-GB"/>
        </w:rPr>
        <w:t>Baseline characteristics</w:t>
      </w:r>
      <w:r w:rsidR="00302B10" w:rsidRPr="00C41ECA">
        <w:rPr>
          <w:lang w:val="en-GB"/>
        </w:rPr>
        <w:t>,</w:t>
      </w:r>
      <w:r w:rsidRPr="00C41ECA">
        <w:rPr>
          <w:lang w:val="en-GB"/>
        </w:rPr>
        <w:t xml:space="preserve"> particularly those used as covariates for determining the propensity scores (</w:t>
      </w:r>
      <w:proofErr w:type="spellStart"/>
      <w:r w:rsidRPr="00C41ECA">
        <w:rPr>
          <w:lang w:val="en-GB"/>
        </w:rPr>
        <w:t>mFARS</w:t>
      </w:r>
      <w:proofErr w:type="spellEnd"/>
      <w:r w:rsidRPr="00C41ECA">
        <w:rPr>
          <w:lang w:val="en-GB"/>
        </w:rPr>
        <w:t xml:space="preserve">, Gait, and ADL), appeared balanced between the FACOMS and </w:t>
      </w:r>
      <w:proofErr w:type="spellStart"/>
      <w:r w:rsidRPr="00C41ECA">
        <w:rPr>
          <w:lang w:val="en-GB"/>
        </w:rPr>
        <w:t>MOXIe</w:t>
      </w:r>
      <w:proofErr w:type="spellEnd"/>
      <w:r w:rsidRPr="00C41ECA">
        <w:rPr>
          <w:lang w:val="en-GB"/>
        </w:rPr>
        <w:t xml:space="preserve"> Extension groups</w:t>
      </w:r>
    </w:p>
    <w:p w14:paraId="0809613A" w14:textId="626D49CA" w:rsidR="00CE2E65" w:rsidRPr="00C41ECA" w:rsidRDefault="00CE2E65" w:rsidP="00CE2E65">
      <w:pPr>
        <w:pStyle w:val="3-BodyText"/>
      </w:pPr>
      <w:r w:rsidRPr="35298142">
        <w:t xml:space="preserve">Prognostic covariates such as GAA1 repeat length and pes </w:t>
      </w:r>
      <w:proofErr w:type="spellStart"/>
      <w:r w:rsidRPr="35298142">
        <w:t>cavus</w:t>
      </w:r>
      <w:proofErr w:type="spellEnd"/>
      <w:r w:rsidRPr="35298142">
        <w:t xml:space="preserve"> were considered but not included due to </w:t>
      </w:r>
      <w:r w:rsidR="00261A25" w:rsidRPr="35298142">
        <w:t>incomplete</w:t>
      </w:r>
      <w:r w:rsidRPr="35298142">
        <w:t xml:space="preserve"> GAA1 data </w:t>
      </w:r>
      <w:r w:rsidR="00261A25" w:rsidRPr="35298142">
        <w:t xml:space="preserve">for </w:t>
      </w:r>
      <w:r w:rsidRPr="35298142">
        <w:t xml:space="preserve">all patients and differences in the method of evaluation of pes </w:t>
      </w:r>
      <w:proofErr w:type="spellStart"/>
      <w:r w:rsidRPr="35298142">
        <w:t>cavus</w:t>
      </w:r>
      <w:proofErr w:type="spellEnd"/>
      <w:r w:rsidRPr="35298142">
        <w:t xml:space="preserve"> between studies</w:t>
      </w:r>
      <w:r w:rsidRPr="35298142">
        <w:rPr>
          <w:rStyle w:val="FootnoteReference"/>
        </w:rPr>
        <w:footnoteReference w:id="7"/>
      </w:r>
      <w:r w:rsidRPr="35298142">
        <w:t>.</w:t>
      </w:r>
    </w:p>
    <w:p w14:paraId="6AE3A6F0" w14:textId="7B6E74B4" w:rsidR="00CE2E65" w:rsidRPr="00C41ECA" w:rsidRDefault="00CE2E65" w:rsidP="00CE2E65">
      <w:pPr>
        <w:pStyle w:val="3-BodyText"/>
      </w:pPr>
      <w:r w:rsidRPr="35298142">
        <w:t xml:space="preserve">Results from the propensity score matched analysis for change in </w:t>
      </w:r>
      <w:proofErr w:type="spellStart"/>
      <w:r w:rsidR="000B25A3" w:rsidRPr="35298142">
        <w:t>mFARS</w:t>
      </w:r>
      <w:proofErr w:type="spellEnd"/>
      <w:r w:rsidRPr="35298142">
        <w:t xml:space="preserve"> from baseline at 3 years are summarised in </w:t>
      </w:r>
      <w:r>
        <w:fldChar w:fldCharType="begin"/>
      </w:r>
      <w:r>
        <w:instrText xml:space="preserve"> REF _Ref187067438 \h  \* MERGEFORMAT </w:instrText>
      </w:r>
      <w:r>
        <w:fldChar w:fldCharType="separate"/>
      </w:r>
      <w:r w:rsidR="003A4643" w:rsidRPr="35298142">
        <w:t xml:space="preserve">Table </w:t>
      </w:r>
      <w:r w:rsidR="003A4643">
        <w:rPr>
          <w:noProof/>
        </w:rPr>
        <w:t>12</w:t>
      </w:r>
      <w:r>
        <w:fldChar w:fldCharType="end"/>
      </w:r>
      <w:r w:rsidRPr="35298142">
        <w:t>.</w:t>
      </w:r>
    </w:p>
    <w:p w14:paraId="3A884038" w14:textId="449C06AD" w:rsidR="00CE2E65" w:rsidRPr="00C41ECA" w:rsidRDefault="00CE2E65" w:rsidP="00CE2E65">
      <w:pPr>
        <w:pStyle w:val="Caption"/>
      </w:pPr>
      <w:bookmarkStart w:id="34" w:name="_Ref187067438"/>
      <w:r w:rsidRPr="35298142">
        <w:t xml:space="preserve">Table </w:t>
      </w:r>
      <w:r w:rsidRPr="35298142">
        <w:fldChar w:fldCharType="begin"/>
      </w:r>
      <w:r>
        <w:instrText xml:space="preserve"> SEQ Table \* ARABIC </w:instrText>
      </w:r>
      <w:r w:rsidRPr="35298142">
        <w:fldChar w:fldCharType="separate"/>
      </w:r>
      <w:r w:rsidR="003A4643">
        <w:rPr>
          <w:noProof/>
        </w:rPr>
        <w:t>12</w:t>
      </w:r>
      <w:r w:rsidRPr="35298142">
        <w:rPr>
          <w:noProof/>
        </w:rPr>
        <w:fldChar w:fldCharType="end"/>
      </w:r>
      <w:bookmarkEnd w:id="34"/>
      <w:r w:rsidRPr="35298142">
        <w:t xml:space="preserve">: Change from baseline in </w:t>
      </w:r>
      <w:proofErr w:type="spellStart"/>
      <w:r w:rsidRPr="35298142">
        <w:t>mFARS</w:t>
      </w:r>
      <w:proofErr w:type="spellEnd"/>
      <w:r w:rsidRPr="35298142">
        <w:t xml:space="preserve"> at 3 years: PSMA</w:t>
      </w:r>
    </w:p>
    <w:tbl>
      <w:tblPr>
        <w:tblStyle w:val="TableGrid"/>
        <w:tblW w:w="0" w:type="auto"/>
        <w:tblLook w:val="04A0" w:firstRow="1" w:lastRow="0" w:firstColumn="1" w:lastColumn="0" w:noHBand="0" w:noVBand="1"/>
        <w:tblCaption w:val="Table 12: Change from baseline in mFARS at 3 years: PSMA"/>
      </w:tblPr>
      <w:tblGrid>
        <w:gridCol w:w="4248"/>
        <w:gridCol w:w="2362"/>
        <w:gridCol w:w="2205"/>
      </w:tblGrid>
      <w:tr w:rsidR="00CE2E65" w:rsidRPr="00C41ECA" w14:paraId="393EC549" w14:textId="77777777" w:rsidTr="35298142">
        <w:tc>
          <w:tcPr>
            <w:tcW w:w="4248" w:type="dxa"/>
            <w:tcBorders>
              <w:bottom w:val="single" w:sz="4" w:space="0" w:color="auto"/>
            </w:tcBorders>
          </w:tcPr>
          <w:p w14:paraId="18148813" w14:textId="77777777" w:rsidR="00CE2E65" w:rsidRPr="00C41ECA" w:rsidRDefault="00CE2E65" w:rsidP="00BE2308">
            <w:pPr>
              <w:pStyle w:val="PBACTableText0"/>
              <w:keepNext/>
              <w:keepLines/>
              <w:widowControl w:val="0"/>
              <w:spacing w:before="0" w:after="0"/>
              <w:rPr>
                <w:b/>
                <w:bCs/>
              </w:rPr>
            </w:pPr>
          </w:p>
        </w:tc>
        <w:tc>
          <w:tcPr>
            <w:tcW w:w="2362" w:type="dxa"/>
            <w:tcBorders>
              <w:bottom w:val="single" w:sz="4" w:space="0" w:color="auto"/>
            </w:tcBorders>
          </w:tcPr>
          <w:p w14:paraId="66B511AC" w14:textId="5EA7AE70" w:rsidR="00CE2E65" w:rsidRPr="00C41ECA" w:rsidRDefault="00CE2E65" w:rsidP="00BE2308">
            <w:pPr>
              <w:pStyle w:val="PBACTableText0"/>
              <w:keepNext/>
              <w:keepLines/>
              <w:widowControl w:val="0"/>
              <w:spacing w:before="0" w:after="0"/>
              <w:jc w:val="center"/>
              <w:rPr>
                <w:b/>
                <w:bCs/>
              </w:rPr>
            </w:pPr>
            <w:r w:rsidRPr="00C41ECA">
              <w:rPr>
                <w:b/>
                <w:bCs/>
              </w:rPr>
              <w:t>Matched FACOMS (N=136)</w:t>
            </w:r>
          </w:p>
        </w:tc>
        <w:tc>
          <w:tcPr>
            <w:tcW w:w="2205" w:type="dxa"/>
            <w:tcBorders>
              <w:bottom w:val="single" w:sz="4" w:space="0" w:color="auto"/>
            </w:tcBorders>
          </w:tcPr>
          <w:p w14:paraId="4B73EC58" w14:textId="77777777" w:rsidR="00CE2E65" w:rsidRPr="00C41ECA" w:rsidRDefault="00CE2E65" w:rsidP="35298142">
            <w:pPr>
              <w:pStyle w:val="PBACTableText0"/>
              <w:keepNext/>
              <w:keepLines/>
              <w:widowControl w:val="0"/>
              <w:spacing w:before="0" w:after="0"/>
              <w:jc w:val="center"/>
              <w:rPr>
                <w:b/>
                <w:bCs/>
              </w:rPr>
            </w:pPr>
            <w:proofErr w:type="spellStart"/>
            <w:r w:rsidRPr="35298142">
              <w:rPr>
                <w:b/>
                <w:bCs/>
              </w:rPr>
              <w:t>MOXIe</w:t>
            </w:r>
            <w:proofErr w:type="spellEnd"/>
            <w:r w:rsidRPr="35298142">
              <w:rPr>
                <w:b/>
                <w:bCs/>
              </w:rPr>
              <w:t xml:space="preserve"> Extension (N=136)</w:t>
            </w:r>
          </w:p>
        </w:tc>
      </w:tr>
      <w:tr w:rsidR="00CE2E65" w:rsidRPr="00C41ECA" w14:paraId="7924321C" w14:textId="77777777" w:rsidTr="35298142">
        <w:tc>
          <w:tcPr>
            <w:tcW w:w="4248" w:type="dxa"/>
          </w:tcPr>
          <w:p w14:paraId="382348C7" w14:textId="77777777" w:rsidR="00CE2E65" w:rsidRPr="00C41ECA" w:rsidRDefault="00CE2E65" w:rsidP="00BE2308">
            <w:pPr>
              <w:pStyle w:val="PBACTableText0"/>
              <w:keepNext/>
              <w:keepLines/>
              <w:widowControl w:val="0"/>
              <w:spacing w:before="0" w:after="0"/>
            </w:pPr>
            <w:r w:rsidRPr="00C41ECA">
              <w:t>Baseline, mean (SD)</w:t>
            </w:r>
          </w:p>
        </w:tc>
        <w:tc>
          <w:tcPr>
            <w:tcW w:w="2362" w:type="dxa"/>
          </w:tcPr>
          <w:p w14:paraId="3CABCA2B" w14:textId="77777777" w:rsidR="00CE2E65" w:rsidRPr="00C41ECA" w:rsidRDefault="00CE2E65" w:rsidP="00BE2308">
            <w:pPr>
              <w:pStyle w:val="PBACTableText0"/>
              <w:keepNext/>
              <w:keepLines/>
              <w:widowControl w:val="0"/>
              <w:spacing w:before="0" w:after="0"/>
              <w:jc w:val="center"/>
            </w:pPr>
            <w:r w:rsidRPr="00C41ECA">
              <w:t>41.0 (16.1)</w:t>
            </w:r>
          </w:p>
        </w:tc>
        <w:tc>
          <w:tcPr>
            <w:tcW w:w="2205" w:type="dxa"/>
          </w:tcPr>
          <w:p w14:paraId="25779F3A" w14:textId="77777777" w:rsidR="00CE2E65" w:rsidRPr="00C41ECA" w:rsidRDefault="00CE2E65" w:rsidP="00BE2308">
            <w:pPr>
              <w:pStyle w:val="PBACTableText0"/>
              <w:keepNext/>
              <w:keepLines/>
              <w:widowControl w:val="0"/>
              <w:spacing w:before="0" w:after="0"/>
              <w:jc w:val="center"/>
            </w:pPr>
            <w:r w:rsidRPr="00C41ECA">
              <w:t>42.2 (12.6)</w:t>
            </w:r>
          </w:p>
        </w:tc>
      </w:tr>
      <w:tr w:rsidR="00CE2E65" w:rsidRPr="00C41ECA" w14:paraId="7F21D4C8" w14:textId="77777777" w:rsidTr="35298142">
        <w:tc>
          <w:tcPr>
            <w:tcW w:w="4248" w:type="dxa"/>
          </w:tcPr>
          <w:p w14:paraId="7CA3454B" w14:textId="77777777" w:rsidR="00CE2E65" w:rsidRPr="00C41ECA" w:rsidRDefault="00CE2E65" w:rsidP="00BE2308">
            <w:pPr>
              <w:pStyle w:val="PBACTableText0"/>
              <w:keepNext/>
              <w:keepLines/>
              <w:widowControl w:val="0"/>
              <w:spacing w:before="0" w:after="0"/>
            </w:pPr>
            <w:proofErr w:type="spellStart"/>
            <w:r w:rsidRPr="35298142">
              <w:t>mFARS</w:t>
            </w:r>
            <w:proofErr w:type="spellEnd"/>
            <w:r w:rsidRPr="35298142">
              <w:t xml:space="preserve"> change from baseline (LS mean [SE]), year 3</w:t>
            </w:r>
          </w:p>
        </w:tc>
        <w:tc>
          <w:tcPr>
            <w:tcW w:w="2362" w:type="dxa"/>
          </w:tcPr>
          <w:p w14:paraId="1EA64875" w14:textId="77777777" w:rsidR="00CE2E65" w:rsidRPr="00C41ECA" w:rsidRDefault="00CE2E65" w:rsidP="00BE2308">
            <w:pPr>
              <w:pStyle w:val="PBACTableText0"/>
              <w:keepNext/>
              <w:keepLines/>
              <w:widowControl w:val="0"/>
              <w:spacing w:before="0" w:after="0"/>
              <w:jc w:val="center"/>
            </w:pPr>
            <w:r w:rsidRPr="00C41ECA">
              <w:t>6.61 (0.65)</w:t>
            </w:r>
          </w:p>
        </w:tc>
        <w:tc>
          <w:tcPr>
            <w:tcW w:w="2205" w:type="dxa"/>
          </w:tcPr>
          <w:p w14:paraId="6C366DDE" w14:textId="77777777" w:rsidR="00CE2E65" w:rsidRPr="00C41ECA" w:rsidRDefault="00CE2E65" w:rsidP="00BE2308">
            <w:pPr>
              <w:pStyle w:val="PBACTableText0"/>
              <w:keepNext/>
              <w:keepLines/>
              <w:widowControl w:val="0"/>
              <w:spacing w:before="0" w:after="0"/>
              <w:jc w:val="center"/>
            </w:pPr>
            <w:r w:rsidRPr="00C41ECA">
              <w:t>3.00 (0.66)</w:t>
            </w:r>
          </w:p>
        </w:tc>
      </w:tr>
      <w:tr w:rsidR="00CE2E65" w:rsidRPr="00C41ECA" w14:paraId="2754ABFA" w14:textId="77777777" w:rsidTr="35298142">
        <w:tc>
          <w:tcPr>
            <w:tcW w:w="4248" w:type="dxa"/>
          </w:tcPr>
          <w:p w14:paraId="4FECF5AA" w14:textId="77777777" w:rsidR="00CE2E65" w:rsidRPr="00C41ECA" w:rsidRDefault="00CE2E65" w:rsidP="00BE2308">
            <w:pPr>
              <w:pStyle w:val="PBACTableText0"/>
              <w:keepNext/>
              <w:keepLines/>
              <w:widowControl w:val="0"/>
              <w:spacing w:before="0" w:after="0"/>
            </w:pPr>
            <w:r w:rsidRPr="00C41ECA">
              <w:t>Differences at year 3</w:t>
            </w:r>
          </w:p>
        </w:tc>
        <w:tc>
          <w:tcPr>
            <w:tcW w:w="4567" w:type="dxa"/>
            <w:gridSpan w:val="2"/>
          </w:tcPr>
          <w:p w14:paraId="50996215" w14:textId="69C66F04" w:rsidR="00CE2E65" w:rsidRPr="00C41ECA" w:rsidRDefault="008F3862" w:rsidP="00BE2308">
            <w:pPr>
              <w:pStyle w:val="PBACTableText0"/>
              <w:keepNext/>
              <w:keepLines/>
              <w:widowControl w:val="0"/>
              <w:spacing w:before="0" w:after="0"/>
              <w:jc w:val="center"/>
            </w:pPr>
            <w:r>
              <w:t>-</w:t>
            </w:r>
            <w:r w:rsidR="00CE2E65" w:rsidRPr="00C41ECA">
              <w:t>3.61 (0.93); p=0.0001</w:t>
            </w:r>
          </w:p>
        </w:tc>
      </w:tr>
    </w:tbl>
    <w:p w14:paraId="76566252" w14:textId="77777777" w:rsidR="00CE2E65" w:rsidRPr="00C41ECA" w:rsidRDefault="00CE2E65" w:rsidP="00CE2E65">
      <w:pPr>
        <w:pStyle w:val="TableFooter"/>
      </w:pPr>
      <w:r w:rsidRPr="35298142">
        <w:t>FACOMS=</w:t>
      </w:r>
      <w:r w:rsidRPr="35298142">
        <w:rPr>
          <w:rFonts w:asciiTheme="minorHAnsi" w:eastAsiaTheme="minorEastAsia" w:hAnsiTheme="minorHAnsi" w:cstheme="minorBidi"/>
          <w:sz w:val="22"/>
          <w:szCs w:val="22"/>
          <w:lang w:eastAsia="en-US"/>
        </w:rPr>
        <w:t xml:space="preserve"> </w:t>
      </w:r>
      <w:r w:rsidRPr="35298142">
        <w:t xml:space="preserve">Friedreich's Ataxia Clinical Outcome Measures Study; LS=least squares; </w:t>
      </w:r>
      <w:proofErr w:type="spellStart"/>
      <w:r w:rsidRPr="35298142">
        <w:t>mFARS</w:t>
      </w:r>
      <w:proofErr w:type="spellEnd"/>
      <w:r w:rsidRPr="35298142">
        <w:t>=modified Friedreich’s ataxia rating scale; PSMA=propensity-score matched analysis; SD=standard deviation; SE=standard error</w:t>
      </w:r>
    </w:p>
    <w:p w14:paraId="7F435D06" w14:textId="77777777" w:rsidR="00CE2E65" w:rsidRPr="00C41ECA" w:rsidRDefault="00CE2E65" w:rsidP="007609FF">
      <w:pPr>
        <w:pStyle w:val="3-BodyText"/>
        <w:spacing w:after="0"/>
      </w:pPr>
      <w:r w:rsidRPr="35298142">
        <w:t xml:space="preserve">Whilst the matched FACOMS patients progressed 6.6 </w:t>
      </w:r>
      <w:proofErr w:type="spellStart"/>
      <w:r w:rsidRPr="35298142">
        <w:t>mFARS</w:t>
      </w:r>
      <w:proofErr w:type="spellEnd"/>
      <w:r w:rsidRPr="35298142">
        <w:t xml:space="preserve"> points after three years, patients treated with </w:t>
      </w:r>
      <w:proofErr w:type="spellStart"/>
      <w:r w:rsidRPr="35298142">
        <w:t>omaveloxolone</w:t>
      </w:r>
      <w:proofErr w:type="spellEnd"/>
      <w:r w:rsidRPr="35298142">
        <w:t xml:space="preserve"> in </w:t>
      </w:r>
      <w:proofErr w:type="spellStart"/>
      <w:r w:rsidRPr="35298142">
        <w:t>MOXIe</w:t>
      </w:r>
      <w:proofErr w:type="spellEnd"/>
      <w:r w:rsidRPr="35298142">
        <w:t xml:space="preserve"> Extension progressed 3.0 points (difference in LS means (SD) –3.6 (0.66) points; nominal p=0.0001). Progression in </w:t>
      </w:r>
      <w:proofErr w:type="spellStart"/>
      <w:r w:rsidRPr="35298142">
        <w:t>mFARS</w:t>
      </w:r>
      <w:proofErr w:type="spellEnd"/>
      <w:r w:rsidRPr="35298142">
        <w:t xml:space="preserve"> was reduced by 55% in the </w:t>
      </w:r>
      <w:proofErr w:type="spellStart"/>
      <w:r w:rsidRPr="35298142">
        <w:t>omaveloxolone</w:t>
      </w:r>
      <w:proofErr w:type="spellEnd"/>
      <w:r w:rsidRPr="35298142">
        <w:t xml:space="preserve"> treatment group compared to the matched control group.</w:t>
      </w:r>
    </w:p>
    <w:p w14:paraId="5654ADE2" w14:textId="0CF34343" w:rsidR="00CE2E65" w:rsidRPr="00C41ECA" w:rsidRDefault="00C53F4A" w:rsidP="00CE2E65">
      <w:pPr>
        <w:pStyle w:val="3-BodyText"/>
      </w:pPr>
      <w:bookmarkStart w:id="35" w:name="_Ref187663183"/>
      <w:r>
        <w:t>The evaluation noted that i</w:t>
      </w:r>
      <w:r w:rsidR="00CE2E65" w:rsidRPr="00C41ECA">
        <w:t xml:space="preserve">ndirect comparisons with natural history cohorts are generally difficult to interpret due to a high risk of confounding given the non-randomised nature of the comparison, selection biases of patients for comparisons from the natural history database, other comparability issues related to selection of patients due to missing information on known or unknown prognostic factors of disease progression, </w:t>
      </w:r>
      <w:r w:rsidR="00B628D8" w:rsidRPr="00C41ECA">
        <w:t xml:space="preserve">and </w:t>
      </w:r>
      <w:r w:rsidR="00CE2E65" w:rsidRPr="00C41ECA">
        <w:t>attrition of patients during the comparison durations in both treated and natural history groups</w:t>
      </w:r>
      <w:r w:rsidR="00D80075">
        <w:t xml:space="preserve">. </w:t>
      </w:r>
      <w:r>
        <w:t>I</w:t>
      </w:r>
      <w:r w:rsidR="00D80075">
        <w:t xml:space="preserve">ssues </w:t>
      </w:r>
      <w:r w:rsidR="00B06FDE">
        <w:t xml:space="preserve">with the comparison </w:t>
      </w:r>
      <w:r w:rsidR="00D80075">
        <w:t>included</w:t>
      </w:r>
      <w:r w:rsidR="00CE2E65" w:rsidRPr="00C41ECA">
        <w:t>:</w:t>
      </w:r>
      <w:bookmarkEnd w:id="35"/>
    </w:p>
    <w:p w14:paraId="099F96F0" w14:textId="4B7235E7" w:rsidR="00CE2E65" w:rsidRPr="00C41ECA" w:rsidRDefault="00CE2E65" w:rsidP="00EE2256">
      <w:pPr>
        <w:pStyle w:val="3-BodyText"/>
        <w:numPr>
          <w:ilvl w:val="1"/>
          <w:numId w:val="37"/>
        </w:numPr>
        <w:ind w:left="1080"/>
      </w:pPr>
      <w:r w:rsidRPr="35298142">
        <w:t xml:space="preserve">additional important prognostic covariates such as GAA1 repeat length and pes </w:t>
      </w:r>
      <w:proofErr w:type="spellStart"/>
      <w:r w:rsidRPr="35298142">
        <w:t>cavus</w:t>
      </w:r>
      <w:proofErr w:type="spellEnd"/>
      <w:r w:rsidRPr="35298142">
        <w:t xml:space="preserve"> were considered but not included due to </w:t>
      </w:r>
      <w:r w:rsidR="00C2115B" w:rsidRPr="35298142">
        <w:t>incomplete GAA1 data for all patients</w:t>
      </w:r>
      <w:r w:rsidRPr="35298142">
        <w:t xml:space="preserve"> and differences in the method of evaluation of pes </w:t>
      </w:r>
      <w:proofErr w:type="spellStart"/>
      <w:r w:rsidRPr="35298142">
        <w:t>cavus</w:t>
      </w:r>
      <w:proofErr w:type="spellEnd"/>
      <w:r w:rsidRPr="35298142">
        <w:t xml:space="preserve"> between studies.</w:t>
      </w:r>
    </w:p>
    <w:p w14:paraId="4A6E34E0" w14:textId="77777777" w:rsidR="00CE2E65" w:rsidRPr="00C41ECA" w:rsidRDefault="00CE2E65" w:rsidP="00EE2256">
      <w:pPr>
        <w:pStyle w:val="3-BodyText"/>
        <w:numPr>
          <w:ilvl w:val="1"/>
          <w:numId w:val="37"/>
        </w:numPr>
        <w:ind w:left="1080"/>
      </w:pPr>
      <w:r w:rsidRPr="35298142">
        <w:t>there was no indication that differences in the collection of data regarding concomitant medications were matched or adjusted for. Recognising there are no approved treatments for FA, there was use of antioxidants, vitamins, and/or minerals in both studies, administered as BSC in an attempt to slow symptoms of disease progression.</w:t>
      </w:r>
    </w:p>
    <w:p w14:paraId="00EF5E5B" w14:textId="0DC5AD07" w:rsidR="00CE2E65" w:rsidRPr="00C41ECA" w:rsidRDefault="00D80075" w:rsidP="00EE2256">
      <w:pPr>
        <w:pStyle w:val="3-BodyText"/>
        <w:numPr>
          <w:ilvl w:val="1"/>
          <w:numId w:val="37"/>
        </w:numPr>
        <w:ind w:left="1080"/>
      </w:pPr>
      <w:r w:rsidRPr="35298142">
        <w:t>t</w:t>
      </w:r>
      <w:r w:rsidR="00CE2E65" w:rsidRPr="35298142">
        <w:t xml:space="preserve">he comparability of clinical care of patients including physical therapy and training exercise, occupational therapy, routine orthopaedic care, gait aid provisions etc., between the </w:t>
      </w:r>
      <w:proofErr w:type="spellStart"/>
      <w:r w:rsidR="00CE2E65" w:rsidRPr="35298142">
        <w:t>MOXIe</w:t>
      </w:r>
      <w:proofErr w:type="spellEnd"/>
      <w:r w:rsidR="00CE2E65" w:rsidRPr="35298142">
        <w:t xml:space="preserve"> Extension study and the FACOMS registry was </w:t>
      </w:r>
      <w:r w:rsidR="000D14A8" w:rsidRPr="35298142">
        <w:t>un</w:t>
      </w:r>
      <w:r w:rsidR="00CE2E65" w:rsidRPr="35298142">
        <w:t>known.</w:t>
      </w:r>
    </w:p>
    <w:p w14:paraId="7A036886" w14:textId="158B4352" w:rsidR="00CE2E65" w:rsidRPr="00C41ECA" w:rsidRDefault="00D80075" w:rsidP="00EE2256">
      <w:pPr>
        <w:pStyle w:val="3-BodyText"/>
        <w:numPr>
          <w:ilvl w:val="1"/>
          <w:numId w:val="37"/>
        </w:numPr>
        <w:ind w:left="1080"/>
      </w:pPr>
      <w:r w:rsidRPr="35298142">
        <w:t>s</w:t>
      </w:r>
      <w:r w:rsidR="00CE2E65" w:rsidRPr="35298142">
        <w:t xml:space="preserve">election bias: </w:t>
      </w:r>
      <w:proofErr w:type="spellStart"/>
      <w:r w:rsidR="00CE2E65" w:rsidRPr="35298142">
        <w:t>MOXIe</w:t>
      </w:r>
      <w:proofErr w:type="spellEnd"/>
      <w:r w:rsidR="00CE2E65" w:rsidRPr="35298142">
        <w:t xml:space="preserve"> Extension patients may have been healthier at baseline or responded better to </w:t>
      </w:r>
      <w:proofErr w:type="spellStart"/>
      <w:r w:rsidR="00CE2E65" w:rsidRPr="35298142">
        <w:t>omaveloxolone</w:t>
      </w:r>
      <w:proofErr w:type="spellEnd"/>
      <w:r w:rsidR="00CE2E65" w:rsidRPr="35298142">
        <w:t xml:space="preserve"> than those who did not participate in the extension study, which would bias measures of association towards a beneficial effect of </w:t>
      </w:r>
      <w:proofErr w:type="spellStart"/>
      <w:r w:rsidR="00CE2E65" w:rsidRPr="35298142">
        <w:t>omaveloxolone</w:t>
      </w:r>
      <w:proofErr w:type="spellEnd"/>
      <w:r w:rsidR="00CE2E65" w:rsidRPr="35298142">
        <w:t xml:space="preserve">. Another concern is that the natural history study is likely to have less stringent inclusion and exclusion criteria, thus patients in the natural history study may be more likely to have severe FA, which would bias associations away from the null favouring </w:t>
      </w:r>
      <w:proofErr w:type="spellStart"/>
      <w:r w:rsidR="00CE2E65" w:rsidRPr="35298142">
        <w:t>omaveloxolone</w:t>
      </w:r>
      <w:proofErr w:type="spellEnd"/>
      <w:r w:rsidR="00CE2E65" w:rsidRPr="35298142">
        <w:t>.</w:t>
      </w:r>
    </w:p>
    <w:p w14:paraId="6FCDE7F8" w14:textId="1AA270F7" w:rsidR="00CE2E65" w:rsidRPr="00C41ECA" w:rsidRDefault="00D80075" w:rsidP="00EE2256">
      <w:pPr>
        <w:pStyle w:val="3-BodyText"/>
        <w:numPr>
          <w:ilvl w:val="1"/>
          <w:numId w:val="37"/>
        </w:numPr>
        <w:ind w:left="1080"/>
      </w:pPr>
      <w:r w:rsidRPr="35298142">
        <w:t>o</w:t>
      </w:r>
      <w:r w:rsidR="00CE2E65" w:rsidRPr="35298142">
        <w:t xml:space="preserve">n a related note, study participants in </w:t>
      </w:r>
      <w:proofErr w:type="spellStart"/>
      <w:r w:rsidR="00CE2E65" w:rsidRPr="35298142">
        <w:t>MOXIe</w:t>
      </w:r>
      <w:proofErr w:type="spellEnd"/>
      <w:r w:rsidR="00CE2E65" w:rsidRPr="35298142">
        <w:t xml:space="preserve"> Extension were excluded if they had a history of clinically significant cardiac disease, uncontrolled diabetes, B-type natriuretic peptide value &gt;200 </w:t>
      </w:r>
      <w:proofErr w:type="spellStart"/>
      <w:r w:rsidR="00CE2E65" w:rsidRPr="35298142">
        <w:t>pg</w:t>
      </w:r>
      <w:proofErr w:type="spellEnd"/>
      <w:r w:rsidR="00CE2E65" w:rsidRPr="35298142">
        <w:t xml:space="preserve">/mL, and cognitive impairment that may preclude ability to comply with study procedures. Thus, participants in the extension study were likely healthier and more able to comply with completion of </w:t>
      </w:r>
      <w:proofErr w:type="spellStart"/>
      <w:r w:rsidR="00CE2E65" w:rsidRPr="35298142">
        <w:t>mFARS</w:t>
      </w:r>
      <w:proofErr w:type="spellEnd"/>
      <w:r w:rsidR="00CE2E65" w:rsidRPr="35298142">
        <w:t xml:space="preserve"> assessments compared to the FACOMS study patients. This would bias associations away from the null and possibly favour </w:t>
      </w:r>
      <w:proofErr w:type="spellStart"/>
      <w:r w:rsidR="00CE2E65" w:rsidRPr="35298142">
        <w:t>omaveloxolone</w:t>
      </w:r>
      <w:proofErr w:type="spellEnd"/>
      <w:r w:rsidR="00CE2E65" w:rsidRPr="35298142">
        <w:t>.</w:t>
      </w:r>
    </w:p>
    <w:p w14:paraId="139A982B" w14:textId="1435FDC8" w:rsidR="00CE2E65" w:rsidRPr="00C41ECA" w:rsidRDefault="00D80075" w:rsidP="00EE2256">
      <w:pPr>
        <w:pStyle w:val="3-BodyText"/>
        <w:numPr>
          <w:ilvl w:val="1"/>
          <w:numId w:val="37"/>
        </w:numPr>
        <w:ind w:left="1080"/>
      </w:pPr>
      <w:r w:rsidRPr="35298142">
        <w:t>s</w:t>
      </w:r>
      <w:r w:rsidR="00CE2E65" w:rsidRPr="35298142">
        <w:t>tudy participants and researchers were not blinded to treatment status and the data collection processes differed between the two studies. Thus, there could be differences in the way study staff measured or recorded outcomes that biased the study effect estimates. The main outcome (</w:t>
      </w:r>
      <w:proofErr w:type="spellStart"/>
      <w:r w:rsidR="00CE2E65" w:rsidRPr="35298142">
        <w:t>mFARS</w:t>
      </w:r>
      <w:proofErr w:type="spellEnd"/>
      <w:r w:rsidR="00CE2E65" w:rsidRPr="35298142">
        <w:t>) is a clinician-observed/performance-based outcome with standardised instructions. Misclassification remains a concern.</w:t>
      </w:r>
    </w:p>
    <w:p w14:paraId="2CCC76F3" w14:textId="4065FE97" w:rsidR="00CE2E65" w:rsidRPr="00C41ECA" w:rsidRDefault="00D80075" w:rsidP="00EE2256">
      <w:pPr>
        <w:pStyle w:val="3-BodyText"/>
        <w:numPr>
          <w:ilvl w:val="1"/>
          <w:numId w:val="37"/>
        </w:numPr>
        <w:ind w:left="1080"/>
      </w:pPr>
      <w:r w:rsidRPr="35298142">
        <w:t>t</w:t>
      </w:r>
      <w:r w:rsidR="00CE2E65" w:rsidRPr="35298142">
        <w:t xml:space="preserve">he impact of differences in frequency of </w:t>
      </w:r>
      <w:proofErr w:type="spellStart"/>
      <w:r w:rsidR="00CE2E65" w:rsidRPr="35298142">
        <w:t>mFARS</w:t>
      </w:r>
      <w:proofErr w:type="spellEnd"/>
      <w:r w:rsidR="00CE2E65" w:rsidRPr="35298142">
        <w:t xml:space="preserve"> assessment between the two studies remains unknown. In the FACOMS natural history study, </w:t>
      </w:r>
      <w:proofErr w:type="spellStart"/>
      <w:r w:rsidR="00CE2E65" w:rsidRPr="35298142">
        <w:t>mFARS</w:t>
      </w:r>
      <w:proofErr w:type="spellEnd"/>
      <w:r w:rsidR="00CE2E65" w:rsidRPr="35298142">
        <w:t xml:space="preserve"> assessment was conducted on an annual basis, whereas </w:t>
      </w:r>
      <w:proofErr w:type="spellStart"/>
      <w:r w:rsidR="00CE2E65" w:rsidRPr="35298142">
        <w:t>mFARS</w:t>
      </w:r>
      <w:proofErr w:type="spellEnd"/>
      <w:r w:rsidR="00CE2E65" w:rsidRPr="35298142">
        <w:t xml:space="preserve"> was scheduled to be performed every 24 weeks in </w:t>
      </w:r>
      <w:proofErr w:type="spellStart"/>
      <w:r w:rsidR="00CE2E65" w:rsidRPr="35298142">
        <w:t>MOXIe</w:t>
      </w:r>
      <w:proofErr w:type="spellEnd"/>
      <w:r w:rsidR="00CE2E65" w:rsidRPr="35298142">
        <w:t xml:space="preserve"> Extension.</w:t>
      </w:r>
    </w:p>
    <w:p w14:paraId="3AFC0D23" w14:textId="602D69AA" w:rsidR="00CE2E65" w:rsidRPr="00C41ECA" w:rsidRDefault="00D80075" w:rsidP="00BE2308">
      <w:pPr>
        <w:pStyle w:val="3-BodyText"/>
        <w:numPr>
          <w:ilvl w:val="0"/>
          <w:numId w:val="16"/>
        </w:numPr>
        <w:ind w:left="1080"/>
      </w:pPr>
      <w:r w:rsidRPr="00D80075">
        <w:rPr>
          <w:i/>
          <w:iCs/>
        </w:rPr>
        <w:t>p</w:t>
      </w:r>
      <w:r w:rsidR="00CE2E65" w:rsidRPr="00D80075">
        <w:rPr>
          <w:i/>
          <w:iCs/>
        </w:rPr>
        <w:t>ost-hoc</w:t>
      </w:r>
      <w:r w:rsidR="00CE2E65" w:rsidRPr="00C41ECA">
        <w:t xml:space="preserve"> </w:t>
      </w:r>
      <w:r w:rsidR="00B00796" w:rsidRPr="00C41ECA">
        <w:t xml:space="preserve">nature of the </w:t>
      </w:r>
      <w:r w:rsidR="00CE2E65" w:rsidRPr="00C41ECA">
        <w:t>analysis.</w:t>
      </w:r>
    </w:p>
    <w:p w14:paraId="7290CEC7" w14:textId="77777777" w:rsidR="00CE2E65" w:rsidRPr="0098262F" w:rsidRDefault="00CE2E65" w:rsidP="00CE2E65">
      <w:pPr>
        <w:pStyle w:val="4-SubsectionHeading"/>
      </w:pPr>
      <w:bookmarkStart w:id="36" w:name="_Toc22897642"/>
      <w:bookmarkStart w:id="37" w:name="_Toc188438059"/>
      <w:r w:rsidRPr="0098262F">
        <w:t>Comparative harms</w:t>
      </w:r>
      <w:bookmarkEnd w:id="36"/>
      <w:bookmarkEnd w:id="37"/>
    </w:p>
    <w:p w14:paraId="1BCF6B8A" w14:textId="5B232854" w:rsidR="000B25A3" w:rsidRPr="00C41ECA" w:rsidRDefault="00CE2E65" w:rsidP="00CE2E65">
      <w:pPr>
        <w:pStyle w:val="3-BodyText"/>
      </w:pPr>
      <w:r w:rsidRPr="35298142">
        <w:t xml:space="preserve">Overall AEs and treatment emergent AEs </w:t>
      </w:r>
      <w:r w:rsidR="00B76D02" w:rsidRPr="35298142">
        <w:t xml:space="preserve">(TEAEs) </w:t>
      </w:r>
      <w:r w:rsidRPr="35298142">
        <w:t xml:space="preserve">in </w:t>
      </w:r>
      <w:proofErr w:type="spellStart"/>
      <w:r w:rsidRPr="35298142">
        <w:t>MOXIe</w:t>
      </w:r>
      <w:proofErr w:type="spellEnd"/>
      <w:r w:rsidRPr="35298142">
        <w:t xml:space="preserve"> Part 2 are summarised in</w:t>
      </w:r>
      <w:r w:rsidR="00B76D02" w:rsidRPr="35298142">
        <w:t xml:space="preserve"> </w:t>
      </w:r>
      <w:r>
        <w:fldChar w:fldCharType="begin"/>
      </w:r>
      <w:r>
        <w:instrText xml:space="preserve"> REF _Ref187081611 \h  \* MERGEFORMAT </w:instrText>
      </w:r>
      <w:r>
        <w:fldChar w:fldCharType="separate"/>
      </w:r>
      <w:r w:rsidR="003A4643" w:rsidRPr="00C41ECA">
        <w:t xml:space="preserve">Table </w:t>
      </w:r>
      <w:r w:rsidR="003A4643">
        <w:rPr>
          <w:noProof/>
        </w:rPr>
        <w:t>13</w:t>
      </w:r>
      <w:r>
        <w:fldChar w:fldCharType="end"/>
      </w:r>
      <w:r w:rsidR="00B76D02" w:rsidRPr="35298142">
        <w:t>.</w:t>
      </w:r>
    </w:p>
    <w:p w14:paraId="11562922" w14:textId="28CB01FC" w:rsidR="00B76D02" w:rsidRPr="00C41ECA" w:rsidRDefault="00B76D02" w:rsidP="00B76D02">
      <w:pPr>
        <w:pStyle w:val="Caption"/>
      </w:pPr>
      <w:bookmarkStart w:id="38" w:name="_Ref187081611"/>
      <w:r w:rsidRPr="00C41ECA">
        <w:t xml:space="preserve">Table </w:t>
      </w:r>
      <w:r w:rsidR="00B717AF">
        <w:fldChar w:fldCharType="begin"/>
      </w:r>
      <w:r w:rsidR="00B717AF">
        <w:instrText xml:space="preserve"> SEQ Table \* ARABIC </w:instrText>
      </w:r>
      <w:r w:rsidR="00B717AF">
        <w:fldChar w:fldCharType="separate"/>
      </w:r>
      <w:r w:rsidR="003A4643">
        <w:rPr>
          <w:noProof/>
        </w:rPr>
        <w:t>13</w:t>
      </w:r>
      <w:r w:rsidR="00B717AF">
        <w:rPr>
          <w:noProof/>
        </w:rPr>
        <w:fldChar w:fldCharType="end"/>
      </w:r>
      <w:bookmarkEnd w:id="38"/>
      <w:r w:rsidRPr="00C41ECA">
        <w:t xml:space="preserve">: Overall AEs and TEAEs in MOXIE Part 2 (Safety population) </w:t>
      </w:r>
    </w:p>
    <w:tbl>
      <w:tblPr>
        <w:tblStyle w:val="TableGrid"/>
        <w:tblW w:w="5000" w:type="pct"/>
        <w:tblLook w:val="04A0" w:firstRow="1" w:lastRow="0" w:firstColumn="1" w:lastColumn="0" w:noHBand="0" w:noVBand="1"/>
        <w:tblCaption w:val="Table 13: Overall AEs and TEAEs in MOXIE Part 2 (Safety population) "/>
      </w:tblPr>
      <w:tblGrid>
        <w:gridCol w:w="3475"/>
        <w:gridCol w:w="2160"/>
        <w:gridCol w:w="1800"/>
        <w:gridCol w:w="1582"/>
      </w:tblGrid>
      <w:tr w:rsidR="00B76D02" w:rsidRPr="00C41ECA" w14:paraId="1D81D8D1" w14:textId="77777777" w:rsidTr="35298142">
        <w:trPr>
          <w:cantSplit/>
          <w:trHeight w:val="326"/>
        </w:trPr>
        <w:tc>
          <w:tcPr>
            <w:tcW w:w="1927" w:type="pct"/>
          </w:tcPr>
          <w:p w14:paraId="3174A716" w14:textId="77777777" w:rsidR="00B76D02" w:rsidRPr="00C41ECA" w:rsidRDefault="00B76D02" w:rsidP="00967D46">
            <w:pPr>
              <w:pStyle w:val="PBACTabletext"/>
              <w:spacing w:before="0" w:after="0"/>
              <w:rPr>
                <w:b/>
                <w:bCs/>
              </w:rPr>
            </w:pPr>
            <w:r w:rsidRPr="00C41ECA">
              <w:rPr>
                <w:b/>
                <w:bCs/>
              </w:rPr>
              <w:t>AE</w:t>
            </w:r>
          </w:p>
        </w:tc>
        <w:tc>
          <w:tcPr>
            <w:tcW w:w="1198" w:type="pct"/>
          </w:tcPr>
          <w:p w14:paraId="633AD77F" w14:textId="4F8809C1" w:rsidR="00B76D02" w:rsidRPr="00C41ECA" w:rsidRDefault="00B76D02" w:rsidP="35298142">
            <w:pPr>
              <w:pStyle w:val="PBACTabletext"/>
              <w:spacing w:before="0" w:after="0"/>
              <w:jc w:val="center"/>
              <w:rPr>
                <w:b/>
                <w:bCs/>
              </w:rPr>
            </w:pPr>
            <w:proofErr w:type="spellStart"/>
            <w:r w:rsidRPr="35298142">
              <w:rPr>
                <w:b/>
                <w:bCs/>
              </w:rPr>
              <w:t>Omav</w:t>
            </w:r>
            <w:r w:rsidR="00195EA5" w:rsidRPr="35298142">
              <w:rPr>
                <w:b/>
                <w:bCs/>
              </w:rPr>
              <w:t>eloxolone</w:t>
            </w:r>
            <w:proofErr w:type="spellEnd"/>
            <w:r w:rsidRPr="35298142">
              <w:rPr>
                <w:b/>
                <w:bCs/>
              </w:rPr>
              <w:t xml:space="preserve"> 150 mg</w:t>
            </w:r>
          </w:p>
          <w:p w14:paraId="636A218A" w14:textId="77777777" w:rsidR="00B76D02" w:rsidRPr="00C41ECA" w:rsidRDefault="00B76D02" w:rsidP="00195EA5">
            <w:pPr>
              <w:pStyle w:val="PBACTabletext"/>
              <w:spacing w:before="0" w:after="0"/>
              <w:jc w:val="center"/>
              <w:rPr>
                <w:b/>
                <w:bCs/>
              </w:rPr>
            </w:pPr>
            <w:r w:rsidRPr="00C41ECA">
              <w:rPr>
                <w:b/>
                <w:bCs/>
              </w:rPr>
              <w:t>(N=51)</w:t>
            </w:r>
          </w:p>
        </w:tc>
        <w:tc>
          <w:tcPr>
            <w:tcW w:w="998" w:type="pct"/>
          </w:tcPr>
          <w:p w14:paraId="79959561" w14:textId="565B53DE" w:rsidR="00B76D02" w:rsidRPr="00C41ECA" w:rsidRDefault="00B76D02" w:rsidP="00195EA5">
            <w:pPr>
              <w:pStyle w:val="PBACTabletext"/>
              <w:spacing w:before="0" w:after="0"/>
              <w:jc w:val="center"/>
              <w:rPr>
                <w:b/>
                <w:bCs/>
              </w:rPr>
            </w:pPr>
            <w:r w:rsidRPr="00C41ECA">
              <w:rPr>
                <w:b/>
                <w:bCs/>
              </w:rPr>
              <w:t>Placebo</w:t>
            </w:r>
          </w:p>
          <w:p w14:paraId="7A9099CE" w14:textId="77777777" w:rsidR="00B76D02" w:rsidRPr="00C41ECA" w:rsidRDefault="00B76D02" w:rsidP="00195EA5">
            <w:pPr>
              <w:pStyle w:val="PBACTabletext"/>
              <w:spacing w:before="0" w:after="0"/>
              <w:jc w:val="center"/>
              <w:rPr>
                <w:b/>
                <w:bCs/>
              </w:rPr>
            </w:pPr>
            <w:r w:rsidRPr="00C41ECA">
              <w:rPr>
                <w:b/>
                <w:bCs/>
              </w:rPr>
              <w:t>(N=52)</w:t>
            </w:r>
          </w:p>
        </w:tc>
        <w:tc>
          <w:tcPr>
            <w:tcW w:w="877" w:type="pct"/>
          </w:tcPr>
          <w:p w14:paraId="18695F83" w14:textId="7279E585" w:rsidR="00B76D02" w:rsidRPr="00C41ECA" w:rsidRDefault="00B76D02" w:rsidP="00195EA5">
            <w:pPr>
              <w:pStyle w:val="PBACTabletext"/>
              <w:spacing w:before="0" w:after="0"/>
              <w:jc w:val="center"/>
              <w:rPr>
                <w:b/>
                <w:bCs/>
              </w:rPr>
            </w:pPr>
            <w:r w:rsidRPr="00C41ECA">
              <w:rPr>
                <w:b/>
                <w:bCs/>
              </w:rPr>
              <w:t xml:space="preserve">RD </w:t>
            </w:r>
            <w:r w:rsidR="0021283D">
              <w:rPr>
                <w:b/>
                <w:bCs/>
              </w:rPr>
              <w:t>(</w:t>
            </w:r>
            <w:r w:rsidRPr="00C41ECA">
              <w:rPr>
                <w:b/>
                <w:bCs/>
              </w:rPr>
              <w:t>95% CI</w:t>
            </w:r>
            <w:r w:rsidR="0021283D">
              <w:rPr>
                <w:b/>
                <w:bCs/>
              </w:rPr>
              <w:t>)</w:t>
            </w:r>
          </w:p>
        </w:tc>
      </w:tr>
      <w:tr w:rsidR="00B76D02" w:rsidRPr="00C41ECA" w14:paraId="09CA15D0" w14:textId="77777777" w:rsidTr="35298142">
        <w:trPr>
          <w:cantSplit/>
        </w:trPr>
        <w:tc>
          <w:tcPr>
            <w:tcW w:w="1927" w:type="pct"/>
          </w:tcPr>
          <w:p w14:paraId="1967948F" w14:textId="77777777" w:rsidR="00B76D02" w:rsidRPr="00C41ECA" w:rsidRDefault="00B76D02" w:rsidP="00967D46">
            <w:pPr>
              <w:pStyle w:val="PBACTabletext"/>
              <w:spacing w:before="0" w:after="0"/>
            </w:pPr>
            <w:r w:rsidRPr="00C41ECA">
              <w:t>Patients with at least one AE</w:t>
            </w:r>
          </w:p>
        </w:tc>
        <w:tc>
          <w:tcPr>
            <w:tcW w:w="1198" w:type="pct"/>
          </w:tcPr>
          <w:p w14:paraId="35BAE221" w14:textId="1D0A7495" w:rsidR="00B76D02" w:rsidRPr="00C41ECA" w:rsidRDefault="00B76D02" w:rsidP="00195EA5">
            <w:pPr>
              <w:pStyle w:val="PBACTabletext"/>
              <w:spacing w:before="0" w:after="0"/>
              <w:jc w:val="center"/>
            </w:pPr>
            <w:r w:rsidRPr="00C41ECA">
              <w:t>51/51 (100%)</w:t>
            </w:r>
          </w:p>
        </w:tc>
        <w:tc>
          <w:tcPr>
            <w:tcW w:w="998" w:type="pct"/>
          </w:tcPr>
          <w:p w14:paraId="5D81DDF5" w14:textId="5C5890E7" w:rsidR="00B76D02" w:rsidRPr="00C41ECA" w:rsidRDefault="00B76D02" w:rsidP="00195EA5">
            <w:pPr>
              <w:pStyle w:val="PBACTabletext"/>
              <w:spacing w:before="0" w:after="0"/>
              <w:jc w:val="center"/>
            </w:pPr>
            <w:r w:rsidRPr="00C41ECA">
              <w:t>52/52 (100%)</w:t>
            </w:r>
          </w:p>
        </w:tc>
        <w:tc>
          <w:tcPr>
            <w:tcW w:w="877" w:type="pct"/>
          </w:tcPr>
          <w:p w14:paraId="5A2CF544" w14:textId="6F0453A8" w:rsidR="00B76D02" w:rsidRPr="00C41ECA" w:rsidRDefault="00B76D02" w:rsidP="00195EA5">
            <w:pPr>
              <w:pStyle w:val="PBACTabletext"/>
              <w:spacing w:before="0" w:after="0"/>
              <w:jc w:val="center"/>
            </w:pPr>
            <w:r w:rsidRPr="00C41ECA">
              <w:t xml:space="preserve">0.00 </w:t>
            </w:r>
            <w:r w:rsidR="0085205C">
              <w:t>(</w:t>
            </w:r>
            <w:r w:rsidRPr="00C41ECA">
              <w:t>0.00, 0.00</w:t>
            </w:r>
            <w:r w:rsidR="0085205C">
              <w:t>)</w:t>
            </w:r>
          </w:p>
        </w:tc>
      </w:tr>
      <w:tr w:rsidR="00B76D02" w:rsidRPr="00C41ECA" w14:paraId="301686DF" w14:textId="77777777" w:rsidTr="35298142">
        <w:trPr>
          <w:cantSplit/>
        </w:trPr>
        <w:tc>
          <w:tcPr>
            <w:tcW w:w="1927" w:type="pct"/>
          </w:tcPr>
          <w:p w14:paraId="28B37374" w14:textId="77777777" w:rsidR="00B76D02" w:rsidRPr="00C41ECA" w:rsidRDefault="00B76D02" w:rsidP="00967D46">
            <w:pPr>
              <w:pStyle w:val="PBACTabletext"/>
              <w:spacing w:before="0" w:after="0"/>
            </w:pPr>
            <w:r w:rsidRPr="00C41ECA">
              <w:t>Patients with at least one drug-related AE</w:t>
            </w:r>
          </w:p>
        </w:tc>
        <w:tc>
          <w:tcPr>
            <w:tcW w:w="1198" w:type="pct"/>
          </w:tcPr>
          <w:p w14:paraId="0760E709" w14:textId="23291AB6" w:rsidR="00B76D02" w:rsidRPr="00C41ECA" w:rsidRDefault="00B76D02" w:rsidP="00195EA5">
            <w:pPr>
              <w:pStyle w:val="PBACTabletext"/>
              <w:spacing w:before="0" w:after="0"/>
              <w:jc w:val="center"/>
            </w:pPr>
            <w:r w:rsidRPr="00C41ECA">
              <w:t>37/51 (72.</w:t>
            </w:r>
            <w:r w:rsidR="00367450">
              <w:t>6</w:t>
            </w:r>
            <w:r w:rsidRPr="00C41ECA">
              <w:t>%)</w:t>
            </w:r>
          </w:p>
        </w:tc>
        <w:tc>
          <w:tcPr>
            <w:tcW w:w="998" w:type="pct"/>
          </w:tcPr>
          <w:p w14:paraId="2B8BF918" w14:textId="5FAB9191" w:rsidR="00B76D02" w:rsidRPr="00C41ECA" w:rsidRDefault="00B76D02" w:rsidP="00195EA5">
            <w:pPr>
              <w:pStyle w:val="PBACTabletext"/>
              <w:spacing w:before="0" w:after="0"/>
              <w:jc w:val="center"/>
            </w:pPr>
            <w:r w:rsidRPr="00C41ECA">
              <w:t>19/52 (36.5%)</w:t>
            </w:r>
          </w:p>
        </w:tc>
        <w:tc>
          <w:tcPr>
            <w:tcW w:w="877" w:type="pct"/>
          </w:tcPr>
          <w:p w14:paraId="33DFE9BB" w14:textId="73C79DAE" w:rsidR="00B76D02" w:rsidRPr="00C41ECA" w:rsidRDefault="00B76D02" w:rsidP="00195EA5">
            <w:pPr>
              <w:pStyle w:val="PBACTabletext"/>
              <w:spacing w:before="0" w:after="0"/>
              <w:jc w:val="center"/>
            </w:pPr>
            <w:r w:rsidRPr="00C41ECA">
              <w:t xml:space="preserve">0.36 </w:t>
            </w:r>
            <w:r w:rsidR="0021283D">
              <w:t>(</w:t>
            </w:r>
            <w:r w:rsidRPr="00C41ECA">
              <w:t>0.17, 0.55</w:t>
            </w:r>
            <w:r w:rsidR="0021283D">
              <w:t>)</w:t>
            </w:r>
          </w:p>
        </w:tc>
      </w:tr>
      <w:tr w:rsidR="00B76D02" w:rsidRPr="00C41ECA" w14:paraId="49C00394" w14:textId="77777777" w:rsidTr="35298142">
        <w:trPr>
          <w:cantSplit/>
        </w:trPr>
        <w:tc>
          <w:tcPr>
            <w:tcW w:w="1927" w:type="pct"/>
          </w:tcPr>
          <w:p w14:paraId="6B40EDFA" w14:textId="77777777" w:rsidR="00B76D02" w:rsidRPr="00C41ECA" w:rsidRDefault="00B76D02" w:rsidP="00967D46">
            <w:pPr>
              <w:pStyle w:val="PBACTabletext"/>
              <w:spacing w:before="0" w:after="0"/>
            </w:pPr>
            <w:r w:rsidRPr="00C41ECA">
              <w:t>Patients with at least one severe AE</w:t>
            </w:r>
          </w:p>
        </w:tc>
        <w:tc>
          <w:tcPr>
            <w:tcW w:w="1198" w:type="pct"/>
          </w:tcPr>
          <w:p w14:paraId="34F68F46" w14:textId="7AF27DB9" w:rsidR="00B76D02" w:rsidRPr="00C41ECA" w:rsidRDefault="00B76D02" w:rsidP="00195EA5">
            <w:pPr>
              <w:pStyle w:val="PBACTabletext"/>
              <w:spacing w:before="0" w:after="0"/>
              <w:jc w:val="center"/>
            </w:pPr>
            <w:r w:rsidRPr="00C41ECA">
              <w:t>5/51 (9.8%)</w:t>
            </w:r>
          </w:p>
        </w:tc>
        <w:tc>
          <w:tcPr>
            <w:tcW w:w="998" w:type="pct"/>
          </w:tcPr>
          <w:p w14:paraId="71E34938" w14:textId="2FB2FACD" w:rsidR="00B76D02" w:rsidRPr="00C41ECA" w:rsidRDefault="00B76D02" w:rsidP="00195EA5">
            <w:pPr>
              <w:pStyle w:val="PBACTabletext"/>
              <w:spacing w:before="0" w:after="0"/>
              <w:jc w:val="center"/>
            </w:pPr>
            <w:r w:rsidRPr="00C41ECA">
              <w:t>0/52 (0%)</w:t>
            </w:r>
          </w:p>
        </w:tc>
        <w:tc>
          <w:tcPr>
            <w:tcW w:w="877" w:type="pct"/>
          </w:tcPr>
          <w:p w14:paraId="377CCC8D" w14:textId="52FD8A1B" w:rsidR="00B76D02" w:rsidRPr="00C41ECA" w:rsidRDefault="00B76D02" w:rsidP="00195EA5">
            <w:pPr>
              <w:pStyle w:val="PBACTabletext"/>
              <w:spacing w:before="0" w:after="0"/>
              <w:jc w:val="center"/>
            </w:pPr>
            <w:r w:rsidRPr="00C41ECA">
              <w:t>0.10 [0.02, 0.18</w:t>
            </w:r>
            <w:r w:rsidR="0021283D">
              <w:t>)</w:t>
            </w:r>
          </w:p>
        </w:tc>
      </w:tr>
      <w:tr w:rsidR="00B76D02" w:rsidRPr="00C41ECA" w14:paraId="6A251B24" w14:textId="77777777" w:rsidTr="35298142">
        <w:trPr>
          <w:cantSplit/>
        </w:trPr>
        <w:tc>
          <w:tcPr>
            <w:tcW w:w="1927" w:type="pct"/>
          </w:tcPr>
          <w:p w14:paraId="6656341B" w14:textId="77777777" w:rsidR="00B76D02" w:rsidRPr="00C41ECA" w:rsidRDefault="00B76D02" w:rsidP="00967D46">
            <w:pPr>
              <w:pStyle w:val="PBACTabletext"/>
              <w:spacing w:before="0" w:after="0"/>
            </w:pPr>
            <w:r w:rsidRPr="00C41ECA">
              <w:t>Patients with at least one SAE</w:t>
            </w:r>
          </w:p>
        </w:tc>
        <w:tc>
          <w:tcPr>
            <w:tcW w:w="1198" w:type="pct"/>
          </w:tcPr>
          <w:p w14:paraId="1419ECDE" w14:textId="43CE1898" w:rsidR="00B76D02" w:rsidRPr="00C41ECA" w:rsidRDefault="00B76D02" w:rsidP="00195EA5">
            <w:pPr>
              <w:pStyle w:val="PBACTabletext"/>
              <w:spacing w:before="0" w:after="0"/>
              <w:jc w:val="center"/>
            </w:pPr>
            <w:r w:rsidRPr="00C41ECA">
              <w:t>5/51 (9.8%)</w:t>
            </w:r>
          </w:p>
        </w:tc>
        <w:tc>
          <w:tcPr>
            <w:tcW w:w="998" w:type="pct"/>
          </w:tcPr>
          <w:p w14:paraId="41A0BA32" w14:textId="20DF290B" w:rsidR="00B76D02" w:rsidRPr="00C41ECA" w:rsidRDefault="00B76D02" w:rsidP="00195EA5">
            <w:pPr>
              <w:pStyle w:val="PBACTabletext"/>
              <w:spacing w:before="0" w:after="0"/>
              <w:jc w:val="center"/>
            </w:pPr>
            <w:r w:rsidRPr="00C41ECA">
              <w:t>3/52 (5.</w:t>
            </w:r>
            <w:r w:rsidR="00367450">
              <w:t>8</w:t>
            </w:r>
            <w:r w:rsidRPr="00C41ECA">
              <w:t>%)</w:t>
            </w:r>
          </w:p>
        </w:tc>
        <w:tc>
          <w:tcPr>
            <w:tcW w:w="877" w:type="pct"/>
          </w:tcPr>
          <w:p w14:paraId="4E13D6D2" w14:textId="04558177" w:rsidR="00B76D02" w:rsidRPr="00C41ECA" w:rsidRDefault="00B76D02" w:rsidP="00195EA5">
            <w:pPr>
              <w:pStyle w:val="PBACTabletext"/>
              <w:spacing w:before="0" w:after="0"/>
              <w:jc w:val="center"/>
            </w:pPr>
            <w:r w:rsidRPr="00C41ECA">
              <w:t xml:space="preserve">0.04 </w:t>
            </w:r>
            <w:r w:rsidR="00B21C34">
              <w:t>(-</w:t>
            </w:r>
            <w:r w:rsidRPr="00C41ECA">
              <w:t>0.06, 0.14</w:t>
            </w:r>
            <w:r w:rsidR="0021283D">
              <w:t>)</w:t>
            </w:r>
          </w:p>
        </w:tc>
      </w:tr>
      <w:tr w:rsidR="00B76D02" w:rsidRPr="00C41ECA" w14:paraId="43AA8ACD" w14:textId="77777777" w:rsidTr="35298142">
        <w:trPr>
          <w:cantSplit/>
        </w:trPr>
        <w:tc>
          <w:tcPr>
            <w:tcW w:w="1927" w:type="pct"/>
          </w:tcPr>
          <w:p w14:paraId="2C8F20A7" w14:textId="77777777" w:rsidR="00B76D02" w:rsidRPr="00C41ECA" w:rsidRDefault="00B76D02" w:rsidP="00967D46">
            <w:pPr>
              <w:pStyle w:val="PBACTabletext"/>
              <w:spacing w:before="0" w:after="0"/>
            </w:pPr>
            <w:r w:rsidRPr="00C41ECA">
              <w:t>Patients with at least one drug-related SAE</w:t>
            </w:r>
          </w:p>
        </w:tc>
        <w:tc>
          <w:tcPr>
            <w:tcW w:w="1198" w:type="pct"/>
          </w:tcPr>
          <w:p w14:paraId="09E461B7" w14:textId="22F1EA18" w:rsidR="00B76D02" w:rsidRPr="00C41ECA" w:rsidRDefault="00B76D02" w:rsidP="00195EA5">
            <w:pPr>
              <w:pStyle w:val="PBACTabletext"/>
              <w:spacing w:before="0" w:after="0"/>
              <w:jc w:val="center"/>
            </w:pPr>
            <w:r w:rsidRPr="00C41ECA">
              <w:t>1/51 (</w:t>
            </w:r>
            <w:r w:rsidR="00367450">
              <w:t>2.0</w:t>
            </w:r>
            <w:r w:rsidRPr="00C41ECA">
              <w:t>%)</w:t>
            </w:r>
          </w:p>
        </w:tc>
        <w:tc>
          <w:tcPr>
            <w:tcW w:w="998" w:type="pct"/>
          </w:tcPr>
          <w:p w14:paraId="1985620E" w14:textId="54724A62" w:rsidR="00B76D02" w:rsidRPr="00C41ECA" w:rsidRDefault="00B76D02" w:rsidP="00195EA5">
            <w:pPr>
              <w:pStyle w:val="PBACTabletext"/>
              <w:spacing w:before="0" w:after="0"/>
              <w:jc w:val="center"/>
            </w:pPr>
            <w:r w:rsidRPr="00C41ECA">
              <w:t>0/52 (0%)</w:t>
            </w:r>
          </w:p>
        </w:tc>
        <w:tc>
          <w:tcPr>
            <w:tcW w:w="877" w:type="pct"/>
          </w:tcPr>
          <w:p w14:paraId="2D0F6BE2" w14:textId="416D3DD8" w:rsidR="00B76D02" w:rsidRPr="00C41ECA" w:rsidRDefault="00B76D02" w:rsidP="00195EA5">
            <w:pPr>
              <w:pStyle w:val="PBACTabletext"/>
              <w:spacing w:before="0" w:after="0"/>
              <w:jc w:val="center"/>
            </w:pPr>
            <w:r w:rsidRPr="00C41ECA">
              <w:t xml:space="preserve">0.02 </w:t>
            </w:r>
            <w:r w:rsidR="00B21C34">
              <w:t>(-</w:t>
            </w:r>
            <w:r w:rsidRPr="00C41ECA">
              <w:t>0.02, 0.06</w:t>
            </w:r>
            <w:r w:rsidR="0021283D">
              <w:t>)</w:t>
            </w:r>
          </w:p>
        </w:tc>
      </w:tr>
      <w:tr w:rsidR="00B76D02" w:rsidRPr="00C41ECA" w14:paraId="42F5035C" w14:textId="77777777" w:rsidTr="35298142">
        <w:trPr>
          <w:cantSplit/>
        </w:trPr>
        <w:tc>
          <w:tcPr>
            <w:tcW w:w="1927" w:type="pct"/>
          </w:tcPr>
          <w:p w14:paraId="009BC22D" w14:textId="77777777" w:rsidR="00B76D02" w:rsidRPr="00C41ECA" w:rsidRDefault="00B76D02" w:rsidP="00967D46">
            <w:pPr>
              <w:pStyle w:val="PBACTabletext"/>
              <w:spacing w:before="0" w:after="0"/>
            </w:pPr>
            <w:r w:rsidRPr="00C41ECA">
              <w:t>Patients with AEs leading to permanent treatment discontinuation</w:t>
            </w:r>
          </w:p>
        </w:tc>
        <w:tc>
          <w:tcPr>
            <w:tcW w:w="1198" w:type="pct"/>
          </w:tcPr>
          <w:p w14:paraId="7274FACE" w14:textId="35AE68F2" w:rsidR="00B76D02" w:rsidRPr="00C41ECA" w:rsidRDefault="00B76D02" w:rsidP="00195EA5">
            <w:pPr>
              <w:pStyle w:val="PBACTabletext"/>
              <w:spacing w:before="0" w:after="0"/>
              <w:jc w:val="center"/>
            </w:pPr>
            <w:r w:rsidRPr="00C41ECA">
              <w:t>4/51 (7.8%)</w:t>
            </w:r>
          </w:p>
        </w:tc>
        <w:tc>
          <w:tcPr>
            <w:tcW w:w="998" w:type="pct"/>
          </w:tcPr>
          <w:p w14:paraId="0CC6B577" w14:textId="17A4C42C" w:rsidR="00B76D02" w:rsidRPr="00C41ECA" w:rsidRDefault="00B76D02" w:rsidP="00195EA5">
            <w:pPr>
              <w:pStyle w:val="PBACTabletext"/>
              <w:spacing w:before="0" w:after="0"/>
              <w:jc w:val="center"/>
            </w:pPr>
            <w:r w:rsidRPr="00C41ECA">
              <w:t>2/52 (3.</w:t>
            </w:r>
            <w:r w:rsidR="00367450">
              <w:t>9</w:t>
            </w:r>
            <w:r w:rsidRPr="00C41ECA">
              <w:t>%)</w:t>
            </w:r>
          </w:p>
        </w:tc>
        <w:tc>
          <w:tcPr>
            <w:tcW w:w="877" w:type="pct"/>
          </w:tcPr>
          <w:p w14:paraId="3E2C4237" w14:textId="37453526" w:rsidR="00B76D02" w:rsidRPr="00C41ECA" w:rsidRDefault="00B76D02" w:rsidP="00195EA5">
            <w:pPr>
              <w:pStyle w:val="PBACTabletext"/>
              <w:spacing w:before="0" w:after="0"/>
              <w:jc w:val="center"/>
            </w:pPr>
            <w:r w:rsidRPr="00C41ECA">
              <w:t xml:space="preserve">0.04 </w:t>
            </w:r>
            <w:r w:rsidR="00B21C34">
              <w:t>(-</w:t>
            </w:r>
            <w:r w:rsidRPr="00C41ECA">
              <w:t>0.05, 0.13</w:t>
            </w:r>
            <w:r w:rsidR="0021283D">
              <w:t>)</w:t>
            </w:r>
          </w:p>
        </w:tc>
      </w:tr>
      <w:tr w:rsidR="00B76D02" w:rsidRPr="00C41ECA" w14:paraId="2CF73B7A" w14:textId="77777777" w:rsidTr="35298142">
        <w:trPr>
          <w:cantSplit/>
        </w:trPr>
        <w:tc>
          <w:tcPr>
            <w:tcW w:w="5000" w:type="pct"/>
            <w:gridSpan w:val="4"/>
          </w:tcPr>
          <w:p w14:paraId="3890FAEE" w14:textId="2C353356" w:rsidR="00B76D02" w:rsidRPr="00C41ECA" w:rsidRDefault="00B76D02" w:rsidP="00967D46">
            <w:pPr>
              <w:pStyle w:val="PBACTabletext"/>
              <w:spacing w:before="0" w:after="0"/>
              <w:rPr>
                <w:b/>
                <w:bCs/>
              </w:rPr>
            </w:pPr>
            <w:r w:rsidRPr="00C41ECA">
              <w:rPr>
                <w:b/>
                <w:bCs/>
              </w:rPr>
              <w:t>TEAEs ≥ 20% of patients in either treatment arm</w:t>
            </w:r>
          </w:p>
        </w:tc>
      </w:tr>
      <w:tr w:rsidR="00B76D02" w:rsidRPr="00C41ECA" w14:paraId="18119587" w14:textId="77777777" w:rsidTr="35298142">
        <w:trPr>
          <w:cantSplit/>
        </w:trPr>
        <w:tc>
          <w:tcPr>
            <w:tcW w:w="1927" w:type="pct"/>
          </w:tcPr>
          <w:p w14:paraId="23B187F2" w14:textId="77777777" w:rsidR="00B76D02" w:rsidRPr="00C41ECA" w:rsidRDefault="00B76D02" w:rsidP="00967D46">
            <w:pPr>
              <w:pStyle w:val="PBACTabletext"/>
              <w:spacing w:before="0" w:after="0"/>
            </w:pPr>
            <w:r w:rsidRPr="00C41ECA">
              <w:t>Nausea</w:t>
            </w:r>
          </w:p>
        </w:tc>
        <w:tc>
          <w:tcPr>
            <w:tcW w:w="1198" w:type="pct"/>
          </w:tcPr>
          <w:p w14:paraId="6CB91379" w14:textId="7EFCD7AA" w:rsidR="00B76D02" w:rsidRPr="00C41ECA" w:rsidRDefault="00B76D02" w:rsidP="00195EA5">
            <w:pPr>
              <w:pStyle w:val="PBACTabletext"/>
              <w:spacing w:before="0" w:after="0"/>
              <w:jc w:val="center"/>
            </w:pPr>
            <w:r w:rsidRPr="00C41ECA">
              <w:t>17/51 (33.3%)</w:t>
            </w:r>
          </w:p>
        </w:tc>
        <w:tc>
          <w:tcPr>
            <w:tcW w:w="998" w:type="pct"/>
          </w:tcPr>
          <w:p w14:paraId="132CEA84" w14:textId="2E7D2E29" w:rsidR="00B76D02" w:rsidRPr="00C41ECA" w:rsidRDefault="00B76D02" w:rsidP="00195EA5">
            <w:pPr>
              <w:pStyle w:val="PBACTabletext"/>
              <w:spacing w:before="0" w:after="0"/>
              <w:jc w:val="center"/>
            </w:pPr>
            <w:r w:rsidRPr="00C41ECA">
              <w:t>7/52 (13.</w:t>
            </w:r>
            <w:r w:rsidR="00367450">
              <w:t>5</w:t>
            </w:r>
            <w:r w:rsidRPr="00C41ECA">
              <w:t>%)</w:t>
            </w:r>
          </w:p>
        </w:tc>
        <w:tc>
          <w:tcPr>
            <w:tcW w:w="877" w:type="pct"/>
          </w:tcPr>
          <w:p w14:paraId="3D2D909C" w14:textId="678719EF" w:rsidR="00B76D02" w:rsidRPr="00C41ECA" w:rsidRDefault="00B76D02" w:rsidP="00195EA5">
            <w:pPr>
              <w:pStyle w:val="PBACTabletext"/>
              <w:spacing w:before="0" w:after="0"/>
              <w:jc w:val="center"/>
            </w:pPr>
            <w:r w:rsidRPr="00C41ECA">
              <w:t xml:space="preserve">0.20 </w:t>
            </w:r>
            <w:r w:rsidR="00B21C34">
              <w:t>(</w:t>
            </w:r>
            <w:r w:rsidRPr="00C41ECA">
              <w:t>0.04, 0.36</w:t>
            </w:r>
            <w:r w:rsidR="00C1171F">
              <w:t>)</w:t>
            </w:r>
          </w:p>
        </w:tc>
      </w:tr>
      <w:tr w:rsidR="00B76D02" w:rsidRPr="00C41ECA" w14:paraId="0213CF88" w14:textId="77777777" w:rsidTr="35298142">
        <w:trPr>
          <w:cantSplit/>
        </w:trPr>
        <w:tc>
          <w:tcPr>
            <w:tcW w:w="1927" w:type="pct"/>
          </w:tcPr>
          <w:p w14:paraId="75A2223F" w14:textId="77777777" w:rsidR="00B76D02" w:rsidRPr="00C41ECA" w:rsidRDefault="00B76D02" w:rsidP="00967D46">
            <w:pPr>
              <w:pStyle w:val="PBACTabletext"/>
              <w:spacing w:before="0" w:after="0"/>
            </w:pPr>
            <w:r w:rsidRPr="00C41ECA">
              <w:t>Abdominal pain</w:t>
            </w:r>
          </w:p>
        </w:tc>
        <w:tc>
          <w:tcPr>
            <w:tcW w:w="1198" w:type="pct"/>
          </w:tcPr>
          <w:p w14:paraId="6808D2A8" w14:textId="62AA59FD" w:rsidR="00B76D02" w:rsidRPr="00C41ECA" w:rsidRDefault="00B76D02" w:rsidP="00195EA5">
            <w:pPr>
              <w:pStyle w:val="PBACTabletext"/>
              <w:spacing w:before="0" w:after="0"/>
              <w:jc w:val="center"/>
            </w:pPr>
            <w:r w:rsidRPr="00C41ECA">
              <w:t>11/51 (21.</w:t>
            </w:r>
            <w:r w:rsidR="00367450">
              <w:t>6</w:t>
            </w:r>
            <w:r w:rsidRPr="00C41ECA">
              <w:t>%)</w:t>
            </w:r>
          </w:p>
        </w:tc>
        <w:tc>
          <w:tcPr>
            <w:tcW w:w="998" w:type="pct"/>
          </w:tcPr>
          <w:p w14:paraId="358655F7" w14:textId="126BF98E" w:rsidR="00B76D02" w:rsidRPr="00C41ECA" w:rsidRDefault="00B76D02" w:rsidP="00195EA5">
            <w:pPr>
              <w:pStyle w:val="PBACTabletext"/>
              <w:spacing w:before="0" w:after="0"/>
              <w:jc w:val="center"/>
            </w:pPr>
            <w:r w:rsidRPr="00C41ECA">
              <w:t>3/52 (5.</w:t>
            </w:r>
            <w:r w:rsidR="00367450">
              <w:t>8</w:t>
            </w:r>
            <w:r w:rsidRPr="00C41ECA">
              <w:t>%)</w:t>
            </w:r>
          </w:p>
        </w:tc>
        <w:tc>
          <w:tcPr>
            <w:tcW w:w="877" w:type="pct"/>
          </w:tcPr>
          <w:p w14:paraId="7D9CC3E3" w14:textId="63B7217F" w:rsidR="00B76D02" w:rsidRPr="00C41ECA" w:rsidRDefault="00B76D02" w:rsidP="00195EA5">
            <w:pPr>
              <w:pStyle w:val="PBACTabletext"/>
              <w:spacing w:before="0" w:after="0"/>
              <w:jc w:val="center"/>
            </w:pPr>
            <w:r w:rsidRPr="00C41ECA">
              <w:t xml:space="preserve">0.16 </w:t>
            </w:r>
            <w:r w:rsidR="00B21C34">
              <w:t>(</w:t>
            </w:r>
            <w:r w:rsidRPr="00C41ECA">
              <w:t>0.03, 0.29</w:t>
            </w:r>
            <w:r w:rsidR="00C1171F">
              <w:t>)</w:t>
            </w:r>
          </w:p>
        </w:tc>
      </w:tr>
      <w:tr w:rsidR="00B76D02" w:rsidRPr="00C41ECA" w14:paraId="0CA56347" w14:textId="77777777" w:rsidTr="35298142">
        <w:trPr>
          <w:cantSplit/>
        </w:trPr>
        <w:tc>
          <w:tcPr>
            <w:tcW w:w="1927" w:type="pct"/>
          </w:tcPr>
          <w:p w14:paraId="4D0D55D1" w14:textId="77777777" w:rsidR="00B76D02" w:rsidRPr="00C41ECA" w:rsidRDefault="00B76D02" w:rsidP="00967D46">
            <w:pPr>
              <w:pStyle w:val="PBACTabletext"/>
              <w:spacing w:before="0" w:after="0"/>
            </w:pPr>
            <w:r w:rsidRPr="00C41ECA">
              <w:t>Diarrhoea</w:t>
            </w:r>
          </w:p>
        </w:tc>
        <w:tc>
          <w:tcPr>
            <w:tcW w:w="1198" w:type="pct"/>
          </w:tcPr>
          <w:p w14:paraId="13A222B9" w14:textId="3C4B32D3" w:rsidR="00B76D02" w:rsidRPr="00C41ECA" w:rsidRDefault="00B76D02" w:rsidP="00195EA5">
            <w:pPr>
              <w:pStyle w:val="PBACTabletext"/>
              <w:spacing w:before="0" w:after="0"/>
              <w:jc w:val="center"/>
            </w:pPr>
            <w:r w:rsidRPr="00C41ECA">
              <w:t>10/51 (19.6%)</w:t>
            </w:r>
          </w:p>
        </w:tc>
        <w:tc>
          <w:tcPr>
            <w:tcW w:w="998" w:type="pct"/>
          </w:tcPr>
          <w:p w14:paraId="4E1ADDFC" w14:textId="535188A3" w:rsidR="00B76D02" w:rsidRPr="00C41ECA" w:rsidRDefault="00B76D02" w:rsidP="00195EA5">
            <w:pPr>
              <w:pStyle w:val="PBACTabletext"/>
              <w:spacing w:before="0" w:after="0"/>
              <w:jc w:val="center"/>
            </w:pPr>
            <w:r w:rsidRPr="00C41ECA">
              <w:t>5/52 (9.6%)</w:t>
            </w:r>
          </w:p>
        </w:tc>
        <w:tc>
          <w:tcPr>
            <w:tcW w:w="877" w:type="pct"/>
          </w:tcPr>
          <w:p w14:paraId="77C2F106" w14:textId="4FBD1E32" w:rsidR="00B76D02" w:rsidRPr="00C41ECA" w:rsidRDefault="00B76D02" w:rsidP="00195EA5">
            <w:pPr>
              <w:pStyle w:val="PBACTabletext"/>
              <w:spacing w:before="0" w:after="0"/>
              <w:jc w:val="center"/>
            </w:pPr>
            <w:r w:rsidRPr="00C41ECA">
              <w:t xml:space="preserve">0.10 </w:t>
            </w:r>
            <w:r w:rsidR="00B21C34">
              <w:t>(</w:t>
            </w:r>
            <w:r w:rsidRPr="00C41ECA">
              <w:t>-0.04, 0.24</w:t>
            </w:r>
            <w:r w:rsidR="00C1171F">
              <w:t>)</w:t>
            </w:r>
          </w:p>
        </w:tc>
      </w:tr>
      <w:tr w:rsidR="00B76D02" w:rsidRPr="00C41ECA" w14:paraId="13FD8DD9" w14:textId="77777777" w:rsidTr="35298142">
        <w:trPr>
          <w:cantSplit/>
        </w:trPr>
        <w:tc>
          <w:tcPr>
            <w:tcW w:w="1927" w:type="pct"/>
          </w:tcPr>
          <w:p w14:paraId="3FDE4414" w14:textId="77777777" w:rsidR="00B76D02" w:rsidRPr="00C41ECA" w:rsidRDefault="00B76D02" w:rsidP="00967D46">
            <w:pPr>
              <w:pStyle w:val="PBACTabletext"/>
              <w:spacing w:before="0" w:after="0"/>
            </w:pPr>
            <w:r w:rsidRPr="00C41ECA">
              <w:t>Fatigue</w:t>
            </w:r>
          </w:p>
        </w:tc>
        <w:tc>
          <w:tcPr>
            <w:tcW w:w="1198" w:type="pct"/>
          </w:tcPr>
          <w:p w14:paraId="4CE69053" w14:textId="10F7BDEB" w:rsidR="00B76D02" w:rsidRPr="00C41ECA" w:rsidRDefault="00B76D02" w:rsidP="00195EA5">
            <w:pPr>
              <w:pStyle w:val="PBACTabletext"/>
              <w:spacing w:before="0" w:after="0"/>
              <w:jc w:val="center"/>
            </w:pPr>
            <w:r w:rsidRPr="00C41ECA">
              <w:t>11/51 (21.</w:t>
            </w:r>
            <w:r w:rsidR="00367450">
              <w:t>6</w:t>
            </w:r>
            <w:r w:rsidRPr="00C41ECA">
              <w:t>%)</w:t>
            </w:r>
          </w:p>
        </w:tc>
        <w:tc>
          <w:tcPr>
            <w:tcW w:w="998" w:type="pct"/>
          </w:tcPr>
          <w:p w14:paraId="443BB0EB" w14:textId="6D47AE7E" w:rsidR="00B76D02" w:rsidRPr="00C41ECA" w:rsidRDefault="00B76D02" w:rsidP="00195EA5">
            <w:pPr>
              <w:pStyle w:val="PBACTabletext"/>
              <w:spacing w:before="0" w:after="0"/>
              <w:jc w:val="center"/>
            </w:pPr>
            <w:r w:rsidRPr="00C41ECA">
              <w:t>7/52 (13.</w:t>
            </w:r>
            <w:r w:rsidR="00367450">
              <w:t>5</w:t>
            </w:r>
            <w:r w:rsidRPr="00C41ECA">
              <w:t>%)</w:t>
            </w:r>
          </w:p>
        </w:tc>
        <w:tc>
          <w:tcPr>
            <w:tcW w:w="877" w:type="pct"/>
          </w:tcPr>
          <w:p w14:paraId="40FF0F5F" w14:textId="15BE6009" w:rsidR="00B76D02" w:rsidRPr="00C41ECA" w:rsidRDefault="00B76D02" w:rsidP="00195EA5">
            <w:pPr>
              <w:pStyle w:val="PBACTabletext"/>
              <w:spacing w:before="0" w:after="0"/>
              <w:jc w:val="center"/>
            </w:pPr>
            <w:r w:rsidRPr="00C41ECA">
              <w:t xml:space="preserve">0.08 </w:t>
            </w:r>
            <w:r w:rsidR="00B21C34">
              <w:t>(</w:t>
            </w:r>
            <w:r w:rsidRPr="00C41ECA">
              <w:t>-0.07, 0.23</w:t>
            </w:r>
            <w:r w:rsidR="00C1171F">
              <w:t>)</w:t>
            </w:r>
          </w:p>
        </w:tc>
      </w:tr>
      <w:tr w:rsidR="00B76D02" w:rsidRPr="00C41ECA" w14:paraId="2E8E4DFD" w14:textId="77777777" w:rsidTr="35298142">
        <w:trPr>
          <w:cantSplit/>
        </w:trPr>
        <w:tc>
          <w:tcPr>
            <w:tcW w:w="1927" w:type="pct"/>
          </w:tcPr>
          <w:p w14:paraId="73E2F009" w14:textId="77777777" w:rsidR="00B76D02" w:rsidRPr="00C41ECA" w:rsidRDefault="00B76D02" w:rsidP="00967D46">
            <w:pPr>
              <w:pStyle w:val="PBACTabletext"/>
              <w:spacing w:before="0" w:after="0"/>
            </w:pPr>
            <w:r w:rsidRPr="00C41ECA">
              <w:t>ALT increased</w:t>
            </w:r>
          </w:p>
        </w:tc>
        <w:tc>
          <w:tcPr>
            <w:tcW w:w="1198" w:type="pct"/>
          </w:tcPr>
          <w:p w14:paraId="641F7A69" w14:textId="3F39A8BF" w:rsidR="00B76D02" w:rsidRPr="00C41ECA" w:rsidRDefault="00B76D02" w:rsidP="00195EA5">
            <w:pPr>
              <w:pStyle w:val="PBACTabletext"/>
              <w:spacing w:before="0" w:after="0"/>
              <w:jc w:val="center"/>
            </w:pPr>
            <w:r w:rsidRPr="00C41ECA">
              <w:t>19/51 (37.</w:t>
            </w:r>
            <w:r w:rsidR="00367450">
              <w:t>3</w:t>
            </w:r>
            <w:r w:rsidRPr="00C41ECA">
              <w:t>%)</w:t>
            </w:r>
          </w:p>
        </w:tc>
        <w:tc>
          <w:tcPr>
            <w:tcW w:w="998" w:type="pct"/>
          </w:tcPr>
          <w:p w14:paraId="26A7F2C6" w14:textId="71FE0CA9" w:rsidR="00B76D02" w:rsidRPr="00C41ECA" w:rsidRDefault="00B76D02" w:rsidP="00195EA5">
            <w:pPr>
              <w:pStyle w:val="PBACTabletext"/>
              <w:spacing w:before="0" w:after="0"/>
              <w:jc w:val="center"/>
            </w:pPr>
            <w:r w:rsidRPr="00C41ECA">
              <w:t>1/52 (1.9%)</w:t>
            </w:r>
          </w:p>
        </w:tc>
        <w:tc>
          <w:tcPr>
            <w:tcW w:w="877" w:type="pct"/>
          </w:tcPr>
          <w:p w14:paraId="14196D99" w14:textId="44C6E8A9" w:rsidR="00B76D02" w:rsidRPr="00C41ECA" w:rsidRDefault="00B76D02" w:rsidP="00195EA5">
            <w:pPr>
              <w:pStyle w:val="PBACTabletext"/>
              <w:spacing w:before="0" w:after="0"/>
              <w:jc w:val="center"/>
            </w:pPr>
            <w:r w:rsidRPr="00C41ECA">
              <w:t xml:space="preserve">0.35 </w:t>
            </w:r>
            <w:r w:rsidR="00B21C34">
              <w:t>(</w:t>
            </w:r>
            <w:r w:rsidRPr="00C41ECA">
              <w:t>0.20, 0.51</w:t>
            </w:r>
            <w:r w:rsidR="00C1171F">
              <w:t>)</w:t>
            </w:r>
          </w:p>
        </w:tc>
      </w:tr>
      <w:tr w:rsidR="00B76D02" w:rsidRPr="00C41ECA" w14:paraId="691E3E01" w14:textId="77777777" w:rsidTr="35298142">
        <w:trPr>
          <w:cantSplit/>
        </w:trPr>
        <w:tc>
          <w:tcPr>
            <w:tcW w:w="1927" w:type="pct"/>
          </w:tcPr>
          <w:p w14:paraId="2452C0B9" w14:textId="77777777" w:rsidR="00B76D02" w:rsidRPr="00C41ECA" w:rsidRDefault="00B76D02" w:rsidP="00967D46">
            <w:pPr>
              <w:pStyle w:val="PBACTabletext"/>
              <w:spacing w:before="0" w:after="0"/>
            </w:pPr>
            <w:r w:rsidRPr="00C41ECA">
              <w:t>AST increased</w:t>
            </w:r>
          </w:p>
        </w:tc>
        <w:tc>
          <w:tcPr>
            <w:tcW w:w="1198" w:type="pct"/>
          </w:tcPr>
          <w:p w14:paraId="15B83C92" w14:textId="54855FDE" w:rsidR="00B76D02" w:rsidRPr="00C41ECA" w:rsidRDefault="00B76D02" w:rsidP="00195EA5">
            <w:pPr>
              <w:pStyle w:val="PBACTabletext"/>
              <w:spacing w:before="0" w:after="0"/>
              <w:jc w:val="center"/>
            </w:pPr>
            <w:r w:rsidRPr="00C41ECA">
              <w:t>11/51 (21.</w:t>
            </w:r>
            <w:r w:rsidR="00367450">
              <w:t>6</w:t>
            </w:r>
            <w:r w:rsidRPr="00C41ECA">
              <w:t>%)</w:t>
            </w:r>
          </w:p>
        </w:tc>
        <w:tc>
          <w:tcPr>
            <w:tcW w:w="998" w:type="pct"/>
          </w:tcPr>
          <w:p w14:paraId="57F86BD4" w14:textId="3A389705" w:rsidR="00B76D02" w:rsidRPr="00C41ECA" w:rsidRDefault="00B76D02" w:rsidP="00195EA5">
            <w:pPr>
              <w:pStyle w:val="PBACTabletext"/>
              <w:spacing w:before="0" w:after="0"/>
              <w:jc w:val="center"/>
            </w:pPr>
            <w:r w:rsidRPr="00C41ECA">
              <w:t>1/52 (1.9%)</w:t>
            </w:r>
          </w:p>
        </w:tc>
        <w:tc>
          <w:tcPr>
            <w:tcW w:w="877" w:type="pct"/>
          </w:tcPr>
          <w:p w14:paraId="704D8618" w14:textId="1604BA3A" w:rsidR="00B76D02" w:rsidRPr="00C41ECA" w:rsidRDefault="00B76D02" w:rsidP="00195EA5">
            <w:pPr>
              <w:pStyle w:val="PBACTabletext"/>
              <w:spacing w:before="0" w:after="0"/>
              <w:jc w:val="center"/>
            </w:pPr>
            <w:r w:rsidRPr="00C41ECA">
              <w:t xml:space="preserve">0.20 </w:t>
            </w:r>
            <w:r w:rsidR="00B21C34">
              <w:t>(</w:t>
            </w:r>
            <w:r w:rsidRPr="00C41ECA">
              <w:t>0.07, 0.32</w:t>
            </w:r>
            <w:r w:rsidR="00C1171F">
              <w:t>)</w:t>
            </w:r>
          </w:p>
        </w:tc>
      </w:tr>
      <w:tr w:rsidR="00B76D02" w:rsidRPr="00C41ECA" w14:paraId="2B623411" w14:textId="77777777" w:rsidTr="35298142">
        <w:trPr>
          <w:cantSplit/>
        </w:trPr>
        <w:tc>
          <w:tcPr>
            <w:tcW w:w="1927" w:type="pct"/>
          </w:tcPr>
          <w:p w14:paraId="03D8F7A2" w14:textId="77777777" w:rsidR="00B76D02" w:rsidRPr="00C41ECA" w:rsidRDefault="00B76D02" w:rsidP="00967D46">
            <w:pPr>
              <w:pStyle w:val="PBACTabletext"/>
              <w:spacing w:before="0" w:after="0"/>
            </w:pPr>
            <w:r w:rsidRPr="00C41ECA">
              <w:t>Headache</w:t>
            </w:r>
          </w:p>
        </w:tc>
        <w:tc>
          <w:tcPr>
            <w:tcW w:w="1198" w:type="pct"/>
          </w:tcPr>
          <w:p w14:paraId="35A0AE96" w14:textId="67E5383E" w:rsidR="00B76D02" w:rsidRPr="00C41ECA" w:rsidRDefault="00B76D02" w:rsidP="00195EA5">
            <w:pPr>
              <w:pStyle w:val="PBACTabletext"/>
              <w:spacing w:before="0" w:after="0"/>
              <w:jc w:val="center"/>
            </w:pPr>
            <w:r w:rsidRPr="00C41ECA">
              <w:t>19/51 (37.</w:t>
            </w:r>
            <w:r w:rsidR="00367450">
              <w:t>3</w:t>
            </w:r>
            <w:r w:rsidRPr="00C41ECA">
              <w:t>%)</w:t>
            </w:r>
          </w:p>
        </w:tc>
        <w:tc>
          <w:tcPr>
            <w:tcW w:w="998" w:type="pct"/>
          </w:tcPr>
          <w:p w14:paraId="705674D3" w14:textId="28067CC0" w:rsidR="00B76D02" w:rsidRPr="00C41ECA" w:rsidRDefault="00B76D02" w:rsidP="00195EA5">
            <w:pPr>
              <w:pStyle w:val="PBACTabletext"/>
              <w:spacing w:before="0" w:after="0"/>
              <w:jc w:val="center"/>
            </w:pPr>
            <w:r w:rsidRPr="00C41ECA">
              <w:t>13/52 (25.0%)</w:t>
            </w:r>
          </w:p>
        </w:tc>
        <w:tc>
          <w:tcPr>
            <w:tcW w:w="877" w:type="pct"/>
          </w:tcPr>
          <w:p w14:paraId="3FCCB5AB" w14:textId="2EB848A6" w:rsidR="00B76D02" w:rsidRPr="00C41ECA" w:rsidRDefault="00B76D02" w:rsidP="00195EA5">
            <w:pPr>
              <w:pStyle w:val="PBACTabletext"/>
              <w:spacing w:before="0" w:after="0"/>
              <w:jc w:val="center"/>
            </w:pPr>
            <w:r w:rsidRPr="00C41ECA">
              <w:t xml:space="preserve">0.12 </w:t>
            </w:r>
            <w:r w:rsidR="00B21C34">
              <w:t>(</w:t>
            </w:r>
            <w:r w:rsidRPr="00C41ECA">
              <w:t>-0.06, 0.30</w:t>
            </w:r>
            <w:r w:rsidR="00C1171F">
              <w:t>)</w:t>
            </w:r>
          </w:p>
        </w:tc>
      </w:tr>
    </w:tbl>
    <w:p w14:paraId="29F7EC43" w14:textId="77777777" w:rsidR="00B76D02" w:rsidRPr="00C41ECA" w:rsidRDefault="00B76D02" w:rsidP="00B76D02">
      <w:pPr>
        <w:pStyle w:val="TableFooter"/>
      </w:pPr>
      <w:r w:rsidRPr="00C41ECA">
        <w:t>Source: Summarised from Table 2-34, p123 of the submission.</w:t>
      </w:r>
    </w:p>
    <w:p w14:paraId="272FA008" w14:textId="77777777" w:rsidR="00B76D02" w:rsidRPr="00C41ECA" w:rsidRDefault="00B76D02" w:rsidP="00B76D02">
      <w:pPr>
        <w:pStyle w:val="TableFooter"/>
      </w:pPr>
      <w:r w:rsidRPr="35298142">
        <w:t>AE=adverse event; ALT=alanine aminotransferase; AST=aspartate aminotransferase; CI=confidence intervals; Omav=</w:t>
      </w:r>
      <w:proofErr w:type="spellStart"/>
      <w:r w:rsidRPr="35298142">
        <w:t>omaveloxolone</w:t>
      </w:r>
      <w:proofErr w:type="spellEnd"/>
      <w:r w:rsidRPr="35298142">
        <w:t>; RD=risk difference (calculated in the submission); SAE=serious adverse event; TEAE=treatment-emergent adverse event.</w:t>
      </w:r>
    </w:p>
    <w:p w14:paraId="3AEB6818" w14:textId="77777777" w:rsidR="00CD1C7F" w:rsidRPr="00C41ECA" w:rsidRDefault="00CD1C7F" w:rsidP="00B76D02">
      <w:pPr>
        <w:pStyle w:val="3-BodyText"/>
      </w:pPr>
      <w:r w:rsidRPr="00C41ECA">
        <w:rPr>
          <w:lang w:val="en-US"/>
        </w:rPr>
        <w:t xml:space="preserve">No deaths were reported in either treatment arm of </w:t>
      </w:r>
      <w:proofErr w:type="spellStart"/>
      <w:r w:rsidRPr="00C41ECA">
        <w:rPr>
          <w:lang w:val="en-US"/>
        </w:rPr>
        <w:t>MOXIe</w:t>
      </w:r>
      <w:proofErr w:type="spellEnd"/>
      <w:r w:rsidRPr="00C41ECA">
        <w:rPr>
          <w:lang w:val="en-US"/>
        </w:rPr>
        <w:t xml:space="preserve"> Part 2.</w:t>
      </w:r>
    </w:p>
    <w:p w14:paraId="4EA18E46" w14:textId="156565AE" w:rsidR="00B76D02" w:rsidRPr="00C41ECA" w:rsidRDefault="00B76D02" w:rsidP="00B76D02">
      <w:pPr>
        <w:pStyle w:val="3-BodyText"/>
      </w:pPr>
      <w:r w:rsidRPr="00C41ECA">
        <w:rPr>
          <w:lang w:val="en-US"/>
        </w:rPr>
        <w:t xml:space="preserve">TEAEs related to study drug were higher in the </w:t>
      </w:r>
      <w:proofErr w:type="spellStart"/>
      <w:r w:rsidRPr="00C41ECA">
        <w:rPr>
          <w:lang w:val="en-US"/>
        </w:rPr>
        <w:t>omaveloxolone</w:t>
      </w:r>
      <w:proofErr w:type="spellEnd"/>
      <w:r w:rsidRPr="00C41ECA">
        <w:rPr>
          <w:lang w:val="en-US"/>
        </w:rPr>
        <w:t xml:space="preserve"> treatment arm (72.5%) compared to the placebo arm (36.5%). The proportion of patients who interrupted study drug administration because of a TEAE was greater in the </w:t>
      </w:r>
      <w:proofErr w:type="spellStart"/>
      <w:r w:rsidRPr="00C41ECA">
        <w:rPr>
          <w:lang w:val="en-US"/>
        </w:rPr>
        <w:t>omaveloxolone</w:t>
      </w:r>
      <w:proofErr w:type="spellEnd"/>
      <w:r w:rsidRPr="00C41ECA">
        <w:rPr>
          <w:lang w:val="en-US"/>
        </w:rPr>
        <w:t xml:space="preserve"> group (17.6%) than the placebo group (1.9%). The proportion of patients with AEs leading to permanent treatment discontinuation was </w:t>
      </w:r>
      <w:r w:rsidR="00440A3B">
        <w:rPr>
          <w:lang w:val="en-US"/>
        </w:rPr>
        <w:t>approximately</w:t>
      </w:r>
      <w:r w:rsidR="00440A3B" w:rsidRPr="00C41ECA">
        <w:rPr>
          <w:lang w:val="en-US"/>
        </w:rPr>
        <w:t xml:space="preserve"> </w:t>
      </w:r>
      <w:r w:rsidRPr="00C41ECA">
        <w:rPr>
          <w:lang w:val="en-US"/>
        </w:rPr>
        <w:t xml:space="preserve">two-fold in the </w:t>
      </w:r>
      <w:proofErr w:type="spellStart"/>
      <w:r w:rsidRPr="00C41ECA">
        <w:rPr>
          <w:lang w:val="en-US"/>
        </w:rPr>
        <w:t>omaveloxolone</w:t>
      </w:r>
      <w:proofErr w:type="spellEnd"/>
      <w:r w:rsidRPr="00C41ECA">
        <w:rPr>
          <w:lang w:val="en-US"/>
        </w:rPr>
        <w:t xml:space="preserve"> arm compared to the placebo arm (7.8% vs. 3.8%). </w:t>
      </w:r>
      <w:r w:rsidRPr="00C41ECA">
        <w:rPr>
          <w:lang w:val="en-GB"/>
        </w:rPr>
        <w:t xml:space="preserve">Serious TEAEs were reported in 5 (9.8%) </w:t>
      </w:r>
      <w:proofErr w:type="spellStart"/>
      <w:r w:rsidRPr="00C41ECA">
        <w:rPr>
          <w:lang w:val="en-GB"/>
        </w:rPr>
        <w:t>omaveloxolone</w:t>
      </w:r>
      <w:proofErr w:type="spellEnd"/>
      <w:r w:rsidRPr="00C41ECA">
        <w:rPr>
          <w:lang w:val="en-GB"/>
        </w:rPr>
        <w:t>-treated patients, and 3 (5.8%) placebo-treated patients.</w:t>
      </w:r>
      <w:r w:rsidR="00BC61B8" w:rsidRPr="00C41ECA">
        <w:rPr>
          <w:lang w:val="en-GB"/>
        </w:rPr>
        <w:t xml:space="preserve"> </w:t>
      </w:r>
      <w:r w:rsidR="00BC61B8" w:rsidRPr="00C41ECA">
        <w:rPr>
          <w:lang w:val="en-US"/>
        </w:rPr>
        <w:t xml:space="preserve">TEAEs were mostly mild or moderate in severity in both treatment arms (&gt;90%) and most TEAEs </w:t>
      </w:r>
      <w:proofErr w:type="gramStart"/>
      <w:r w:rsidR="00BC61B8" w:rsidRPr="00C41ECA">
        <w:rPr>
          <w:lang w:val="en-US"/>
        </w:rPr>
        <w:t>resolved</w:t>
      </w:r>
      <w:proofErr w:type="gramEnd"/>
      <w:r w:rsidR="00BC61B8" w:rsidRPr="00C41ECA">
        <w:rPr>
          <w:lang w:val="en-US"/>
        </w:rPr>
        <w:t xml:space="preserve"> within 2 months of the event start date.</w:t>
      </w:r>
    </w:p>
    <w:p w14:paraId="14858F1C" w14:textId="4E8CD984" w:rsidR="00BC61B8" w:rsidRPr="00C41ECA" w:rsidRDefault="00BC61B8" w:rsidP="00B76D02">
      <w:pPr>
        <w:pStyle w:val="3-BodyText"/>
      </w:pPr>
      <w:r w:rsidRPr="35298142">
        <w:t>The most common TEAEs (≥</w:t>
      </w:r>
      <w:r w:rsidR="00DC58DC" w:rsidRPr="35298142">
        <w:t xml:space="preserve"> </w:t>
      </w:r>
      <w:r w:rsidRPr="35298142">
        <w:t>20% incidence in either treatment arm) with ≥</w:t>
      </w:r>
      <w:r w:rsidR="00DC58DC" w:rsidRPr="35298142">
        <w:t xml:space="preserve"> </w:t>
      </w:r>
      <w:r w:rsidRPr="35298142">
        <w:t xml:space="preserve">5% difference in incidence in the </w:t>
      </w:r>
      <w:proofErr w:type="spellStart"/>
      <w:r w:rsidRPr="35298142">
        <w:t>omaveloxolone</w:t>
      </w:r>
      <w:proofErr w:type="spellEnd"/>
      <w:r w:rsidRPr="35298142">
        <w:t xml:space="preserve"> arm compared with the placebo arm were increased </w:t>
      </w:r>
      <w:r w:rsidR="002D4249" w:rsidRPr="35298142">
        <w:t>ALT</w:t>
      </w:r>
      <w:r w:rsidRPr="35298142">
        <w:t xml:space="preserve"> (37.3% vs. 1.9%</w:t>
      </w:r>
      <w:r w:rsidR="002D4249" w:rsidRPr="35298142">
        <w:t>)</w:t>
      </w:r>
      <w:r w:rsidRPr="35298142">
        <w:t xml:space="preserve">, headache </w:t>
      </w:r>
      <w:r w:rsidR="002D4249" w:rsidRPr="35298142">
        <w:t>(</w:t>
      </w:r>
      <w:r w:rsidRPr="35298142">
        <w:t>37.3% vs 25.0</w:t>
      </w:r>
      <w:r w:rsidR="002D4249" w:rsidRPr="35298142">
        <w:t xml:space="preserve">%), </w:t>
      </w:r>
      <w:r w:rsidRPr="35298142">
        <w:t xml:space="preserve">nausea </w:t>
      </w:r>
      <w:r w:rsidR="002D4249" w:rsidRPr="35298142">
        <w:t>(</w:t>
      </w:r>
      <w:r w:rsidRPr="35298142">
        <w:t>33.3% vs 13.5</w:t>
      </w:r>
      <w:r w:rsidR="002D4249" w:rsidRPr="35298142">
        <w:t xml:space="preserve">%), </w:t>
      </w:r>
      <w:r w:rsidRPr="35298142">
        <w:t xml:space="preserve">fatigue </w:t>
      </w:r>
      <w:r w:rsidR="002D4249" w:rsidRPr="35298142">
        <w:t>(</w:t>
      </w:r>
      <w:r w:rsidRPr="35298142">
        <w:t>21.6% vs 13.5</w:t>
      </w:r>
      <w:r w:rsidR="002D4249" w:rsidRPr="35298142">
        <w:t xml:space="preserve">%), </w:t>
      </w:r>
      <w:r w:rsidRPr="35298142">
        <w:t xml:space="preserve">abdominal pain </w:t>
      </w:r>
      <w:r w:rsidR="002D4249" w:rsidRPr="35298142">
        <w:t>(</w:t>
      </w:r>
      <w:r w:rsidRPr="35298142">
        <w:t>21.6% vs 5.8%</w:t>
      </w:r>
      <w:r w:rsidR="002D4249" w:rsidRPr="35298142">
        <w:t>)</w:t>
      </w:r>
      <w:r w:rsidRPr="35298142">
        <w:t xml:space="preserve">, and increased AST </w:t>
      </w:r>
      <w:r w:rsidR="002D4249" w:rsidRPr="35298142">
        <w:t>(</w:t>
      </w:r>
      <w:r w:rsidRPr="35298142">
        <w:t xml:space="preserve">21.6% vs 1.9%). Increased ALT, increased AST, and headache were considered by the investigators to be related to </w:t>
      </w:r>
      <w:proofErr w:type="spellStart"/>
      <w:r w:rsidRPr="35298142">
        <w:t>omaveloxolone</w:t>
      </w:r>
      <w:proofErr w:type="spellEnd"/>
      <w:r w:rsidRPr="35298142">
        <w:t>.</w:t>
      </w:r>
    </w:p>
    <w:p w14:paraId="42EB7646" w14:textId="77777777" w:rsidR="00CD1C7F" w:rsidRPr="00C41ECA" w:rsidRDefault="00CD1C7F" w:rsidP="00B76D02">
      <w:pPr>
        <w:pStyle w:val="3-BodyText"/>
      </w:pPr>
      <w:r w:rsidRPr="00C41ECA">
        <w:rPr>
          <w:lang w:val="en-GB"/>
        </w:rPr>
        <w:t xml:space="preserve">A peak of mean absolute ALT and AST levels was observed at Week 2 in the </w:t>
      </w:r>
      <w:proofErr w:type="spellStart"/>
      <w:r w:rsidRPr="00C41ECA">
        <w:rPr>
          <w:lang w:val="en-GB"/>
        </w:rPr>
        <w:t>omaveloxolone</w:t>
      </w:r>
      <w:proofErr w:type="spellEnd"/>
      <w:r w:rsidRPr="00C41ECA">
        <w:rPr>
          <w:lang w:val="en-GB"/>
        </w:rPr>
        <w:t xml:space="preserve"> treatment arm with a subsequent decrease in values through week 48 toward baseline. More </w:t>
      </w:r>
      <w:proofErr w:type="spellStart"/>
      <w:r w:rsidRPr="00C41ECA">
        <w:rPr>
          <w:lang w:val="en-GB"/>
        </w:rPr>
        <w:t>omaveloxolone</w:t>
      </w:r>
      <w:proofErr w:type="spellEnd"/>
      <w:r w:rsidRPr="00C41ECA">
        <w:rPr>
          <w:lang w:val="en-GB"/>
        </w:rPr>
        <w:t xml:space="preserve">-treated patients with normal baseline values had increases in ALT above the upper limit of normal (ULN) while taking </w:t>
      </w:r>
      <w:proofErr w:type="spellStart"/>
      <w:r w:rsidRPr="00C41ECA">
        <w:rPr>
          <w:lang w:val="en-GB"/>
        </w:rPr>
        <w:t>omaveloxolone</w:t>
      </w:r>
      <w:proofErr w:type="spellEnd"/>
      <w:r w:rsidRPr="00C41ECA">
        <w:rPr>
          <w:lang w:val="en-GB"/>
        </w:rPr>
        <w:t xml:space="preserve"> than placebo-treated patients. </w:t>
      </w:r>
    </w:p>
    <w:p w14:paraId="06D0D00F" w14:textId="1C482382" w:rsidR="00BC61B8" w:rsidRPr="00C41ECA" w:rsidRDefault="00BC61B8" w:rsidP="00B76D02">
      <w:pPr>
        <w:pStyle w:val="3-BodyText"/>
      </w:pPr>
      <w:r w:rsidRPr="00C41ECA">
        <w:rPr>
          <w:lang w:val="en-US"/>
        </w:rPr>
        <w:t xml:space="preserve">The submission noted that </w:t>
      </w:r>
      <w:r w:rsidRPr="00C41ECA">
        <w:t xml:space="preserve">ALT and AST levels returned to baseline levels after continuous treatment (Week 52 for ALT and Week 36 for AST), and that ‘this likely reflects a coordination </w:t>
      </w:r>
      <w:r w:rsidR="00DD5E3D" w:rsidRPr="00C41ECA">
        <w:t>or</w:t>
      </w:r>
      <w:r w:rsidRPr="00C41ECA">
        <w:t xml:space="preserve"> physiological </w:t>
      </w:r>
      <w:proofErr w:type="gramStart"/>
      <w:r w:rsidRPr="00C41ECA">
        <w:t>adaption</w:t>
      </w:r>
      <w:proofErr w:type="gramEnd"/>
      <w:r w:rsidRPr="00C41ECA">
        <w:t xml:space="preserve"> to metabolic demand and energy homeostasis rather than liver injury’.</w:t>
      </w:r>
    </w:p>
    <w:p w14:paraId="520BE899" w14:textId="7B0BAA0C" w:rsidR="00BC61B8" w:rsidRPr="00C41ECA" w:rsidRDefault="00BC61B8" w:rsidP="35298142">
      <w:pPr>
        <w:pStyle w:val="3-BodyText"/>
      </w:pPr>
      <w:r w:rsidRPr="35298142">
        <w:t xml:space="preserve">Within the (SOC) Cardiac disorders, 3 (5.9%) </w:t>
      </w:r>
      <w:proofErr w:type="spellStart"/>
      <w:r w:rsidRPr="35298142">
        <w:t>omaveloxolone</w:t>
      </w:r>
      <w:proofErr w:type="spellEnd"/>
      <w:r w:rsidRPr="35298142">
        <w:t xml:space="preserve"> treated patients and one (1.9%) placebo treated patient experienced serious TEAEs. Small mean increases in BNP were observed with </w:t>
      </w:r>
      <w:proofErr w:type="spellStart"/>
      <w:r w:rsidRPr="35298142">
        <w:t>omaveloxolone</w:t>
      </w:r>
      <w:proofErr w:type="spellEnd"/>
      <w:r w:rsidRPr="35298142">
        <w:t xml:space="preserve"> treatment relative to placebo and 2 (3.9%) patients had B-type natriuretic peptide (BNP) values that exceeded </w:t>
      </w:r>
      <w:r>
        <w:br/>
      </w:r>
      <w:r w:rsidRPr="35298142">
        <w:t xml:space="preserve">200 </w:t>
      </w:r>
      <w:proofErr w:type="spellStart"/>
      <w:r w:rsidRPr="35298142">
        <w:t>pg</w:t>
      </w:r>
      <w:proofErr w:type="spellEnd"/>
      <w:r w:rsidRPr="35298142">
        <w:t>/</w:t>
      </w:r>
      <w:proofErr w:type="spellStart"/>
      <w:r w:rsidRPr="35298142">
        <w:t>mL.</w:t>
      </w:r>
      <w:proofErr w:type="spellEnd"/>
    </w:p>
    <w:p w14:paraId="19380753" w14:textId="3D9C97CE" w:rsidR="00CD1C7F" w:rsidRPr="00C41ECA" w:rsidRDefault="00CD1C7F" w:rsidP="008A7B3D">
      <w:pPr>
        <w:pStyle w:val="3-BodyText"/>
      </w:pPr>
      <w:r w:rsidRPr="00C41ECA">
        <w:t>The submission presented a discussion on cardiac-related AEs associated with bardoxolone (another Nrf2 modulator)</w:t>
      </w:r>
      <w:r w:rsidR="008A7B3D" w:rsidRPr="00C41ECA">
        <w:t xml:space="preserve"> and noted the following:</w:t>
      </w:r>
      <w:r w:rsidR="007937F9">
        <w:t xml:space="preserve"> </w:t>
      </w:r>
    </w:p>
    <w:p w14:paraId="04ACDB40" w14:textId="51D9F5C0" w:rsidR="008A7B3D" w:rsidRPr="00FC42BC" w:rsidRDefault="0070549A" w:rsidP="007937F9">
      <w:pPr>
        <w:pStyle w:val="3-BodyText"/>
        <w:numPr>
          <w:ilvl w:val="1"/>
          <w:numId w:val="38"/>
        </w:numPr>
        <w:ind w:left="1080"/>
        <w:rPr>
          <w:lang w:val="en-GB"/>
        </w:rPr>
      </w:pPr>
      <w:r>
        <w:t>A</w:t>
      </w:r>
      <w:r w:rsidR="008A7B3D" w:rsidRPr="00C41ECA">
        <w:t xml:space="preserve">lthough </w:t>
      </w:r>
      <w:proofErr w:type="spellStart"/>
      <w:r w:rsidR="008A7B3D" w:rsidRPr="00C41ECA">
        <w:t>omaveloxolone</w:t>
      </w:r>
      <w:proofErr w:type="spellEnd"/>
      <w:r w:rsidR="008A7B3D" w:rsidRPr="00C41ECA">
        <w:t xml:space="preserve"> and bardoxolone methyl are Nrf2 activators, and share a common pharmacophore, they exhibit differences in their structural and chemical properties. The EMA assessment report notes that </w:t>
      </w:r>
      <w:r w:rsidR="008A7B3D" w:rsidRPr="00FC42BC">
        <w:rPr>
          <w:lang w:val="en-US"/>
        </w:rPr>
        <w:t>available non</w:t>
      </w:r>
      <w:r w:rsidR="00754050" w:rsidRPr="00FC42BC">
        <w:rPr>
          <w:lang w:val="en-US"/>
        </w:rPr>
        <w:t>-</w:t>
      </w:r>
      <w:r w:rsidR="008A7B3D" w:rsidRPr="00FC42BC">
        <w:rPr>
          <w:lang w:val="en-US"/>
        </w:rPr>
        <w:t xml:space="preserve">clinical data suggest that the pharmacology and safety profiles of </w:t>
      </w:r>
      <w:proofErr w:type="spellStart"/>
      <w:r w:rsidR="008A7B3D" w:rsidRPr="00FC42BC">
        <w:rPr>
          <w:lang w:val="en-US"/>
        </w:rPr>
        <w:t>omaveloxolone</w:t>
      </w:r>
      <w:proofErr w:type="spellEnd"/>
      <w:r w:rsidR="008A7B3D" w:rsidRPr="00FC42BC">
        <w:rPr>
          <w:lang w:val="en-US"/>
        </w:rPr>
        <w:t xml:space="preserve"> and other Nrf2 activators are similar</w:t>
      </w:r>
      <w:r w:rsidR="008A7B3D" w:rsidRPr="00C41ECA">
        <w:t xml:space="preserve"> (p230, </w:t>
      </w:r>
      <w:r w:rsidR="008A7B3D" w:rsidRPr="00FC42BC">
        <w:rPr>
          <w:lang w:val="en-GB"/>
        </w:rPr>
        <w:t xml:space="preserve">Committee for Medicinal Products for Human Use (CHMP) report for </w:t>
      </w:r>
      <w:proofErr w:type="spellStart"/>
      <w:r w:rsidR="008A7B3D" w:rsidRPr="00FC42BC">
        <w:rPr>
          <w:lang w:val="en-GB"/>
        </w:rPr>
        <w:t>omaveloxolone</w:t>
      </w:r>
      <w:proofErr w:type="spellEnd"/>
      <w:r w:rsidR="008A7B3D" w:rsidRPr="00FC42BC">
        <w:rPr>
          <w:lang w:val="en-GB"/>
        </w:rPr>
        <w:t>, 14 December 2023, EMA/CHMP/535977/2023).</w:t>
      </w:r>
    </w:p>
    <w:p w14:paraId="69579073" w14:textId="77777777" w:rsidR="007937F9" w:rsidRDefault="008A7B3D" w:rsidP="007937F9">
      <w:pPr>
        <w:pStyle w:val="3-BodyText"/>
        <w:numPr>
          <w:ilvl w:val="1"/>
          <w:numId w:val="38"/>
        </w:numPr>
        <w:ind w:left="1080"/>
      </w:pPr>
      <w:r w:rsidRPr="35298142">
        <w:t xml:space="preserve">Available non-clinical data suggest that there is no indication that the pharmacology and safety profiles of </w:t>
      </w:r>
      <w:proofErr w:type="spellStart"/>
      <w:r w:rsidRPr="35298142">
        <w:t>omaveloxolone</w:t>
      </w:r>
      <w:proofErr w:type="spellEnd"/>
      <w:r w:rsidRPr="35298142">
        <w:t xml:space="preserve"> cause adverse cardiac effects. Long-term Nrf2 activation at tolerable doses does not appear to cause adverse effects on the heart. Preclinical models indicate that increases in BNP expression in heart tissue are likely due to metabolic effects.</w:t>
      </w:r>
      <w:r w:rsidR="007937F9">
        <w:t xml:space="preserve"> </w:t>
      </w:r>
    </w:p>
    <w:p w14:paraId="695EAF8D" w14:textId="34E3BB66" w:rsidR="008A7B3D" w:rsidRPr="00C41ECA" w:rsidRDefault="008A7B3D" w:rsidP="007937F9">
      <w:pPr>
        <w:pStyle w:val="3-BodyText"/>
        <w:numPr>
          <w:ilvl w:val="1"/>
          <w:numId w:val="38"/>
        </w:numPr>
        <w:ind w:left="1080"/>
      </w:pPr>
      <w:r w:rsidRPr="00C41ECA">
        <w:t>The patient population in the BEACON</w:t>
      </w:r>
      <w:r w:rsidRPr="00C41ECA">
        <w:rPr>
          <w:vertAlign w:val="superscript"/>
        </w:rPr>
        <w:footnoteReference w:id="8"/>
      </w:r>
      <w:r w:rsidRPr="00C41ECA">
        <w:t xml:space="preserve"> study of bardoxolone methyl (i.e., people with chronic kidney disease [CKD] and type 2 diabetes mellitus [T2DM]) is significantly different from the FA population.</w:t>
      </w:r>
      <w:r w:rsidR="00963647" w:rsidRPr="00C41ECA">
        <w:t xml:space="preserve"> The FA patient population has a low likelihood of advanced CKD and cardiac diastolic dysfunction. Differences between the BEACON and </w:t>
      </w:r>
      <w:proofErr w:type="spellStart"/>
      <w:r w:rsidR="00963647" w:rsidRPr="00C41ECA">
        <w:t>MOXIe</w:t>
      </w:r>
      <w:proofErr w:type="spellEnd"/>
      <w:r w:rsidR="00963647" w:rsidRPr="00C41ECA">
        <w:t xml:space="preserve"> FA patient populations are recognised. However, </w:t>
      </w:r>
      <w:r w:rsidR="00963647" w:rsidRPr="007937F9">
        <w:rPr>
          <w:lang w:val="en-US"/>
        </w:rPr>
        <w:t xml:space="preserve">elevated baseline BNP and prior </w:t>
      </w:r>
      <w:proofErr w:type="spellStart"/>
      <w:r w:rsidR="00963647" w:rsidRPr="007937F9">
        <w:rPr>
          <w:lang w:val="en-US"/>
        </w:rPr>
        <w:t>hospitalisation</w:t>
      </w:r>
      <w:proofErr w:type="spellEnd"/>
      <w:r w:rsidR="00963647" w:rsidRPr="007937F9">
        <w:rPr>
          <w:lang w:val="en-US"/>
        </w:rPr>
        <w:t xml:space="preserve"> for heart failure were among the major risk factors identified for the events in the </w:t>
      </w:r>
      <w:r w:rsidR="00963647" w:rsidRPr="00C41ECA">
        <w:t>bardoxolone</w:t>
      </w:r>
      <w:r w:rsidR="00963647" w:rsidRPr="007937F9">
        <w:rPr>
          <w:lang w:val="en-US"/>
        </w:rPr>
        <w:t xml:space="preserve"> study; consequently, patient with significant heart disease were excluded from the FA studies.</w:t>
      </w:r>
    </w:p>
    <w:p w14:paraId="5BF3CCEF" w14:textId="5D5ABDFC" w:rsidR="00963647" w:rsidRPr="00C41ECA" w:rsidRDefault="00963647" w:rsidP="007937F9">
      <w:pPr>
        <w:pStyle w:val="3-BodyText"/>
        <w:numPr>
          <w:ilvl w:val="1"/>
          <w:numId w:val="38"/>
        </w:numPr>
        <w:ind w:left="1080"/>
      </w:pPr>
      <w:r w:rsidRPr="35298142">
        <w:t xml:space="preserve">Notably, the cardiac morphology of preserved contractility and diastolic dysfunction for the BEACON patients differs from the morphology of end stage heart failure that is typical for FA, which is characterised by a reduced ejection fraction and low contractility. There has been no safety signal for heart failure presenting with fluid overload and increased blood pressure in clinical trials of </w:t>
      </w:r>
      <w:proofErr w:type="spellStart"/>
      <w:r w:rsidRPr="35298142">
        <w:t>omaveloxolone</w:t>
      </w:r>
      <w:proofErr w:type="spellEnd"/>
      <w:r w:rsidRPr="35298142">
        <w:t xml:space="preserve"> in FA, including in patients with mild to moderate cardiomyopathy. However, as a precaution, the sponsor proposed adequate BNP monitoring in the draft PI label.</w:t>
      </w:r>
      <w:r w:rsidR="00297213" w:rsidRPr="35298142">
        <w:t xml:space="preserve"> It is unclear whether current MBS listings for BNP testing (heart failure and PAH) could be used for monitoring patients receiving </w:t>
      </w:r>
      <w:proofErr w:type="spellStart"/>
      <w:r w:rsidR="00297213" w:rsidRPr="35298142">
        <w:t>omaveloxolone</w:t>
      </w:r>
      <w:proofErr w:type="spellEnd"/>
      <w:r w:rsidR="00297213" w:rsidRPr="35298142">
        <w:t>.</w:t>
      </w:r>
    </w:p>
    <w:p w14:paraId="564EB8FD" w14:textId="12403CF0" w:rsidR="00CE2E65" w:rsidRPr="00C41ECA" w:rsidRDefault="00963647" w:rsidP="00963647">
      <w:pPr>
        <w:pStyle w:val="3-BodyText"/>
      </w:pPr>
      <w:bookmarkStart w:id="39" w:name="_Ref188031542"/>
      <w:r w:rsidRPr="00C41ECA">
        <w:rPr>
          <w:lang w:val="en-US"/>
        </w:rPr>
        <w:t xml:space="preserve">Overall, due to the observations of congestive heart failure in the bardoxolone study, and the cardiovascular risk in FA patients, cardiotoxicity remains a safety concern with </w:t>
      </w:r>
      <w:proofErr w:type="spellStart"/>
      <w:r w:rsidRPr="00C41ECA">
        <w:rPr>
          <w:lang w:val="en-US"/>
        </w:rPr>
        <w:t>omaveloxolone</w:t>
      </w:r>
      <w:proofErr w:type="spellEnd"/>
      <w:r w:rsidRPr="00C41ECA">
        <w:rPr>
          <w:lang w:val="en-US"/>
        </w:rPr>
        <w:t>.</w:t>
      </w:r>
      <w:bookmarkEnd w:id="39"/>
    </w:p>
    <w:p w14:paraId="251BA2F2" w14:textId="77777777" w:rsidR="00CE2E65" w:rsidRPr="0098262F" w:rsidRDefault="00CE2E65" w:rsidP="00CE2E65">
      <w:pPr>
        <w:pStyle w:val="4-SubsectionHeading"/>
      </w:pPr>
      <w:bookmarkStart w:id="40" w:name="_Toc22897643"/>
      <w:bookmarkStart w:id="41" w:name="_Toc188438060"/>
      <w:r w:rsidRPr="0098262F">
        <w:t>Benefits/harms</w:t>
      </w:r>
      <w:bookmarkEnd w:id="40"/>
      <w:bookmarkEnd w:id="41"/>
    </w:p>
    <w:p w14:paraId="56199E16" w14:textId="73388965" w:rsidR="00963647" w:rsidRPr="00C41ECA" w:rsidRDefault="00963647" w:rsidP="00CE2E65">
      <w:pPr>
        <w:pStyle w:val="3-BodyText"/>
      </w:pPr>
      <w:r w:rsidRPr="35298142">
        <w:t xml:space="preserve">A summary of the comparative benefits and harms for </w:t>
      </w:r>
      <w:proofErr w:type="spellStart"/>
      <w:r w:rsidRPr="35298142">
        <w:t>omaveloxolone</w:t>
      </w:r>
      <w:proofErr w:type="spellEnd"/>
      <w:r w:rsidRPr="35298142">
        <w:t xml:space="preserve"> versus placebo </w:t>
      </w:r>
      <w:r w:rsidR="00EE104F" w:rsidRPr="35298142">
        <w:t>(</w:t>
      </w:r>
      <w:r w:rsidRPr="35298142">
        <w:t>proxy for BSC</w:t>
      </w:r>
      <w:r w:rsidR="00EE104F" w:rsidRPr="35298142">
        <w:t>)</w:t>
      </w:r>
      <w:r w:rsidRPr="35298142">
        <w:t xml:space="preserve"> is presented in </w:t>
      </w:r>
      <w:r>
        <w:fldChar w:fldCharType="begin"/>
      </w:r>
      <w:r>
        <w:instrText xml:space="preserve"> REF _Ref187134800 \h  \* MERGEFORMAT </w:instrText>
      </w:r>
      <w:r>
        <w:fldChar w:fldCharType="separate"/>
      </w:r>
      <w:r w:rsidR="003A4643" w:rsidRPr="35298142">
        <w:t xml:space="preserve">Table </w:t>
      </w:r>
      <w:r w:rsidR="003A4643">
        <w:rPr>
          <w:noProof/>
        </w:rPr>
        <w:t>14</w:t>
      </w:r>
      <w:r>
        <w:fldChar w:fldCharType="end"/>
      </w:r>
      <w:r w:rsidR="00EE104F" w:rsidRPr="35298142">
        <w:t>.</w:t>
      </w:r>
    </w:p>
    <w:p w14:paraId="41A85B77" w14:textId="1337B9EE" w:rsidR="00963647" w:rsidRPr="00C41ECA" w:rsidRDefault="00963647" w:rsidP="35298142">
      <w:pPr>
        <w:pStyle w:val="Caption"/>
        <w:rPr>
          <w:vertAlign w:val="superscript"/>
        </w:rPr>
      </w:pPr>
      <w:bookmarkStart w:id="42" w:name="_Ref187134800"/>
      <w:r w:rsidRPr="35298142">
        <w:t xml:space="preserve">Table </w:t>
      </w:r>
      <w:r w:rsidRPr="35298142">
        <w:fldChar w:fldCharType="begin"/>
      </w:r>
      <w:r>
        <w:instrText xml:space="preserve"> SEQ Table \* ARABIC </w:instrText>
      </w:r>
      <w:r w:rsidRPr="35298142">
        <w:fldChar w:fldCharType="separate"/>
      </w:r>
      <w:r w:rsidR="003A4643">
        <w:rPr>
          <w:noProof/>
        </w:rPr>
        <w:t>14</w:t>
      </w:r>
      <w:r w:rsidRPr="35298142">
        <w:rPr>
          <w:noProof/>
        </w:rPr>
        <w:fldChar w:fldCharType="end"/>
      </w:r>
      <w:bookmarkEnd w:id="42"/>
      <w:r w:rsidRPr="35298142">
        <w:t xml:space="preserve">: Summary of the comparative benefits and harms for </w:t>
      </w:r>
      <w:proofErr w:type="spellStart"/>
      <w:r w:rsidRPr="35298142">
        <w:t>omaveloxolone</w:t>
      </w:r>
      <w:proofErr w:type="spellEnd"/>
      <w:r w:rsidRPr="35298142">
        <w:t xml:space="preserve"> versus placebo (proxy for </w:t>
      </w:r>
      <w:r w:rsidR="00EE104F" w:rsidRPr="35298142">
        <w:t>best supportive care</w:t>
      </w:r>
      <w:r w:rsidRPr="35298142">
        <w:t xml:space="preserve">) – </w:t>
      </w:r>
      <w:proofErr w:type="spellStart"/>
      <w:r w:rsidR="00EE104F" w:rsidRPr="35298142">
        <w:t>MOXIe</w:t>
      </w:r>
      <w:proofErr w:type="spellEnd"/>
      <w:r w:rsidR="00EE104F" w:rsidRPr="35298142">
        <w:t xml:space="preserve"> Part 2 </w:t>
      </w:r>
    </w:p>
    <w:tbl>
      <w:tblPr>
        <w:tblStyle w:val="TableGrid"/>
        <w:tblpPr w:leftFromText="180" w:rightFromText="180" w:vertAnchor="text" w:horzAnchor="margin" w:tblpY="35"/>
        <w:tblW w:w="5000" w:type="pct"/>
        <w:tblCellMar>
          <w:left w:w="28" w:type="dxa"/>
          <w:right w:w="28" w:type="dxa"/>
        </w:tblCellMar>
        <w:tblLook w:val="04A0" w:firstRow="1" w:lastRow="0" w:firstColumn="1" w:lastColumn="0" w:noHBand="0" w:noVBand="1"/>
        <w:tblCaption w:val="Table 14: Summary of the comparative benefits and harms for omaveloxolone versus placebo (proxy for best supportive care) – MOXIe Part 2 "/>
      </w:tblPr>
      <w:tblGrid>
        <w:gridCol w:w="3955"/>
        <w:gridCol w:w="1441"/>
        <w:gridCol w:w="1322"/>
        <w:gridCol w:w="2299"/>
      </w:tblGrid>
      <w:tr w:rsidR="00E07E94" w:rsidRPr="00C41ECA" w14:paraId="3DF58816" w14:textId="77777777" w:rsidTr="35298142">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9157A75" w14:textId="77777777" w:rsidR="00E07E94" w:rsidRPr="00C41ECA" w:rsidRDefault="00E07E94">
            <w:pPr>
              <w:pStyle w:val="TableText1"/>
              <w:keepNext/>
              <w:widowControl w:val="0"/>
              <w:spacing w:after="0"/>
              <w:rPr>
                <w:b/>
                <w:bCs/>
              </w:rPr>
            </w:pPr>
            <w:r w:rsidRPr="00C41ECA">
              <w:rPr>
                <w:b/>
                <w:bCs/>
              </w:rPr>
              <w:t>Benefits</w:t>
            </w:r>
          </w:p>
        </w:tc>
      </w:tr>
      <w:tr w:rsidR="00272B4B" w:rsidRPr="00C41ECA" w14:paraId="62100A7E" w14:textId="77777777" w:rsidTr="35298142">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E03C7AD" w14:textId="19E6D221" w:rsidR="00272B4B" w:rsidRPr="00C41ECA" w:rsidRDefault="00272B4B" w:rsidP="35298142">
            <w:pPr>
              <w:pStyle w:val="TableText1"/>
              <w:keepNext/>
              <w:widowControl w:val="0"/>
              <w:spacing w:after="0"/>
              <w:rPr>
                <w:b/>
                <w:bCs/>
              </w:rPr>
            </w:pPr>
            <w:r w:rsidRPr="35298142">
              <w:rPr>
                <w:b/>
                <w:bCs/>
              </w:rPr>
              <w:t xml:space="preserve">(Full Analysis Set) - patients without pes </w:t>
            </w:r>
            <w:proofErr w:type="spellStart"/>
            <w:r w:rsidRPr="35298142">
              <w:rPr>
                <w:b/>
                <w:bCs/>
              </w:rPr>
              <w:t>cavus</w:t>
            </w:r>
            <w:proofErr w:type="spellEnd"/>
          </w:p>
        </w:tc>
      </w:tr>
      <w:tr w:rsidR="00E07E94" w:rsidRPr="00C41ECA" w14:paraId="6287CB78" w14:textId="77777777" w:rsidTr="35298142">
        <w:trPr>
          <w:cantSplit/>
          <w:trHeight w:val="466"/>
        </w:trPr>
        <w:tc>
          <w:tcPr>
            <w:tcW w:w="2193" w:type="pct"/>
            <w:tcBorders>
              <w:top w:val="single" w:sz="4" w:space="0" w:color="auto"/>
              <w:left w:val="single" w:sz="4" w:space="0" w:color="auto"/>
              <w:bottom w:val="single" w:sz="4" w:space="0" w:color="auto"/>
              <w:right w:val="single" w:sz="4" w:space="0" w:color="auto"/>
            </w:tcBorders>
            <w:vAlign w:val="center"/>
          </w:tcPr>
          <w:p w14:paraId="0F728657" w14:textId="77777777" w:rsidR="00E07E94" w:rsidRPr="00C41ECA" w:rsidRDefault="00E07E94">
            <w:pPr>
              <w:pStyle w:val="TableText1"/>
              <w:keepNext/>
              <w:widowControl w:val="0"/>
              <w:spacing w:after="0"/>
              <w:rPr>
                <w:b/>
                <w:bCs/>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379882FC" w14:textId="471800FF" w:rsidR="00E07E94" w:rsidRPr="00C41ECA" w:rsidRDefault="00E07E94" w:rsidP="00BB3988">
            <w:pPr>
              <w:pStyle w:val="TableText1"/>
              <w:keepNext/>
              <w:widowControl w:val="0"/>
              <w:spacing w:after="0"/>
              <w:jc w:val="center"/>
              <w:rPr>
                <w:b/>
                <w:bCs/>
              </w:rPr>
            </w:pPr>
            <w:r w:rsidRPr="00C41ECA">
              <w:rPr>
                <w:b/>
                <w:bCs/>
              </w:rPr>
              <w:t>Oma 150 mg</w:t>
            </w:r>
          </w:p>
          <w:p w14:paraId="70E5CD0B" w14:textId="2807AA78" w:rsidR="00E07E94" w:rsidRPr="00C41ECA" w:rsidRDefault="00E07E94" w:rsidP="00BB3988">
            <w:pPr>
              <w:pStyle w:val="TableText1"/>
              <w:keepNext/>
              <w:widowControl w:val="0"/>
              <w:spacing w:after="0"/>
              <w:jc w:val="center"/>
              <w:rPr>
                <w:b/>
                <w:bCs/>
              </w:rPr>
            </w:pPr>
            <w:r w:rsidRPr="00C41ECA">
              <w:rPr>
                <w:b/>
                <w:bCs/>
              </w:rPr>
              <w:t>N=40</w:t>
            </w:r>
          </w:p>
        </w:tc>
        <w:tc>
          <w:tcPr>
            <w:tcW w:w="733" w:type="pct"/>
            <w:tcBorders>
              <w:top w:val="single" w:sz="4" w:space="0" w:color="auto"/>
              <w:left w:val="single" w:sz="4" w:space="0" w:color="auto"/>
              <w:bottom w:val="single" w:sz="4" w:space="0" w:color="auto"/>
              <w:right w:val="single" w:sz="4" w:space="0" w:color="auto"/>
            </w:tcBorders>
            <w:vAlign w:val="center"/>
            <w:hideMark/>
          </w:tcPr>
          <w:p w14:paraId="3AF8147C" w14:textId="1F1E3EC2" w:rsidR="00E07E94" w:rsidRPr="00C41ECA" w:rsidRDefault="00E07E94" w:rsidP="00BB3988">
            <w:pPr>
              <w:pStyle w:val="TableText1"/>
              <w:keepNext/>
              <w:widowControl w:val="0"/>
              <w:spacing w:after="0"/>
              <w:jc w:val="center"/>
              <w:rPr>
                <w:b/>
                <w:bCs/>
              </w:rPr>
            </w:pPr>
            <w:r w:rsidRPr="00C41ECA">
              <w:rPr>
                <w:b/>
                <w:bCs/>
              </w:rPr>
              <w:t>Placebo</w:t>
            </w:r>
          </w:p>
          <w:p w14:paraId="5A36ABB1" w14:textId="5EB4B96E" w:rsidR="00E07E94" w:rsidRPr="00C41ECA" w:rsidRDefault="00E07E94" w:rsidP="00BB3988">
            <w:pPr>
              <w:pStyle w:val="TableText1"/>
              <w:keepNext/>
              <w:widowControl w:val="0"/>
              <w:spacing w:after="0"/>
              <w:jc w:val="center"/>
              <w:rPr>
                <w:b/>
                <w:bCs/>
              </w:rPr>
            </w:pPr>
            <w:r w:rsidRPr="00C41ECA">
              <w:rPr>
                <w:b/>
                <w:bCs/>
              </w:rPr>
              <w:t>N=42</w:t>
            </w:r>
          </w:p>
        </w:tc>
        <w:tc>
          <w:tcPr>
            <w:tcW w:w="1275" w:type="pct"/>
            <w:tcBorders>
              <w:top w:val="single" w:sz="4" w:space="0" w:color="auto"/>
              <w:left w:val="single" w:sz="4" w:space="0" w:color="auto"/>
              <w:bottom w:val="single" w:sz="4" w:space="0" w:color="auto"/>
              <w:right w:val="single" w:sz="4" w:space="0" w:color="auto"/>
            </w:tcBorders>
            <w:vAlign w:val="center"/>
            <w:hideMark/>
          </w:tcPr>
          <w:p w14:paraId="22265A42" w14:textId="77777777" w:rsidR="003A197B" w:rsidRPr="00C41ECA" w:rsidRDefault="00E07E94" w:rsidP="00BB3988">
            <w:pPr>
              <w:pStyle w:val="TableText1"/>
              <w:keepNext/>
              <w:widowControl w:val="0"/>
              <w:spacing w:after="0"/>
              <w:jc w:val="center"/>
              <w:rPr>
                <w:b/>
                <w:bCs/>
              </w:rPr>
            </w:pPr>
            <w:r w:rsidRPr="00C41ECA">
              <w:rPr>
                <w:b/>
                <w:bCs/>
              </w:rPr>
              <w:t>LS mean difference (SE)</w:t>
            </w:r>
          </w:p>
          <w:p w14:paraId="7E658C8C" w14:textId="7EEB1BA3" w:rsidR="00E07E94" w:rsidRPr="00C41ECA" w:rsidRDefault="00E07E94" w:rsidP="00BB3988">
            <w:pPr>
              <w:pStyle w:val="TableText1"/>
              <w:keepNext/>
              <w:widowControl w:val="0"/>
              <w:spacing w:after="0"/>
              <w:jc w:val="center"/>
              <w:rPr>
                <w:b/>
                <w:bCs/>
              </w:rPr>
            </w:pPr>
            <w:r w:rsidRPr="00C41ECA">
              <w:rPr>
                <w:b/>
                <w:bCs/>
              </w:rPr>
              <w:t>Oma minus placebo</w:t>
            </w:r>
          </w:p>
        </w:tc>
      </w:tr>
      <w:tr w:rsidR="00E07E94" w:rsidRPr="00C41ECA" w14:paraId="1BF631CA" w14:textId="77777777" w:rsidTr="35298142">
        <w:trPr>
          <w:cantSplit/>
        </w:trPr>
        <w:tc>
          <w:tcPr>
            <w:tcW w:w="5000" w:type="pct"/>
            <w:gridSpan w:val="4"/>
            <w:tcBorders>
              <w:top w:val="single" w:sz="4" w:space="0" w:color="auto"/>
              <w:left w:val="single" w:sz="4" w:space="0" w:color="auto"/>
              <w:bottom w:val="single" w:sz="4" w:space="0" w:color="auto"/>
              <w:right w:val="single" w:sz="4" w:space="0" w:color="auto"/>
            </w:tcBorders>
            <w:hideMark/>
          </w:tcPr>
          <w:p w14:paraId="2D33EC3A" w14:textId="77777777" w:rsidR="00E07E94" w:rsidRPr="00085720" w:rsidRDefault="00E07E94" w:rsidP="35298142">
            <w:pPr>
              <w:pStyle w:val="TableText1"/>
              <w:keepNext/>
              <w:widowControl w:val="0"/>
              <w:spacing w:after="0"/>
              <w:rPr>
                <w:b/>
                <w:bCs/>
              </w:rPr>
            </w:pPr>
            <w:r w:rsidRPr="35298142">
              <w:rPr>
                <w:b/>
                <w:bCs/>
              </w:rPr>
              <w:t xml:space="preserve">Mean change in </w:t>
            </w:r>
            <w:proofErr w:type="spellStart"/>
            <w:r w:rsidRPr="35298142">
              <w:rPr>
                <w:b/>
                <w:bCs/>
              </w:rPr>
              <w:t>mFARS</w:t>
            </w:r>
            <w:proofErr w:type="spellEnd"/>
            <w:r w:rsidRPr="35298142">
              <w:rPr>
                <w:b/>
                <w:bCs/>
              </w:rPr>
              <w:t xml:space="preserve"> from baseline at Week 48</w:t>
            </w:r>
          </w:p>
        </w:tc>
      </w:tr>
      <w:tr w:rsidR="00E07E94" w:rsidRPr="00C41ECA" w14:paraId="6C5CDC87" w14:textId="77777777" w:rsidTr="35298142">
        <w:trPr>
          <w:cantSplit/>
        </w:trPr>
        <w:tc>
          <w:tcPr>
            <w:tcW w:w="2193" w:type="pct"/>
            <w:tcBorders>
              <w:top w:val="single" w:sz="4" w:space="0" w:color="auto"/>
              <w:left w:val="single" w:sz="4" w:space="0" w:color="auto"/>
              <w:bottom w:val="single" w:sz="4" w:space="0" w:color="auto"/>
              <w:right w:val="single" w:sz="4" w:space="0" w:color="auto"/>
            </w:tcBorders>
            <w:hideMark/>
          </w:tcPr>
          <w:p w14:paraId="4EE0E5C7" w14:textId="0D24F170" w:rsidR="00E07E94" w:rsidRPr="00C41ECA" w:rsidRDefault="00E07E94">
            <w:pPr>
              <w:pStyle w:val="TableText1"/>
              <w:spacing w:after="0"/>
            </w:pPr>
            <w:r w:rsidRPr="00C41ECA">
              <w:t>Mean score (SD) at baseline</w:t>
            </w:r>
          </w:p>
        </w:tc>
        <w:tc>
          <w:tcPr>
            <w:tcW w:w="799" w:type="pct"/>
            <w:tcBorders>
              <w:top w:val="single" w:sz="4" w:space="0" w:color="auto"/>
              <w:left w:val="single" w:sz="4" w:space="0" w:color="auto"/>
              <w:bottom w:val="single" w:sz="4" w:space="0" w:color="auto"/>
              <w:right w:val="single" w:sz="4" w:space="0" w:color="auto"/>
            </w:tcBorders>
            <w:hideMark/>
          </w:tcPr>
          <w:p w14:paraId="24DBE381" w14:textId="4B218FD9" w:rsidR="00E07E94" w:rsidRPr="00C41ECA" w:rsidRDefault="00E07E94" w:rsidP="00BB3988">
            <w:pPr>
              <w:pStyle w:val="TableText1"/>
              <w:spacing w:after="0"/>
              <w:jc w:val="center"/>
            </w:pPr>
            <w:r w:rsidRPr="00C41ECA">
              <w:t>40.94 (10.39)</w:t>
            </w:r>
          </w:p>
        </w:tc>
        <w:tc>
          <w:tcPr>
            <w:tcW w:w="733" w:type="pct"/>
            <w:tcBorders>
              <w:top w:val="single" w:sz="4" w:space="0" w:color="auto"/>
              <w:left w:val="single" w:sz="4" w:space="0" w:color="auto"/>
              <w:bottom w:val="single" w:sz="4" w:space="0" w:color="auto"/>
              <w:right w:val="single" w:sz="4" w:space="0" w:color="auto"/>
            </w:tcBorders>
            <w:hideMark/>
          </w:tcPr>
          <w:p w14:paraId="22B38808" w14:textId="5786BBA9" w:rsidR="00E07E94" w:rsidRPr="00C41ECA" w:rsidRDefault="00E07E94" w:rsidP="00BB3988">
            <w:pPr>
              <w:pStyle w:val="TableText1"/>
              <w:spacing w:after="0"/>
              <w:jc w:val="center"/>
            </w:pPr>
            <w:r w:rsidRPr="00C41ECA">
              <w:t>38.77 (39.3)</w:t>
            </w:r>
          </w:p>
        </w:tc>
        <w:tc>
          <w:tcPr>
            <w:tcW w:w="1275" w:type="pct"/>
            <w:vMerge w:val="restart"/>
            <w:tcBorders>
              <w:top w:val="single" w:sz="4" w:space="0" w:color="auto"/>
              <w:left w:val="single" w:sz="4" w:space="0" w:color="auto"/>
              <w:right w:val="single" w:sz="4" w:space="0" w:color="auto"/>
            </w:tcBorders>
          </w:tcPr>
          <w:p w14:paraId="5C766F46" w14:textId="2EF997FA" w:rsidR="00E07E94" w:rsidRPr="00C41ECA" w:rsidRDefault="00E07E94" w:rsidP="35298142">
            <w:pPr>
              <w:pStyle w:val="TableText1"/>
              <w:spacing w:after="0"/>
              <w:jc w:val="center"/>
              <w:rPr>
                <w:vertAlign w:val="superscript"/>
              </w:rPr>
            </w:pPr>
            <w:r w:rsidRPr="35298142">
              <w:t>–2.40 (0.96)</w:t>
            </w:r>
            <w:r w:rsidR="00CF5666" w:rsidRPr="35298142">
              <w:rPr>
                <w:vertAlign w:val="superscript"/>
              </w:rPr>
              <w:t>a</w:t>
            </w:r>
          </w:p>
        </w:tc>
      </w:tr>
      <w:tr w:rsidR="00E07E94" w:rsidRPr="00C41ECA" w14:paraId="17501DF9" w14:textId="77777777" w:rsidTr="35298142">
        <w:trPr>
          <w:cantSplit/>
        </w:trPr>
        <w:tc>
          <w:tcPr>
            <w:tcW w:w="2193" w:type="pct"/>
            <w:tcBorders>
              <w:top w:val="single" w:sz="4" w:space="0" w:color="auto"/>
              <w:left w:val="single" w:sz="4" w:space="0" w:color="auto"/>
              <w:bottom w:val="single" w:sz="4" w:space="0" w:color="auto"/>
              <w:right w:val="single" w:sz="4" w:space="0" w:color="auto"/>
            </w:tcBorders>
            <w:hideMark/>
          </w:tcPr>
          <w:p w14:paraId="41850DB2" w14:textId="663667E2" w:rsidR="00E07E94" w:rsidRPr="00C41ECA" w:rsidRDefault="00E07E94">
            <w:pPr>
              <w:pStyle w:val="TableText1"/>
              <w:spacing w:after="0"/>
            </w:pPr>
            <w:r w:rsidRPr="00C41ECA">
              <w:t>Mean score (SD) at Week 48</w:t>
            </w:r>
          </w:p>
        </w:tc>
        <w:tc>
          <w:tcPr>
            <w:tcW w:w="799" w:type="pct"/>
            <w:tcBorders>
              <w:top w:val="single" w:sz="4" w:space="0" w:color="auto"/>
              <w:left w:val="single" w:sz="4" w:space="0" w:color="auto"/>
              <w:bottom w:val="single" w:sz="4" w:space="0" w:color="auto"/>
              <w:right w:val="single" w:sz="4" w:space="0" w:color="auto"/>
            </w:tcBorders>
            <w:hideMark/>
          </w:tcPr>
          <w:p w14:paraId="286B39CF" w14:textId="01E9867F" w:rsidR="00E07E94" w:rsidRPr="00C41ECA" w:rsidRDefault="00E07E94" w:rsidP="00BB3988">
            <w:pPr>
              <w:pStyle w:val="TableText1"/>
              <w:spacing w:after="0"/>
              <w:jc w:val="center"/>
              <w:rPr>
                <w:rFonts w:cs="Times New Roman"/>
              </w:rPr>
            </w:pPr>
            <w:r w:rsidRPr="00C41ECA">
              <w:rPr>
                <w:rFonts w:cs="Times New Roman"/>
              </w:rPr>
              <w:t>39.17 (10.02)</w:t>
            </w:r>
          </w:p>
        </w:tc>
        <w:tc>
          <w:tcPr>
            <w:tcW w:w="733" w:type="pct"/>
            <w:tcBorders>
              <w:top w:val="single" w:sz="4" w:space="0" w:color="auto"/>
              <w:left w:val="single" w:sz="4" w:space="0" w:color="auto"/>
              <w:bottom w:val="single" w:sz="4" w:space="0" w:color="auto"/>
              <w:right w:val="single" w:sz="4" w:space="0" w:color="auto"/>
            </w:tcBorders>
            <w:hideMark/>
          </w:tcPr>
          <w:p w14:paraId="3495935D" w14:textId="5BCCD8C3" w:rsidR="00E07E94" w:rsidRPr="00C41ECA" w:rsidRDefault="00E07E94" w:rsidP="00BB3988">
            <w:pPr>
              <w:pStyle w:val="TableText1"/>
              <w:spacing w:after="0"/>
              <w:jc w:val="center"/>
              <w:rPr>
                <w:rFonts w:cs="Times New Roman"/>
              </w:rPr>
            </w:pPr>
            <w:r w:rsidRPr="00C41ECA">
              <w:t>39.54 (11.57)</w:t>
            </w:r>
          </w:p>
        </w:tc>
        <w:tc>
          <w:tcPr>
            <w:tcW w:w="1275" w:type="pct"/>
            <w:vMerge/>
            <w:hideMark/>
          </w:tcPr>
          <w:p w14:paraId="69433677" w14:textId="1CA0900A" w:rsidR="00E07E94" w:rsidRPr="00C41ECA" w:rsidRDefault="00E07E94">
            <w:pPr>
              <w:pStyle w:val="TableText1"/>
              <w:spacing w:after="0"/>
            </w:pPr>
          </w:p>
        </w:tc>
      </w:tr>
      <w:tr w:rsidR="00E07E94" w:rsidRPr="00C41ECA" w14:paraId="31C66C91" w14:textId="77777777" w:rsidTr="35298142">
        <w:trPr>
          <w:cantSplit/>
        </w:trPr>
        <w:tc>
          <w:tcPr>
            <w:tcW w:w="5000" w:type="pct"/>
            <w:gridSpan w:val="4"/>
            <w:tcBorders>
              <w:top w:val="single" w:sz="4" w:space="0" w:color="auto"/>
              <w:left w:val="single" w:sz="4" w:space="0" w:color="auto"/>
              <w:bottom w:val="single" w:sz="4" w:space="0" w:color="auto"/>
              <w:right w:val="single" w:sz="4" w:space="0" w:color="auto"/>
            </w:tcBorders>
          </w:tcPr>
          <w:p w14:paraId="66BE68C6" w14:textId="04104F21" w:rsidR="00E07E94" w:rsidRPr="00085720" w:rsidRDefault="00E07E94">
            <w:pPr>
              <w:pStyle w:val="TableText1"/>
              <w:spacing w:after="0"/>
              <w:rPr>
                <w:b/>
                <w:bCs/>
              </w:rPr>
            </w:pPr>
            <w:r w:rsidRPr="00085720">
              <w:rPr>
                <w:b/>
                <w:bCs/>
              </w:rPr>
              <w:t>Mean change in PGIC from baseline at Week 48</w:t>
            </w:r>
          </w:p>
        </w:tc>
      </w:tr>
      <w:tr w:rsidR="003A197B" w:rsidRPr="00C41ECA" w14:paraId="0B3E9A97" w14:textId="77777777" w:rsidTr="35298142">
        <w:trPr>
          <w:cantSplit/>
        </w:trPr>
        <w:tc>
          <w:tcPr>
            <w:tcW w:w="2193" w:type="pct"/>
            <w:tcBorders>
              <w:top w:val="single" w:sz="4" w:space="0" w:color="auto"/>
              <w:left w:val="single" w:sz="4" w:space="0" w:color="auto"/>
              <w:bottom w:val="single" w:sz="4" w:space="0" w:color="auto"/>
              <w:right w:val="single" w:sz="4" w:space="0" w:color="auto"/>
            </w:tcBorders>
          </w:tcPr>
          <w:p w14:paraId="59B7969F" w14:textId="06B4B447" w:rsidR="003A197B" w:rsidRPr="00C41ECA" w:rsidRDefault="003A197B" w:rsidP="003A197B">
            <w:pPr>
              <w:pStyle w:val="TableText1"/>
              <w:spacing w:after="0"/>
            </w:pPr>
            <w:r w:rsidRPr="00C41ECA">
              <w:t>LS mean change from baseline at Week 48</w:t>
            </w:r>
          </w:p>
        </w:tc>
        <w:tc>
          <w:tcPr>
            <w:tcW w:w="799" w:type="pct"/>
            <w:tcBorders>
              <w:top w:val="dotted" w:sz="4" w:space="0" w:color="auto"/>
              <w:bottom w:val="dotted" w:sz="4" w:space="0" w:color="auto"/>
            </w:tcBorders>
          </w:tcPr>
          <w:p w14:paraId="731A394F" w14:textId="27CBE47C" w:rsidR="003A197B" w:rsidRPr="00C41ECA" w:rsidRDefault="003A197B" w:rsidP="00BB3988">
            <w:pPr>
              <w:pStyle w:val="TableText1"/>
              <w:spacing w:after="0"/>
              <w:jc w:val="center"/>
              <w:rPr>
                <w:rFonts w:cs="Times New Roman"/>
              </w:rPr>
            </w:pPr>
            <w:r w:rsidRPr="00C41ECA">
              <w:t>3.89</w:t>
            </w:r>
          </w:p>
        </w:tc>
        <w:tc>
          <w:tcPr>
            <w:tcW w:w="733" w:type="pct"/>
            <w:tcBorders>
              <w:top w:val="dotted" w:sz="4" w:space="0" w:color="auto"/>
              <w:bottom w:val="dotted" w:sz="4" w:space="0" w:color="auto"/>
            </w:tcBorders>
          </w:tcPr>
          <w:p w14:paraId="50158CF3" w14:textId="54092D61" w:rsidR="003A197B" w:rsidRPr="00C41ECA" w:rsidRDefault="003A197B" w:rsidP="00BB3988">
            <w:pPr>
              <w:pStyle w:val="TableText1"/>
              <w:spacing w:after="0"/>
              <w:jc w:val="center"/>
            </w:pPr>
            <w:r w:rsidRPr="00C41ECA">
              <w:t>4.32</w:t>
            </w:r>
          </w:p>
        </w:tc>
        <w:tc>
          <w:tcPr>
            <w:tcW w:w="1275" w:type="pct"/>
            <w:tcBorders>
              <w:left w:val="single" w:sz="4" w:space="0" w:color="auto"/>
              <w:bottom w:val="single" w:sz="4" w:space="0" w:color="auto"/>
              <w:right w:val="single" w:sz="4" w:space="0" w:color="auto"/>
            </w:tcBorders>
          </w:tcPr>
          <w:p w14:paraId="65CD2CDA" w14:textId="00C28B60" w:rsidR="003A197B" w:rsidRPr="00C41ECA" w:rsidRDefault="003A197B" w:rsidP="00BB3988">
            <w:pPr>
              <w:pStyle w:val="TableText1"/>
              <w:spacing w:after="0"/>
              <w:jc w:val="center"/>
            </w:pPr>
            <w:r w:rsidRPr="00C41ECA">
              <w:t>–0.43 (p=0.13)</w:t>
            </w:r>
          </w:p>
        </w:tc>
      </w:tr>
      <w:tr w:rsidR="003A197B" w:rsidRPr="00C41ECA" w14:paraId="55548C7E" w14:textId="77777777" w:rsidTr="35298142">
        <w:trPr>
          <w:cantSplit/>
        </w:trPr>
        <w:tc>
          <w:tcPr>
            <w:tcW w:w="5000" w:type="pct"/>
            <w:gridSpan w:val="4"/>
            <w:tcBorders>
              <w:top w:val="single" w:sz="4" w:space="0" w:color="auto"/>
              <w:left w:val="single" w:sz="4" w:space="0" w:color="auto"/>
              <w:bottom w:val="single" w:sz="4" w:space="0" w:color="auto"/>
              <w:right w:val="single" w:sz="4" w:space="0" w:color="auto"/>
            </w:tcBorders>
          </w:tcPr>
          <w:p w14:paraId="34E521F5" w14:textId="787D155D" w:rsidR="003A197B" w:rsidRPr="00085720" w:rsidRDefault="003A197B" w:rsidP="00E07E94">
            <w:pPr>
              <w:pStyle w:val="TableText1"/>
              <w:spacing w:after="0"/>
              <w:rPr>
                <w:b/>
                <w:bCs/>
              </w:rPr>
            </w:pPr>
            <w:r w:rsidRPr="00085720">
              <w:rPr>
                <w:b/>
                <w:bCs/>
              </w:rPr>
              <w:t>Mean change ADL from baseline at Week 48</w:t>
            </w:r>
          </w:p>
        </w:tc>
      </w:tr>
      <w:tr w:rsidR="003A197B" w:rsidRPr="00C41ECA" w14:paraId="3EC2D0B5" w14:textId="77777777" w:rsidTr="35298142">
        <w:trPr>
          <w:cantSplit/>
        </w:trPr>
        <w:tc>
          <w:tcPr>
            <w:tcW w:w="2193" w:type="pct"/>
            <w:tcBorders>
              <w:top w:val="single" w:sz="4" w:space="0" w:color="auto"/>
              <w:left w:val="single" w:sz="4" w:space="0" w:color="auto"/>
              <w:bottom w:val="single" w:sz="4" w:space="0" w:color="auto"/>
              <w:right w:val="single" w:sz="4" w:space="0" w:color="auto"/>
            </w:tcBorders>
          </w:tcPr>
          <w:p w14:paraId="5278A062" w14:textId="2AB745F2" w:rsidR="003A197B" w:rsidRPr="00C41ECA" w:rsidRDefault="003A197B" w:rsidP="00E07E94">
            <w:pPr>
              <w:pStyle w:val="TableText1"/>
              <w:spacing w:after="0"/>
            </w:pPr>
            <w:r w:rsidRPr="00C41ECA">
              <w:t>LS mean change from baseline at Week 48</w:t>
            </w:r>
          </w:p>
        </w:tc>
        <w:tc>
          <w:tcPr>
            <w:tcW w:w="799" w:type="pct"/>
            <w:tcBorders>
              <w:top w:val="single" w:sz="4" w:space="0" w:color="auto"/>
              <w:left w:val="single" w:sz="4" w:space="0" w:color="auto"/>
              <w:bottom w:val="single" w:sz="4" w:space="0" w:color="auto"/>
              <w:right w:val="single" w:sz="4" w:space="0" w:color="auto"/>
            </w:tcBorders>
          </w:tcPr>
          <w:p w14:paraId="78ADBA72" w14:textId="65391E28" w:rsidR="003A197B" w:rsidRPr="00C41ECA" w:rsidRDefault="003A197B" w:rsidP="00BB3988">
            <w:pPr>
              <w:pStyle w:val="TableText1"/>
              <w:spacing w:after="0"/>
              <w:jc w:val="center"/>
              <w:rPr>
                <w:rFonts w:cs="Times New Roman"/>
              </w:rPr>
            </w:pPr>
            <w:r w:rsidRPr="00C41ECA">
              <w:rPr>
                <w:rFonts w:cs="Times New Roman"/>
              </w:rPr>
              <w:t>-0.17</w:t>
            </w:r>
          </w:p>
        </w:tc>
        <w:tc>
          <w:tcPr>
            <w:tcW w:w="733" w:type="pct"/>
            <w:tcBorders>
              <w:top w:val="single" w:sz="4" w:space="0" w:color="auto"/>
              <w:left w:val="single" w:sz="4" w:space="0" w:color="auto"/>
              <w:bottom w:val="single" w:sz="4" w:space="0" w:color="auto"/>
              <w:right w:val="single" w:sz="4" w:space="0" w:color="auto"/>
            </w:tcBorders>
          </w:tcPr>
          <w:p w14:paraId="3BD6A85E" w14:textId="61064CBA" w:rsidR="003A197B" w:rsidRPr="00C41ECA" w:rsidRDefault="003A197B" w:rsidP="00BB3988">
            <w:pPr>
              <w:pStyle w:val="TableText1"/>
              <w:spacing w:after="0"/>
              <w:jc w:val="center"/>
            </w:pPr>
            <w:r w:rsidRPr="00C41ECA">
              <w:t>1.14</w:t>
            </w:r>
          </w:p>
        </w:tc>
        <w:tc>
          <w:tcPr>
            <w:tcW w:w="1275" w:type="pct"/>
            <w:tcBorders>
              <w:left w:val="single" w:sz="4" w:space="0" w:color="auto"/>
              <w:bottom w:val="single" w:sz="4" w:space="0" w:color="auto"/>
              <w:right w:val="single" w:sz="4" w:space="0" w:color="auto"/>
            </w:tcBorders>
          </w:tcPr>
          <w:p w14:paraId="3505E8DA" w14:textId="72C5EEA0" w:rsidR="003A197B" w:rsidRPr="00C41ECA" w:rsidRDefault="003A197B" w:rsidP="00BB3988">
            <w:pPr>
              <w:pStyle w:val="TableText1"/>
              <w:spacing w:after="0"/>
              <w:jc w:val="center"/>
            </w:pPr>
            <w:r w:rsidRPr="00C41ECA">
              <w:t>–1.3 (nominal p=0.04)</w:t>
            </w:r>
          </w:p>
        </w:tc>
      </w:tr>
      <w:tr w:rsidR="00272B4B" w:rsidRPr="00C41ECA" w14:paraId="3945D5E0" w14:textId="77777777" w:rsidTr="35298142">
        <w:trPr>
          <w:cantSplit/>
        </w:trPr>
        <w:tc>
          <w:tcPr>
            <w:tcW w:w="5000" w:type="pct"/>
            <w:gridSpan w:val="4"/>
            <w:tcBorders>
              <w:top w:val="single" w:sz="4" w:space="0" w:color="auto"/>
              <w:left w:val="single" w:sz="4" w:space="0" w:color="auto"/>
              <w:bottom w:val="single" w:sz="4" w:space="0" w:color="auto"/>
              <w:right w:val="single" w:sz="4" w:space="0" w:color="auto"/>
            </w:tcBorders>
          </w:tcPr>
          <w:p w14:paraId="451106FC" w14:textId="518259F6" w:rsidR="00272B4B" w:rsidRPr="00C41ECA" w:rsidRDefault="00272B4B" w:rsidP="35298142">
            <w:pPr>
              <w:pStyle w:val="TableText1"/>
              <w:spacing w:after="0"/>
              <w:rPr>
                <w:b/>
                <w:bCs/>
              </w:rPr>
            </w:pPr>
            <w:r w:rsidRPr="35298142">
              <w:rPr>
                <w:b/>
                <w:bCs/>
              </w:rPr>
              <w:t xml:space="preserve">Patients with pes </w:t>
            </w:r>
            <w:proofErr w:type="spellStart"/>
            <w:r w:rsidRPr="35298142">
              <w:rPr>
                <w:b/>
                <w:bCs/>
              </w:rPr>
              <w:t>cavus</w:t>
            </w:r>
            <w:proofErr w:type="spellEnd"/>
          </w:p>
        </w:tc>
      </w:tr>
      <w:tr w:rsidR="00272B4B" w:rsidRPr="00C41ECA" w14:paraId="09CADF8F" w14:textId="77777777" w:rsidTr="35298142">
        <w:trPr>
          <w:cantSplit/>
        </w:trPr>
        <w:tc>
          <w:tcPr>
            <w:tcW w:w="2193" w:type="pct"/>
            <w:tcBorders>
              <w:top w:val="single" w:sz="4" w:space="0" w:color="auto"/>
              <w:left w:val="single" w:sz="4" w:space="0" w:color="auto"/>
              <w:bottom w:val="single" w:sz="4" w:space="0" w:color="auto"/>
              <w:right w:val="single" w:sz="4" w:space="0" w:color="auto"/>
            </w:tcBorders>
          </w:tcPr>
          <w:p w14:paraId="6C9FF2DF" w14:textId="77777777" w:rsidR="00272B4B" w:rsidRPr="00C41ECA" w:rsidRDefault="00272B4B" w:rsidP="00E07E94">
            <w:pPr>
              <w:pStyle w:val="TableText1"/>
              <w:spacing w:after="0"/>
              <w:rPr>
                <w:b/>
                <w:bCs/>
              </w:rPr>
            </w:pPr>
          </w:p>
        </w:tc>
        <w:tc>
          <w:tcPr>
            <w:tcW w:w="799" w:type="pct"/>
            <w:tcBorders>
              <w:top w:val="single" w:sz="4" w:space="0" w:color="auto"/>
              <w:left w:val="single" w:sz="4" w:space="0" w:color="auto"/>
              <w:bottom w:val="single" w:sz="4" w:space="0" w:color="auto"/>
              <w:right w:val="single" w:sz="4" w:space="0" w:color="auto"/>
            </w:tcBorders>
          </w:tcPr>
          <w:p w14:paraId="6EAEA799" w14:textId="1C9036BA" w:rsidR="00272B4B" w:rsidRPr="00C41ECA" w:rsidRDefault="00272B4B" w:rsidP="00BB3988">
            <w:pPr>
              <w:pStyle w:val="TableText1"/>
              <w:spacing w:after="0"/>
              <w:jc w:val="center"/>
              <w:rPr>
                <w:rFonts w:cs="Times New Roman"/>
                <w:b/>
                <w:bCs/>
              </w:rPr>
            </w:pPr>
            <w:r w:rsidRPr="00C41ECA">
              <w:rPr>
                <w:rFonts w:cs="Times New Roman"/>
                <w:b/>
                <w:bCs/>
              </w:rPr>
              <w:t>Oma 150 mg</w:t>
            </w:r>
          </w:p>
          <w:p w14:paraId="4F353CDD" w14:textId="61BDE2CD" w:rsidR="00272B4B" w:rsidRPr="00C41ECA" w:rsidRDefault="00272B4B" w:rsidP="00BB3988">
            <w:pPr>
              <w:pStyle w:val="TableText1"/>
              <w:spacing w:after="0"/>
              <w:jc w:val="center"/>
              <w:rPr>
                <w:rFonts w:cs="Times New Roman"/>
                <w:b/>
                <w:bCs/>
              </w:rPr>
            </w:pPr>
            <w:r w:rsidRPr="00C41ECA">
              <w:rPr>
                <w:rFonts w:cs="Times New Roman"/>
                <w:b/>
                <w:bCs/>
              </w:rPr>
              <w:t>N=10</w:t>
            </w:r>
          </w:p>
        </w:tc>
        <w:tc>
          <w:tcPr>
            <w:tcW w:w="733" w:type="pct"/>
            <w:tcBorders>
              <w:top w:val="single" w:sz="4" w:space="0" w:color="auto"/>
              <w:left w:val="single" w:sz="4" w:space="0" w:color="auto"/>
              <w:bottom w:val="single" w:sz="4" w:space="0" w:color="auto"/>
              <w:right w:val="single" w:sz="4" w:space="0" w:color="auto"/>
            </w:tcBorders>
          </w:tcPr>
          <w:p w14:paraId="5A0DBA98" w14:textId="77777777" w:rsidR="00272B4B" w:rsidRPr="00C41ECA" w:rsidRDefault="00272B4B" w:rsidP="00BB3988">
            <w:pPr>
              <w:pStyle w:val="TableText1"/>
              <w:spacing w:after="0"/>
              <w:jc w:val="center"/>
              <w:rPr>
                <w:b/>
                <w:bCs/>
              </w:rPr>
            </w:pPr>
            <w:r w:rsidRPr="00C41ECA">
              <w:rPr>
                <w:b/>
                <w:bCs/>
              </w:rPr>
              <w:t>Placebo</w:t>
            </w:r>
          </w:p>
          <w:p w14:paraId="486CBAD5" w14:textId="67D057B0" w:rsidR="00272B4B" w:rsidRPr="00C41ECA" w:rsidRDefault="00272B4B" w:rsidP="00BB3988">
            <w:pPr>
              <w:pStyle w:val="TableText1"/>
              <w:spacing w:after="0"/>
              <w:jc w:val="center"/>
              <w:rPr>
                <w:b/>
                <w:bCs/>
              </w:rPr>
            </w:pPr>
            <w:r w:rsidRPr="00C41ECA">
              <w:rPr>
                <w:b/>
                <w:bCs/>
              </w:rPr>
              <w:t>N=10</w:t>
            </w:r>
          </w:p>
        </w:tc>
        <w:tc>
          <w:tcPr>
            <w:tcW w:w="1275" w:type="pct"/>
            <w:tcBorders>
              <w:left w:val="single" w:sz="4" w:space="0" w:color="auto"/>
              <w:bottom w:val="single" w:sz="4" w:space="0" w:color="auto"/>
              <w:right w:val="single" w:sz="4" w:space="0" w:color="auto"/>
            </w:tcBorders>
          </w:tcPr>
          <w:p w14:paraId="47D4C0B6" w14:textId="5A60288A" w:rsidR="00272B4B" w:rsidRPr="00C41ECA" w:rsidRDefault="00272B4B" w:rsidP="00BB3988">
            <w:pPr>
              <w:pStyle w:val="TableText1"/>
              <w:keepNext/>
              <w:widowControl w:val="0"/>
              <w:spacing w:after="0"/>
              <w:jc w:val="center"/>
              <w:rPr>
                <w:b/>
                <w:bCs/>
              </w:rPr>
            </w:pPr>
            <w:r w:rsidRPr="00C41ECA">
              <w:rPr>
                <w:b/>
                <w:bCs/>
              </w:rPr>
              <w:t>LS mean difference (</w:t>
            </w:r>
            <w:r w:rsidR="00987F13" w:rsidRPr="00C41ECA">
              <w:rPr>
                <w:b/>
                <w:bCs/>
              </w:rPr>
              <w:t>95% CI</w:t>
            </w:r>
            <w:r w:rsidRPr="00C41ECA">
              <w:rPr>
                <w:b/>
                <w:bCs/>
              </w:rPr>
              <w:t>)</w:t>
            </w:r>
          </w:p>
          <w:p w14:paraId="0E486156" w14:textId="0276943D" w:rsidR="00272B4B" w:rsidRPr="00C41ECA" w:rsidRDefault="00272B4B" w:rsidP="00BB3988">
            <w:pPr>
              <w:pStyle w:val="TableText1"/>
              <w:spacing w:after="0"/>
              <w:jc w:val="center"/>
            </w:pPr>
            <w:r w:rsidRPr="00C41ECA">
              <w:rPr>
                <w:b/>
                <w:bCs/>
              </w:rPr>
              <w:t xml:space="preserve">Oma minus </w:t>
            </w:r>
            <w:r w:rsidR="00FF559A">
              <w:rPr>
                <w:b/>
                <w:bCs/>
              </w:rPr>
              <w:t>p</w:t>
            </w:r>
            <w:r w:rsidRPr="00C41ECA">
              <w:rPr>
                <w:b/>
                <w:bCs/>
              </w:rPr>
              <w:t>lacebo</w:t>
            </w:r>
          </w:p>
        </w:tc>
      </w:tr>
      <w:tr w:rsidR="00987F13" w:rsidRPr="00C41ECA" w14:paraId="21F5F5EC" w14:textId="77777777" w:rsidTr="35298142">
        <w:trPr>
          <w:cantSplit/>
        </w:trPr>
        <w:tc>
          <w:tcPr>
            <w:tcW w:w="2193" w:type="pct"/>
            <w:tcBorders>
              <w:top w:val="single" w:sz="4" w:space="0" w:color="auto"/>
              <w:left w:val="single" w:sz="4" w:space="0" w:color="auto"/>
              <w:bottom w:val="single" w:sz="4" w:space="0" w:color="auto"/>
              <w:right w:val="single" w:sz="4" w:space="0" w:color="auto"/>
            </w:tcBorders>
          </w:tcPr>
          <w:p w14:paraId="4B508209" w14:textId="2D5C3CCB" w:rsidR="00987F13" w:rsidRPr="00C41ECA" w:rsidRDefault="00987F13" w:rsidP="00987F13">
            <w:pPr>
              <w:pStyle w:val="TableText1"/>
              <w:spacing w:after="0"/>
            </w:pPr>
            <w:r w:rsidRPr="35298142">
              <w:t xml:space="preserve">LS mean change in </w:t>
            </w:r>
            <w:proofErr w:type="spellStart"/>
            <w:r w:rsidRPr="35298142">
              <w:t>mFARS</w:t>
            </w:r>
            <w:proofErr w:type="spellEnd"/>
            <w:r w:rsidRPr="35298142">
              <w:t xml:space="preserve"> from baseline at Week 48</w:t>
            </w:r>
          </w:p>
        </w:tc>
        <w:tc>
          <w:tcPr>
            <w:tcW w:w="799" w:type="pct"/>
          </w:tcPr>
          <w:p w14:paraId="6A998216" w14:textId="4E5E85C0" w:rsidR="00987F13" w:rsidRPr="00C41ECA" w:rsidRDefault="00987F13" w:rsidP="00BB3988">
            <w:pPr>
              <w:pStyle w:val="TableText1"/>
              <w:spacing w:after="0"/>
              <w:jc w:val="center"/>
              <w:rPr>
                <w:rFonts w:cs="Times New Roman"/>
              </w:rPr>
            </w:pPr>
            <w:r w:rsidRPr="00C41ECA">
              <w:rPr>
                <w:lang w:val="en-GB"/>
              </w:rPr>
              <w:t>0.15 (-2.62, 2.91)</w:t>
            </w:r>
          </w:p>
        </w:tc>
        <w:tc>
          <w:tcPr>
            <w:tcW w:w="733" w:type="pct"/>
          </w:tcPr>
          <w:p w14:paraId="1E2078A3" w14:textId="1B3E01C0" w:rsidR="00987F13" w:rsidRPr="00C41ECA" w:rsidRDefault="00987F13" w:rsidP="00BB3988">
            <w:pPr>
              <w:pStyle w:val="TableText1"/>
              <w:spacing w:after="0"/>
              <w:jc w:val="center"/>
            </w:pPr>
            <w:r w:rsidRPr="00C41ECA">
              <w:rPr>
                <w:lang w:val="en-GB"/>
              </w:rPr>
              <w:t>1.33 (-1.29, 3.96)</w:t>
            </w:r>
          </w:p>
        </w:tc>
        <w:tc>
          <w:tcPr>
            <w:tcW w:w="1275" w:type="pct"/>
            <w:tcBorders>
              <w:left w:val="single" w:sz="4" w:space="0" w:color="auto"/>
              <w:bottom w:val="single" w:sz="4" w:space="0" w:color="auto"/>
              <w:right w:val="single" w:sz="4" w:space="0" w:color="auto"/>
            </w:tcBorders>
          </w:tcPr>
          <w:p w14:paraId="5EC0B53E" w14:textId="60E5124E" w:rsidR="00987F13" w:rsidRPr="00C41ECA" w:rsidRDefault="00987F13" w:rsidP="00BB3988">
            <w:pPr>
              <w:pStyle w:val="TableText1"/>
              <w:spacing w:after="0"/>
              <w:jc w:val="center"/>
            </w:pPr>
            <w:r w:rsidRPr="00C41ECA">
              <w:rPr>
                <w:lang w:val="en-GB"/>
              </w:rPr>
              <w:t>-1.19 (-5.19, 2.82)</w:t>
            </w:r>
          </w:p>
        </w:tc>
      </w:tr>
      <w:tr w:rsidR="00E07E94" w:rsidRPr="00C41ECA" w14:paraId="13B9D9E8" w14:textId="77777777" w:rsidTr="35298142">
        <w:trPr>
          <w:cantSplit/>
        </w:trPr>
        <w:tc>
          <w:tcPr>
            <w:tcW w:w="5000" w:type="pct"/>
            <w:gridSpan w:val="4"/>
            <w:tcBorders>
              <w:top w:val="double" w:sz="4" w:space="0" w:color="auto"/>
              <w:left w:val="single" w:sz="4" w:space="0" w:color="auto"/>
              <w:bottom w:val="single" w:sz="4" w:space="0" w:color="auto"/>
              <w:right w:val="single" w:sz="4" w:space="0" w:color="auto"/>
            </w:tcBorders>
            <w:hideMark/>
          </w:tcPr>
          <w:p w14:paraId="0834D57E" w14:textId="7BCBE48D" w:rsidR="00E07E94" w:rsidRPr="00C41ECA" w:rsidRDefault="00E07E94">
            <w:pPr>
              <w:pStyle w:val="TableText1"/>
              <w:spacing w:after="0"/>
              <w:rPr>
                <w:b/>
                <w:bCs/>
              </w:rPr>
            </w:pPr>
            <w:r w:rsidRPr="00C41ECA">
              <w:rPr>
                <w:b/>
              </w:rPr>
              <w:t>Harms</w:t>
            </w:r>
            <w:r w:rsidRPr="00C41ECA">
              <w:t xml:space="preserve"> </w:t>
            </w:r>
            <w:r w:rsidRPr="00C41ECA">
              <w:rPr>
                <w:b/>
              </w:rPr>
              <w:t>(</w:t>
            </w:r>
            <w:r w:rsidR="00CA793A" w:rsidRPr="00C41ECA">
              <w:rPr>
                <w:b/>
              </w:rPr>
              <w:t>Safety</w:t>
            </w:r>
            <w:r w:rsidRPr="00C41ECA">
              <w:rPr>
                <w:b/>
              </w:rPr>
              <w:t xml:space="preserve"> population</w:t>
            </w:r>
            <w:r w:rsidR="00CA793A" w:rsidRPr="00C41ECA">
              <w:rPr>
                <w:b/>
              </w:rPr>
              <w:t xml:space="preserve"> – all randomised patients</w:t>
            </w:r>
            <w:r w:rsidRPr="00C41ECA">
              <w:rPr>
                <w:b/>
              </w:rPr>
              <w:t>)</w:t>
            </w:r>
          </w:p>
        </w:tc>
      </w:tr>
      <w:tr w:rsidR="00BB1EF2" w:rsidRPr="00C41ECA" w14:paraId="240D44EE" w14:textId="77777777" w:rsidTr="35298142">
        <w:trPr>
          <w:cantSplit/>
          <w:trHeight w:val="227"/>
        </w:trPr>
        <w:tc>
          <w:tcPr>
            <w:tcW w:w="2193" w:type="pct"/>
            <w:tcBorders>
              <w:top w:val="single" w:sz="4" w:space="0" w:color="auto"/>
              <w:left w:val="single" w:sz="4" w:space="0" w:color="auto"/>
              <w:bottom w:val="single" w:sz="4" w:space="0" w:color="auto"/>
              <w:right w:val="single" w:sz="4" w:space="0" w:color="auto"/>
            </w:tcBorders>
            <w:vAlign w:val="center"/>
            <w:hideMark/>
          </w:tcPr>
          <w:p w14:paraId="5BE947A9" w14:textId="77777777" w:rsidR="00BB1EF2" w:rsidRPr="00C41ECA" w:rsidRDefault="00BB1EF2">
            <w:pPr>
              <w:pStyle w:val="TableText1"/>
              <w:spacing w:after="0"/>
              <w:rPr>
                <w:b/>
                <w:bCs/>
              </w:rPr>
            </w:pPr>
            <w:r w:rsidRPr="00C41ECA">
              <w:rPr>
                <w:b/>
              </w:rPr>
              <w:t>Event</w:t>
            </w:r>
          </w:p>
        </w:tc>
        <w:tc>
          <w:tcPr>
            <w:tcW w:w="799" w:type="pct"/>
            <w:tcBorders>
              <w:top w:val="single" w:sz="4" w:space="0" w:color="auto"/>
              <w:left w:val="single" w:sz="4" w:space="0" w:color="auto"/>
              <w:bottom w:val="single" w:sz="4" w:space="0" w:color="auto"/>
              <w:right w:val="single" w:sz="4" w:space="0" w:color="auto"/>
            </w:tcBorders>
            <w:hideMark/>
          </w:tcPr>
          <w:p w14:paraId="01B6EAA2" w14:textId="43DC2274" w:rsidR="00BB1EF2" w:rsidRPr="00C41ECA" w:rsidRDefault="00BB1EF2" w:rsidP="007A295F">
            <w:pPr>
              <w:pStyle w:val="TableText1"/>
              <w:keepNext/>
              <w:widowControl w:val="0"/>
              <w:spacing w:after="0"/>
              <w:jc w:val="center"/>
              <w:rPr>
                <w:b/>
                <w:bCs/>
              </w:rPr>
            </w:pPr>
            <w:r w:rsidRPr="00C41ECA">
              <w:rPr>
                <w:b/>
                <w:bCs/>
              </w:rPr>
              <w:t>Oma 150 mg</w:t>
            </w:r>
            <w:r w:rsidR="00B00796" w:rsidRPr="00C41ECA">
              <w:rPr>
                <w:b/>
                <w:bCs/>
              </w:rPr>
              <w:t xml:space="preserve">, </w:t>
            </w:r>
            <w:r w:rsidR="007A295F">
              <w:rPr>
                <w:b/>
                <w:bCs/>
              </w:rPr>
              <w:br/>
            </w:r>
            <w:r w:rsidRPr="00C41ECA">
              <w:rPr>
                <w:b/>
                <w:bCs/>
              </w:rPr>
              <w:t>n/N</w:t>
            </w:r>
          </w:p>
        </w:tc>
        <w:tc>
          <w:tcPr>
            <w:tcW w:w="733" w:type="pct"/>
            <w:tcBorders>
              <w:top w:val="single" w:sz="4" w:space="0" w:color="auto"/>
              <w:left w:val="single" w:sz="4" w:space="0" w:color="auto"/>
              <w:bottom w:val="single" w:sz="4" w:space="0" w:color="auto"/>
              <w:right w:val="single" w:sz="4" w:space="0" w:color="auto"/>
            </w:tcBorders>
            <w:hideMark/>
          </w:tcPr>
          <w:p w14:paraId="6E34D1FD" w14:textId="6F22821F" w:rsidR="00BB1EF2" w:rsidRPr="00C41ECA" w:rsidRDefault="00BB1EF2" w:rsidP="007A295F">
            <w:pPr>
              <w:pStyle w:val="TableText1"/>
              <w:spacing w:after="0"/>
              <w:jc w:val="center"/>
            </w:pPr>
            <w:r w:rsidRPr="00C41ECA">
              <w:rPr>
                <w:b/>
              </w:rPr>
              <w:t>Placebo</w:t>
            </w:r>
            <w:r w:rsidR="00B00796" w:rsidRPr="00C41ECA">
              <w:rPr>
                <w:b/>
              </w:rPr>
              <w:t xml:space="preserve">, </w:t>
            </w:r>
            <w:r w:rsidR="007A295F">
              <w:rPr>
                <w:b/>
              </w:rPr>
              <w:br/>
            </w:r>
            <w:r w:rsidRPr="00C41ECA">
              <w:rPr>
                <w:b/>
              </w:rPr>
              <w:t>n/N</w:t>
            </w:r>
          </w:p>
        </w:tc>
        <w:tc>
          <w:tcPr>
            <w:tcW w:w="1275" w:type="pct"/>
            <w:tcBorders>
              <w:top w:val="single" w:sz="4" w:space="0" w:color="auto"/>
              <w:left w:val="single" w:sz="4" w:space="0" w:color="auto"/>
              <w:right w:val="single" w:sz="4" w:space="0" w:color="auto"/>
            </w:tcBorders>
            <w:hideMark/>
          </w:tcPr>
          <w:p w14:paraId="7B68CDF8" w14:textId="50D10F36" w:rsidR="00BB1EF2" w:rsidRPr="00C41ECA" w:rsidRDefault="00BB1EF2" w:rsidP="007A295F">
            <w:pPr>
              <w:pStyle w:val="TableText1"/>
              <w:spacing w:after="0"/>
              <w:jc w:val="center"/>
              <w:rPr>
                <w:b/>
                <w:bCs/>
              </w:rPr>
            </w:pPr>
            <w:r w:rsidRPr="00C41ECA">
              <w:rPr>
                <w:b/>
              </w:rPr>
              <w:t xml:space="preserve">Risk difference </w:t>
            </w:r>
            <w:r w:rsidR="007A295F">
              <w:rPr>
                <w:b/>
              </w:rPr>
              <w:t xml:space="preserve">(95% CI) </w:t>
            </w:r>
            <w:r w:rsidRPr="00C41ECA">
              <w:rPr>
                <w:b/>
              </w:rPr>
              <w:t xml:space="preserve">Oma minus placebo </w:t>
            </w:r>
          </w:p>
        </w:tc>
      </w:tr>
      <w:tr w:rsidR="00CA793A" w:rsidRPr="00C41ECA" w14:paraId="088E358D" w14:textId="77777777" w:rsidTr="35298142">
        <w:trPr>
          <w:cantSplit/>
        </w:trPr>
        <w:tc>
          <w:tcPr>
            <w:tcW w:w="2193" w:type="pct"/>
            <w:tcBorders>
              <w:top w:val="single" w:sz="4" w:space="0" w:color="auto"/>
              <w:left w:val="single" w:sz="4" w:space="0" w:color="auto"/>
              <w:bottom w:val="single" w:sz="4" w:space="0" w:color="auto"/>
              <w:right w:val="single" w:sz="4" w:space="0" w:color="auto"/>
            </w:tcBorders>
            <w:vAlign w:val="center"/>
            <w:hideMark/>
          </w:tcPr>
          <w:p w14:paraId="40602F6D" w14:textId="25E0BC0C" w:rsidR="00CA793A" w:rsidRPr="00C41ECA" w:rsidRDefault="00CA793A">
            <w:pPr>
              <w:pStyle w:val="TableText1"/>
              <w:spacing w:after="0"/>
            </w:pPr>
            <w:r w:rsidRPr="00C41ECA">
              <w:t>Patients with at least one severe AE</w:t>
            </w:r>
          </w:p>
        </w:tc>
        <w:tc>
          <w:tcPr>
            <w:tcW w:w="799" w:type="pct"/>
            <w:tcBorders>
              <w:top w:val="single" w:sz="4" w:space="0" w:color="auto"/>
              <w:left w:val="single" w:sz="4" w:space="0" w:color="auto"/>
              <w:bottom w:val="single" w:sz="4" w:space="0" w:color="auto"/>
              <w:right w:val="single" w:sz="4" w:space="0" w:color="auto"/>
            </w:tcBorders>
            <w:hideMark/>
          </w:tcPr>
          <w:p w14:paraId="45085265" w14:textId="3A729042" w:rsidR="00CA793A" w:rsidRPr="00C41ECA" w:rsidRDefault="00CA793A" w:rsidP="00BB3988">
            <w:pPr>
              <w:pStyle w:val="TableText1"/>
              <w:spacing w:after="0"/>
              <w:jc w:val="center"/>
            </w:pPr>
            <w:r w:rsidRPr="00C41ECA">
              <w:t>5/51</w:t>
            </w:r>
          </w:p>
        </w:tc>
        <w:tc>
          <w:tcPr>
            <w:tcW w:w="733" w:type="pct"/>
            <w:tcBorders>
              <w:top w:val="single" w:sz="4" w:space="0" w:color="auto"/>
              <w:left w:val="single" w:sz="4" w:space="0" w:color="auto"/>
              <w:bottom w:val="single" w:sz="4" w:space="0" w:color="auto"/>
              <w:right w:val="single" w:sz="4" w:space="0" w:color="auto"/>
            </w:tcBorders>
            <w:hideMark/>
          </w:tcPr>
          <w:p w14:paraId="6B4DD8D0" w14:textId="45D55416" w:rsidR="00CA793A" w:rsidRPr="00C41ECA" w:rsidRDefault="00CA793A" w:rsidP="00BB3988">
            <w:pPr>
              <w:pStyle w:val="TableText1"/>
              <w:spacing w:after="0"/>
              <w:jc w:val="center"/>
            </w:pPr>
            <w:r w:rsidRPr="00C41ECA">
              <w:t>0/52</w:t>
            </w:r>
          </w:p>
        </w:tc>
        <w:tc>
          <w:tcPr>
            <w:tcW w:w="1275" w:type="pct"/>
            <w:tcBorders>
              <w:top w:val="single" w:sz="4" w:space="0" w:color="auto"/>
              <w:left w:val="single" w:sz="4" w:space="0" w:color="auto"/>
              <w:bottom w:val="single" w:sz="4" w:space="0" w:color="auto"/>
              <w:right w:val="single" w:sz="4" w:space="0" w:color="auto"/>
            </w:tcBorders>
          </w:tcPr>
          <w:p w14:paraId="640CC320" w14:textId="1F5D11D6" w:rsidR="00CA793A" w:rsidRPr="00C41ECA" w:rsidRDefault="00CA793A" w:rsidP="00BB3988">
            <w:pPr>
              <w:pStyle w:val="TableText1"/>
              <w:spacing w:after="0"/>
              <w:jc w:val="center"/>
            </w:pPr>
            <w:r w:rsidRPr="00C41ECA">
              <w:t xml:space="preserve">0.10 </w:t>
            </w:r>
            <w:r w:rsidR="007A295F">
              <w:t>(</w:t>
            </w:r>
            <w:r w:rsidRPr="00C41ECA">
              <w:t>0.02, 0.18</w:t>
            </w:r>
            <w:r w:rsidR="007A295F">
              <w:t>)</w:t>
            </w:r>
          </w:p>
        </w:tc>
      </w:tr>
      <w:tr w:rsidR="00CA793A" w:rsidRPr="00C41ECA" w14:paraId="7082375E" w14:textId="77777777" w:rsidTr="35298142">
        <w:trPr>
          <w:cantSplit/>
        </w:trPr>
        <w:tc>
          <w:tcPr>
            <w:tcW w:w="2193" w:type="pct"/>
            <w:tcBorders>
              <w:top w:val="single" w:sz="4" w:space="0" w:color="auto"/>
              <w:left w:val="single" w:sz="4" w:space="0" w:color="auto"/>
              <w:bottom w:val="single" w:sz="4" w:space="0" w:color="auto"/>
              <w:right w:val="single" w:sz="4" w:space="0" w:color="auto"/>
            </w:tcBorders>
            <w:vAlign w:val="center"/>
            <w:hideMark/>
          </w:tcPr>
          <w:p w14:paraId="52A9067D" w14:textId="12F93F09" w:rsidR="00CA793A" w:rsidRPr="00C41ECA" w:rsidRDefault="00CA793A">
            <w:pPr>
              <w:pStyle w:val="TableText1"/>
              <w:spacing w:after="0"/>
            </w:pPr>
            <w:r w:rsidRPr="00C41ECA">
              <w:t>ALT increased</w:t>
            </w:r>
          </w:p>
        </w:tc>
        <w:tc>
          <w:tcPr>
            <w:tcW w:w="799" w:type="pct"/>
            <w:tcBorders>
              <w:top w:val="single" w:sz="4" w:space="0" w:color="auto"/>
              <w:left w:val="single" w:sz="4" w:space="0" w:color="auto"/>
              <w:bottom w:val="single" w:sz="4" w:space="0" w:color="auto"/>
              <w:right w:val="single" w:sz="4" w:space="0" w:color="auto"/>
            </w:tcBorders>
            <w:hideMark/>
          </w:tcPr>
          <w:p w14:paraId="396ABFF4" w14:textId="464C3773" w:rsidR="00CA793A" w:rsidRPr="00C41ECA" w:rsidRDefault="00CA793A" w:rsidP="00BB3988">
            <w:pPr>
              <w:pStyle w:val="TableText1"/>
              <w:spacing w:after="0"/>
              <w:jc w:val="center"/>
            </w:pPr>
            <w:r w:rsidRPr="00C41ECA">
              <w:t>19/51</w:t>
            </w:r>
          </w:p>
        </w:tc>
        <w:tc>
          <w:tcPr>
            <w:tcW w:w="733" w:type="pct"/>
            <w:tcBorders>
              <w:top w:val="single" w:sz="4" w:space="0" w:color="auto"/>
              <w:left w:val="single" w:sz="4" w:space="0" w:color="auto"/>
              <w:bottom w:val="single" w:sz="4" w:space="0" w:color="auto"/>
              <w:right w:val="single" w:sz="4" w:space="0" w:color="auto"/>
            </w:tcBorders>
            <w:hideMark/>
          </w:tcPr>
          <w:p w14:paraId="4F52C59D" w14:textId="7C33A20D" w:rsidR="00CA793A" w:rsidRPr="00C41ECA" w:rsidRDefault="00CA793A" w:rsidP="00BB3988">
            <w:pPr>
              <w:pStyle w:val="TableText1"/>
              <w:spacing w:after="0"/>
              <w:jc w:val="center"/>
            </w:pPr>
            <w:r w:rsidRPr="00C41ECA">
              <w:t>1/52</w:t>
            </w:r>
          </w:p>
        </w:tc>
        <w:tc>
          <w:tcPr>
            <w:tcW w:w="1275" w:type="pct"/>
            <w:tcBorders>
              <w:top w:val="single" w:sz="4" w:space="0" w:color="auto"/>
              <w:left w:val="single" w:sz="4" w:space="0" w:color="auto"/>
              <w:bottom w:val="single" w:sz="4" w:space="0" w:color="auto"/>
              <w:right w:val="single" w:sz="4" w:space="0" w:color="auto"/>
            </w:tcBorders>
            <w:hideMark/>
          </w:tcPr>
          <w:p w14:paraId="3A6F42EE" w14:textId="092D8BEF" w:rsidR="00CA793A" w:rsidRPr="00C41ECA" w:rsidRDefault="00CA793A" w:rsidP="00BB3988">
            <w:pPr>
              <w:pStyle w:val="TableText1"/>
              <w:spacing w:after="0"/>
              <w:jc w:val="center"/>
            </w:pPr>
            <w:r w:rsidRPr="00C41ECA">
              <w:t xml:space="preserve">0.35 </w:t>
            </w:r>
            <w:r w:rsidR="007A295F">
              <w:t>(</w:t>
            </w:r>
            <w:r w:rsidRPr="00C41ECA">
              <w:t>0.20, 0.51</w:t>
            </w:r>
            <w:r w:rsidR="007A295F">
              <w:t>)</w:t>
            </w:r>
          </w:p>
        </w:tc>
      </w:tr>
      <w:tr w:rsidR="00CA793A" w:rsidRPr="00C41ECA" w14:paraId="4E892787" w14:textId="77777777" w:rsidTr="35298142">
        <w:trPr>
          <w:cantSplit/>
        </w:trPr>
        <w:tc>
          <w:tcPr>
            <w:tcW w:w="2193" w:type="pct"/>
            <w:tcBorders>
              <w:top w:val="single" w:sz="4" w:space="0" w:color="auto"/>
              <w:left w:val="single" w:sz="4" w:space="0" w:color="auto"/>
              <w:bottom w:val="single" w:sz="4" w:space="0" w:color="auto"/>
              <w:right w:val="single" w:sz="4" w:space="0" w:color="auto"/>
            </w:tcBorders>
            <w:vAlign w:val="center"/>
          </w:tcPr>
          <w:p w14:paraId="69C05E58" w14:textId="2632959F" w:rsidR="00CA793A" w:rsidRPr="00C41ECA" w:rsidRDefault="00CA793A" w:rsidP="00CA793A">
            <w:pPr>
              <w:pStyle w:val="TableText1"/>
              <w:spacing w:after="0"/>
            </w:pPr>
            <w:r w:rsidRPr="00C41ECA">
              <w:t>AST increased</w:t>
            </w:r>
          </w:p>
        </w:tc>
        <w:tc>
          <w:tcPr>
            <w:tcW w:w="799" w:type="pct"/>
            <w:tcBorders>
              <w:top w:val="single" w:sz="4" w:space="0" w:color="auto"/>
              <w:left w:val="single" w:sz="4" w:space="0" w:color="auto"/>
              <w:bottom w:val="single" w:sz="4" w:space="0" w:color="auto"/>
              <w:right w:val="single" w:sz="4" w:space="0" w:color="auto"/>
            </w:tcBorders>
          </w:tcPr>
          <w:p w14:paraId="13F03787" w14:textId="49229D7E" w:rsidR="00CA793A" w:rsidRPr="00C41ECA" w:rsidRDefault="00CA793A" w:rsidP="00BB3988">
            <w:pPr>
              <w:pStyle w:val="TableText1"/>
              <w:spacing w:after="0"/>
              <w:jc w:val="center"/>
            </w:pPr>
            <w:r w:rsidRPr="00C41ECA">
              <w:t>11/51</w:t>
            </w:r>
          </w:p>
        </w:tc>
        <w:tc>
          <w:tcPr>
            <w:tcW w:w="733" w:type="pct"/>
            <w:tcBorders>
              <w:top w:val="single" w:sz="4" w:space="0" w:color="auto"/>
              <w:left w:val="single" w:sz="4" w:space="0" w:color="auto"/>
              <w:bottom w:val="single" w:sz="4" w:space="0" w:color="auto"/>
              <w:right w:val="single" w:sz="4" w:space="0" w:color="auto"/>
            </w:tcBorders>
          </w:tcPr>
          <w:p w14:paraId="018EFC8E" w14:textId="7663FB7A" w:rsidR="00CA793A" w:rsidRPr="00C41ECA" w:rsidRDefault="00CA793A" w:rsidP="00BB3988">
            <w:pPr>
              <w:pStyle w:val="TableText1"/>
              <w:spacing w:after="0"/>
              <w:jc w:val="center"/>
            </w:pPr>
            <w:r w:rsidRPr="00C41ECA">
              <w:t>1/52</w:t>
            </w:r>
          </w:p>
        </w:tc>
        <w:tc>
          <w:tcPr>
            <w:tcW w:w="1275" w:type="pct"/>
          </w:tcPr>
          <w:p w14:paraId="657B8423" w14:textId="1775D3B4" w:rsidR="00CA793A" w:rsidRPr="00C41ECA" w:rsidRDefault="00CA793A" w:rsidP="00BB3988">
            <w:pPr>
              <w:pStyle w:val="TableText1"/>
              <w:spacing w:after="0"/>
              <w:jc w:val="center"/>
            </w:pPr>
            <w:r w:rsidRPr="00C41ECA">
              <w:t xml:space="preserve">0.20 </w:t>
            </w:r>
            <w:r w:rsidR="007A295F">
              <w:t>(</w:t>
            </w:r>
            <w:r w:rsidRPr="00C41ECA">
              <w:t>0.07, 0.32</w:t>
            </w:r>
            <w:r w:rsidR="007A295F">
              <w:t>)</w:t>
            </w:r>
          </w:p>
        </w:tc>
      </w:tr>
    </w:tbl>
    <w:p w14:paraId="4E9312B3" w14:textId="77777777" w:rsidR="00963647" w:rsidRPr="00C41ECA" w:rsidRDefault="00963647" w:rsidP="00963647">
      <w:pPr>
        <w:pStyle w:val="TableFooter"/>
      </w:pPr>
      <w:r w:rsidRPr="00C41ECA">
        <w:t>Source: Sections 2.5 and 2.6 of the submission</w:t>
      </w:r>
    </w:p>
    <w:p w14:paraId="7B41391C" w14:textId="508212D0" w:rsidR="00963647" w:rsidRPr="00C41ECA" w:rsidRDefault="00CA793A" w:rsidP="00963647">
      <w:pPr>
        <w:pStyle w:val="TableFooter"/>
      </w:pPr>
      <w:r w:rsidRPr="35298142">
        <w:t xml:space="preserve">ADL=activities of daily living; </w:t>
      </w:r>
      <w:r w:rsidR="00963647" w:rsidRPr="35298142">
        <w:t xml:space="preserve">AEs=adverse events; </w:t>
      </w:r>
      <w:r w:rsidRPr="35298142">
        <w:t xml:space="preserve">ALT=alanine aminotransferase; AST=aspartate aminotransferase; </w:t>
      </w:r>
      <w:r w:rsidR="00963647" w:rsidRPr="35298142">
        <w:t xml:space="preserve">CI = confidence interval; </w:t>
      </w:r>
      <w:r w:rsidRPr="35298142">
        <w:t xml:space="preserve">LS=least squares; </w:t>
      </w:r>
      <w:r w:rsidR="00963647" w:rsidRPr="35298142">
        <w:t>Oma=</w:t>
      </w:r>
      <w:proofErr w:type="spellStart"/>
      <w:r w:rsidR="00963647" w:rsidRPr="35298142">
        <w:t>omaveloxolone</w:t>
      </w:r>
      <w:proofErr w:type="spellEnd"/>
      <w:r w:rsidRPr="35298142">
        <w:t xml:space="preserve">; PGIC=patient global impression of </w:t>
      </w:r>
      <w:r w:rsidR="00CF5666" w:rsidRPr="35298142">
        <w:t>change.</w:t>
      </w:r>
    </w:p>
    <w:p w14:paraId="7167A9A1" w14:textId="2AE7D3A8" w:rsidR="00CF5666" w:rsidRPr="00C41ECA" w:rsidRDefault="00CF5666" w:rsidP="00963647">
      <w:pPr>
        <w:pStyle w:val="TableFooter"/>
        <w:rPr>
          <w:rStyle w:val="TableFigureFooterChar"/>
          <w:rFonts w:eastAsiaTheme="minorHAnsi"/>
        </w:rPr>
      </w:pPr>
      <w:proofErr w:type="spellStart"/>
      <w:r w:rsidRPr="00C41ECA">
        <w:rPr>
          <w:vertAlign w:val="superscript"/>
          <w:lang w:val="en-GB"/>
        </w:rPr>
        <w:t>a</w:t>
      </w:r>
      <w:r w:rsidRPr="00C41ECA">
        <w:rPr>
          <w:lang w:val="en-GB"/>
        </w:rPr>
        <w:t>In</w:t>
      </w:r>
      <w:proofErr w:type="spellEnd"/>
      <w:r w:rsidRPr="00C41ECA">
        <w:rPr>
          <w:lang w:val="en-GB"/>
        </w:rPr>
        <w:t xml:space="preserve"> the subset of </w:t>
      </w:r>
      <w:r w:rsidRPr="00C41ECA">
        <w:rPr>
          <w:u w:val="single"/>
          <w:lang w:val="en-GB"/>
        </w:rPr>
        <w:t xml:space="preserve">patients with severe pes </w:t>
      </w:r>
      <w:proofErr w:type="spellStart"/>
      <w:r w:rsidRPr="00C41ECA">
        <w:rPr>
          <w:u w:val="single"/>
          <w:lang w:val="en-GB"/>
        </w:rPr>
        <w:t>cavus</w:t>
      </w:r>
      <w:proofErr w:type="spellEnd"/>
      <w:r w:rsidRPr="00C41ECA">
        <w:rPr>
          <w:lang w:val="en-GB"/>
        </w:rPr>
        <w:t xml:space="preserve"> (n=20), the improvement with </w:t>
      </w:r>
      <w:proofErr w:type="spellStart"/>
      <w:r w:rsidRPr="00C41ECA">
        <w:rPr>
          <w:lang w:val="en-GB"/>
        </w:rPr>
        <w:t>omaveloxolone</w:t>
      </w:r>
      <w:proofErr w:type="spellEnd"/>
      <w:r w:rsidRPr="00C41ECA">
        <w:rPr>
          <w:lang w:val="en-GB"/>
        </w:rPr>
        <w:t xml:space="preserve"> in </w:t>
      </w:r>
      <w:proofErr w:type="spellStart"/>
      <w:r w:rsidRPr="00C41ECA">
        <w:rPr>
          <w:lang w:val="en-GB"/>
        </w:rPr>
        <w:t>mFARS</w:t>
      </w:r>
      <w:proofErr w:type="spellEnd"/>
      <w:r w:rsidRPr="00C41ECA">
        <w:rPr>
          <w:lang w:val="en-GB"/>
        </w:rPr>
        <w:t xml:space="preserve"> relative to placebo was not statistically significant (-1.19 points; p = 0.5379).</w:t>
      </w:r>
    </w:p>
    <w:p w14:paraId="2E39CC3F" w14:textId="77777777" w:rsidR="007815C7" w:rsidRPr="00C41ECA" w:rsidRDefault="00CE2E65" w:rsidP="00CF5666">
      <w:pPr>
        <w:pStyle w:val="3-BodyText"/>
      </w:pPr>
      <w:r w:rsidRPr="35298142">
        <w:t>On the basis of direct evidence presented by the submission</w:t>
      </w:r>
      <w:r w:rsidR="007815C7" w:rsidRPr="35298142">
        <w:t>:</w:t>
      </w:r>
    </w:p>
    <w:p w14:paraId="6ED4A81F" w14:textId="77777777" w:rsidR="00CF5666" w:rsidRPr="00C41ECA" w:rsidRDefault="007815C7" w:rsidP="00CF5666">
      <w:pPr>
        <w:pStyle w:val="ListParagraph"/>
        <w:ind w:left="1134"/>
        <w:jc w:val="both"/>
      </w:pPr>
      <w:proofErr w:type="spellStart"/>
      <w:r w:rsidRPr="00C41ECA">
        <w:rPr>
          <w:lang w:val="en-GB"/>
        </w:rPr>
        <w:t>omaveloxolone</w:t>
      </w:r>
      <w:proofErr w:type="spellEnd"/>
      <w:r w:rsidRPr="00C41ECA">
        <w:rPr>
          <w:lang w:val="en-GB"/>
        </w:rPr>
        <w:t xml:space="preserve"> significantly improved </w:t>
      </w:r>
      <w:proofErr w:type="spellStart"/>
      <w:r w:rsidRPr="00C41ECA">
        <w:rPr>
          <w:lang w:val="en-GB"/>
        </w:rPr>
        <w:t>mFARS</w:t>
      </w:r>
      <w:proofErr w:type="spellEnd"/>
      <w:r w:rsidRPr="00C41ECA">
        <w:rPr>
          <w:lang w:val="en-GB"/>
        </w:rPr>
        <w:t xml:space="preserve"> (mean difference of -2.4, p=0.014) and ADL (mean difference of </w:t>
      </w:r>
      <w:r w:rsidR="00CF5666" w:rsidRPr="00C41ECA">
        <w:rPr>
          <w:lang w:val="en-GB"/>
        </w:rPr>
        <w:t>-1.3, p=0.04)</w:t>
      </w:r>
      <w:r w:rsidRPr="00C41ECA">
        <w:rPr>
          <w:lang w:val="en-GB"/>
        </w:rPr>
        <w:t xml:space="preserve"> relative to placebo after 48 weeks of treatment in patients without pes </w:t>
      </w:r>
      <w:proofErr w:type="spellStart"/>
      <w:r w:rsidRPr="00C41ECA">
        <w:rPr>
          <w:lang w:val="en-GB"/>
        </w:rPr>
        <w:t>cavus</w:t>
      </w:r>
      <w:proofErr w:type="spellEnd"/>
      <w:r w:rsidRPr="00C41ECA">
        <w:rPr>
          <w:lang w:val="en-GB"/>
        </w:rPr>
        <w:t xml:space="preserve"> (n = 82, FAS).</w:t>
      </w:r>
      <w:r w:rsidR="00CF5666" w:rsidRPr="00C41ECA">
        <w:rPr>
          <w:lang w:val="en-GB"/>
        </w:rPr>
        <w:t xml:space="preserve"> There is some uncertainty regarding the clinical meaningfulness of these changes which may impact patients differently.</w:t>
      </w:r>
    </w:p>
    <w:p w14:paraId="1FE93291" w14:textId="52E109C7" w:rsidR="00CE2E65" w:rsidRPr="00C41ECA" w:rsidRDefault="00CF5666" w:rsidP="00CF5666">
      <w:pPr>
        <w:pStyle w:val="ListParagraph"/>
        <w:ind w:left="1134"/>
        <w:jc w:val="both"/>
      </w:pPr>
      <w:r w:rsidRPr="00C41ECA">
        <w:rPr>
          <w:lang w:val="en-GB"/>
        </w:rPr>
        <w:t xml:space="preserve">in </w:t>
      </w:r>
      <w:r w:rsidRPr="00CC365B">
        <w:rPr>
          <w:lang w:val="en-GB"/>
        </w:rPr>
        <w:t xml:space="preserve">patients with pes </w:t>
      </w:r>
      <w:proofErr w:type="spellStart"/>
      <w:r w:rsidRPr="00CC365B">
        <w:rPr>
          <w:lang w:val="en-GB"/>
        </w:rPr>
        <w:t>cavus</w:t>
      </w:r>
      <w:proofErr w:type="spellEnd"/>
      <w:r w:rsidRPr="00C41ECA">
        <w:rPr>
          <w:lang w:val="en-GB"/>
        </w:rPr>
        <w:t xml:space="preserve"> (n=20), the improvement with </w:t>
      </w:r>
      <w:proofErr w:type="spellStart"/>
      <w:r w:rsidRPr="00C41ECA">
        <w:rPr>
          <w:lang w:val="en-GB"/>
        </w:rPr>
        <w:t>omaveloxolone</w:t>
      </w:r>
      <w:proofErr w:type="spellEnd"/>
      <w:r w:rsidRPr="00C41ECA">
        <w:rPr>
          <w:lang w:val="en-GB"/>
        </w:rPr>
        <w:t xml:space="preserve"> in </w:t>
      </w:r>
      <w:proofErr w:type="spellStart"/>
      <w:r w:rsidRPr="00C41ECA">
        <w:rPr>
          <w:lang w:val="en-GB"/>
        </w:rPr>
        <w:t>mFARS</w:t>
      </w:r>
      <w:proofErr w:type="spellEnd"/>
      <w:r w:rsidRPr="00C41ECA">
        <w:rPr>
          <w:lang w:val="en-GB"/>
        </w:rPr>
        <w:t xml:space="preserve"> relative to placebo was not </w:t>
      </w:r>
      <w:r w:rsidR="00627D7C" w:rsidRPr="00C41ECA">
        <w:rPr>
          <w:lang w:val="en-GB"/>
        </w:rPr>
        <w:t>statistically</w:t>
      </w:r>
      <w:r w:rsidRPr="00C41ECA">
        <w:rPr>
          <w:lang w:val="en-GB"/>
        </w:rPr>
        <w:t xml:space="preserve"> significant (-1.19 points; p = 0.5379). </w:t>
      </w:r>
    </w:p>
    <w:p w14:paraId="451BC8B6" w14:textId="1B0F3EE2" w:rsidR="00CF5666" w:rsidRPr="00C41ECA" w:rsidRDefault="00CF5666" w:rsidP="0082609B">
      <w:pPr>
        <w:pStyle w:val="ListParagraph"/>
        <w:ind w:left="1134"/>
        <w:jc w:val="both"/>
      </w:pPr>
      <w:r w:rsidRPr="35298142">
        <w:t xml:space="preserve">there was a trend favouring </w:t>
      </w:r>
      <w:proofErr w:type="spellStart"/>
      <w:r w:rsidRPr="35298142">
        <w:t>omaveloxolone</w:t>
      </w:r>
      <w:proofErr w:type="spellEnd"/>
      <w:r w:rsidRPr="35298142">
        <w:t xml:space="preserve"> compared to placebo in </w:t>
      </w:r>
      <w:r w:rsidR="00563F05" w:rsidRPr="35298142">
        <w:t xml:space="preserve">terms of </w:t>
      </w:r>
      <w:r w:rsidRPr="35298142">
        <w:t>PGIC</w:t>
      </w:r>
      <w:r w:rsidR="00563F05" w:rsidRPr="35298142">
        <w:t xml:space="preserve">, but the improvement was </w:t>
      </w:r>
      <w:r w:rsidRPr="35298142">
        <w:t>not significant.</w:t>
      </w:r>
    </w:p>
    <w:p w14:paraId="5045A2A4" w14:textId="2628F802" w:rsidR="00CE2E65" w:rsidRPr="00C41ECA" w:rsidRDefault="00CF5666" w:rsidP="009B4AC3">
      <w:pPr>
        <w:pStyle w:val="ListParagraph"/>
        <w:ind w:left="1134"/>
        <w:jc w:val="both"/>
      </w:pPr>
      <w:r w:rsidRPr="35298142">
        <w:t xml:space="preserve">for every 100 FA patients treated with </w:t>
      </w:r>
      <w:proofErr w:type="spellStart"/>
      <w:r w:rsidRPr="35298142">
        <w:t>omaveloxolone</w:t>
      </w:r>
      <w:proofErr w:type="spellEnd"/>
      <w:r w:rsidRPr="35298142">
        <w:t xml:space="preserve"> in comparison with placebo</w:t>
      </w:r>
      <w:r w:rsidR="009B4AC3" w:rsidRPr="35298142">
        <w:t>, 10</w:t>
      </w:r>
      <w:r w:rsidR="00CE2E65" w:rsidRPr="35298142">
        <w:t xml:space="preserve"> additional patients will </w:t>
      </w:r>
      <w:r w:rsidRPr="35298142">
        <w:t xml:space="preserve">experience a SAE, </w:t>
      </w:r>
      <w:r w:rsidR="009B4AC3" w:rsidRPr="35298142">
        <w:t>35 additional patients will experience an increase in ALT levels above normal, and 20 additional patients will experience an increase in AST levels above normal</w:t>
      </w:r>
      <w:r w:rsidR="00CE2E65" w:rsidRPr="35298142">
        <w:t>.</w:t>
      </w:r>
    </w:p>
    <w:p w14:paraId="00D864B2" w14:textId="77777777" w:rsidR="00CE2E65" w:rsidRPr="0098262F" w:rsidRDefault="00CE2E65" w:rsidP="00CE2E65">
      <w:pPr>
        <w:pStyle w:val="4-SubsectionHeading"/>
      </w:pPr>
      <w:bookmarkStart w:id="43" w:name="_Toc22897644"/>
      <w:bookmarkStart w:id="44" w:name="_Toc188438061"/>
      <w:r w:rsidRPr="0098262F">
        <w:t>Clinical claim</w:t>
      </w:r>
      <w:bookmarkEnd w:id="43"/>
      <w:bookmarkEnd w:id="44"/>
    </w:p>
    <w:p w14:paraId="089BBE69" w14:textId="6B9967FC" w:rsidR="00CE2E65" w:rsidRPr="00760B81" w:rsidRDefault="009B4AC3" w:rsidP="35298142">
      <w:pPr>
        <w:pStyle w:val="3-BodyText"/>
        <w:rPr>
          <w:rFonts w:eastAsia="Calibri"/>
        </w:rPr>
      </w:pPr>
      <w:r w:rsidRPr="00760B81">
        <w:t xml:space="preserve">The submission described </w:t>
      </w:r>
      <w:proofErr w:type="spellStart"/>
      <w:r w:rsidRPr="00760B81">
        <w:t>omaveloxolone</w:t>
      </w:r>
      <w:proofErr w:type="spellEnd"/>
      <w:r w:rsidRPr="00760B81">
        <w:t xml:space="preserve"> as superior in terms of effectiveness and inferior in terms of safety compared to BSC.</w:t>
      </w:r>
      <w:r w:rsidR="0043166F" w:rsidRPr="00760B81">
        <w:t xml:space="preserve"> The ESC considered </w:t>
      </w:r>
      <w:r w:rsidR="00563F05" w:rsidRPr="00760B81">
        <w:t xml:space="preserve">the </w:t>
      </w:r>
      <w:r w:rsidR="00145813" w:rsidRPr="00760B81">
        <w:t>submission’s clinical claims</w:t>
      </w:r>
      <w:r w:rsidR="0043166F" w:rsidRPr="00760B81">
        <w:t xml:space="preserve"> to be </w:t>
      </w:r>
      <w:r w:rsidR="00145813" w:rsidRPr="00760B81">
        <w:t>reasonable</w:t>
      </w:r>
      <w:r w:rsidR="008F46E6" w:rsidRPr="00760B81">
        <w:t xml:space="preserve">, </w:t>
      </w:r>
      <w:bookmarkStart w:id="45" w:name="_Hlk187950659"/>
      <w:r w:rsidR="008F46E6" w:rsidRPr="00760B81">
        <w:rPr>
          <w:rFonts w:eastAsia="Calibri"/>
        </w:rPr>
        <w:t>but</w:t>
      </w:r>
      <w:r w:rsidRPr="00760B81">
        <w:rPr>
          <w:rFonts w:eastAsia="Calibri"/>
        </w:rPr>
        <w:t xml:space="preserve"> </w:t>
      </w:r>
      <w:r w:rsidR="00EC7E37" w:rsidRPr="00760B81">
        <w:rPr>
          <w:rFonts w:eastAsia="Calibri"/>
        </w:rPr>
        <w:t>not</w:t>
      </w:r>
      <w:r w:rsidR="008F46E6" w:rsidRPr="00760B81">
        <w:rPr>
          <w:rFonts w:eastAsia="Calibri"/>
        </w:rPr>
        <w:t>ed</w:t>
      </w:r>
      <w:r w:rsidRPr="00760B81">
        <w:rPr>
          <w:rFonts w:eastAsia="Calibri"/>
        </w:rPr>
        <w:t xml:space="preserve"> the following:</w:t>
      </w:r>
    </w:p>
    <w:p w14:paraId="2F49D679" w14:textId="53806D88" w:rsidR="009B4AC3" w:rsidRPr="00760B81" w:rsidRDefault="00EC7E37" w:rsidP="00971694">
      <w:pPr>
        <w:pStyle w:val="3-BodyText"/>
        <w:numPr>
          <w:ilvl w:val="1"/>
          <w:numId w:val="39"/>
        </w:numPr>
        <w:ind w:left="1080"/>
        <w:rPr>
          <w:rFonts w:eastAsia="Calibri"/>
        </w:rPr>
      </w:pPr>
      <w:r w:rsidRPr="00760B81">
        <w:rPr>
          <w:rFonts w:eastAsia="Calibri"/>
        </w:rPr>
        <w:t>Acknowledging the rarity of the condition, t</w:t>
      </w:r>
      <w:r w:rsidR="009B4AC3" w:rsidRPr="00760B81">
        <w:rPr>
          <w:rFonts w:eastAsia="Calibri"/>
        </w:rPr>
        <w:t>he patient numbers were small</w:t>
      </w:r>
      <w:r w:rsidR="00F96A8A" w:rsidRPr="00760B81">
        <w:rPr>
          <w:rFonts w:eastAsia="Calibri"/>
        </w:rPr>
        <w:t>,</w:t>
      </w:r>
      <w:r w:rsidR="009B4AC3" w:rsidRPr="00760B81">
        <w:rPr>
          <w:rFonts w:eastAsia="Calibri"/>
        </w:rPr>
        <w:t xml:space="preserve"> making the efficacy results imprecise. Comparative superiority can only be concluded within the short time frame of 48 weeks in the key </w:t>
      </w:r>
      <w:proofErr w:type="spellStart"/>
      <w:r w:rsidR="009B4AC3" w:rsidRPr="00760B81">
        <w:rPr>
          <w:rFonts w:eastAsia="Calibri"/>
        </w:rPr>
        <w:t>MOXIe</w:t>
      </w:r>
      <w:proofErr w:type="spellEnd"/>
      <w:r w:rsidR="009B4AC3" w:rsidRPr="00760B81">
        <w:rPr>
          <w:rFonts w:eastAsia="Calibri"/>
        </w:rPr>
        <w:t xml:space="preserve"> Part 2 trial.</w:t>
      </w:r>
    </w:p>
    <w:p w14:paraId="017ECDAE" w14:textId="42A6B5E6" w:rsidR="00832A24" w:rsidRPr="00760B81" w:rsidRDefault="00EC7E37" w:rsidP="00971694">
      <w:pPr>
        <w:pStyle w:val="3-BodyText"/>
        <w:numPr>
          <w:ilvl w:val="1"/>
          <w:numId w:val="39"/>
        </w:numPr>
        <w:ind w:left="1080"/>
        <w:rPr>
          <w:rFonts w:eastAsia="Calibri"/>
          <w:lang w:val="en-GB"/>
        </w:rPr>
      </w:pPr>
      <w:r w:rsidRPr="00760B81">
        <w:rPr>
          <w:rFonts w:eastAsia="Calibri"/>
          <w:lang w:val="en-GB"/>
        </w:rPr>
        <w:t xml:space="preserve">The key </w:t>
      </w:r>
      <w:proofErr w:type="spellStart"/>
      <w:r w:rsidRPr="00760B81">
        <w:rPr>
          <w:rFonts w:eastAsia="Calibri"/>
          <w:lang w:val="en-GB"/>
        </w:rPr>
        <w:t>MOXIe</w:t>
      </w:r>
      <w:proofErr w:type="spellEnd"/>
      <w:r w:rsidRPr="00760B81">
        <w:rPr>
          <w:rFonts w:eastAsia="Calibri"/>
          <w:lang w:val="en-GB"/>
        </w:rPr>
        <w:t xml:space="preserve"> Part 2 trial showed that </w:t>
      </w:r>
      <w:proofErr w:type="spellStart"/>
      <w:r w:rsidRPr="00760B81">
        <w:rPr>
          <w:rFonts w:eastAsia="Calibri"/>
          <w:lang w:val="en-GB"/>
        </w:rPr>
        <w:t>omaveloxolone</w:t>
      </w:r>
      <w:proofErr w:type="spellEnd"/>
      <w:r w:rsidRPr="00760B81">
        <w:rPr>
          <w:rFonts w:eastAsia="Calibri"/>
          <w:lang w:val="en-GB"/>
        </w:rPr>
        <w:t xml:space="preserve"> was superior to placebo (as a proxy for BSC) in terms of the primary endpoint of change from baseline in </w:t>
      </w:r>
      <w:proofErr w:type="spellStart"/>
      <w:r w:rsidRPr="00760B81">
        <w:rPr>
          <w:rFonts w:eastAsia="Calibri"/>
          <w:lang w:val="en-GB"/>
        </w:rPr>
        <w:t>mFARS</w:t>
      </w:r>
      <w:proofErr w:type="spellEnd"/>
      <w:r w:rsidRPr="00760B81">
        <w:rPr>
          <w:rFonts w:eastAsia="Calibri"/>
          <w:lang w:val="en-GB"/>
        </w:rPr>
        <w:t xml:space="preserve"> at Week 48. </w:t>
      </w:r>
      <w:r w:rsidR="00832A24" w:rsidRPr="00760B81">
        <w:rPr>
          <w:lang w:val="en-GB"/>
        </w:rPr>
        <w:t xml:space="preserve">Although the difference in </w:t>
      </w:r>
      <w:proofErr w:type="spellStart"/>
      <w:r w:rsidR="00832A24" w:rsidRPr="00760B81">
        <w:rPr>
          <w:lang w:val="en-GB"/>
        </w:rPr>
        <w:t>mFARS</w:t>
      </w:r>
      <w:proofErr w:type="spellEnd"/>
      <w:r w:rsidR="00832A24" w:rsidRPr="00760B81">
        <w:rPr>
          <w:lang w:val="en-GB"/>
        </w:rPr>
        <w:t xml:space="preserve"> at Week 48 between the </w:t>
      </w:r>
      <w:proofErr w:type="spellStart"/>
      <w:r w:rsidR="00832A24" w:rsidRPr="00760B81">
        <w:rPr>
          <w:lang w:val="en-GB"/>
        </w:rPr>
        <w:t>omaveloxolone</w:t>
      </w:r>
      <w:proofErr w:type="spellEnd"/>
      <w:r w:rsidR="00832A24" w:rsidRPr="00760B81">
        <w:rPr>
          <w:lang w:val="en-GB"/>
        </w:rPr>
        <w:t xml:space="preserve"> and placebo arms was statistically significant (-2.4</w:t>
      </w:r>
      <w:r w:rsidR="00440A3B" w:rsidRPr="00760B81">
        <w:rPr>
          <w:lang w:val="en-GB"/>
        </w:rPr>
        <w:t>0</w:t>
      </w:r>
      <w:r w:rsidR="00832A24" w:rsidRPr="00760B81">
        <w:rPr>
          <w:lang w:val="en-GB"/>
        </w:rPr>
        <w:t xml:space="preserve"> points), the ESC questioned the clinical relevance of this small change</w:t>
      </w:r>
      <w:r w:rsidR="00F816B0" w:rsidRPr="00760B81">
        <w:rPr>
          <w:lang w:val="en-GB"/>
        </w:rPr>
        <w:t xml:space="preserve"> (on a 99-point scale)</w:t>
      </w:r>
      <w:r w:rsidR="00832A24" w:rsidRPr="00760B81">
        <w:rPr>
          <w:lang w:val="en-GB"/>
        </w:rPr>
        <w:t xml:space="preserve"> and whether it would result in benefit</w:t>
      </w:r>
      <w:r w:rsidR="00691FB0" w:rsidRPr="00760B81">
        <w:rPr>
          <w:lang w:val="en-GB"/>
        </w:rPr>
        <w:t>s</w:t>
      </w:r>
      <w:r w:rsidR="00832A24" w:rsidRPr="00760B81">
        <w:rPr>
          <w:lang w:val="en-GB"/>
        </w:rPr>
        <w:t xml:space="preserve"> in terms of disease outcomes for the patient.</w:t>
      </w:r>
    </w:p>
    <w:p w14:paraId="5DBB2472" w14:textId="1EC7AF67" w:rsidR="004C01A3" w:rsidRPr="00760B81" w:rsidRDefault="00832A24" w:rsidP="00971694">
      <w:pPr>
        <w:pStyle w:val="3-BodyText"/>
        <w:numPr>
          <w:ilvl w:val="1"/>
          <w:numId w:val="39"/>
        </w:numPr>
        <w:ind w:left="1080"/>
        <w:rPr>
          <w:rFonts w:eastAsia="Calibri"/>
        </w:rPr>
      </w:pPr>
      <w:r w:rsidRPr="00760B81">
        <w:rPr>
          <w:rFonts w:eastAsia="Calibri"/>
        </w:rPr>
        <w:t>T</w:t>
      </w:r>
      <w:r w:rsidR="00EC7E37" w:rsidRPr="00760B81">
        <w:rPr>
          <w:rFonts w:eastAsia="Calibri"/>
        </w:rPr>
        <w:t xml:space="preserve">he higher percentage of missing data in the </w:t>
      </w:r>
      <w:proofErr w:type="spellStart"/>
      <w:r w:rsidR="00EC7E37" w:rsidRPr="00760B81">
        <w:rPr>
          <w:rFonts w:eastAsia="Calibri"/>
        </w:rPr>
        <w:t>omaveloxolone</w:t>
      </w:r>
      <w:proofErr w:type="spellEnd"/>
      <w:r w:rsidR="00EC7E37" w:rsidRPr="00760B81">
        <w:rPr>
          <w:rFonts w:eastAsia="Calibri"/>
        </w:rPr>
        <w:t xml:space="preserve"> arm compared to the placebo arm for the primary endpoint (15.0% vs. 2.3%) decreases confidence in the primary results as they were based on the assumption that data were missing at random. The </w:t>
      </w:r>
      <w:r w:rsidR="002E16ED" w:rsidRPr="00760B81">
        <w:rPr>
          <w:rFonts w:eastAsia="Calibri"/>
        </w:rPr>
        <w:t xml:space="preserve">ESC </w:t>
      </w:r>
      <w:r w:rsidR="00123773" w:rsidRPr="00760B81">
        <w:rPr>
          <w:rFonts w:eastAsia="Calibri"/>
        </w:rPr>
        <w:t>noted that the</w:t>
      </w:r>
      <w:r w:rsidR="002E16ED" w:rsidRPr="00760B81">
        <w:rPr>
          <w:rFonts w:eastAsia="Calibri"/>
        </w:rPr>
        <w:t xml:space="preserve"> </w:t>
      </w:r>
      <w:r w:rsidR="00EC7E37" w:rsidRPr="00760B81">
        <w:rPr>
          <w:rFonts w:eastAsia="Calibri"/>
        </w:rPr>
        <w:t xml:space="preserve">impact of the missing data could mean that the difference between </w:t>
      </w:r>
      <w:proofErr w:type="spellStart"/>
      <w:r w:rsidR="00EC7E37" w:rsidRPr="00760B81">
        <w:rPr>
          <w:rFonts w:eastAsia="Calibri"/>
        </w:rPr>
        <w:t>omaveloxolone</w:t>
      </w:r>
      <w:proofErr w:type="spellEnd"/>
      <w:r w:rsidR="00EC7E37" w:rsidRPr="00760B81">
        <w:rPr>
          <w:rFonts w:eastAsia="Calibri"/>
        </w:rPr>
        <w:t xml:space="preserve"> and placebo </w:t>
      </w:r>
      <w:r w:rsidR="00123773" w:rsidRPr="00760B81">
        <w:rPr>
          <w:rFonts w:eastAsia="Calibri"/>
        </w:rPr>
        <w:t xml:space="preserve">was smaller than </w:t>
      </w:r>
      <w:r w:rsidR="004C01A3" w:rsidRPr="00760B81">
        <w:rPr>
          <w:rFonts w:eastAsia="Calibri"/>
        </w:rPr>
        <w:t>presented</w:t>
      </w:r>
      <w:r w:rsidR="00EC7E37" w:rsidRPr="00760B81">
        <w:rPr>
          <w:rFonts w:eastAsia="Calibri"/>
        </w:rPr>
        <w:t>.</w:t>
      </w:r>
    </w:p>
    <w:p w14:paraId="5D3B12D1" w14:textId="6DA0B644" w:rsidR="00425F8A" w:rsidRPr="00760B81" w:rsidRDefault="004C01A3" w:rsidP="00971694">
      <w:pPr>
        <w:pStyle w:val="3-BodyText"/>
        <w:numPr>
          <w:ilvl w:val="1"/>
          <w:numId w:val="39"/>
        </w:numPr>
        <w:ind w:left="1080"/>
        <w:rPr>
          <w:rFonts w:eastAsia="Calibri"/>
        </w:rPr>
      </w:pPr>
      <w:r w:rsidRPr="00760B81">
        <w:rPr>
          <w:rFonts w:eastAsia="Calibri"/>
        </w:rPr>
        <w:t>A</w:t>
      </w:r>
      <w:r w:rsidR="00EC7E37" w:rsidRPr="00760B81">
        <w:rPr>
          <w:rFonts w:eastAsia="Calibri"/>
        </w:rPr>
        <w:t xml:space="preserve">lthough the trial was double blinded, there was a high risk of unblinding due to AEs associated with </w:t>
      </w:r>
      <w:proofErr w:type="spellStart"/>
      <w:r w:rsidR="00EC7E37" w:rsidRPr="00760B81">
        <w:rPr>
          <w:rFonts w:eastAsia="Calibri"/>
        </w:rPr>
        <w:t>omaveloxolone</w:t>
      </w:r>
      <w:proofErr w:type="spellEnd"/>
      <w:r w:rsidR="00EC7E37" w:rsidRPr="00760B81">
        <w:rPr>
          <w:rFonts w:eastAsia="Calibri"/>
        </w:rPr>
        <w:t xml:space="preserve"> such as an increase in transaminase levels. This could have further biased the results away from the null towards favouring </w:t>
      </w:r>
      <w:proofErr w:type="spellStart"/>
      <w:r w:rsidR="00EC7E37" w:rsidRPr="00760B81">
        <w:rPr>
          <w:rFonts w:eastAsia="Calibri"/>
        </w:rPr>
        <w:t>omaveloxolone</w:t>
      </w:r>
      <w:proofErr w:type="spellEnd"/>
      <w:r w:rsidR="00EC7E37" w:rsidRPr="00760B81">
        <w:rPr>
          <w:rFonts w:eastAsia="Calibri"/>
        </w:rPr>
        <w:t xml:space="preserve"> over placebo</w:t>
      </w:r>
      <w:r w:rsidR="00425F8A" w:rsidRPr="00760B81">
        <w:rPr>
          <w:rFonts w:eastAsia="Calibri"/>
        </w:rPr>
        <w:t>.</w:t>
      </w:r>
    </w:p>
    <w:p w14:paraId="4AF75BB0" w14:textId="2B4A643B" w:rsidR="00425F8A" w:rsidRPr="00760B81" w:rsidRDefault="00425F8A" w:rsidP="00971694">
      <w:pPr>
        <w:pStyle w:val="3-BodyText"/>
        <w:numPr>
          <w:ilvl w:val="1"/>
          <w:numId w:val="39"/>
        </w:numPr>
        <w:ind w:left="1080"/>
        <w:rPr>
          <w:rFonts w:eastAsia="Calibri"/>
        </w:rPr>
      </w:pPr>
      <w:r w:rsidRPr="00760B81">
        <w:rPr>
          <w:rFonts w:eastAsia="Calibri"/>
        </w:rPr>
        <w:t xml:space="preserve">Results for the key secondary outcomes of PGIC and CGIC </w:t>
      </w:r>
      <w:r w:rsidRPr="00760B81">
        <w:rPr>
          <w:rFonts w:eastAsia="Calibri"/>
          <w:lang w:val="en-GB"/>
        </w:rPr>
        <w:t xml:space="preserve">were only directionally favourable for </w:t>
      </w:r>
      <w:proofErr w:type="spellStart"/>
      <w:r w:rsidRPr="00760B81">
        <w:rPr>
          <w:rFonts w:eastAsia="Calibri"/>
          <w:lang w:val="en-GB"/>
        </w:rPr>
        <w:t>omaveloxolone</w:t>
      </w:r>
      <w:proofErr w:type="spellEnd"/>
      <w:r w:rsidRPr="00760B81">
        <w:rPr>
          <w:rFonts w:eastAsia="Calibri"/>
          <w:lang w:val="en-GB"/>
        </w:rPr>
        <w:t xml:space="preserve"> and not </w:t>
      </w:r>
      <w:r w:rsidR="0081436F" w:rsidRPr="00760B81">
        <w:rPr>
          <w:rFonts w:eastAsia="Calibri"/>
          <w:lang w:val="en-GB"/>
        </w:rPr>
        <w:t>statistically</w:t>
      </w:r>
      <w:r w:rsidRPr="00760B81">
        <w:rPr>
          <w:rFonts w:eastAsia="Calibri"/>
          <w:lang w:val="en-GB"/>
        </w:rPr>
        <w:t xml:space="preserve"> significant. These results </w:t>
      </w:r>
      <w:r w:rsidR="00B00796" w:rsidRPr="00760B81">
        <w:rPr>
          <w:rFonts w:eastAsia="Calibri"/>
          <w:lang w:val="en-GB"/>
        </w:rPr>
        <w:t xml:space="preserve">did not provide </w:t>
      </w:r>
      <w:r w:rsidR="0081436F" w:rsidRPr="00760B81">
        <w:rPr>
          <w:rFonts w:eastAsia="Calibri"/>
          <w:lang w:val="en-GB"/>
        </w:rPr>
        <w:t xml:space="preserve">strong </w:t>
      </w:r>
      <w:r w:rsidR="00B00796" w:rsidRPr="00760B81">
        <w:rPr>
          <w:rFonts w:eastAsia="Calibri"/>
          <w:lang w:val="en-GB"/>
        </w:rPr>
        <w:t>support for the results of the primary outcome.</w:t>
      </w:r>
    </w:p>
    <w:p w14:paraId="40C15F4F" w14:textId="1005AE59" w:rsidR="00425F8A" w:rsidRPr="00760B81" w:rsidRDefault="00425F8A" w:rsidP="00971694">
      <w:pPr>
        <w:pStyle w:val="3-BodyText"/>
        <w:numPr>
          <w:ilvl w:val="1"/>
          <w:numId w:val="39"/>
        </w:numPr>
        <w:ind w:left="1080"/>
        <w:rPr>
          <w:rFonts w:eastAsia="Calibri"/>
        </w:rPr>
      </w:pPr>
      <w:r w:rsidRPr="00760B81">
        <w:rPr>
          <w:rFonts w:eastAsia="Calibri"/>
        </w:rPr>
        <w:t xml:space="preserve">In the subset of patients with severe pes </w:t>
      </w:r>
      <w:proofErr w:type="spellStart"/>
      <w:r w:rsidRPr="00760B81">
        <w:rPr>
          <w:rFonts w:eastAsia="Calibri"/>
        </w:rPr>
        <w:t>cavus</w:t>
      </w:r>
      <w:proofErr w:type="spellEnd"/>
      <w:r w:rsidRPr="00760B81">
        <w:rPr>
          <w:rFonts w:eastAsia="Calibri"/>
        </w:rPr>
        <w:t xml:space="preserve"> (n=20), the improvement with </w:t>
      </w:r>
      <w:proofErr w:type="spellStart"/>
      <w:r w:rsidRPr="00760B81">
        <w:rPr>
          <w:rFonts w:eastAsia="Calibri"/>
        </w:rPr>
        <w:t>omaveloxolone</w:t>
      </w:r>
      <w:proofErr w:type="spellEnd"/>
      <w:r w:rsidRPr="00760B81">
        <w:rPr>
          <w:rFonts w:eastAsia="Calibri"/>
        </w:rPr>
        <w:t xml:space="preserve"> in </w:t>
      </w:r>
      <w:proofErr w:type="spellStart"/>
      <w:r w:rsidRPr="00760B81">
        <w:rPr>
          <w:rFonts w:eastAsia="Calibri"/>
        </w:rPr>
        <w:t>mFARS</w:t>
      </w:r>
      <w:proofErr w:type="spellEnd"/>
      <w:r w:rsidRPr="00760B81">
        <w:rPr>
          <w:rFonts w:eastAsia="Calibri"/>
        </w:rPr>
        <w:t xml:space="preserve"> relative to placebo was not statistically significant </w:t>
      </w:r>
      <w:r w:rsidRPr="00760B81">
        <w:br/>
      </w:r>
      <w:r w:rsidRPr="00760B81">
        <w:rPr>
          <w:rFonts w:eastAsia="Calibri"/>
        </w:rPr>
        <w:t>(-1.19 points; p=0.5379). Whilst there is high uncertainty arising from unreliability of the small sample size of the subset, an impact of foot structure on performance cannot be excluded.</w:t>
      </w:r>
    </w:p>
    <w:p w14:paraId="2ED5A9F2" w14:textId="4A3DBD49" w:rsidR="009C5CE7" w:rsidRPr="008D48B2" w:rsidRDefault="00425F8A" w:rsidP="0027493C">
      <w:pPr>
        <w:pStyle w:val="3-BodyText"/>
        <w:numPr>
          <w:ilvl w:val="1"/>
          <w:numId w:val="39"/>
        </w:numPr>
        <w:ind w:left="1080"/>
        <w:rPr>
          <w:rFonts w:eastAsia="Calibri"/>
        </w:rPr>
      </w:pPr>
      <w:r w:rsidRPr="35298142">
        <w:rPr>
          <w:rFonts w:eastAsia="Calibri"/>
        </w:rPr>
        <w:t xml:space="preserve">The evidence presented to support the longer-term comparative effectiveness of </w:t>
      </w:r>
      <w:proofErr w:type="spellStart"/>
      <w:r w:rsidRPr="35298142">
        <w:rPr>
          <w:rFonts w:eastAsia="Calibri"/>
        </w:rPr>
        <w:t>omaveloxolone</w:t>
      </w:r>
      <w:proofErr w:type="spellEnd"/>
      <w:r w:rsidRPr="35298142">
        <w:rPr>
          <w:rFonts w:eastAsia="Calibri"/>
        </w:rPr>
        <w:t xml:space="preserve"> versus BSC was based on an unanchored propensity matched indirect comparison between the </w:t>
      </w:r>
      <w:proofErr w:type="spellStart"/>
      <w:r w:rsidRPr="35298142">
        <w:rPr>
          <w:rFonts w:eastAsia="Calibri"/>
        </w:rPr>
        <w:t>MOXIe</w:t>
      </w:r>
      <w:proofErr w:type="spellEnd"/>
      <w:r w:rsidRPr="35298142">
        <w:rPr>
          <w:rFonts w:eastAsia="Calibri"/>
        </w:rPr>
        <w:t xml:space="preserve"> Extension single arm study and the FACOMS registry data.</w:t>
      </w:r>
      <w:r w:rsidR="002D7D3C" w:rsidRPr="35298142">
        <w:rPr>
          <w:rFonts w:eastAsia="Calibri"/>
        </w:rPr>
        <w:t xml:space="preserve"> </w:t>
      </w:r>
      <w:r w:rsidR="00C6748B" w:rsidRPr="35298142">
        <w:rPr>
          <w:rFonts w:eastAsia="Calibri"/>
        </w:rPr>
        <w:t>T</w:t>
      </w:r>
      <w:r w:rsidR="005D4044" w:rsidRPr="35298142">
        <w:rPr>
          <w:rFonts w:eastAsia="Calibri"/>
        </w:rPr>
        <w:t xml:space="preserve">here were several limitations associated with the </w:t>
      </w:r>
      <w:r w:rsidR="00C6748B" w:rsidRPr="35298142">
        <w:rPr>
          <w:rFonts w:eastAsia="Calibri"/>
        </w:rPr>
        <w:t xml:space="preserve">indirect comparison </w:t>
      </w:r>
      <w:r w:rsidR="005D4044" w:rsidRPr="35298142">
        <w:rPr>
          <w:rFonts w:eastAsia="Calibri"/>
        </w:rPr>
        <w:t xml:space="preserve">analyses and caution should be excised in the interpretation of the results. These limitations included the residual high risk of confounding that could </w:t>
      </w:r>
      <w:r w:rsidR="005D4044" w:rsidRPr="008D48B2">
        <w:rPr>
          <w:rFonts w:eastAsia="Calibri"/>
        </w:rPr>
        <w:t>arise from measured and non-measured important covariates and biases arising from the selection of patients for the indirect comparison</w:t>
      </w:r>
      <w:r w:rsidRPr="008D48B2">
        <w:rPr>
          <w:rFonts w:eastAsia="Calibri"/>
        </w:rPr>
        <w:t>.</w:t>
      </w:r>
    </w:p>
    <w:p w14:paraId="59E39B77" w14:textId="6A99DBE5" w:rsidR="006C6FEB" w:rsidRPr="008D48B2" w:rsidRDefault="006D4B88" w:rsidP="006C6FEB">
      <w:pPr>
        <w:pStyle w:val="3-BodyText"/>
      </w:pPr>
      <w:r w:rsidRPr="008D48B2">
        <w:t>Whilst recognising the unmet need</w:t>
      </w:r>
      <w:r w:rsidR="00E143DD" w:rsidRPr="008D48B2">
        <w:t>, t</w:t>
      </w:r>
      <w:r w:rsidR="006C6FEB" w:rsidRPr="008D48B2">
        <w:t xml:space="preserve">he PBAC considered that the </w:t>
      </w:r>
      <w:r w:rsidR="00E143DD" w:rsidRPr="008D48B2">
        <w:t xml:space="preserve">data did not convincingly support the </w:t>
      </w:r>
      <w:r w:rsidR="006C6FEB" w:rsidRPr="008D48B2">
        <w:t>claims of superior comparative effectiveness</w:t>
      </w:r>
      <w:r w:rsidR="004B0FE2" w:rsidRPr="008D48B2">
        <w:t xml:space="preserve">. In particular, the PBAC noted the uncertainty in magnitude and duration of improvement, particularly in patients with different disease severity. The </w:t>
      </w:r>
      <w:r w:rsidR="00971FDB" w:rsidRPr="008D48B2">
        <w:t>PBAC considered that claim of</w:t>
      </w:r>
      <w:r w:rsidR="006C6FEB" w:rsidRPr="008D48B2">
        <w:t xml:space="preserve"> inferior comparative safety</w:t>
      </w:r>
      <w:r w:rsidR="00971FDB" w:rsidRPr="008D48B2">
        <w:t xml:space="preserve"> was reasonable</w:t>
      </w:r>
      <w:r w:rsidR="00D139EA" w:rsidRPr="008D48B2">
        <w:t xml:space="preserve">. </w:t>
      </w:r>
    </w:p>
    <w:p w14:paraId="74A1172E" w14:textId="128C170E" w:rsidR="00B60939" w:rsidRPr="008D48B2" w:rsidRDefault="00B60939" w:rsidP="00E9094A">
      <w:pPr>
        <w:pStyle w:val="4-SubsectionHeading"/>
      </w:pPr>
      <w:bookmarkStart w:id="46" w:name="_Toc188438062"/>
      <w:bookmarkEnd w:id="45"/>
      <w:r w:rsidRPr="008D48B2">
        <w:t>Economic analysis</w:t>
      </w:r>
      <w:bookmarkEnd w:id="2"/>
      <w:bookmarkEnd w:id="46"/>
      <w:r w:rsidR="00491B3A" w:rsidRPr="008D48B2">
        <w:t xml:space="preserve"> </w:t>
      </w:r>
    </w:p>
    <w:p w14:paraId="14C1E8F9" w14:textId="35DB8614" w:rsidR="00275C5A" w:rsidRPr="00C41ECA" w:rsidRDefault="00D84C1F" w:rsidP="00D84C1F">
      <w:pPr>
        <w:pStyle w:val="3-BodyText"/>
      </w:pPr>
      <w:r w:rsidRPr="008D48B2">
        <w:t xml:space="preserve">The submission presented a modelled economic evaluation, comparing treatment with </w:t>
      </w:r>
      <w:proofErr w:type="spellStart"/>
      <w:r w:rsidRPr="008D48B2">
        <w:t>omaveloxolone</w:t>
      </w:r>
      <w:proofErr w:type="spellEnd"/>
      <w:r w:rsidRPr="35298142">
        <w:t xml:space="preserve"> versus best supportive care for patients diagnosed with FA, aged over 16 years. The type of economic evaluation presented was a cost-utility analysis. Key components of the model are summarised in </w:t>
      </w:r>
      <w:r>
        <w:fldChar w:fldCharType="begin"/>
      </w:r>
      <w:r>
        <w:instrText xml:space="preserve"> REF _Ref185252205 \h  \* MERGEFORMAT </w:instrText>
      </w:r>
      <w:r>
        <w:fldChar w:fldCharType="separate"/>
      </w:r>
      <w:r w:rsidR="003A4643" w:rsidRPr="35298142">
        <w:t xml:space="preserve">Table </w:t>
      </w:r>
      <w:r w:rsidR="003A4643">
        <w:rPr>
          <w:noProof/>
        </w:rPr>
        <w:t>15</w:t>
      </w:r>
      <w:r>
        <w:fldChar w:fldCharType="end"/>
      </w:r>
      <w:r w:rsidRPr="35298142">
        <w:t xml:space="preserve">. </w:t>
      </w:r>
    </w:p>
    <w:p w14:paraId="15A9AFA4" w14:textId="02641E11" w:rsidR="00275C5A" w:rsidRPr="00C41ECA" w:rsidRDefault="00E16AD8" w:rsidP="35298142">
      <w:pPr>
        <w:pStyle w:val="Caption"/>
        <w:jc w:val="left"/>
        <w:rPr>
          <w:rStyle w:val="CommentReference"/>
          <w:b/>
        </w:rPr>
      </w:pPr>
      <w:bookmarkStart w:id="47" w:name="_Ref185252205"/>
      <w:r w:rsidRPr="35298142">
        <w:t xml:space="preserve">Table </w:t>
      </w:r>
      <w:r w:rsidRPr="35298142">
        <w:fldChar w:fldCharType="begin"/>
      </w:r>
      <w:r>
        <w:instrText xml:space="preserve"> SEQ Table \* ARABIC </w:instrText>
      </w:r>
      <w:r w:rsidRPr="35298142">
        <w:fldChar w:fldCharType="separate"/>
      </w:r>
      <w:r w:rsidR="003A4643">
        <w:rPr>
          <w:noProof/>
        </w:rPr>
        <w:t>15</w:t>
      </w:r>
      <w:r w:rsidRPr="35298142">
        <w:rPr>
          <w:noProof/>
        </w:rPr>
        <w:fldChar w:fldCharType="end"/>
      </w:r>
      <w:bookmarkEnd w:id="47"/>
      <w:r w:rsidRPr="35298142">
        <w:t>:</w:t>
      </w:r>
      <w:r w:rsidR="00275C5A" w:rsidRPr="35298142">
        <w:rPr>
          <w:rStyle w:val="CommentReference"/>
          <w:b/>
        </w:rPr>
        <w:t xml:space="preserve"> Summary of model structure</w:t>
      </w:r>
      <w:r w:rsidR="00184B0E" w:rsidRPr="35298142">
        <w:rPr>
          <w:rStyle w:val="CommentReference"/>
          <w:b/>
        </w:rPr>
        <w:t>, key inputs</w:t>
      </w:r>
      <w:r w:rsidR="00275C5A" w:rsidRPr="35298142">
        <w:rPr>
          <w:rStyle w:val="CommentReference"/>
          <w:b/>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5: Summary of model structure, key inputs and rationale"/>
      </w:tblPr>
      <w:tblGrid>
        <w:gridCol w:w="1129"/>
        <w:gridCol w:w="7888"/>
      </w:tblGrid>
      <w:tr w:rsidR="00275C5A" w:rsidRPr="00C41ECA" w14:paraId="48BB958D" w14:textId="77777777" w:rsidTr="35298142">
        <w:trPr>
          <w:tblHeader/>
        </w:trPr>
        <w:tc>
          <w:tcPr>
            <w:tcW w:w="626" w:type="pct"/>
            <w:vAlign w:val="center"/>
          </w:tcPr>
          <w:p w14:paraId="29C3D629" w14:textId="77777777" w:rsidR="00275C5A" w:rsidRPr="00C41ECA" w:rsidRDefault="00275C5A" w:rsidP="00C83CBF">
            <w:pPr>
              <w:pStyle w:val="In-tableHeading"/>
            </w:pPr>
            <w:r w:rsidRPr="00C41ECA">
              <w:t>Component</w:t>
            </w:r>
          </w:p>
        </w:tc>
        <w:tc>
          <w:tcPr>
            <w:tcW w:w="4374" w:type="pct"/>
            <w:vAlign w:val="center"/>
          </w:tcPr>
          <w:p w14:paraId="58FBA37B" w14:textId="77777777" w:rsidR="00275C5A" w:rsidRPr="00C41ECA" w:rsidRDefault="00275C5A" w:rsidP="00C83CBF">
            <w:pPr>
              <w:pStyle w:val="In-tableHeading"/>
            </w:pPr>
            <w:r w:rsidRPr="00C41ECA">
              <w:t>Summary</w:t>
            </w:r>
          </w:p>
        </w:tc>
      </w:tr>
      <w:tr w:rsidR="00786C27" w:rsidRPr="00C41ECA" w14:paraId="6A8D84D4" w14:textId="77777777" w:rsidTr="35298142">
        <w:tc>
          <w:tcPr>
            <w:tcW w:w="626" w:type="pct"/>
            <w:vAlign w:val="center"/>
          </w:tcPr>
          <w:p w14:paraId="5F652354" w14:textId="05A0BDAA" w:rsidR="00786C27" w:rsidRPr="00C41ECA" w:rsidRDefault="00786C27" w:rsidP="00786C27">
            <w:pPr>
              <w:pStyle w:val="TableText0"/>
            </w:pPr>
            <w:r w:rsidRPr="00C41ECA">
              <w:t>Cohorts modelled</w:t>
            </w:r>
          </w:p>
        </w:tc>
        <w:tc>
          <w:tcPr>
            <w:tcW w:w="4374" w:type="pct"/>
            <w:vAlign w:val="center"/>
          </w:tcPr>
          <w:p w14:paraId="460936F1" w14:textId="6531E319" w:rsidR="00786C27" w:rsidRPr="00C41ECA" w:rsidRDefault="00786C27" w:rsidP="00786C27">
            <w:pPr>
              <w:pStyle w:val="TableText0"/>
            </w:pPr>
            <w:r w:rsidRPr="35298142">
              <w:t xml:space="preserve">Four cohorts were modelled depending on the age of symptom </w:t>
            </w:r>
            <w:r w:rsidR="00A4095A" w:rsidRPr="35298142">
              <w:t>onset (</w:t>
            </w:r>
            <w:r w:rsidRPr="35298142">
              <w:t>≤7 years, 8 – 14 years, 15 – 24 years and &gt;24 years</w:t>
            </w:r>
            <w:r w:rsidR="00FD7106" w:rsidRPr="35298142">
              <w:t>)</w:t>
            </w:r>
            <w:r w:rsidR="0004287B" w:rsidRPr="35298142">
              <w:t xml:space="preserve">, </w:t>
            </w:r>
            <w:r w:rsidR="0083390F" w:rsidRPr="35298142">
              <w:t>based on previous literature</w:t>
            </w:r>
            <w:r w:rsidRPr="35298142">
              <w:t>.</w:t>
            </w:r>
            <w:r w:rsidR="0083390F" w:rsidRPr="35298142">
              <w:rPr>
                <w:rStyle w:val="FootnoteReference"/>
              </w:rPr>
              <w:footnoteReference w:id="9"/>
            </w:r>
            <w:r w:rsidRPr="35298142">
              <w:t xml:space="preserve">  </w:t>
            </w:r>
          </w:p>
        </w:tc>
      </w:tr>
      <w:tr w:rsidR="00786C27" w:rsidRPr="00C41ECA" w14:paraId="29120B3F" w14:textId="77777777" w:rsidTr="35298142">
        <w:tc>
          <w:tcPr>
            <w:tcW w:w="626" w:type="pct"/>
            <w:vAlign w:val="center"/>
          </w:tcPr>
          <w:p w14:paraId="1AAC94CB" w14:textId="694C3FBA" w:rsidR="00786C27" w:rsidRPr="00C41ECA" w:rsidRDefault="00786C27" w:rsidP="00786C27">
            <w:pPr>
              <w:pStyle w:val="TableText0"/>
            </w:pPr>
            <w:r w:rsidRPr="00C41ECA">
              <w:t>Outcomes</w:t>
            </w:r>
          </w:p>
        </w:tc>
        <w:tc>
          <w:tcPr>
            <w:tcW w:w="4374" w:type="pct"/>
            <w:vAlign w:val="center"/>
          </w:tcPr>
          <w:p w14:paraId="69D4F042" w14:textId="00EB89B6" w:rsidR="00786C27" w:rsidRPr="00C41ECA" w:rsidRDefault="00786C27" w:rsidP="00786C27">
            <w:pPr>
              <w:pStyle w:val="TableText0"/>
            </w:pPr>
            <w:r w:rsidRPr="00C41ECA">
              <w:t xml:space="preserve">Life years and QALYs. </w:t>
            </w:r>
          </w:p>
        </w:tc>
      </w:tr>
      <w:tr w:rsidR="00786C27" w:rsidRPr="00C41ECA" w14:paraId="7F7ACECA" w14:textId="77777777" w:rsidTr="35298142">
        <w:tc>
          <w:tcPr>
            <w:tcW w:w="626" w:type="pct"/>
            <w:vAlign w:val="center"/>
          </w:tcPr>
          <w:p w14:paraId="344631D3" w14:textId="3BDADD15" w:rsidR="00786C27" w:rsidRPr="00C41ECA" w:rsidRDefault="00786C27" w:rsidP="00786C27">
            <w:pPr>
              <w:pStyle w:val="TableText0"/>
            </w:pPr>
            <w:r w:rsidRPr="00C41ECA">
              <w:t>Time horizon</w:t>
            </w:r>
          </w:p>
        </w:tc>
        <w:tc>
          <w:tcPr>
            <w:tcW w:w="4374" w:type="pct"/>
            <w:vAlign w:val="center"/>
          </w:tcPr>
          <w:p w14:paraId="03F23F80" w14:textId="3043918C" w:rsidR="00786C27" w:rsidRPr="00C41ECA" w:rsidRDefault="00786C27" w:rsidP="35298142">
            <w:pPr>
              <w:pStyle w:val="TableText0"/>
            </w:pPr>
            <w:r w:rsidRPr="35298142">
              <w:t xml:space="preserve">Lifetime time horizon (84 years) vs 4 years of follow-up in the </w:t>
            </w:r>
            <w:proofErr w:type="spellStart"/>
            <w:r w:rsidRPr="35298142">
              <w:t>omaveloxolone</w:t>
            </w:r>
            <w:proofErr w:type="spellEnd"/>
            <w:r w:rsidRPr="35298142">
              <w:t xml:space="preserve"> arm and 13 years follow up in the BSC arm</w:t>
            </w:r>
            <w:r w:rsidRPr="00424A49">
              <w:t xml:space="preserve">. </w:t>
            </w:r>
            <w:r w:rsidR="0004287B" w:rsidRPr="00424A49">
              <w:t>The ESC noted that the o</w:t>
            </w:r>
            <w:r w:rsidRPr="00424A49">
              <w:t>bserved data was immature and substantially shorter than the time horizon</w:t>
            </w:r>
            <w:r w:rsidR="00F86554" w:rsidRPr="00424A49">
              <w:t>,</w:t>
            </w:r>
            <w:r w:rsidRPr="00424A49">
              <w:t xml:space="preserve"> introducing uncertainty into the</w:t>
            </w:r>
            <w:r w:rsidRPr="35298142">
              <w:t xml:space="preserve"> model. A shorter time horizon may be preferable to reduce the amount of uncertainty in the economic </w:t>
            </w:r>
            <w:r w:rsidRPr="00424A49">
              <w:t>analysis</w:t>
            </w:r>
            <w:r w:rsidR="002F1DA3" w:rsidRPr="00424A49">
              <w:t xml:space="preserve"> and as the average life expectancy of a FA patient is 3</w:t>
            </w:r>
            <w:r w:rsidR="00B818F9" w:rsidRPr="00424A49">
              <w:t>5</w:t>
            </w:r>
            <w:r w:rsidR="002F1DA3" w:rsidRPr="00424A49">
              <w:t xml:space="preserve"> to 40 years</w:t>
            </w:r>
            <w:r w:rsidRPr="00424A49">
              <w:t>.</w:t>
            </w:r>
            <w:r w:rsidRPr="35298142">
              <w:t xml:space="preserve">  </w:t>
            </w:r>
          </w:p>
        </w:tc>
      </w:tr>
      <w:tr w:rsidR="00786C27" w:rsidRPr="00C41ECA" w14:paraId="7F944EEA" w14:textId="77777777" w:rsidTr="35298142">
        <w:tc>
          <w:tcPr>
            <w:tcW w:w="626" w:type="pct"/>
            <w:vAlign w:val="center"/>
          </w:tcPr>
          <w:p w14:paraId="255C0B8D" w14:textId="2B7D9F70" w:rsidR="00786C27" w:rsidRPr="00C41ECA" w:rsidRDefault="00786C27" w:rsidP="00786C27">
            <w:pPr>
              <w:pStyle w:val="TableText0"/>
            </w:pPr>
            <w:r w:rsidRPr="00C41ECA">
              <w:t>Methods used to generate results</w:t>
            </w:r>
          </w:p>
        </w:tc>
        <w:tc>
          <w:tcPr>
            <w:tcW w:w="4374" w:type="pct"/>
            <w:vAlign w:val="center"/>
          </w:tcPr>
          <w:p w14:paraId="5733F6EA" w14:textId="6A6A3998" w:rsidR="00786C27" w:rsidRPr="00C41ECA" w:rsidRDefault="00786C27" w:rsidP="35298142">
            <w:pPr>
              <w:pStyle w:val="TableText0"/>
            </w:pPr>
            <w:r w:rsidRPr="35298142">
              <w:t xml:space="preserve">Regression based analysis which relates disease progression (measured as </w:t>
            </w:r>
            <w:proofErr w:type="spellStart"/>
            <w:r w:rsidRPr="35298142">
              <w:t>mFARS</w:t>
            </w:r>
            <w:proofErr w:type="spellEnd"/>
            <w:r w:rsidRPr="35298142">
              <w:t xml:space="preserve"> in the model) to costs and outcomes.</w:t>
            </w:r>
            <w:r w:rsidR="007641E3" w:rsidRPr="35298142">
              <w:t xml:space="preserve">  </w:t>
            </w:r>
          </w:p>
        </w:tc>
      </w:tr>
      <w:tr w:rsidR="00786C27" w:rsidRPr="00C41ECA" w14:paraId="6EFF7035" w14:textId="77777777" w:rsidTr="35298142">
        <w:tc>
          <w:tcPr>
            <w:tcW w:w="626" w:type="pct"/>
            <w:vAlign w:val="center"/>
          </w:tcPr>
          <w:p w14:paraId="77A45407" w14:textId="0E672CCA" w:rsidR="00786C27" w:rsidRPr="00C41ECA" w:rsidRDefault="00786C27" w:rsidP="00786C27">
            <w:pPr>
              <w:pStyle w:val="TableText0"/>
            </w:pPr>
            <w:r w:rsidRPr="00C41ECA">
              <w:t>Health states</w:t>
            </w:r>
          </w:p>
        </w:tc>
        <w:tc>
          <w:tcPr>
            <w:tcW w:w="4374" w:type="pct"/>
            <w:vAlign w:val="center"/>
          </w:tcPr>
          <w:p w14:paraId="76387578" w14:textId="57C2FD00" w:rsidR="00786C27" w:rsidRPr="00C41ECA" w:rsidRDefault="00FD7106" w:rsidP="00786C27">
            <w:pPr>
              <w:pStyle w:val="TableText0"/>
            </w:pPr>
            <w:r w:rsidRPr="35298142">
              <w:t xml:space="preserve">Patients were either alive or dead, with no other health states defined. Operationally, in the </w:t>
            </w:r>
            <w:proofErr w:type="spellStart"/>
            <w:r w:rsidRPr="35298142">
              <w:t>omaveloxolone</w:t>
            </w:r>
            <w:proofErr w:type="spellEnd"/>
            <w:r w:rsidRPr="35298142">
              <w:t xml:space="preserve"> arm, alive patients were divided into ‘on treatment’ and ‘off treatment’ for the purposes of assigning costs and treatment effect.</w:t>
            </w:r>
            <w:r w:rsidR="00786C27" w:rsidRPr="35298142">
              <w:t xml:space="preserve"> </w:t>
            </w:r>
          </w:p>
        </w:tc>
      </w:tr>
      <w:tr w:rsidR="00786C27" w:rsidRPr="00C41ECA" w14:paraId="0BC5FD61" w14:textId="77777777" w:rsidTr="35298142">
        <w:tc>
          <w:tcPr>
            <w:tcW w:w="626" w:type="pct"/>
            <w:vAlign w:val="center"/>
          </w:tcPr>
          <w:p w14:paraId="3EE19BE5" w14:textId="0B9CB27B" w:rsidR="00786C27" w:rsidRPr="00C41ECA" w:rsidRDefault="00786C27" w:rsidP="00786C27">
            <w:pPr>
              <w:pStyle w:val="TableText0"/>
            </w:pPr>
            <w:r w:rsidRPr="00C41ECA">
              <w:t>Cycle length</w:t>
            </w:r>
          </w:p>
        </w:tc>
        <w:tc>
          <w:tcPr>
            <w:tcW w:w="4374" w:type="pct"/>
            <w:vAlign w:val="center"/>
          </w:tcPr>
          <w:p w14:paraId="7026638D" w14:textId="31784034" w:rsidR="00786C27" w:rsidRPr="00C41ECA" w:rsidRDefault="00786C27" w:rsidP="00786C27">
            <w:pPr>
              <w:pStyle w:val="TableText0"/>
            </w:pPr>
            <w:r w:rsidRPr="00C41ECA">
              <w:t>1 year.</w:t>
            </w:r>
          </w:p>
        </w:tc>
      </w:tr>
      <w:tr w:rsidR="00786C27" w:rsidRPr="00C41ECA" w14:paraId="07C0A709" w14:textId="77777777" w:rsidTr="35298142">
        <w:tc>
          <w:tcPr>
            <w:tcW w:w="626" w:type="pct"/>
            <w:vAlign w:val="center"/>
          </w:tcPr>
          <w:p w14:paraId="33B632EB" w14:textId="5F23BD31" w:rsidR="00786C27" w:rsidRPr="00C41ECA" w:rsidRDefault="00786C27" w:rsidP="00786C27">
            <w:pPr>
              <w:pStyle w:val="TableText0"/>
            </w:pPr>
            <w:r w:rsidRPr="00C41ECA">
              <w:t>Transition probabilities</w:t>
            </w:r>
          </w:p>
        </w:tc>
        <w:tc>
          <w:tcPr>
            <w:tcW w:w="4374" w:type="pct"/>
            <w:vAlign w:val="center"/>
          </w:tcPr>
          <w:p w14:paraId="0CCEEF6C" w14:textId="233173A6" w:rsidR="00786C27" w:rsidRPr="00C41ECA" w:rsidRDefault="00FD7106" w:rsidP="00786C27">
            <w:pPr>
              <w:pStyle w:val="TableText0"/>
            </w:pPr>
            <w:r w:rsidRPr="35298142">
              <w:t>Disease</w:t>
            </w:r>
            <w:r w:rsidR="00786C27" w:rsidRPr="35298142">
              <w:t xml:space="preserve"> progression transition probabilities were based on a regression analysis of natural history registry data.</w:t>
            </w:r>
            <w:r w:rsidRPr="35298142">
              <w:t xml:space="preserve"> In the BSC arm these were applied directly.</w:t>
            </w:r>
            <w:r w:rsidR="00786C27" w:rsidRPr="35298142">
              <w:t xml:space="preserve"> In the </w:t>
            </w:r>
            <w:proofErr w:type="spellStart"/>
            <w:r w:rsidR="00786C27" w:rsidRPr="35298142">
              <w:t>omaveloxolone</w:t>
            </w:r>
            <w:proofErr w:type="spellEnd"/>
            <w:r w:rsidR="00786C27" w:rsidRPr="35298142">
              <w:t xml:space="preserve"> arm, </w:t>
            </w:r>
            <w:r w:rsidRPr="35298142">
              <w:t>a</w:t>
            </w:r>
            <w:r w:rsidR="00786C27" w:rsidRPr="35298142">
              <w:t xml:space="preserve"> treatment effect</w:t>
            </w:r>
            <w:r w:rsidRPr="35298142">
              <w:t xml:space="preserve"> (relative risk)</w:t>
            </w:r>
            <w:r w:rsidR="00786C27" w:rsidRPr="35298142">
              <w:t xml:space="preserve"> </w:t>
            </w:r>
            <w:r w:rsidRPr="35298142">
              <w:t>was applied to the transition probabilities</w:t>
            </w:r>
            <w:r w:rsidR="00786C27" w:rsidRPr="35298142">
              <w:t xml:space="preserve">, derived from a propensity matched analysis (which </w:t>
            </w:r>
            <w:r w:rsidR="00786C27" w:rsidRPr="00424A49">
              <w:t xml:space="preserve">compared patients in the </w:t>
            </w:r>
            <w:proofErr w:type="spellStart"/>
            <w:r w:rsidR="00786C27" w:rsidRPr="00424A49">
              <w:t>MOXIe</w:t>
            </w:r>
            <w:proofErr w:type="spellEnd"/>
            <w:r w:rsidR="00786C27" w:rsidRPr="00424A49">
              <w:t xml:space="preserve"> extension study to matched patients enrolled in the </w:t>
            </w:r>
            <w:r w:rsidR="00993B41" w:rsidRPr="00424A49">
              <w:t>FACOMS</w:t>
            </w:r>
            <w:r w:rsidR="00786C27" w:rsidRPr="00424A49">
              <w:t xml:space="preserve"> registry)</w:t>
            </w:r>
            <w:r w:rsidRPr="00424A49">
              <w:t xml:space="preserve">. </w:t>
            </w:r>
            <w:r w:rsidR="00786C27" w:rsidRPr="00424A49">
              <w:t xml:space="preserve">The </w:t>
            </w:r>
            <w:r w:rsidR="00863311" w:rsidRPr="00424A49">
              <w:t xml:space="preserve">ESC </w:t>
            </w:r>
            <w:r w:rsidR="00110B29" w:rsidRPr="00424A49">
              <w:t xml:space="preserve">noted that </w:t>
            </w:r>
            <w:r w:rsidR="00863311" w:rsidRPr="00424A49">
              <w:t>the</w:t>
            </w:r>
            <w:r w:rsidR="00863311" w:rsidRPr="35298142">
              <w:rPr>
                <w:i/>
                <w:iCs/>
              </w:rPr>
              <w:t xml:space="preserve"> </w:t>
            </w:r>
            <w:r w:rsidR="00786C27" w:rsidRPr="35298142">
              <w:t>natural history data was immature and hence</w:t>
            </w:r>
            <w:r w:rsidR="00110B29" w:rsidRPr="35298142">
              <w:t>,</w:t>
            </w:r>
            <w:r w:rsidR="00786C27" w:rsidRPr="35298142">
              <w:t xml:space="preserve"> extrapolations based on this observed data </w:t>
            </w:r>
            <w:r w:rsidRPr="35298142">
              <w:t>were</w:t>
            </w:r>
            <w:r w:rsidR="00786C27" w:rsidRPr="35298142">
              <w:t xml:space="preserve"> substantially uncertain. </w:t>
            </w:r>
          </w:p>
          <w:p w14:paraId="79C3B21C" w14:textId="77777777" w:rsidR="00786C27" w:rsidRPr="00C41ECA" w:rsidRDefault="00786C27" w:rsidP="00786C27">
            <w:pPr>
              <w:pStyle w:val="TableText0"/>
            </w:pPr>
          </w:p>
          <w:p w14:paraId="6FCC32AA" w14:textId="2C899549" w:rsidR="00786C27" w:rsidRPr="00C41ECA" w:rsidRDefault="00786C27" w:rsidP="00786C27">
            <w:pPr>
              <w:pStyle w:val="TableText0"/>
            </w:pPr>
            <w:r w:rsidRPr="00C41ECA">
              <w:t xml:space="preserve">Mortality was related to disease progression (not treatment status) and was modelled </w:t>
            </w:r>
            <w:r w:rsidR="00FD7106" w:rsidRPr="00C41ECA">
              <w:t>using</w:t>
            </w:r>
            <w:r w:rsidRPr="00C41ECA">
              <w:t xml:space="preserve"> extrapolation</w:t>
            </w:r>
            <w:r w:rsidR="00FD7106" w:rsidRPr="00C41ECA">
              <w:t>s</w:t>
            </w:r>
            <w:r w:rsidRPr="00C41ECA">
              <w:t xml:space="preserve"> of OS data from patients in the EFACTS registry, with HRs applied for different disease stages. The final modelled curves were adjusted for general population mortality using the competing risks approach</w:t>
            </w:r>
            <w:r w:rsidR="00FD7106" w:rsidRPr="00C41ECA">
              <w:t xml:space="preserve"> (i.e. the highest </w:t>
            </w:r>
            <w:r w:rsidR="00FD7106" w:rsidRPr="00424A49">
              <w:t xml:space="preserve">instantaneous risk of dying </w:t>
            </w:r>
            <w:r w:rsidR="002F660E" w:rsidRPr="00424A49">
              <w:t xml:space="preserve">is applied from either OS extrapolations or </w:t>
            </w:r>
            <w:r w:rsidR="00F00B59" w:rsidRPr="00424A49">
              <w:t>general population mortality</w:t>
            </w:r>
            <w:r w:rsidR="005050C3" w:rsidRPr="00424A49">
              <w:t>)</w:t>
            </w:r>
            <w:r w:rsidRPr="00424A49">
              <w:t xml:space="preserve">. </w:t>
            </w:r>
            <w:r w:rsidR="00982EEE" w:rsidRPr="00424A49">
              <w:t>The ESC noted</w:t>
            </w:r>
            <w:r w:rsidR="001D15C2" w:rsidRPr="00424A49">
              <w:t xml:space="preserve"> that</w:t>
            </w:r>
            <w:r w:rsidR="00982EEE" w:rsidRPr="00424A49">
              <w:t xml:space="preserve"> a</w:t>
            </w:r>
            <w:r w:rsidRPr="00424A49">
              <w:t>s</w:t>
            </w:r>
            <w:r w:rsidRPr="00C41ECA">
              <w:t xml:space="preserve"> </w:t>
            </w:r>
            <w:r w:rsidR="00F00B59" w:rsidRPr="00C41ECA">
              <w:t xml:space="preserve">the vast majority of </w:t>
            </w:r>
            <w:r w:rsidRPr="00C41ECA">
              <w:t xml:space="preserve">FA patients </w:t>
            </w:r>
            <w:r w:rsidR="00F00B59" w:rsidRPr="00C41ECA">
              <w:t>experience disease-related mortality</w:t>
            </w:r>
            <w:r w:rsidRPr="00C41ECA">
              <w:t xml:space="preserve">, </w:t>
            </w:r>
            <w:r w:rsidR="00F00B59" w:rsidRPr="00C41ECA">
              <w:t xml:space="preserve">if the function is an accurate representation of mortality rate, the </w:t>
            </w:r>
            <w:r w:rsidRPr="00C41ECA">
              <w:t>unadjusted extrapolated OS curves should be sufficient to model OS for FA, however the unadjusted OS curves modelled a substantial proportion of the populations alive in the final year of the model which was implausible.</w:t>
            </w:r>
          </w:p>
        </w:tc>
      </w:tr>
      <w:tr w:rsidR="00786C27" w:rsidRPr="00C41ECA" w14:paraId="6093DA19" w14:textId="77777777" w:rsidTr="35298142">
        <w:tc>
          <w:tcPr>
            <w:tcW w:w="626" w:type="pct"/>
            <w:vAlign w:val="center"/>
          </w:tcPr>
          <w:p w14:paraId="63E46A80" w14:textId="4BAEAE2A" w:rsidR="00786C27" w:rsidRPr="00C41ECA" w:rsidRDefault="00786C27" w:rsidP="00786C27">
            <w:pPr>
              <w:pStyle w:val="TableText0"/>
            </w:pPr>
            <w:r w:rsidRPr="00C41ECA">
              <w:t>Treatment effect</w:t>
            </w:r>
          </w:p>
        </w:tc>
        <w:tc>
          <w:tcPr>
            <w:tcW w:w="4374" w:type="pct"/>
            <w:vAlign w:val="center"/>
          </w:tcPr>
          <w:p w14:paraId="75023B87" w14:textId="6AF66D3E" w:rsidR="007641E3" w:rsidRPr="00C41ECA" w:rsidRDefault="00786C27" w:rsidP="00786C27">
            <w:pPr>
              <w:pStyle w:val="TableText0"/>
            </w:pPr>
            <w:r w:rsidRPr="35298142">
              <w:t xml:space="preserve">The treatment effect of </w:t>
            </w:r>
            <w:proofErr w:type="spellStart"/>
            <w:r w:rsidRPr="35298142">
              <w:t>omaveloxolone</w:t>
            </w:r>
            <w:proofErr w:type="spellEnd"/>
            <w:r w:rsidRPr="35298142">
              <w:t xml:space="preserve"> was (derived from the propensity matched analysis) was applied to all </w:t>
            </w:r>
            <w:proofErr w:type="spellStart"/>
            <w:r w:rsidRPr="35298142">
              <w:t>omaveloxolone</w:t>
            </w:r>
            <w:proofErr w:type="spellEnd"/>
            <w:r w:rsidRPr="35298142">
              <w:t xml:space="preserve"> patients while on treatment with no </w:t>
            </w:r>
            <w:r w:rsidR="00F00B59" w:rsidRPr="35298142">
              <w:t>on-</w:t>
            </w:r>
            <w:r w:rsidRPr="35298142">
              <w:t xml:space="preserve">treatment waning for the duration of the model. Once patients cease treatment </w:t>
            </w:r>
            <w:proofErr w:type="spellStart"/>
            <w:r w:rsidRPr="35298142">
              <w:t>omaveloxolone</w:t>
            </w:r>
            <w:proofErr w:type="spellEnd"/>
            <w:r w:rsidRPr="35298142">
              <w:t xml:space="preserve"> </w:t>
            </w:r>
            <w:r w:rsidR="00F00B59" w:rsidRPr="35298142">
              <w:t xml:space="preserve">has no further </w:t>
            </w:r>
            <w:r w:rsidRPr="35298142">
              <w:t xml:space="preserve">treatment effect. The assumption of </w:t>
            </w:r>
            <w:r w:rsidR="00F00B59" w:rsidRPr="35298142">
              <w:t>that the full</w:t>
            </w:r>
            <w:r w:rsidRPr="35298142">
              <w:t xml:space="preserve"> treatment effect</w:t>
            </w:r>
            <w:r w:rsidR="00F00B59" w:rsidRPr="35298142">
              <w:t xml:space="preserve"> is maintained indefinitely </w:t>
            </w:r>
            <w:r w:rsidRPr="35298142">
              <w:t xml:space="preserve">while </w:t>
            </w:r>
            <w:r w:rsidR="00F00B59" w:rsidRPr="35298142">
              <w:t>patients remain</w:t>
            </w:r>
            <w:r w:rsidRPr="35298142">
              <w:t xml:space="preserve"> on treatment</w:t>
            </w:r>
            <w:r w:rsidR="00F00B59" w:rsidRPr="35298142">
              <w:t xml:space="preserve"> (i.e. there is no development of treatment resistance)</w:t>
            </w:r>
            <w:r w:rsidRPr="35298142">
              <w:t xml:space="preserve"> </w:t>
            </w:r>
            <w:r w:rsidR="001D15C2" w:rsidRPr="35298142">
              <w:t xml:space="preserve">was </w:t>
            </w:r>
            <w:r w:rsidRPr="35298142">
              <w:t>uncertain and not justified in the submission. The model was substantially sensitive to alternative assumptions of treatment effect waning.</w:t>
            </w:r>
            <w:r w:rsidR="007641E3" w:rsidRPr="35298142">
              <w:t xml:space="preserve">  </w:t>
            </w:r>
          </w:p>
          <w:p w14:paraId="632527FC" w14:textId="77777777" w:rsidR="007641E3" w:rsidRPr="00C41ECA" w:rsidRDefault="007641E3" w:rsidP="00786C27">
            <w:pPr>
              <w:pStyle w:val="TableText0"/>
            </w:pPr>
          </w:p>
          <w:p w14:paraId="4CD69EB8" w14:textId="08267819" w:rsidR="00786C27" w:rsidRPr="00C41ECA" w:rsidRDefault="007641E3" w:rsidP="00786C27">
            <w:pPr>
              <w:pStyle w:val="TableText0"/>
            </w:pPr>
            <w:r w:rsidRPr="00C41ECA">
              <w:t>Cohort specific treatment effects based on age were not applied in the model.</w:t>
            </w:r>
          </w:p>
        </w:tc>
      </w:tr>
      <w:tr w:rsidR="00786C27" w:rsidRPr="00C41ECA" w14:paraId="6F6EDEAF" w14:textId="77777777" w:rsidTr="35298142">
        <w:tc>
          <w:tcPr>
            <w:tcW w:w="626" w:type="pct"/>
            <w:vAlign w:val="center"/>
          </w:tcPr>
          <w:p w14:paraId="5B2795B8" w14:textId="1F3182D8" w:rsidR="00786C27" w:rsidRPr="00C41ECA" w:rsidRDefault="00786C27" w:rsidP="00786C27">
            <w:pPr>
              <w:pStyle w:val="TableText0"/>
            </w:pPr>
            <w:r w:rsidRPr="00C41ECA">
              <w:t>Utilities</w:t>
            </w:r>
          </w:p>
        </w:tc>
        <w:tc>
          <w:tcPr>
            <w:tcW w:w="4374" w:type="pct"/>
            <w:vAlign w:val="center"/>
          </w:tcPr>
          <w:p w14:paraId="18A790E8" w14:textId="71B4A4A0" w:rsidR="00786C27" w:rsidRPr="00424A49" w:rsidRDefault="00786C27" w:rsidP="00786C27">
            <w:pPr>
              <w:pStyle w:val="TableText0"/>
            </w:pPr>
            <w:r w:rsidRPr="00424A49">
              <w:t xml:space="preserve">Based on a regression model which related </w:t>
            </w:r>
            <w:proofErr w:type="spellStart"/>
            <w:r w:rsidRPr="00424A49">
              <w:t>mFARS</w:t>
            </w:r>
            <w:proofErr w:type="spellEnd"/>
            <w:r w:rsidRPr="00424A49">
              <w:t xml:space="preserve"> to utility values</w:t>
            </w:r>
            <w:r w:rsidR="00810A2D" w:rsidRPr="00424A49">
              <w:t xml:space="preserve">. This was based on </w:t>
            </w:r>
            <w:r w:rsidR="007F379A" w:rsidRPr="00424A49">
              <w:t xml:space="preserve">mean EQ-5D and SARA scores (converted to </w:t>
            </w:r>
            <w:proofErr w:type="spellStart"/>
            <w:r w:rsidR="007F379A" w:rsidRPr="00424A49">
              <w:t>mFARS</w:t>
            </w:r>
            <w:proofErr w:type="spellEnd"/>
            <w:r w:rsidR="007F379A" w:rsidRPr="00424A49">
              <w:t xml:space="preserve">) per year for patients enrolled in EFACTS over five years. The </w:t>
            </w:r>
            <w:r w:rsidR="00010F5F" w:rsidRPr="00424A49">
              <w:t xml:space="preserve">ESC noted the </w:t>
            </w:r>
            <w:r w:rsidR="007F379A" w:rsidRPr="00424A49">
              <w:t xml:space="preserve">five data points used in the regression model was insufficient to relate the full spectrum of </w:t>
            </w:r>
            <w:proofErr w:type="spellStart"/>
            <w:r w:rsidR="007F379A" w:rsidRPr="00424A49">
              <w:t>mFARS</w:t>
            </w:r>
            <w:proofErr w:type="spellEnd"/>
            <w:r w:rsidR="007F379A" w:rsidRPr="00424A49">
              <w:t xml:space="preserve"> scores </w:t>
            </w:r>
            <w:r w:rsidR="00810A2D" w:rsidRPr="00424A49">
              <w:t xml:space="preserve">applied in the model </w:t>
            </w:r>
            <w:r w:rsidR="007F379A" w:rsidRPr="00424A49">
              <w:t>to utility values</w:t>
            </w:r>
            <w:r w:rsidR="00810A2D" w:rsidRPr="00424A49">
              <w:t xml:space="preserve"> which introduced further uncertainty in the model. </w:t>
            </w:r>
            <w:r w:rsidR="007F379A" w:rsidRPr="00424A49">
              <w:t xml:space="preserve">   </w:t>
            </w:r>
          </w:p>
        </w:tc>
      </w:tr>
      <w:tr w:rsidR="00810A2D" w:rsidRPr="00C41ECA" w14:paraId="017A8DEA" w14:textId="77777777" w:rsidTr="35298142">
        <w:tc>
          <w:tcPr>
            <w:tcW w:w="626" w:type="pct"/>
            <w:vAlign w:val="center"/>
          </w:tcPr>
          <w:p w14:paraId="498E0073" w14:textId="05C457E2" w:rsidR="00810A2D" w:rsidRPr="00C41ECA" w:rsidRDefault="00810A2D" w:rsidP="00786C27">
            <w:pPr>
              <w:pStyle w:val="TableText0"/>
            </w:pPr>
            <w:r w:rsidRPr="00C41ECA">
              <w:t>Costs</w:t>
            </w:r>
          </w:p>
        </w:tc>
        <w:tc>
          <w:tcPr>
            <w:tcW w:w="4374" w:type="pct"/>
            <w:vAlign w:val="center"/>
          </w:tcPr>
          <w:p w14:paraId="67B40D99" w14:textId="716848AE" w:rsidR="00810A2D" w:rsidRPr="00C41ECA" w:rsidRDefault="00810A2D" w:rsidP="00786C27">
            <w:pPr>
              <w:pStyle w:val="TableText0"/>
            </w:pPr>
            <w:r w:rsidRPr="35298142">
              <w:t xml:space="preserve">Costs include </w:t>
            </w:r>
            <w:proofErr w:type="spellStart"/>
            <w:r w:rsidRPr="35298142">
              <w:t>omaveloxolone</w:t>
            </w:r>
            <w:proofErr w:type="spellEnd"/>
            <w:r w:rsidRPr="35298142">
              <w:t xml:space="preserve"> acquisition costs, medical appointments, hospitalisation, home modifications, medical devices, AE management costs and carer costs. </w:t>
            </w:r>
            <w:r w:rsidRPr="00424A49">
              <w:t xml:space="preserve">The </w:t>
            </w:r>
            <w:r w:rsidR="0060066A" w:rsidRPr="00424A49">
              <w:t>ESC advised the</w:t>
            </w:r>
            <w:r w:rsidR="0060066A" w:rsidRPr="35298142">
              <w:rPr>
                <w:i/>
                <w:iCs/>
              </w:rPr>
              <w:t xml:space="preserve"> </w:t>
            </w:r>
            <w:r w:rsidRPr="35298142">
              <w:t>inclusion of</w:t>
            </w:r>
            <w:r w:rsidR="00743148" w:rsidRPr="35298142">
              <w:t xml:space="preserve"> costs for</w:t>
            </w:r>
            <w:r w:rsidRPr="35298142">
              <w:t xml:space="preserve"> carer</w:t>
            </w:r>
            <w:r w:rsidR="00743148" w:rsidRPr="35298142">
              <w:t xml:space="preserve">, </w:t>
            </w:r>
            <w:r w:rsidRPr="35298142">
              <w:t>home modification</w:t>
            </w:r>
            <w:r w:rsidR="00743148" w:rsidRPr="35298142">
              <w:t xml:space="preserve"> and certain medical aids (walker, wheelchairs, specialised mattress, electric beds)</w:t>
            </w:r>
            <w:r w:rsidRPr="35298142">
              <w:t xml:space="preserve"> </w:t>
            </w:r>
            <w:r w:rsidR="0017283A" w:rsidRPr="35298142">
              <w:t xml:space="preserve">was </w:t>
            </w:r>
            <w:r w:rsidRPr="35298142">
              <w:t xml:space="preserve">not reasonable in the base case analysis as the PBAC guidelines specify to only include direct medical costs. </w:t>
            </w:r>
          </w:p>
        </w:tc>
      </w:tr>
    </w:tbl>
    <w:p w14:paraId="222747B9" w14:textId="77777777" w:rsidR="00810A2D" w:rsidRPr="00C41ECA" w:rsidRDefault="00810A2D" w:rsidP="00810A2D">
      <w:pPr>
        <w:pStyle w:val="TableFigureFooter"/>
      </w:pPr>
      <w:r w:rsidRPr="00C41ECA">
        <w:t>Source: Constructed during the evaluation.</w:t>
      </w:r>
    </w:p>
    <w:p w14:paraId="611237E8" w14:textId="44B073AE" w:rsidR="00810A2D" w:rsidRPr="00C41ECA" w:rsidRDefault="00D84C1F" w:rsidP="00810A2D">
      <w:pPr>
        <w:pStyle w:val="TableFigureFooter"/>
      </w:pPr>
      <w:r w:rsidRPr="35298142">
        <w:t>AE=adverse event; BSC=best supportive care; EFACTS=European Friedreich's Ataxia Consortium for Translational Studies;</w:t>
      </w:r>
      <w:r w:rsidR="00764CA8" w:rsidRPr="35298142">
        <w:t xml:space="preserve"> EQ-5D=</w:t>
      </w:r>
      <w:proofErr w:type="spellStart"/>
      <w:r w:rsidR="00764CA8" w:rsidRPr="35298142">
        <w:t>EuroQol</w:t>
      </w:r>
      <w:proofErr w:type="spellEnd"/>
      <w:r w:rsidR="00764CA8" w:rsidRPr="35298142">
        <w:t xml:space="preserve"> 5 dimensions;</w:t>
      </w:r>
      <w:r w:rsidRPr="35298142">
        <w:t xml:space="preserve"> FA=Friedreich's Ataxia; </w:t>
      </w:r>
      <w:r w:rsidR="00993B41" w:rsidRPr="35298142">
        <w:t>FACOMS</w:t>
      </w:r>
      <w:r w:rsidRPr="35298142">
        <w:t xml:space="preserve">=Friedreich's Ataxia Clinical Outcome Measures; HR=hazard ratio; </w:t>
      </w:r>
      <w:proofErr w:type="spellStart"/>
      <w:r w:rsidRPr="35298142">
        <w:t>mFARS</w:t>
      </w:r>
      <w:proofErr w:type="spellEnd"/>
      <w:r w:rsidRPr="35298142">
        <w:t xml:space="preserve">=modified Friedreich’s Ataxia rating scale; OS=overall survival; PBAC=Pharmaceutical Benefits Advisory Committee; SARA=Scale for the Assessment and Rating of Ataxia; TTD=time to treatment discontinuation.  </w:t>
      </w:r>
    </w:p>
    <w:p w14:paraId="0AABC07E" w14:textId="77777777" w:rsidR="00E631BF" w:rsidRPr="00E631BF" w:rsidRDefault="00E631BF" w:rsidP="35298142">
      <w:pPr>
        <w:pStyle w:val="3-BodyText"/>
        <w:rPr>
          <w:i/>
          <w:iCs/>
        </w:rPr>
      </w:pPr>
      <w:r w:rsidRPr="00C41ECA">
        <w:t xml:space="preserve">Patients enter the model and are assigned into one of four cohorts based on the age of onset of FA symptoms: ≤7 years, 8 – 14 years, 15 – 24 years and &gt;24 years. The distribution of patients in each of these cohorts (27%, 45%, 18% and 11%, respectively) was based on the proportion of Australian patients in each of these cohorts in the Friedreich's Ataxia Clinical Outcome Measures (FACOMS) registry. </w:t>
      </w:r>
    </w:p>
    <w:p w14:paraId="660AEE7A" w14:textId="105992B9" w:rsidR="00CB66FB" w:rsidRPr="00A462DA" w:rsidRDefault="00CB66FB" w:rsidP="35298142">
      <w:pPr>
        <w:pStyle w:val="3-BodyText"/>
        <w:rPr>
          <w:i/>
          <w:iCs/>
        </w:rPr>
      </w:pPr>
      <w:r w:rsidRPr="35298142">
        <w:t xml:space="preserve">The submission nominated a lifetime time horizon. This </w:t>
      </w:r>
      <w:r w:rsidR="002F0265" w:rsidRPr="35298142">
        <w:t>was</w:t>
      </w:r>
      <w:r w:rsidRPr="35298142">
        <w:t xml:space="preserve"> essentially 84 years as the model stops once each age of onset cohort reaches 100 years old and the youngest age of onset cohort (≤7 years) enters the model at 16 years. While the time horizon was sufficient to capture all important differences between the two modelled arms, observed data in both arms was relatively short and immature, </w:t>
      </w:r>
      <w:r w:rsidR="00366F13">
        <w:t>meaning</w:t>
      </w:r>
      <w:r w:rsidR="00366F13" w:rsidRPr="35298142">
        <w:t xml:space="preserve"> </w:t>
      </w:r>
      <w:r w:rsidRPr="35298142">
        <w:t xml:space="preserve">disease progression and mortality extrapolations </w:t>
      </w:r>
      <w:r w:rsidR="00366F13">
        <w:t xml:space="preserve">are </w:t>
      </w:r>
      <w:r w:rsidRPr="35298142">
        <w:t>uncertain</w:t>
      </w:r>
      <w:r w:rsidRPr="00424A49">
        <w:t xml:space="preserve">. </w:t>
      </w:r>
      <w:r w:rsidR="00A462DA" w:rsidRPr="00424A49">
        <w:t xml:space="preserve">The ESC considered that a </w:t>
      </w:r>
      <w:r w:rsidRPr="00424A49">
        <w:t xml:space="preserve">shorter time horizon </w:t>
      </w:r>
      <w:r w:rsidR="00A462DA" w:rsidRPr="00424A49">
        <w:t xml:space="preserve">would </w:t>
      </w:r>
      <w:r w:rsidRPr="00424A49">
        <w:t>be preferable to reduce the amount of uncertainty in the economic analysis.</w:t>
      </w:r>
      <w:r w:rsidR="00A462DA" w:rsidRPr="00424A49">
        <w:t xml:space="preserve"> Further, the ESC </w:t>
      </w:r>
      <w:r w:rsidR="00366F13">
        <w:t xml:space="preserve">noted </w:t>
      </w:r>
      <w:r w:rsidR="00A462DA" w:rsidRPr="00424A49">
        <w:t xml:space="preserve">that the time horizon was </w:t>
      </w:r>
      <w:r w:rsidR="009B09BB">
        <w:t>exceeded</w:t>
      </w:r>
      <w:r w:rsidR="00A462DA" w:rsidRPr="00424A49">
        <w:t xml:space="preserve"> the average life expectancy of patients with FA, which is 3</w:t>
      </w:r>
      <w:r w:rsidR="00B818F9" w:rsidRPr="00424A49">
        <w:t>5</w:t>
      </w:r>
      <w:r w:rsidR="00A462DA" w:rsidRPr="00424A49">
        <w:t xml:space="preserve"> to 40 years.</w:t>
      </w:r>
    </w:p>
    <w:p w14:paraId="4E59BE73" w14:textId="2EC79E36" w:rsidR="005025B7" w:rsidRPr="00C41ECA" w:rsidRDefault="0027175E" w:rsidP="00CB66FB">
      <w:pPr>
        <w:pStyle w:val="3-BodyText"/>
      </w:pPr>
      <w:r w:rsidRPr="35298142">
        <w:t xml:space="preserve">In the BSC arm, disease progression (measured by </w:t>
      </w:r>
      <w:proofErr w:type="spellStart"/>
      <w:r w:rsidRPr="35298142">
        <w:t>mFARS</w:t>
      </w:r>
      <w:proofErr w:type="spellEnd"/>
      <w:r w:rsidRPr="35298142">
        <w:t xml:space="preserve"> scores) was modelled based on </w:t>
      </w:r>
      <w:proofErr w:type="spellStart"/>
      <w:r w:rsidRPr="35298142">
        <w:t>mFARS</w:t>
      </w:r>
      <w:proofErr w:type="spellEnd"/>
      <w:r w:rsidRPr="35298142">
        <w:t xml:space="preserve"> progressions by age of onset cohort observed in the </w:t>
      </w:r>
      <w:r w:rsidR="00993B41" w:rsidRPr="35298142">
        <w:t>FACOMS</w:t>
      </w:r>
      <w:r w:rsidRPr="35298142">
        <w:t xml:space="preserve"> registry for 13-years. Beyond the 13 years of observed data, disease progression was estimated by extrapolating the observed data using a logistic distribution (as opposed to a linear function) based on clinician advice that slowing of progression at worsening </w:t>
      </w:r>
      <w:proofErr w:type="spellStart"/>
      <w:r w:rsidRPr="35298142">
        <w:t>mFARS</w:t>
      </w:r>
      <w:proofErr w:type="spellEnd"/>
      <w:r w:rsidRPr="35298142">
        <w:t xml:space="preserve"> scores is expected. </w:t>
      </w:r>
      <w:r w:rsidRPr="00C21A30">
        <w:t xml:space="preserve">The </w:t>
      </w:r>
      <w:r w:rsidR="00233D44" w:rsidRPr="00C21A30">
        <w:t>ESC considered that</w:t>
      </w:r>
      <w:r w:rsidR="00233D44" w:rsidRPr="35298142">
        <w:t xml:space="preserve"> the </w:t>
      </w:r>
      <w:r w:rsidRPr="35298142">
        <w:t>submission’s extrapolation</w:t>
      </w:r>
      <w:r w:rsidR="005025B7" w:rsidRPr="35298142">
        <w:t>s</w:t>
      </w:r>
      <w:r w:rsidRPr="35298142">
        <w:t>, based on clinician advice</w:t>
      </w:r>
      <w:r w:rsidR="009A41E3" w:rsidRPr="35298142">
        <w:t xml:space="preserve"> with a low level of detail</w:t>
      </w:r>
      <w:r w:rsidR="0064269B" w:rsidRPr="35298142">
        <w:t>,</w:t>
      </w:r>
      <w:r w:rsidRPr="35298142">
        <w:t xml:space="preserve"> </w:t>
      </w:r>
      <w:r w:rsidR="0064269B" w:rsidRPr="35298142">
        <w:t>were</w:t>
      </w:r>
      <w:r w:rsidRPr="35298142">
        <w:t xml:space="preserve"> uncertain</w:t>
      </w:r>
      <w:r w:rsidR="005025B7" w:rsidRPr="35298142">
        <w:t>. Other than linear extrapolations, alternative extrapolation distributions were not provided</w:t>
      </w:r>
      <w:r w:rsidR="00743148" w:rsidRPr="35298142">
        <w:t xml:space="preserve"> or tested</w:t>
      </w:r>
      <w:r w:rsidR="005025B7" w:rsidRPr="35298142">
        <w:t xml:space="preserve"> in the </w:t>
      </w:r>
      <w:r w:rsidR="00743148" w:rsidRPr="35298142">
        <w:t>submission</w:t>
      </w:r>
      <w:r w:rsidR="005025B7" w:rsidRPr="35298142">
        <w:t xml:space="preserve">. The effect of the adopted extrapolation approach in the BSC arm of the model </w:t>
      </w:r>
      <w:r w:rsidR="00EB6E94">
        <w:t>was</w:t>
      </w:r>
      <w:r w:rsidR="00EB6E94" w:rsidRPr="35298142">
        <w:t xml:space="preserve"> </w:t>
      </w:r>
      <w:r w:rsidR="005025B7" w:rsidRPr="35298142">
        <w:t xml:space="preserve">unclear as the treatment effect of </w:t>
      </w:r>
      <w:proofErr w:type="spellStart"/>
      <w:r w:rsidR="005025B7" w:rsidRPr="35298142">
        <w:t>omaveloxolone</w:t>
      </w:r>
      <w:proofErr w:type="spellEnd"/>
      <w:r w:rsidR="005025B7" w:rsidRPr="35298142">
        <w:t xml:space="preserve"> (discussed below) is applied to this extrapolated curve. Hence, any changes to the extrapolation of progression rates in the BSC arm would also change the extrapolation of progression rates in the </w:t>
      </w:r>
      <w:proofErr w:type="spellStart"/>
      <w:r w:rsidR="005025B7" w:rsidRPr="35298142">
        <w:t>omaveloxolone</w:t>
      </w:r>
      <w:proofErr w:type="spellEnd"/>
      <w:r w:rsidR="005025B7" w:rsidRPr="35298142">
        <w:t xml:space="preserve"> arm.</w:t>
      </w:r>
    </w:p>
    <w:p w14:paraId="074B5976" w14:textId="049DF9DB" w:rsidR="0088563F" w:rsidRPr="00C41ECA" w:rsidRDefault="005025B7" w:rsidP="00B62C7B">
      <w:pPr>
        <w:pStyle w:val="3-BodyText"/>
      </w:pPr>
      <w:r w:rsidRPr="00C41ECA">
        <w:t xml:space="preserve">The treatment effect of </w:t>
      </w:r>
      <w:proofErr w:type="spellStart"/>
      <w:r w:rsidRPr="00C41ECA">
        <w:t>omaveloxolone</w:t>
      </w:r>
      <w:proofErr w:type="spellEnd"/>
      <w:r w:rsidRPr="00C41ECA">
        <w:t xml:space="preserve"> was applied as a rate ratio calculated based on the relative change in </w:t>
      </w:r>
      <w:proofErr w:type="spellStart"/>
      <w:r w:rsidRPr="00C41ECA">
        <w:t>mFARS</w:t>
      </w:r>
      <w:proofErr w:type="spellEnd"/>
      <w:r w:rsidRPr="00C41ECA">
        <w:t xml:space="preserve"> scores in both arms of the propensity matched comparison of </w:t>
      </w:r>
      <w:proofErr w:type="spellStart"/>
      <w:r w:rsidR="00B62C7B" w:rsidRPr="00C41ECA">
        <w:t>omaveloxolone</w:t>
      </w:r>
      <w:proofErr w:type="spellEnd"/>
      <w:r w:rsidRPr="00C41ECA">
        <w:t xml:space="preserve"> patients in the </w:t>
      </w:r>
      <w:proofErr w:type="spellStart"/>
      <w:r w:rsidRPr="00C41ECA">
        <w:t>MOXIe</w:t>
      </w:r>
      <w:proofErr w:type="spellEnd"/>
      <w:r w:rsidRPr="00C41ECA">
        <w:t xml:space="preserve"> extension study to matched patients enrolled in the </w:t>
      </w:r>
      <w:r w:rsidR="00993B41" w:rsidRPr="00C41ECA">
        <w:rPr>
          <w:lang w:val="en-US"/>
        </w:rPr>
        <w:t>FACOMS</w:t>
      </w:r>
      <w:r w:rsidRPr="00C41ECA">
        <w:rPr>
          <w:lang w:val="en-US"/>
        </w:rPr>
        <w:t>. The rate ratio (0.45) was applied to the</w:t>
      </w:r>
      <w:r w:rsidR="0088563F" w:rsidRPr="00C41ECA">
        <w:rPr>
          <w:lang w:val="en-US"/>
        </w:rPr>
        <w:t xml:space="preserve"> yearly change in </w:t>
      </w:r>
      <w:proofErr w:type="spellStart"/>
      <w:r w:rsidR="0088563F" w:rsidRPr="00C41ECA">
        <w:rPr>
          <w:lang w:val="en-US"/>
        </w:rPr>
        <w:t>mFARS</w:t>
      </w:r>
      <w:proofErr w:type="spellEnd"/>
      <w:r w:rsidR="0088563F" w:rsidRPr="00C41ECA">
        <w:rPr>
          <w:lang w:val="en-US"/>
        </w:rPr>
        <w:t xml:space="preserve"> score in the BSC arm to derive the yearly change in </w:t>
      </w:r>
      <w:proofErr w:type="spellStart"/>
      <w:r w:rsidR="0088563F" w:rsidRPr="00C41ECA">
        <w:rPr>
          <w:lang w:val="en-US"/>
        </w:rPr>
        <w:t>mFARS</w:t>
      </w:r>
      <w:proofErr w:type="spellEnd"/>
      <w:r w:rsidR="0088563F" w:rsidRPr="00C41ECA">
        <w:rPr>
          <w:lang w:val="en-US"/>
        </w:rPr>
        <w:t xml:space="preserve"> score in the </w:t>
      </w:r>
      <w:proofErr w:type="spellStart"/>
      <w:r w:rsidR="0088563F" w:rsidRPr="00C41ECA">
        <w:rPr>
          <w:lang w:val="en-US"/>
        </w:rPr>
        <w:t>omaveloxolone</w:t>
      </w:r>
      <w:proofErr w:type="spellEnd"/>
      <w:r w:rsidR="0088563F" w:rsidRPr="00C41ECA">
        <w:rPr>
          <w:lang w:val="en-US"/>
        </w:rPr>
        <w:t xml:space="preserve"> arm. </w:t>
      </w:r>
      <w:r w:rsidRPr="00C41ECA">
        <w:rPr>
          <w:lang w:val="en-US"/>
        </w:rPr>
        <w:t xml:space="preserve"> </w:t>
      </w:r>
      <w:r w:rsidR="00B62C7B" w:rsidRPr="00C41ECA">
        <w:rPr>
          <w:lang w:val="en-US"/>
        </w:rPr>
        <w:t>The</w:t>
      </w:r>
      <w:r w:rsidR="00B928B1">
        <w:rPr>
          <w:lang w:val="en-US"/>
        </w:rPr>
        <w:t xml:space="preserve"> </w:t>
      </w:r>
      <w:r w:rsidR="00B62C7B" w:rsidRPr="00C41ECA">
        <w:rPr>
          <w:lang w:val="en-US"/>
        </w:rPr>
        <w:t xml:space="preserve">propensity matched analysis </w:t>
      </w:r>
      <w:r w:rsidR="00B928B1">
        <w:rPr>
          <w:lang w:val="en-US"/>
        </w:rPr>
        <w:t xml:space="preserve">was uncertain due to concerns </w:t>
      </w:r>
      <w:r w:rsidR="00B62C7B" w:rsidRPr="00C41ECA">
        <w:rPr>
          <w:lang w:val="en-US"/>
        </w:rPr>
        <w:t xml:space="preserve">relating to confounding, selection biases and missing </w:t>
      </w:r>
      <w:proofErr w:type="spellStart"/>
      <w:r w:rsidR="006C0BCE" w:rsidRPr="00C41ECA">
        <w:rPr>
          <w:lang w:val="en-US"/>
        </w:rPr>
        <w:t>mFARS</w:t>
      </w:r>
      <w:proofErr w:type="spellEnd"/>
      <w:r w:rsidR="006C0BCE" w:rsidRPr="00C41ECA">
        <w:rPr>
          <w:lang w:val="en-US"/>
        </w:rPr>
        <w:t xml:space="preserve"> data</w:t>
      </w:r>
      <w:r w:rsidR="00B62C7B" w:rsidRPr="00C41ECA">
        <w:rPr>
          <w:lang w:val="en-US"/>
        </w:rPr>
        <w:t xml:space="preserve"> (this was discussed in paragraph </w:t>
      </w:r>
      <w:r w:rsidR="00B62C7B" w:rsidRPr="00C41ECA">
        <w:rPr>
          <w:lang w:val="en-US"/>
        </w:rPr>
        <w:fldChar w:fldCharType="begin"/>
      </w:r>
      <w:r w:rsidR="00B62C7B" w:rsidRPr="00C41ECA">
        <w:rPr>
          <w:lang w:val="en-US"/>
        </w:rPr>
        <w:instrText xml:space="preserve"> REF _Ref187663183 \r \h </w:instrText>
      </w:r>
      <w:r w:rsidR="00C41ECA" w:rsidRPr="00C41ECA">
        <w:rPr>
          <w:lang w:val="en-US"/>
        </w:rPr>
        <w:instrText xml:space="preserve"> \* MERGEFORMAT </w:instrText>
      </w:r>
      <w:r w:rsidR="00B62C7B" w:rsidRPr="00C41ECA">
        <w:rPr>
          <w:lang w:val="en-US"/>
        </w:rPr>
      </w:r>
      <w:r w:rsidR="00B62C7B" w:rsidRPr="00C41ECA">
        <w:rPr>
          <w:lang w:val="en-US"/>
        </w:rPr>
        <w:fldChar w:fldCharType="separate"/>
      </w:r>
      <w:r w:rsidR="003A4643">
        <w:rPr>
          <w:lang w:val="en-US"/>
        </w:rPr>
        <w:t>6.46</w:t>
      </w:r>
      <w:r w:rsidR="00B62C7B" w:rsidRPr="00C41ECA">
        <w:rPr>
          <w:lang w:val="en-US"/>
        </w:rPr>
        <w:fldChar w:fldCharType="end"/>
      </w:r>
      <w:r w:rsidR="00B62C7B" w:rsidRPr="00C41ECA">
        <w:rPr>
          <w:lang w:val="en-US"/>
        </w:rPr>
        <w:t xml:space="preserve">). </w:t>
      </w:r>
    </w:p>
    <w:p w14:paraId="0DEE30CF" w14:textId="76EE66B3" w:rsidR="003D3102" w:rsidRPr="00C41ECA" w:rsidRDefault="0088563F" w:rsidP="003D3102">
      <w:pPr>
        <w:pStyle w:val="3-BodyText"/>
      </w:pPr>
      <w:r w:rsidRPr="00C41ECA">
        <w:rPr>
          <w:lang w:val="en-US"/>
        </w:rPr>
        <w:t xml:space="preserve">In the base case analysis, the submission applied this </w:t>
      </w:r>
      <w:r w:rsidR="0029371F">
        <w:rPr>
          <w:lang w:val="en-US"/>
        </w:rPr>
        <w:t xml:space="preserve">rate ratio </w:t>
      </w:r>
      <w:r w:rsidRPr="00C41ECA">
        <w:rPr>
          <w:lang w:val="en-US"/>
        </w:rPr>
        <w:t xml:space="preserve">treatment effect to all patients in the </w:t>
      </w:r>
      <w:proofErr w:type="spellStart"/>
      <w:r w:rsidRPr="00C41ECA">
        <w:rPr>
          <w:lang w:val="en-US"/>
        </w:rPr>
        <w:t>omaveloxolone</w:t>
      </w:r>
      <w:proofErr w:type="spellEnd"/>
      <w:r w:rsidRPr="00C41ECA">
        <w:rPr>
          <w:lang w:val="en-US"/>
        </w:rPr>
        <w:t xml:space="preserve"> arm while they remained on treatment, without any waning. Once </w:t>
      </w:r>
      <w:r w:rsidR="00123D6B">
        <w:rPr>
          <w:lang w:val="en-US"/>
        </w:rPr>
        <w:t xml:space="preserve">a </w:t>
      </w:r>
      <w:r w:rsidRPr="00C41ECA">
        <w:rPr>
          <w:lang w:val="en-US"/>
        </w:rPr>
        <w:t>patient cease</w:t>
      </w:r>
      <w:r w:rsidR="00123D6B">
        <w:rPr>
          <w:lang w:val="en-US"/>
        </w:rPr>
        <w:t>d</w:t>
      </w:r>
      <w:r w:rsidRPr="00C41ECA">
        <w:rPr>
          <w:lang w:val="en-US"/>
        </w:rPr>
        <w:t xml:space="preserve"> treatment (as per a time to treatment discontinuation curve derived from the </w:t>
      </w:r>
      <w:proofErr w:type="spellStart"/>
      <w:r w:rsidRPr="00C41ECA">
        <w:rPr>
          <w:lang w:val="en-US"/>
        </w:rPr>
        <w:t>MOXIe</w:t>
      </w:r>
      <w:proofErr w:type="spellEnd"/>
      <w:r w:rsidRPr="00C41ECA">
        <w:rPr>
          <w:lang w:val="en-US"/>
        </w:rPr>
        <w:t xml:space="preserve"> part 2 and extension trials), they los</w:t>
      </w:r>
      <w:r w:rsidR="00123D6B">
        <w:rPr>
          <w:lang w:val="en-US"/>
        </w:rPr>
        <w:t>t</w:t>
      </w:r>
      <w:r w:rsidRPr="00C41ECA">
        <w:rPr>
          <w:lang w:val="en-US"/>
        </w:rPr>
        <w:t xml:space="preserve"> all treatment </w:t>
      </w:r>
      <w:proofErr w:type="gramStart"/>
      <w:r w:rsidRPr="00C41ECA">
        <w:rPr>
          <w:lang w:val="en-US"/>
        </w:rPr>
        <w:t>effect</w:t>
      </w:r>
      <w:proofErr w:type="gramEnd"/>
      <w:r w:rsidRPr="00C41ECA">
        <w:rPr>
          <w:lang w:val="en-US"/>
        </w:rPr>
        <w:t xml:space="preserve">. The assumption </w:t>
      </w:r>
      <w:r w:rsidR="00D14296" w:rsidRPr="00C41ECA">
        <w:rPr>
          <w:lang w:val="en-US"/>
        </w:rPr>
        <w:t xml:space="preserve">that the full treatment effect </w:t>
      </w:r>
      <w:r w:rsidR="00123D6B">
        <w:rPr>
          <w:lang w:val="en-US"/>
        </w:rPr>
        <w:t>was</w:t>
      </w:r>
      <w:r w:rsidR="00123D6B" w:rsidRPr="00C41ECA">
        <w:rPr>
          <w:lang w:val="en-US"/>
        </w:rPr>
        <w:t xml:space="preserve"> </w:t>
      </w:r>
      <w:r w:rsidR="00D14296" w:rsidRPr="00C41ECA">
        <w:rPr>
          <w:lang w:val="en-US"/>
        </w:rPr>
        <w:t>maintained indefinitely</w:t>
      </w:r>
      <w:r w:rsidRPr="00C41ECA">
        <w:rPr>
          <w:lang w:val="en-US"/>
        </w:rPr>
        <w:t xml:space="preserve"> whil</w:t>
      </w:r>
      <w:r w:rsidR="00123D6B">
        <w:rPr>
          <w:lang w:val="en-US"/>
        </w:rPr>
        <w:t>st</w:t>
      </w:r>
      <w:r w:rsidRPr="00C41ECA">
        <w:rPr>
          <w:lang w:val="en-US"/>
        </w:rPr>
        <w:t xml:space="preserve"> patients </w:t>
      </w:r>
      <w:r w:rsidR="00D14296" w:rsidRPr="00C41ECA">
        <w:rPr>
          <w:lang w:val="en-US"/>
        </w:rPr>
        <w:t>remain</w:t>
      </w:r>
      <w:r w:rsidRPr="00C41ECA">
        <w:rPr>
          <w:lang w:val="en-US"/>
        </w:rPr>
        <w:t xml:space="preserve"> on treatment </w:t>
      </w:r>
      <w:r w:rsidR="00D14296" w:rsidRPr="00C41ECA">
        <w:rPr>
          <w:lang w:val="en-US"/>
        </w:rPr>
        <w:t xml:space="preserve">(i.e. that there is no development of treatment resistance) </w:t>
      </w:r>
      <w:r w:rsidR="001F5B36">
        <w:rPr>
          <w:lang w:val="en-US"/>
        </w:rPr>
        <w:t>was</w:t>
      </w:r>
      <w:r w:rsidR="001F5B36" w:rsidRPr="00C41ECA">
        <w:rPr>
          <w:lang w:val="en-US"/>
        </w:rPr>
        <w:t xml:space="preserve"> </w:t>
      </w:r>
      <w:r w:rsidRPr="00C41ECA">
        <w:rPr>
          <w:lang w:val="en-US"/>
        </w:rPr>
        <w:t>uncertain and not adequately justified in the submission</w:t>
      </w:r>
      <w:r w:rsidR="00616273" w:rsidRPr="00C41ECA">
        <w:rPr>
          <w:lang w:val="en-US"/>
        </w:rPr>
        <w:t>,</w:t>
      </w:r>
      <w:r w:rsidRPr="00C41ECA">
        <w:rPr>
          <w:lang w:val="en-US"/>
        </w:rPr>
        <w:t xml:space="preserve"> with no effectiveness data provided beyond the four years of the extension study. </w:t>
      </w:r>
      <w:r w:rsidRPr="00424A49">
        <w:rPr>
          <w:lang w:val="en-US"/>
        </w:rPr>
        <w:t xml:space="preserve">Given patients are on treatment for a mean duration of 16 years in the model, </w:t>
      </w:r>
      <w:r w:rsidR="001F5B36" w:rsidRPr="00424A49">
        <w:rPr>
          <w:lang w:val="en-US"/>
        </w:rPr>
        <w:t xml:space="preserve">the ESC considered that </w:t>
      </w:r>
      <w:r w:rsidRPr="00424A49">
        <w:rPr>
          <w:lang w:val="en-US"/>
        </w:rPr>
        <w:t xml:space="preserve">some </w:t>
      </w:r>
      <w:proofErr w:type="gramStart"/>
      <w:r w:rsidRPr="00424A49">
        <w:rPr>
          <w:lang w:val="en-US"/>
        </w:rPr>
        <w:t>waning</w:t>
      </w:r>
      <w:proofErr w:type="gramEnd"/>
      <w:r w:rsidRPr="00424A49">
        <w:rPr>
          <w:lang w:val="en-US"/>
        </w:rPr>
        <w:t xml:space="preserve"> may be expected. </w:t>
      </w:r>
      <w:r w:rsidR="0063343E" w:rsidRPr="00424A49">
        <w:rPr>
          <w:lang w:val="en-US"/>
        </w:rPr>
        <w:t>Linearly decreasing the treatment</w:t>
      </w:r>
      <w:r w:rsidR="0063343E" w:rsidRPr="00C41ECA">
        <w:rPr>
          <w:lang w:val="en-US"/>
        </w:rPr>
        <w:t xml:space="preserve"> effect from Year 4 to 1</w:t>
      </w:r>
      <w:r w:rsidR="00D71CD9">
        <w:rPr>
          <w:lang w:val="en-US"/>
        </w:rPr>
        <w:t>8</w:t>
      </w:r>
      <w:r w:rsidR="0063343E" w:rsidRPr="00C41ECA">
        <w:rPr>
          <w:lang w:val="en-US"/>
        </w:rPr>
        <w:t xml:space="preserve"> increased the ICER by </w:t>
      </w:r>
      <w:r w:rsidR="00593178" w:rsidRPr="00E73E12">
        <w:rPr>
          <w:color w:val="000000"/>
          <w:w w:val="15"/>
          <w:shd w:val="solid" w:color="000000" w:fill="000000"/>
          <w:fitText w:val="-20" w:id="-679229952"/>
          <w:lang w:val="en-US"/>
          <w14:textFill>
            <w14:solidFill>
              <w14:srgbClr w14:val="000000">
                <w14:alpha w14:val="100000"/>
              </w14:srgbClr>
            </w14:solidFill>
          </w14:textFill>
        </w:rPr>
        <w:t xml:space="preserve">|  </w:t>
      </w:r>
      <w:r w:rsidR="00593178" w:rsidRPr="00E73E12">
        <w:rPr>
          <w:color w:val="000000"/>
          <w:spacing w:val="-69"/>
          <w:w w:val="15"/>
          <w:shd w:val="solid" w:color="000000" w:fill="000000"/>
          <w:fitText w:val="-20" w:id="-679229952"/>
          <w:lang w:val="en-US"/>
          <w14:textFill>
            <w14:solidFill>
              <w14:srgbClr w14:val="000000">
                <w14:alpha w14:val="100000"/>
              </w14:srgbClr>
            </w14:solidFill>
          </w14:textFill>
        </w:rPr>
        <w:t>|</w:t>
      </w:r>
      <w:r w:rsidR="0063343E" w:rsidRPr="00C41ECA">
        <w:rPr>
          <w:lang w:val="en-US"/>
        </w:rPr>
        <w:t>% (</w:t>
      </w:r>
      <w:r w:rsidR="00274C66" w:rsidRPr="00C41ECA">
        <w:rPr>
          <w:lang w:val="en-US"/>
        </w:rPr>
        <w:t xml:space="preserve">the incremental </w:t>
      </w:r>
      <w:r w:rsidR="0063343E" w:rsidRPr="00C41ECA">
        <w:rPr>
          <w:lang w:val="en-US"/>
        </w:rPr>
        <w:t xml:space="preserve">quality-adjusted life year </w:t>
      </w:r>
      <w:r w:rsidR="009209E1" w:rsidRPr="00C41ECA">
        <w:rPr>
          <w:lang w:val="en-US"/>
        </w:rPr>
        <w:t xml:space="preserve">(QALY) </w:t>
      </w:r>
      <w:r w:rsidR="0063343E" w:rsidRPr="00C41ECA">
        <w:rPr>
          <w:lang w:val="en-US"/>
        </w:rPr>
        <w:t>gained</w:t>
      </w:r>
      <w:r w:rsidR="00274C66" w:rsidRPr="00C41ECA">
        <w:rPr>
          <w:lang w:val="en-US"/>
        </w:rPr>
        <w:t xml:space="preserve"> decreased from 1.16 to 0.81</w:t>
      </w:r>
      <w:r w:rsidR="0063343E" w:rsidRPr="00C41ECA">
        <w:rPr>
          <w:lang w:val="en-US"/>
        </w:rPr>
        <w:t xml:space="preserve">). </w:t>
      </w:r>
      <w:r w:rsidR="001D258F">
        <w:rPr>
          <w:lang w:val="en-US"/>
        </w:rPr>
        <w:t xml:space="preserve">The </w:t>
      </w:r>
      <w:r w:rsidR="00535B7A">
        <w:rPr>
          <w:lang w:val="en-US"/>
        </w:rPr>
        <w:t>p</w:t>
      </w:r>
      <w:r w:rsidR="001D258F">
        <w:rPr>
          <w:lang w:val="en-US"/>
        </w:rPr>
        <w:t xml:space="preserve">re-PBAC </w:t>
      </w:r>
      <w:r w:rsidR="00535B7A">
        <w:rPr>
          <w:lang w:val="en-US"/>
        </w:rPr>
        <w:t>r</w:t>
      </w:r>
      <w:r w:rsidR="001D258F">
        <w:rPr>
          <w:lang w:val="en-US"/>
        </w:rPr>
        <w:t xml:space="preserve">esponse stated </w:t>
      </w:r>
      <w:r w:rsidR="001D258F" w:rsidRPr="001D258F">
        <w:rPr>
          <w:lang w:val="en-US"/>
        </w:rPr>
        <w:t xml:space="preserve">the </w:t>
      </w:r>
      <w:r w:rsidR="00535B7A">
        <w:rPr>
          <w:lang w:val="en-US"/>
        </w:rPr>
        <w:t>i</w:t>
      </w:r>
      <w:r w:rsidR="001D258F" w:rsidRPr="001D258F">
        <w:rPr>
          <w:lang w:val="en-US"/>
        </w:rPr>
        <w:t xml:space="preserve">f there </w:t>
      </w:r>
      <w:r w:rsidR="00535B7A">
        <w:rPr>
          <w:lang w:val="en-US"/>
        </w:rPr>
        <w:t>was</w:t>
      </w:r>
      <w:r w:rsidR="001D258F" w:rsidRPr="001D258F">
        <w:rPr>
          <w:lang w:val="en-US"/>
        </w:rPr>
        <w:t xml:space="preserve"> a waning of treatment effect, then those patients no longer </w:t>
      </w:r>
      <w:proofErr w:type="gramStart"/>
      <w:r w:rsidR="001D258F" w:rsidRPr="001D258F">
        <w:rPr>
          <w:lang w:val="en-US"/>
        </w:rPr>
        <w:t>benefit</w:t>
      </w:r>
      <w:r w:rsidR="001D258F" w:rsidRPr="001D258F" w:rsidDel="00CE5B54">
        <w:rPr>
          <w:lang w:val="en-US"/>
        </w:rPr>
        <w:t>t</w:t>
      </w:r>
      <w:r w:rsidR="001D258F" w:rsidRPr="001D258F">
        <w:rPr>
          <w:lang w:val="en-US"/>
        </w:rPr>
        <w:t>ing</w:t>
      </w:r>
      <w:proofErr w:type="gramEnd"/>
      <w:r w:rsidR="001D258F" w:rsidRPr="001D258F">
        <w:rPr>
          <w:lang w:val="en-US"/>
        </w:rPr>
        <w:t xml:space="preserve"> from treatment would be likely to discontinue treatment.</w:t>
      </w:r>
      <w:r w:rsidR="001250F1">
        <w:rPr>
          <w:lang w:val="en-US"/>
        </w:rPr>
        <w:t xml:space="preserve"> It was noted that this was not captured in the </w:t>
      </w:r>
      <w:r w:rsidR="00956949">
        <w:rPr>
          <w:lang w:val="en-US"/>
        </w:rPr>
        <w:t>economic model.</w:t>
      </w:r>
    </w:p>
    <w:p w14:paraId="5BC75FEB" w14:textId="2249895F" w:rsidR="003D3102" w:rsidRPr="00C41ECA" w:rsidRDefault="003D3102" w:rsidP="003D3102">
      <w:pPr>
        <w:pStyle w:val="Caption"/>
      </w:pPr>
      <w:bookmarkStart w:id="48" w:name="_Ref185344165"/>
      <w:r w:rsidRPr="35298142">
        <w:t xml:space="preserve">Figure </w:t>
      </w:r>
      <w:r w:rsidRPr="35298142">
        <w:fldChar w:fldCharType="begin"/>
      </w:r>
      <w:r>
        <w:instrText xml:space="preserve"> SEQ Figure \* ARABIC </w:instrText>
      </w:r>
      <w:r w:rsidRPr="35298142">
        <w:fldChar w:fldCharType="separate"/>
      </w:r>
      <w:r w:rsidR="003A4643">
        <w:rPr>
          <w:noProof/>
        </w:rPr>
        <w:t>5</w:t>
      </w:r>
      <w:r w:rsidRPr="35298142">
        <w:rPr>
          <w:noProof/>
        </w:rPr>
        <w:fldChar w:fldCharType="end"/>
      </w:r>
      <w:bookmarkEnd w:id="48"/>
      <w:r w:rsidRPr="35298142">
        <w:t xml:space="preserve">: Comparison of modelled </w:t>
      </w:r>
      <w:proofErr w:type="spellStart"/>
      <w:r w:rsidRPr="35298142">
        <w:t>mFARS</w:t>
      </w:r>
      <w:proofErr w:type="spellEnd"/>
      <w:r w:rsidRPr="35298142">
        <w:t xml:space="preserve"> progression for </w:t>
      </w:r>
      <w:proofErr w:type="spellStart"/>
      <w:r w:rsidRPr="35298142">
        <w:t>omaveloxolone</w:t>
      </w:r>
      <w:proofErr w:type="spellEnd"/>
      <w:r w:rsidRPr="35298142">
        <w:t xml:space="preserve"> and BSC arm patients</w:t>
      </w:r>
    </w:p>
    <w:p w14:paraId="07514419" w14:textId="5BE1EFB8" w:rsidR="0088563F" w:rsidRPr="00C41ECA" w:rsidRDefault="003D3102" w:rsidP="003D3102">
      <w:r w:rsidRPr="00C41ECA">
        <w:rPr>
          <w:noProof/>
        </w:rPr>
        <w:drawing>
          <wp:inline distT="0" distB="0" distL="0" distR="0" wp14:anchorId="32A72789" wp14:editId="5365E266">
            <wp:extent cx="5846977" cy="3586038"/>
            <wp:effectExtent l="0" t="0" r="1905" b="0"/>
            <wp:docPr id="669828983" name="Picture 5" descr="Figure 5: Comparison of modelled mFARS progression for omaveloxolone and BSC arm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28983" name="Picture 5" descr="Figure 5: Comparison of modelled mFARS progression for omaveloxolone and BSC arm patien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9592" cy="3599908"/>
                    </a:xfrm>
                    <a:prstGeom prst="rect">
                      <a:avLst/>
                    </a:prstGeom>
                    <a:noFill/>
                  </pic:spPr>
                </pic:pic>
              </a:graphicData>
            </a:graphic>
          </wp:inline>
        </w:drawing>
      </w:r>
    </w:p>
    <w:p w14:paraId="1B3E3711" w14:textId="77777777" w:rsidR="003D3102" w:rsidRPr="00C41ECA" w:rsidRDefault="003D3102" w:rsidP="003D3102">
      <w:pPr>
        <w:pStyle w:val="TableFigureFooter"/>
      </w:pPr>
      <w:r w:rsidRPr="00C41ECA">
        <w:t>Source: Constructed during the evaluation from the “Attachment 10 - Cost utility analysis (CUA) workbook (Section 3)” attachment provided with the submission.</w:t>
      </w:r>
    </w:p>
    <w:p w14:paraId="3C70805A" w14:textId="34CBBFB7" w:rsidR="003D3102" w:rsidRPr="00C41ECA" w:rsidRDefault="003D3102" w:rsidP="001404E6">
      <w:pPr>
        <w:pStyle w:val="TableFigureFooter"/>
      </w:pPr>
      <w:r w:rsidRPr="00C41ECA">
        <w:t xml:space="preserve">BSC=best supportive care; </w:t>
      </w:r>
      <w:r w:rsidR="008C3115" w:rsidRPr="00C41ECA">
        <w:t xml:space="preserve">FACOMS= Friedreich's Ataxia Clinical Outcome Measures Study; </w:t>
      </w:r>
      <w:r w:rsidRPr="00C41ECA">
        <w:t>FARS=modified Friedreich’s Ataxia rating scale</w:t>
      </w:r>
      <w:r w:rsidR="008C3115" w:rsidRPr="00C41ECA">
        <w:t>; IPD=individual patient data.</w:t>
      </w:r>
    </w:p>
    <w:p w14:paraId="6F2432BB" w14:textId="175D7180" w:rsidR="004F5D00" w:rsidRPr="00C41ECA" w:rsidRDefault="00B902E7" w:rsidP="001404E6">
      <w:pPr>
        <w:pStyle w:val="TableFigureFooter"/>
      </w:pPr>
      <w:r w:rsidRPr="35298142">
        <w:t xml:space="preserve">Note: The economic model was based on an upper bound </w:t>
      </w:r>
      <w:proofErr w:type="spellStart"/>
      <w:r w:rsidRPr="35298142">
        <w:t>mFARS</w:t>
      </w:r>
      <w:proofErr w:type="spellEnd"/>
      <w:r w:rsidRPr="35298142">
        <w:t xml:space="preserve"> score of 93 rather than an upper bound of 99 as implemented in the </w:t>
      </w:r>
      <w:proofErr w:type="spellStart"/>
      <w:r w:rsidRPr="35298142">
        <w:t>MOXIe</w:t>
      </w:r>
      <w:proofErr w:type="spellEnd"/>
      <w:r w:rsidRPr="35298142">
        <w:t xml:space="preserve"> trial program (part 2 and extension), however there were no apparent meaningful differences in the results between the two versions of </w:t>
      </w:r>
      <w:proofErr w:type="spellStart"/>
      <w:r w:rsidRPr="35298142">
        <w:t>mFARS</w:t>
      </w:r>
      <w:proofErr w:type="spellEnd"/>
      <w:r w:rsidRPr="35298142">
        <w:t xml:space="preserve"> in the FACOMS IPD dataset.</w:t>
      </w:r>
    </w:p>
    <w:p w14:paraId="6E31119B" w14:textId="5632E7DA" w:rsidR="00D14296" w:rsidRPr="00C41ECA" w:rsidRDefault="008C17D0" w:rsidP="002E4C6D">
      <w:pPr>
        <w:pStyle w:val="3-BodyText"/>
      </w:pPr>
      <w:r w:rsidRPr="35298142">
        <w:t xml:space="preserve">Mortality risk was determined by </w:t>
      </w:r>
      <w:proofErr w:type="spellStart"/>
      <w:r w:rsidRPr="35298142">
        <w:t>mFARS</w:t>
      </w:r>
      <w:proofErr w:type="spellEnd"/>
      <w:r w:rsidRPr="35298142">
        <w:t xml:space="preserve"> score, not adjusted directly by treatment. As </w:t>
      </w:r>
      <w:proofErr w:type="spellStart"/>
      <w:r w:rsidRPr="35298142">
        <w:t>omaveloxolone</w:t>
      </w:r>
      <w:proofErr w:type="spellEnd"/>
      <w:r w:rsidRPr="35298142">
        <w:t xml:space="preserve"> slows the progression of </w:t>
      </w:r>
      <w:proofErr w:type="spellStart"/>
      <w:r w:rsidRPr="35298142">
        <w:t>mFARS</w:t>
      </w:r>
      <w:proofErr w:type="spellEnd"/>
      <w:r w:rsidRPr="35298142">
        <w:t xml:space="preserve">, an indirect effect on overall survival (OS) associated with </w:t>
      </w:r>
      <w:proofErr w:type="spellStart"/>
      <w:r w:rsidRPr="35298142">
        <w:t>omaveloxolone</w:t>
      </w:r>
      <w:proofErr w:type="spellEnd"/>
      <w:r w:rsidRPr="35298142">
        <w:t xml:space="preserve"> is implicit. Modelling OS by </w:t>
      </w:r>
      <w:proofErr w:type="spellStart"/>
      <w:r w:rsidRPr="35298142">
        <w:t>mFARS</w:t>
      </w:r>
      <w:proofErr w:type="spellEnd"/>
      <w:r w:rsidRPr="35298142">
        <w:t xml:space="preserve"> score involved several steps. Firstly, OS </w:t>
      </w:r>
      <w:r w:rsidR="005672E5" w:rsidRPr="35298142">
        <w:t xml:space="preserve">Kaplan Meier </w:t>
      </w:r>
      <w:r w:rsidRPr="35298142">
        <w:t>data from Indelicato et al. (patients enrolled in the European Friedreich's Ataxia Consortium for Translational Studies (EFACTS) registry</w:t>
      </w:r>
      <w:r w:rsidR="00102754">
        <w:t>)</w:t>
      </w:r>
      <w:r w:rsidRPr="35298142">
        <w:t xml:space="preserve"> was extrapolated</w:t>
      </w:r>
      <w:r w:rsidR="001404E6" w:rsidRPr="35298142">
        <w:t>.</w:t>
      </w:r>
      <w:bookmarkStart w:id="49" w:name="_Ref185333546"/>
      <w:r w:rsidR="009209E1" w:rsidRPr="35298142">
        <w:rPr>
          <w:rStyle w:val="FootnoteReference"/>
        </w:rPr>
        <w:footnoteReference w:id="10"/>
      </w:r>
      <w:bookmarkEnd w:id="49"/>
      <w:r w:rsidR="00743148" w:rsidRPr="35298142">
        <w:t xml:space="preserve"> </w:t>
      </w:r>
      <w:r w:rsidR="00E249E2" w:rsidRPr="00670DFA">
        <w:t xml:space="preserve">The ESC agreed with the evaluation that the </w:t>
      </w:r>
      <w:r w:rsidR="00E249E2" w:rsidRPr="35298142">
        <w:t>e</w:t>
      </w:r>
      <w:r w:rsidRPr="35298142">
        <w:t>xtrapolation of this immature OS data (where 87% of patients remained alive at the end of the 11</w:t>
      </w:r>
      <w:r w:rsidR="00C7092D">
        <w:t>-</w:t>
      </w:r>
      <w:r w:rsidRPr="35298142">
        <w:t>year observation period), introduced substantial uncertainty into the economic model. Additionally, Indelicato et al. enrolled prevalent patients and therefore the findings may be biased by inclusion of a survivor cohort (those who have survived since their FA diagnosis until the time the study observation period started); which would overestimate FA mortality for incident patients, i.e. the modelled population.</w:t>
      </w:r>
    </w:p>
    <w:p w14:paraId="77EFD0EF" w14:textId="74BB5952" w:rsidR="008C17D0" w:rsidRPr="00C41ECA" w:rsidRDefault="008C17D0" w:rsidP="002E4C6D">
      <w:pPr>
        <w:pStyle w:val="3-BodyText"/>
      </w:pPr>
      <w:r w:rsidRPr="00424A49">
        <w:t>The</w:t>
      </w:r>
      <w:r w:rsidR="00B30B32" w:rsidRPr="00424A49">
        <w:t xml:space="preserve"> ESC also noted the</w:t>
      </w:r>
      <w:r w:rsidRPr="00424A49">
        <w:t xml:space="preserve"> majority of the extrapolated OS curves were implausible, with better survival hazards</w:t>
      </w:r>
      <w:r w:rsidRPr="35298142">
        <w:t xml:space="preserve"> at older ages than occur in the general population. </w:t>
      </w:r>
      <w:r w:rsidR="005641EE">
        <w:t>This meant that although</w:t>
      </w:r>
      <w:r w:rsidRPr="35298142">
        <w:t xml:space="preserve"> the remaining transformation steps were reasonable, because they were applied to an implausible survival extrapolation, the generated curves required further adjustment. The submission claimed incorporation of background mortality</w:t>
      </w:r>
      <w:r w:rsidR="00B02854">
        <w:t>,</w:t>
      </w:r>
      <w:r w:rsidRPr="35298142">
        <w:t xml:space="preserve"> </w:t>
      </w:r>
      <w:r w:rsidR="00C14147">
        <w:t xml:space="preserve">via </w:t>
      </w:r>
      <w:r w:rsidR="00B02854">
        <w:t xml:space="preserve">the application of a competing risks approach, </w:t>
      </w:r>
      <w:r w:rsidRPr="35298142">
        <w:t xml:space="preserve">rectified the survival projections (for each model cycle the highest instantaneous risk of death is applied from either (i) the unadjusted parametric functions or (ii) the risk of death in the age and sex matched general population). This approach suggests that patients who survive until the disease-related mortality hazard is reduced to match the risk in the general population, are no longer at risk from dying from FA related complications. </w:t>
      </w:r>
      <w:r w:rsidRPr="00424A49">
        <w:t>Th</w:t>
      </w:r>
      <w:r w:rsidR="00735D83" w:rsidRPr="00424A49">
        <w:t>e ESC noted that th</w:t>
      </w:r>
      <w:r w:rsidRPr="00424A49">
        <w:t>is</w:t>
      </w:r>
      <w:r w:rsidRPr="35298142">
        <w:t xml:space="preserve"> </w:t>
      </w:r>
      <w:r w:rsidR="00C6748B" w:rsidRPr="35298142">
        <w:t>occurred</w:t>
      </w:r>
      <w:r w:rsidR="0024339A" w:rsidRPr="35298142">
        <w:t xml:space="preserve"> for </w:t>
      </w:r>
      <w:r w:rsidR="00735D83" w:rsidRPr="35298142">
        <w:t>approximat</w:t>
      </w:r>
      <w:r w:rsidR="00C6748B" w:rsidRPr="35298142">
        <w:t>e</w:t>
      </w:r>
      <w:r w:rsidR="00735D83" w:rsidRPr="35298142">
        <w:t xml:space="preserve">ly </w:t>
      </w:r>
      <w:r w:rsidR="0024339A" w:rsidRPr="35298142">
        <w:t>38% of modelled patients</w:t>
      </w:r>
      <w:r w:rsidR="001F0278">
        <w:t>.</w:t>
      </w:r>
      <w:r w:rsidR="0024339A" w:rsidRPr="35298142">
        <w:t xml:space="preserve"> </w:t>
      </w:r>
      <w:r w:rsidR="001F0278">
        <w:t xml:space="preserve">The ESC considered that this </w:t>
      </w:r>
      <w:r w:rsidR="00B818F9" w:rsidRPr="35298142">
        <w:t>was</w:t>
      </w:r>
      <w:r w:rsidRPr="35298142">
        <w:t xml:space="preserve"> not reasonable</w:t>
      </w:r>
      <w:r w:rsidR="001F0278">
        <w:t xml:space="preserve"> as t</w:t>
      </w:r>
      <w:r w:rsidRPr="35298142">
        <w:t>he vast majority of FA patients experience disease-related mortality</w:t>
      </w:r>
      <w:bookmarkStart w:id="50" w:name="_Ref185333575"/>
      <w:r w:rsidRPr="35298142">
        <w:t>,</w:t>
      </w:r>
      <w:bookmarkEnd w:id="50"/>
      <w:r w:rsidRPr="35298142">
        <w:t xml:space="preserve"> therefore the application of a risk function that accurately models disease-related mortality should be sufficient to generate OS curves</w:t>
      </w:r>
      <w:r w:rsidR="0024339A" w:rsidRPr="35298142">
        <w:t>.</w:t>
      </w:r>
      <w:r w:rsidR="0024339A" w:rsidRPr="35298142">
        <w:rPr>
          <w:rStyle w:val="FootnoteReference"/>
        </w:rPr>
        <w:footnoteReference w:id="11"/>
      </w:r>
      <w:r w:rsidRPr="35298142">
        <w:t xml:space="preserve"> </w:t>
      </w:r>
      <w:r w:rsidR="00030FE7">
        <w:t>The ESC noted that</w:t>
      </w:r>
      <w:r w:rsidRPr="35298142">
        <w:t xml:space="preserve"> </w:t>
      </w:r>
      <w:r w:rsidR="00030FE7">
        <w:t xml:space="preserve">(i) </w:t>
      </w:r>
      <w:r w:rsidRPr="35298142">
        <w:t>the unadjusted OS curves (exponential function) resulted in a substantial proportion of the population alive in the final year of the model (noting all age cohorts are 100+ years by this time)</w:t>
      </w:r>
      <w:r w:rsidR="00030FE7">
        <w:t xml:space="preserve"> and (ii)</w:t>
      </w:r>
      <w:r w:rsidR="005B789F">
        <w:t xml:space="preserve"> </w:t>
      </w:r>
      <w:r w:rsidRPr="35298142">
        <w:t>the adjusted OS curves</w:t>
      </w:r>
      <w:r w:rsidR="000B2F5D">
        <w:t>, which</w:t>
      </w:r>
      <w:r w:rsidRPr="35298142">
        <w:t xml:space="preserve"> appl</w:t>
      </w:r>
      <w:r w:rsidR="000B2F5D">
        <w:t>i</w:t>
      </w:r>
      <w:r w:rsidR="00B339E7">
        <w:t>ed</w:t>
      </w:r>
      <w:r w:rsidRPr="35298142">
        <w:t xml:space="preserve"> background-mortality</w:t>
      </w:r>
      <w:r w:rsidR="00B339E7">
        <w:t>,</w:t>
      </w:r>
      <w:r w:rsidRPr="35298142">
        <w:t xml:space="preserve"> were overly optimistic, generating a mean life-expectancy of 64 years (or 43 years from symptom onset) in the BSC arm. The majority of literature indicates that the life-expectancy for FA patients is around 35 </w:t>
      </w:r>
      <w:r w:rsidR="005641EE">
        <w:t>to</w:t>
      </w:r>
      <w:r w:rsidR="005641EE" w:rsidRPr="35298142">
        <w:t xml:space="preserve"> </w:t>
      </w:r>
      <w:r w:rsidRPr="35298142">
        <w:t>40 years.</w:t>
      </w:r>
      <w:r w:rsidR="0024339A" w:rsidRPr="00C41ECA">
        <w:fldChar w:fldCharType="begin"/>
      </w:r>
      <w:r w:rsidR="0024339A" w:rsidRPr="00C41ECA">
        <w:instrText xml:space="preserve"> NOTEREF _Ref185333546 \f \h </w:instrText>
      </w:r>
      <w:r w:rsidR="00C41ECA" w:rsidRPr="00C41ECA">
        <w:instrText xml:space="preserve"> \* MERGEFORMAT </w:instrText>
      </w:r>
      <w:r w:rsidR="0024339A" w:rsidRPr="00C41ECA">
        <w:fldChar w:fldCharType="separate"/>
      </w:r>
      <w:r w:rsidR="003A4643" w:rsidRPr="003A4643">
        <w:rPr>
          <w:rStyle w:val="FootnoteReference"/>
        </w:rPr>
        <w:t>9</w:t>
      </w:r>
      <w:r w:rsidR="0024339A" w:rsidRPr="00C41ECA">
        <w:fldChar w:fldCharType="end"/>
      </w:r>
      <w:r w:rsidRPr="35298142">
        <w:t xml:space="preserve"> An alternative modelling approach explored by the </w:t>
      </w:r>
      <w:r w:rsidR="00A31FC7" w:rsidRPr="35298142">
        <w:t>evaluation</w:t>
      </w:r>
      <w:r w:rsidRPr="35298142">
        <w:t xml:space="preserve">, which did not involve extrapolating the OS </w:t>
      </w:r>
      <w:r w:rsidR="000B29AB" w:rsidRPr="35298142">
        <w:t xml:space="preserve">Kaplan Meier </w:t>
      </w:r>
      <w:r w:rsidRPr="35298142">
        <w:t xml:space="preserve">data in Indelicato et al. but applied FA mortality </w:t>
      </w:r>
      <w:r w:rsidR="000B29AB" w:rsidRPr="35298142">
        <w:t xml:space="preserve">hazard ratios </w:t>
      </w:r>
      <w:r w:rsidRPr="35298142">
        <w:t xml:space="preserve">to general population mortality resulted in a life-expectancy of 43 years (22 years from symptom onset) in the BSC arm, which is more aligned with clinical expectation. A comparison of the submission base case and </w:t>
      </w:r>
      <w:r w:rsidR="00A31FC7" w:rsidRPr="35298142">
        <w:t>evaluation</w:t>
      </w:r>
      <w:r w:rsidRPr="35298142">
        <w:t xml:space="preserve"> OS curves in the BSC arm </w:t>
      </w:r>
      <w:r w:rsidR="0024339A" w:rsidRPr="35298142">
        <w:t>is</w:t>
      </w:r>
      <w:r w:rsidRPr="35298142">
        <w:t xml:space="preserve"> presented in</w:t>
      </w:r>
      <w:r w:rsidR="0024339A" w:rsidRPr="35298142">
        <w:t xml:space="preserve"> </w:t>
      </w:r>
      <w:r w:rsidR="0024339A" w:rsidRPr="00C41ECA">
        <w:fldChar w:fldCharType="begin"/>
      </w:r>
      <w:r w:rsidR="0024339A" w:rsidRPr="00C41ECA">
        <w:instrText xml:space="preserve"> REF _Ref185510041 \h  \* MERGEFORMAT </w:instrText>
      </w:r>
      <w:r w:rsidR="0024339A" w:rsidRPr="00C41ECA">
        <w:fldChar w:fldCharType="separate"/>
      </w:r>
      <w:r w:rsidR="003A4643" w:rsidRPr="00C41ECA">
        <w:t xml:space="preserve">Figure </w:t>
      </w:r>
      <w:r w:rsidR="003A4643">
        <w:rPr>
          <w:noProof/>
        </w:rPr>
        <w:t>6</w:t>
      </w:r>
      <w:r w:rsidR="0024339A" w:rsidRPr="00C41ECA">
        <w:fldChar w:fldCharType="end"/>
      </w:r>
      <w:r w:rsidRPr="35298142">
        <w:t xml:space="preserve">. This alternative OS modelling approach increased the ICER by </w:t>
      </w:r>
      <w:r w:rsidR="00593178" w:rsidRPr="00E73E12">
        <w:rPr>
          <w:color w:val="000000"/>
          <w:w w:val="15"/>
          <w:shd w:val="solid" w:color="000000" w:fill="000000"/>
          <w:fitText w:val="-20" w:id="-679229951"/>
          <w14:textFill>
            <w14:solidFill>
              <w14:srgbClr w14:val="000000">
                <w14:alpha w14:val="100000"/>
              </w14:srgbClr>
            </w14:solidFill>
          </w14:textFill>
        </w:rPr>
        <w:t xml:space="preserve">|  </w:t>
      </w:r>
      <w:r w:rsidR="00593178" w:rsidRPr="00E73E12">
        <w:rPr>
          <w:color w:val="000000"/>
          <w:spacing w:val="-69"/>
          <w:w w:val="15"/>
          <w:shd w:val="solid" w:color="000000" w:fill="000000"/>
          <w:fitText w:val="-20" w:id="-679229951"/>
          <w14:textFill>
            <w14:solidFill>
              <w14:srgbClr w14:val="000000">
                <w14:alpha w14:val="100000"/>
              </w14:srgbClr>
            </w14:solidFill>
          </w14:textFill>
        </w:rPr>
        <w:t>|</w:t>
      </w:r>
      <w:r w:rsidRPr="35298142">
        <w:t>% (</w:t>
      </w:r>
      <w:r w:rsidR="00274C66" w:rsidRPr="35298142">
        <w:t>the incremental QALYs decreased from 1.16 to 0.97</w:t>
      </w:r>
      <w:r w:rsidRPr="35298142">
        <w:t>).</w:t>
      </w:r>
      <w:r w:rsidR="00314774">
        <w:t xml:space="preserve"> The </w:t>
      </w:r>
      <w:r w:rsidR="00296D4B">
        <w:t>p</w:t>
      </w:r>
      <w:r w:rsidR="00314774">
        <w:t xml:space="preserve">re-PBAC </w:t>
      </w:r>
      <w:r w:rsidR="00296D4B">
        <w:t>r</w:t>
      </w:r>
      <w:r w:rsidR="00314774">
        <w:t xml:space="preserve">esponse </w:t>
      </w:r>
      <w:r w:rsidR="0034078D">
        <w:t xml:space="preserve">stated that </w:t>
      </w:r>
      <w:r w:rsidR="001020C0">
        <w:t xml:space="preserve">the </w:t>
      </w:r>
      <w:r w:rsidR="00593178" w:rsidRPr="00E73E12">
        <w:rPr>
          <w:color w:val="000000"/>
          <w:w w:val="15"/>
          <w:shd w:val="solid" w:color="000000" w:fill="000000"/>
          <w:fitText w:val="-20" w:id="-679229950"/>
          <w14:textFill>
            <w14:solidFill>
              <w14:srgbClr w14:val="000000">
                <w14:alpha w14:val="100000"/>
              </w14:srgbClr>
            </w14:solidFill>
          </w14:textFill>
        </w:rPr>
        <w:t xml:space="preserve">|  </w:t>
      </w:r>
      <w:r w:rsidR="00593178" w:rsidRPr="00E73E12">
        <w:rPr>
          <w:color w:val="000000"/>
          <w:spacing w:val="-69"/>
          <w:w w:val="15"/>
          <w:shd w:val="solid" w:color="000000" w:fill="000000"/>
          <w:fitText w:val="-20" w:id="-679229950"/>
          <w14:textFill>
            <w14:solidFill>
              <w14:srgbClr w14:val="000000">
                <w14:alpha w14:val="100000"/>
              </w14:srgbClr>
            </w14:solidFill>
          </w14:textFill>
        </w:rPr>
        <w:t>|</w:t>
      </w:r>
      <w:r w:rsidR="001020C0">
        <w:t xml:space="preserve">% change to the ICER </w:t>
      </w:r>
      <w:r w:rsidR="007F7DD6">
        <w:t>suggested that the model was not particularly sensitive to the method of estimating mortality</w:t>
      </w:r>
      <w:r w:rsidR="00A55A95">
        <w:t xml:space="preserve"> by disease stage and that the treatment benefits of </w:t>
      </w:r>
      <w:proofErr w:type="spellStart"/>
      <w:r w:rsidR="00A55A95">
        <w:t>omaveloxolone</w:t>
      </w:r>
      <w:proofErr w:type="spellEnd"/>
      <w:r w:rsidR="00A55A95">
        <w:t xml:space="preserve"> remain consistent across a range of mortality assumptions</w:t>
      </w:r>
      <w:r w:rsidR="00314774">
        <w:t>.</w:t>
      </w:r>
    </w:p>
    <w:p w14:paraId="2587C301" w14:textId="7431FAEC" w:rsidR="002E4C6D" w:rsidRPr="00C41ECA" w:rsidRDefault="002E4C6D" w:rsidP="002E4C6D">
      <w:pPr>
        <w:pStyle w:val="Caption"/>
        <w:rPr>
          <w:snapToGrid w:val="0"/>
        </w:rPr>
      </w:pPr>
      <w:bookmarkStart w:id="51" w:name="_Ref185510041"/>
      <w:r w:rsidRPr="00C41ECA">
        <w:t xml:space="preserve">Figure </w:t>
      </w:r>
      <w:r w:rsidR="00D77094">
        <w:fldChar w:fldCharType="begin"/>
      </w:r>
      <w:r w:rsidR="00D77094">
        <w:instrText xml:space="preserve"> SEQ Figure \* ARABIC </w:instrText>
      </w:r>
      <w:r w:rsidR="00D77094">
        <w:fldChar w:fldCharType="separate"/>
      </w:r>
      <w:r w:rsidR="003A4643">
        <w:rPr>
          <w:noProof/>
        </w:rPr>
        <w:t>6</w:t>
      </w:r>
      <w:r w:rsidR="00D77094">
        <w:rPr>
          <w:noProof/>
        </w:rPr>
        <w:fldChar w:fldCharType="end"/>
      </w:r>
      <w:bookmarkEnd w:id="51"/>
      <w:r w:rsidRPr="00C41ECA">
        <w:rPr>
          <w:snapToGrid w:val="0"/>
        </w:rPr>
        <w:t xml:space="preserve">: Comparison of base case BSC OS curves and the </w:t>
      </w:r>
      <w:r w:rsidR="00A31FC7">
        <w:rPr>
          <w:snapToGrid w:val="0"/>
        </w:rPr>
        <w:t>evaluation</w:t>
      </w:r>
      <w:r w:rsidRPr="00C41ECA">
        <w:rPr>
          <w:snapToGrid w:val="0"/>
        </w:rPr>
        <w:t>’s alternative curves</w:t>
      </w:r>
    </w:p>
    <w:p w14:paraId="6450D39B" w14:textId="77777777" w:rsidR="002E4C6D" w:rsidRPr="00C41ECA" w:rsidRDefault="002E4C6D" w:rsidP="002E4C6D">
      <w:pPr>
        <w:keepNext/>
      </w:pPr>
      <w:r w:rsidRPr="00C41ECA">
        <w:rPr>
          <w:noProof/>
        </w:rPr>
        <w:drawing>
          <wp:inline distT="0" distB="0" distL="0" distR="0" wp14:anchorId="2F418A71" wp14:editId="0A3BFA24">
            <wp:extent cx="5735782" cy="3297993"/>
            <wp:effectExtent l="0" t="0" r="0" b="0"/>
            <wp:docPr id="353241624" name="Picture 1" descr="Figure 6: Comparison of base case BSC OS curves and the evaluation’s alternative 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41624" name="Picture 1" descr="Figure 6: Comparison of base case BSC OS curves and the evaluation’s alternative cur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0005" cy="3306171"/>
                    </a:xfrm>
                    <a:prstGeom prst="rect">
                      <a:avLst/>
                    </a:prstGeom>
                    <a:noFill/>
                  </pic:spPr>
                </pic:pic>
              </a:graphicData>
            </a:graphic>
          </wp:inline>
        </w:drawing>
      </w:r>
    </w:p>
    <w:p w14:paraId="0BD2BDC6" w14:textId="77777777" w:rsidR="002E4C6D" w:rsidRPr="00C41ECA" w:rsidRDefault="002E4C6D" w:rsidP="002E4C6D">
      <w:pPr>
        <w:pStyle w:val="TableFigureFooter"/>
        <w:keepNext/>
      </w:pPr>
      <w:r w:rsidRPr="00C41ECA">
        <w:t>Source: Constructed during the evaluation from the “Attachment 10 - Cost utility analysis (CUA) workbook (Section 3)” attachment provided with the submission.</w:t>
      </w:r>
    </w:p>
    <w:p w14:paraId="2EC70DF4" w14:textId="71DE137A" w:rsidR="002E4C6D" w:rsidRPr="00C41ECA" w:rsidRDefault="002E4C6D" w:rsidP="002E4C6D">
      <w:pPr>
        <w:pStyle w:val="TableFigureFooter"/>
        <w:keepNext/>
      </w:pPr>
      <w:r w:rsidRPr="00C41ECA">
        <w:t>BSC=best supportive care; OS=overall survival.</w:t>
      </w:r>
    </w:p>
    <w:p w14:paraId="2B5F3719" w14:textId="3C290A08" w:rsidR="002524D5" w:rsidRPr="00C41ECA" w:rsidRDefault="002E4C6D" w:rsidP="00992AB2">
      <w:pPr>
        <w:pStyle w:val="TableFigureFooter"/>
      </w:pPr>
      <w:r w:rsidRPr="00C41ECA">
        <w:t xml:space="preserve">* Overall population weighted 27% ≤7 years, 45% 8 – 14 years, 18% 15 – 24 years and 11% &gt;24 years as per the economic model. </w:t>
      </w:r>
    </w:p>
    <w:p w14:paraId="77ED5AFA" w14:textId="3046479D" w:rsidR="00535DBA" w:rsidRPr="00C41ECA" w:rsidRDefault="00A4095A" w:rsidP="00743148">
      <w:pPr>
        <w:pStyle w:val="3-BodyText"/>
      </w:pPr>
      <w:bookmarkStart w:id="52" w:name="_Ref185334163"/>
      <w:r w:rsidRPr="00C41ECA">
        <w:t xml:space="preserve">The </w:t>
      </w:r>
      <w:proofErr w:type="spellStart"/>
      <w:r w:rsidRPr="00C41ECA">
        <w:t>MOXIe</w:t>
      </w:r>
      <w:proofErr w:type="spellEnd"/>
      <w:r w:rsidR="00743148" w:rsidRPr="00C41ECA">
        <w:t xml:space="preserve"> extension trial did not capture quality of life data. Instead, u</w:t>
      </w:r>
      <w:r w:rsidR="00992AB2" w:rsidRPr="00C41ECA">
        <w:t xml:space="preserve">tility values applied in the model </w:t>
      </w:r>
      <w:r w:rsidR="00743148" w:rsidRPr="00C41ECA">
        <w:t xml:space="preserve">were sourced from an external study which reported the mean EQ-5D and </w:t>
      </w:r>
      <w:r w:rsidR="0024339A" w:rsidRPr="00C41ECA">
        <w:t>Scale for the Assessment and Rating of Ataxia (</w:t>
      </w:r>
      <w:r w:rsidR="00743148" w:rsidRPr="00C41ECA">
        <w:t>SARA</w:t>
      </w:r>
      <w:r w:rsidR="0024339A" w:rsidRPr="00C41ECA">
        <w:t>)</w:t>
      </w:r>
      <w:r w:rsidR="00743148" w:rsidRPr="00C41ECA">
        <w:t xml:space="preserve"> scores (which were converted to </w:t>
      </w:r>
      <w:proofErr w:type="spellStart"/>
      <w:r w:rsidR="00743148" w:rsidRPr="00C41ECA">
        <w:t>mFARS</w:t>
      </w:r>
      <w:proofErr w:type="spellEnd"/>
      <w:r w:rsidR="00743148" w:rsidRPr="00C41ECA">
        <w:t>) per year for patients enrolled in the EFACTS registry over five years.</w:t>
      </w:r>
      <w:bookmarkStart w:id="53" w:name="_Ref185333482"/>
      <w:r w:rsidR="00743148" w:rsidRPr="00C41ECA">
        <w:rPr>
          <w:rStyle w:val="FootnoteReference"/>
        </w:rPr>
        <w:footnoteReference w:id="12"/>
      </w:r>
      <w:bookmarkEnd w:id="53"/>
      <w:r w:rsidR="00743148" w:rsidRPr="00C41ECA">
        <w:t xml:space="preserve"> A linear </w:t>
      </w:r>
      <w:r w:rsidR="00992AB2" w:rsidRPr="00C41ECA">
        <w:t>regression</w:t>
      </w:r>
      <w:r w:rsidR="00743148" w:rsidRPr="00C41ECA">
        <w:t xml:space="preserve"> was conducted by the submission</w:t>
      </w:r>
      <w:r w:rsidR="00992AB2" w:rsidRPr="00C41ECA">
        <w:t xml:space="preserve">, which estimated a 0.012 decrement for each increase in </w:t>
      </w:r>
      <w:proofErr w:type="spellStart"/>
      <w:r w:rsidR="00992AB2" w:rsidRPr="00C41ECA">
        <w:t>mFARS</w:t>
      </w:r>
      <w:proofErr w:type="spellEnd"/>
      <w:r w:rsidR="00342DF9" w:rsidRPr="00C41ECA">
        <w:t>,</w:t>
      </w:r>
      <w:r w:rsidR="00992AB2" w:rsidRPr="00C41ECA">
        <w:t xml:space="preserve"> was based off mean EQ-5D and SARA scores</w:t>
      </w:r>
      <w:r w:rsidR="008C49AF">
        <w:t>.</w:t>
      </w:r>
      <w:r w:rsidR="00992AB2" w:rsidRPr="00C41ECA">
        <w:t xml:space="preserve"> </w:t>
      </w:r>
      <w:r w:rsidR="00992AB2" w:rsidRPr="00424A49">
        <w:t xml:space="preserve">The </w:t>
      </w:r>
      <w:r w:rsidR="008C49AF" w:rsidRPr="00424A49">
        <w:t>ESC noted that the</w:t>
      </w:r>
      <w:r w:rsidR="008C49AF">
        <w:t xml:space="preserve"> </w:t>
      </w:r>
      <w:r w:rsidR="00992AB2" w:rsidRPr="00C41ECA">
        <w:t xml:space="preserve">five data points used to </w:t>
      </w:r>
      <w:r w:rsidR="00342DF9" w:rsidRPr="00C41ECA">
        <w:t>in</w:t>
      </w:r>
      <w:r w:rsidR="00992AB2" w:rsidRPr="00C41ECA">
        <w:t>form the regression (with a</w:t>
      </w:r>
      <w:r w:rsidR="00424A49">
        <w:t>n</w:t>
      </w:r>
      <w:r w:rsidR="00992AB2" w:rsidRPr="00C41ECA">
        <w:t xml:space="preserve"> EQ-5D range of 0.53 - 0.59 and a </w:t>
      </w:r>
      <w:proofErr w:type="spellStart"/>
      <w:r w:rsidR="00992AB2" w:rsidRPr="00C41ECA">
        <w:t>mFARS</w:t>
      </w:r>
      <w:proofErr w:type="spellEnd"/>
      <w:r w:rsidR="00992AB2" w:rsidRPr="00C41ECA">
        <w:t xml:space="preserve"> range of 55 - 61) </w:t>
      </w:r>
      <w:r w:rsidR="008C49AF" w:rsidRPr="00C41ECA">
        <w:t>w</w:t>
      </w:r>
      <w:r w:rsidR="008C49AF">
        <w:t>ere</w:t>
      </w:r>
      <w:r w:rsidR="008C49AF" w:rsidRPr="00C41ECA">
        <w:t xml:space="preserve"> </w:t>
      </w:r>
      <w:r w:rsidR="00992AB2" w:rsidRPr="00C41ECA">
        <w:t xml:space="preserve">insufficient to relate </w:t>
      </w:r>
      <w:proofErr w:type="spellStart"/>
      <w:r w:rsidR="00992AB2" w:rsidRPr="00C41ECA">
        <w:t>mFARS</w:t>
      </w:r>
      <w:proofErr w:type="spellEnd"/>
      <w:r w:rsidR="00992AB2" w:rsidRPr="00C41ECA">
        <w:t xml:space="preserve"> to utility values for the full range of </w:t>
      </w:r>
      <w:r w:rsidR="00535DBA" w:rsidRPr="00C41ECA">
        <w:t xml:space="preserve">utility </w:t>
      </w:r>
      <w:r w:rsidR="00992AB2" w:rsidRPr="00C41ECA">
        <w:t>values applied in the economic model</w:t>
      </w:r>
      <w:r w:rsidR="00535DBA" w:rsidRPr="00C41ECA">
        <w:t xml:space="preserve">. The </w:t>
      </w:r>
      <w:r w:rsidR="00A31FC7">
        <w:t>evaluation</w:t>
      </w:r>
      <w:r w:rsidR="00535DBA" w:rsidRPr="00C41ECA">
        <w:t xml:space="preserve"> re-calibrated the linear regression so that the data points were based on ambulatory and non-ambulatory patients in Reetz et al. (instead of the pooled mean of these patients used in the submission’s regression), result</w:t>
      </w:r>
      <w:r w:rsidR="0003062A" w:rsidRPr="00C41ECA">
        <w:t>ing</w:t>
      </w:r>
      <w:r w:rsidR="00535DBA" w:rsidRPr="00C41ECA">
        <w:t xml:space="preserve"> in a 0.009 decrement for each increase in </w:t>
      </w:r>
      <w:proofErr w:type="spellStart"/>
      <w:r w:rsidR="00535DBA" w:rsidRPr="00C41ECA">
        <w:t>mFARS</w:t>
      </w:r>
      <w:proofErr w:type="spellEnd"/>
      <w:r w:rsidR="00535DBA" w:rsidRPr="00C41ECA">
        <w:t xml:space="preserve"> score. This analysis increased in the ICER by </w:t>
      </w:r>
      <w:r w:rsidR="00593178" w:rsidRPr="00E73E12">
        <w:rPr>
          <w:color w:val="000000"/>
          <w:w w:val="15"/>
          <w:shd w:val="solid" w:color="000000" w:fill="000000"/>
          <w:fitText w:val="-20" w:id="-679229949"/>
          <w14:textFill>
            <w14:solidFill>
              <w14:srgbClr w14:val="000000">
                <w14:alpha w14:val="100000"/>
              </w14:srgbClr>
            </w14:solidFill>
          </w14:textFill>
        </w:rPr>
        <w:t xml:space="preserve">|  </w:t>
      </w:r>
      <w:r w:rsidR="00593178" w:rsidRPr="00E73E12">
        <w:rPr>
          <w:color w:val="000000"/>
          <w:spacing w:val="-69"/>
          <w:w w:val="15"/>
          <w:shd w:val="solid" w:color="000000" w:fill="000000"/>
          <w:fitText w:val="-20" w:id="-679229949"/>
          <w14:textFill>
            <w14:solidFill>
              <w14:srgbClr w14:val="000000">
                <w14:alpha w14:val="100000"/>
              </w14:srgbClr>
            </w14:solidFill>
          </w14:textFill>
        </w:rPr>
        <w:t>|</w:t>
      </w:r>
      <w:r w:rsidR="00535DBA" w:rsidRPr="00C41ECA">
        <w:t xml:space="preserve">% </w:t>
      </w:r>
      <w:r w:rsidR="00274C66" w:rsidRPr="00C41ECA">
        <w:t>the incremental QALYs decreased from 1.16 to 0.93</w:t>
      </w:r>
      <w:r w:rsidR="00535DBA" w:rsidRPr="00C41ECA">
        <w:rPr>
          <w:lang w:val="en-US"/>
        </w:rPr>
        <w:t>)</w:t>
      </w:r>
      <w:r w:rsidR="008C49AF">
        <w:rPr>
          <w:lang w:val="en-US"/>
        </w:rPr>
        <w:t>;</w:t>
      </w:r>
      <w:r w:rsidR="00535DBA" w:rsidRPr="00C41ECA">
        <w:rPr>
          <w:lang w:val="en-US"/>
        </w:rPr>
        <w:t xml:space="preserve"> however</w:t>
      </w:r>
      <w:r w:rsidR="008C49AF">
        <w:rPr>
          <w:lang w:val="en-US"/>
        </w:rPr>
        <w:t>,</w:t>
      </w:r>
      <w:r w:rsidR="00535DBA" w:rsidRPr="00C41ECA">
        <w:rPr>
          <w:lang w:val="en-US"/>
        </w:rPr>
        <w:t xml:space="preserve"> given the small range of data point</w:t>
      </w:r>
      <w:r w:rsidR="001A1174" w:rsidRPr="00C41ECA">
        <w:rPr>
          <w:lang w:val="en-US"/>
        </w:rPr>
        <w:t>s</w:t>
      </w:r>
      <w:r w:rsidR="0032718D" w:rsidRPr="00C41ECA">
        <w:rPr>
          <w:lang w:val="en-US"/>
        </w:rPr>
        <w:t xml:space="preserve"> and lack of alternative published estimates,</w:t>
      </w:r>
      <w:r w:rsidR="00535DBA" w:rsidRPr="00C41ECA">
        <w:rPr>
          <w:lang w:val="en-US"/>
        </w:rPr>
        <w:t xml:space="preserve"> the utility values remain as a key area of uncertainty which substantially affected the ICER.</w:t>
      </w:r>
      <w:bookmarkEnd w:id="52"/>
      <w:r w:rsidR="00535DBA" w:rsidRPr="00C41ECA">
        <w:rPr>
          <w:lang w:val="en-US"/>
        </w:rPr>
        <w:t xml:space="preserve"> </w:t>
      </w:r>
      <w:r w:rsidR="00F35127">
        <w:rPr>
          <w:lang w:val="en-US"/>
        </w:rPr>
        <w:t xml:space="preserve">The </w:t>
      </w:r>
      <w:r w:rsidR="00554B2D">
        <w:rPr>
          <w:lang w:val="en-US"/>
        </w:rPr>
        <w:t>p</w:t>
      </w:r>
      <w:r w:rsidR="00F35127">
        <w:rPr>
          <w:lang w:val="en-US"/>
        </w:rPr>
        <w:t xml:space="preserve">re-PBAC response </w:t>
      </w:r>
      <w:r w:rsidR="0002643D">
        <w:rPr>
          <w:lang w:val="en-US"/>
        </w:rPr>
        <w:t xml:space="preserve">agreed </w:t>
      </w:r>
      <w:r w:rsidR="00E360E6">
        <w:rPr>
          <w:lang w:val="en-US"/>
        </w:rPr>
        <w:t xml:space="preserve">with </w:t>
      </w:r>
      <w:r w:rsidR="0002643D">
        <w:rPr>
          <w:lang w:val="en-US"/>
        </w:rPr>
        <w:t xml:space="preserve">the </w:t>
      </w:r>
      <w:r w:rsidR="00E360E6">
        <w:rPr>
          <w:lang w:val="en-US"/>
        </w:rPr>
        <w:t xml:space="preserve">evaluation </w:t>
      </w:r>
      <w:r w:rsidR="001614F0">
        <w:rPr>
          <w:lang w:val="en-US"/>
        </w:rPr>
        <w:t xml:space="preserve">that </w:t>
      </w:r>
      <w:r w:rsidR="00F35127" w:rsidRPr="00F35127">
        <w:rPr>
          <w:lang w:val="en-US"/>
        </w:rPr>
        <w:t xml:space="preserve">a linear relationship between EQ-5D and </w:t>
      </w:r>
      <w:proofErr w:type="spellStart"/>
      <w:r w:rsidR="00F35127" w:rsidRPr="00F35127">
        <w:rPr>
          <w:lang w:val="en-US"/>
        </w:rPr>
        <w:t>mFARS</w:t>
      </w:r>
      <w:proofErr w:type="spellEnd"/>
      <w:r w:rsidR="00F35127" w:rsidRPr="00F35127">
        <w:rPr>
          <w:lang w:val="en-US"/>
        </w:rPr>
        <w:t xml:space="preserve"> may not fully capture the non-linear association between quality of life and disease progression</w:t>
      </w:r>
      <w:r w:rsidR="00313AFD">
        <w:rPr>
          <w:lang w:val="en-US"/>
        </w:rPr>
        <w:t xml:space="preserve"> but stated that it was unclear whether deriving a regressi</w:t>
      </w:r>
      <w:r w:rsidR="002C3089">
        <w:rPr>
          <w:lang w:val="en-US"/>
        </w:rPr>
        <w:t>o</w:t>
      </w:r>
      <w:r w:rsidR="00313AFD">
        <w:rPr>
          <w:lang w:val="en-US"/>
        </w:rPr>
        <w:t>n model based on the ambulatory and non-ambulatory</w:t>
      </w:r>
      <w:r w:rsidR="002C3089">
        <w:rPr>
          <w:lang w:val="en-US"/>
        </w:rPr>
        <w:t xml:space="preserve"> subgroups was more methodologically sound compared to the method used in the submission</w:t>
      </w:r>
      <w:r w:rsidR="00F35127" w:rsidRPr="00F35127">
        <w:rPr>
          <w:lang w:val="en-US"/>
        </w:rPr>
        <w:t>.</w:t>
      </w:r>
      <w:r w:rsidR="00535DBA" w:rsidRPr="00C41ECA">
        <w:rPr>
          <w:lang w:val="en-US"/>
        </w:rPr>
        <w:t xml:space="preserve"> </w:t>
      </w:r>
      <w:r w:rsidR="00535DBA" w:rsidRPr="00C41ECA">
        <w:t xml:space="preserve"> </w:t>
      </w:r>
    </w:p>
    <w:p w14:paraId="41EB341A" w14:textId="15A3AABF" w:rsidR="00446A87" w:rsidRPr="00C41ECA" w:rsidRDefault="00CF1AC3" w:rsidP="0032718D">
      <w:pPr>
        <w:pStyle w:val="3-BodyText"/>
      </w:pPr>
      <w:r w:rsidRPr="35298142">
        <w:t xml:space="preserve">The economic model included costs associated with </w:t>
      </w:r>
      <w:proofErr w:type="spellStart"/>
      <w:r w:rsidRPr="35298142">
        <w:t>omaveloxolone</w:t>
      </w:r>
      <w:proofErr w:type="spellEnd"/>
      <w:r w:rsidRPr="35298142">
        <w:t xml:space="preserve"> acquisition, medical appointments, hospitalisation, medical devices and aids (wheelchairs, electric beds, specialised mattresses), home modifications, AE management and carers. Utilisation was mainly based on clinician feedback. </w:t>
      </w:r>
      <w:r w:rsidR="00B913A6" w:rsidRPr="35298142">
        <w:t>Noting</w:t>
      </w:r>
      <w:r w:rsidRPr="35298142">
        <w:t xml:space="preserve"> these costs (other than drug costs) were not model drivers, the inclusion of carer </w:t>
      </w:r>
      <w:r w:rsidR="00743148" w:rsidRPr="35298142">
        <w:t xml:space="preserve">and certain medical aids (such as walkers, wheelchairs, </w:t>
      </w:r>
      <w:r w:rsidR="00D167FF" w:rsidRPr="35298142">
        <w:t>specialised</w:t>
      </w:r>
      <w:r w:rsidR="00743148" w:rsidRPr="35298142">
        <w:t xml:space="preserve"> mattress and electric beds) </w:t>
      </w:r>
      <w:r w:rsidRPr="35298142">
        <w:t xml:space="preserve">and home modification costs </w:t>
      </w:r>
      <w:r w:rsidR="00D167FF" w:rsidRPr="35298142">
        <w:t>was</w:t>
      </w:r>
      <w:r w:rsidRPr="35298142">
        <w:t xml:space="preserve"> not reasonable in the base case analysis as the PBAC </w:t>
      </w:r>
      <w:r w:rsidR="008C6D61" w:rsidRPr="35298142">
        <w:t>G</w:t>
      </w:r>
      <w:r w:rsidRPr="35298142">
        <w:t>uidelines specify to only include direct medical costs.</w:t>
      </w:r>
    </w:p>
    <w:p w14:paraId="19000644" w14:textId="6E12C0EB" w:rsidR="0032718D" w:rsidRPr="00C41ECA" w:rsidRDefault="0032718D" w:rsidP="0032718D">
      <w:pPr>
        <w:pStyle w:val="3-BodyText"/>
      </w:pPr>
      <w:r w:rsidRPr="00C41ECA">
        <w:t xml:space="preserve">The key model drivers are presented in </w:t>
      </w:r>
      <w:r w:rsidRPr="00C41ECA">
        <w:fldChar w:fldCharType="begin"/>
      </w:r>
      <w:r w:rsidRPr="00C41ECA">
        <w:instrText xml:space="preserve"> REF _Ref104805122 \h </w:instrText>
      </w:r>
      <w:r w:rsidR="00C41ECA" w:rsidRPr="00C41ECA">
        <w:instrText xml:space="preserve"> \* MERGEFORMAT </w:instrText>
      </w:r>
      <w:r w:rsidRPr="00C41ECA">
        <w:fldChar w:fldCharType="separate"/>
      </w:r>
      <w:r w:rsidR="003A4643" w:rsidRPr="00C41ECA">
        <w:t xml:space="preserve">Table </w:t>
      </w:r>
      <w:r w:rsidR="003A4643">
        <w:rPr>
          <w:noProof/>
        </w:rPr>
        <w:t>16</w:t>
      </w:r>
      <w:r w:rsidRPr="00C41ECA">
        <w:fldChar w:fldCharType="end"/>
      </w:r>
      <w:r w:rsidRPr="00C41ECA">
        <w:t>.</w:t>
      </w:r>
    </w:p>
    <w:p w14:paraId="774D46B7" w14:textId="11633ADA" w:rsidR="00D110BD" w:rsidRPr="00C41ECA" w:rsidRDefault="00E16AD8" w:rsidP="001D69A8">
      <w:pPr>
        <w:pStyle w:val="Caption"/>
        <w:jc w:val="left"/>
        <w:rPr>
          <w:rStyle w:val="CommentReference"/>
          <w:b/>
          <w:szCs w:val="24"/>
        </w:rPr>
      </w:pPr>
      <w:bookmarkStart w:id="54" w:name="_Ref104805122"/>
      <w:r w:rsidRPr="00C41ECA">
        <w:t xml:space="preserve">Table </w:t>
      </w:r>
      <w:r w:rsidR="00B717AF">
        <w:fldChar w:fldCharType="begin"/>
      </w:r>
      <w:r w:rsidR="00B717AF">
        <w:instrText xml:space="preserve"> SEQ Table \* ARABIC </w:instrText>
      </w:r>
      <w:r w:rsidR="00B717AF">
        <w:fldChar w:fldCharType="separate"/>
      </w:r>
      <w:r w:rsidR="003A4643">
        <w:rPr>
          <w:noProof/>
        </w:rPr>
        <w:t>16</w:t>
      </w:r>
      <w:r w:rsidR="00B717AF">
        <w:rPr>
          <w:noProof/>
        </w:rPr>
        <w:fldChar w:fldCharType="end"/>
      </w:r>
      <w:bookmarkEnd w:id="54"/>
      <w:r w:rsidRPr="00C41ECA">
        <w:t>:</w:t>
      </w:r>
      <w:r w:rsidR="00D110BD" w:rsidRPr="00C41ECA">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Key drivers of the model"/>
      </w:tblPr>
      <w:tblGrid>
        <w:gridCol w:w="1129"/>
        <w:gridCol w:w="5244"/>
        <w:gridCol w:w="2644"/>
      </w:tblGrid>
      <w:tr w:rsidR="00537182" w:rsidRPr="00C41ECA" w14:paraId="4DD8026E" w14:textId="77777777" w:rsidTr="35298142">
        <w:trPr>
          <w:tblHeader/>
        </w:trPr>
        <w:tc>
          <w:tcPr>
            <w:tcW w:w="626" w:type="pct"/>
            <w:vAlign w:val="center"/>
          </w:tcPr>
          <w:p w14:paraId="6A9EC2DA" w14:textId="77777777" w:rsidR="00D110BD" w:rsidRPr="00C41ECA" w:rsidRDefault="00D110BD" w:rsidP="001D69A8">
            <w:pPr>
              <w:pStyle w:val="In-tableHeading"/>
              <w:jc w:val="center"/>
            </w:pPr>
            <w:r w:rsidRPr="00C41ECA">
              <w:t>Description</w:t>
            </w:r>
          </w:p>
        </w:tc>
        <w:tc>
          <w:tcPr>
            <w:tcW w:w="2908" w:type="pct"/>
            <w:vAlign w:val="center"/>
          </w:tcPr>
          <w:p w14:paraId="67A62672" w14:textId="77777777" w:rsidR="00D110BD" w:rsidRPr="00C41ECA" w:rsidRDefault="00D110BD" w:rsidP="001D69A8">
            <w:pPr>
              <w:pStyle w:val="In-tableHeading"/>
              <w:jc w:val="center"/>
            </w:pPr>
            <w:r w:rsidRPr="00C41ECA">
              <w:t>Method/Value</w:t>
            </w:r>
          </w:p>
        </w:tc>
        <w:tc>
          <w:tcPr>
            <w:tcW w:w="1466" w:type="pct"/>
            <w:vAlign w:val="center"/>
          </w:tcPr>
          <w:p w14:paraId="6B352E41" w14:textId="77777777" w:rsidR="00D110BD" w:rsidRPr="00C41ECA" w:rsidRDefault="00D110BD" w:rsidP="001D69A8">
            <w:pPr>
              <w:pStyle w:val="In-tableHeading"/>
              <w:jc w:val="center"/>
            </w:pPr>
            <w:r w:rsidRPr="00C41ECA">
              <w:t>Impact</w:t>
            </w:r>
          </w:p>
          <w:p w14:paraId="77BA221F" w14:textId="165DCEB0" w:rsidR="00764CA8" w:rsidRPr="00C41ECA" w:rsidRDefault="00490B17" w:rsidP="001D69A8">
            <w:pPr>
              <w:pStyle w:val="In-tableHeading"/>
              <w:jc w:val="center"/>
            </w:pPr>
            <w:r w:rsidRPr="00C41ECA">
              <w:t>Base case:</w:t>
            </w:r>
          </w:p>
          <w:p w14:paraId="6C1DC9EA" w14:textId="25FC5F79" w:rsidR="00490B17" w:rsidRPr="00C41ECA" w:rsidRDefault="00490B17" w:rsidP="001D69A8">
            <w:pPr>
              <w:pStyle w:val="In-tableHeading"/>
              <w:jc w:val="center"/>
            </w:pPr>
            <w:r w:rsidRPr="00C41ECA">
              <w:t>$</w:t>
            </w:r>
            <w:r w:rsidR="003452C5" w:rsidRPr="00593178">
              <w:rPr>
                <w:color w:val="000000"/>
                <w:spacing w:val="58"/>
                <w:shd w:val="solid" w:color="000000" w:fill="000000"/>
                <w:fitText w:val="360" w:id="-694425595"/>
                <w14:textFill>
                  <w14:solidFill>
                    <w14:srgbClr w14:val="000000">
                      <w14:alpha w14:val="100000"/>
                    </w14:srgbClr>
                  </w14:solidFill>
                </w14:textFill>
              </w:rPr>
              <w:t>|||</w:t>
            </w:r>
            <w:r w:rsidR="003452C5" w:rsidRPr="00593178">
              <w:rPr>
                <w:color w:val="000000"/>
                <w:spacing w:val="3"/>
                <w:shd w:val="solid" w:color="000000" w:fill="000000"/>
                <w:fitText w:val="360" w:id="-694425595"/>
                <w14:textFill>
                  <w14:solidFill>
                    <w14:srgbClr w14:val="000000">
                      <w14:alpha w14:val="100000"/>
                    </w14:srgbClr>
                  </w14:solidFill>
                </w14:textFill>
              </w:rPr>
              <w:t>|</w:t>
            </w:r>
            <w:r w:rsidR="00B62C89" w:rsidRPr="00B62C89">
              <w:rPr>
                <w:vertAlign w:val="superscript"/>
              </w:rPr>
              <w:t>1</w:t>
            </w:r>
            <w:r w:rsidRPr="00C41ECA">
              <w:t>/QALY gained</w:t>
            </w:r>
          </w:p>
        </w:tc>
      </w:tr>
      <w:tr w:rsidR="00537182" w:rsidRPr="00C41ECA" w14:paraId="3DE22150" w14:textId="77777777" w:rsidTr="35298142">
        <w:tc>
          <w:tcPr>
            <w:tcW w:w="626" w:type="pct"/>
            <w:vAlign w:val="center"/>
          </w:tcPr>
          <w:p w14:paraId="72E20981" w14:textId="7402DF3D" w:rsidR="00D110BD" w:rsidRPr="00C41ECA" w:rsidRDefault="0032718D" w:rsidP="001D69A8">
            <w:pPr>
              <w:pStyle w:val="TableText0"/>
            </w:pPr>
            <w:r w:rsidRPr="00C41ECA">
              <w:t>Treatment effect</w:t>
            </w:r>
          </w:p>
        </w:tc>
        <w:tc>
          <w:tcPr>
            <w:tcW w:w="2908" w:type="pct"/>
            <w:vAlign w:val="center"/>
          </w:tcPr>
          <w:p w14:paraId="64938802" w14:textId="54E1E067" w:rsidR="00106B80" w:rsidRPr="00C41ECA" w:rsidRDefault="0032718D" w:rsidP="001D69A8">
            <w:pPr>
              <w:pStyle w:val="TableText0"/>
            </w:pPr>
            <w:r w:rsidRPr="35298142">
              <w:t xml:space="preserve">The submission assumed no treatment effect waning in the base case analysis while patients remained on treatment. This was not justified. No evidence of a treatment effect maintenance was provided beyond 4 years of the </w:t>
            </w:r>
            <w:proofErr w:type="spellStart"/>
            <w:r w:rsidRPr="35298142">
              <w:t>MOXIe</w:t>
            </w:r>
            <w:proofErr w:type="spellEnd"/>
            <w:r w:rsidRPr="35298142">
              <w:t xml:space="preserve"> extension trial, noting the mean treatment duration was 16 years in the model. Assuming linear treatment waning from Year 4 to Year </w:t>
            </w:r>
            <w:r w:rsidR="0044372B" w:rsidRPr="35298142">
              <w:t>1</w:t>
            </w:r>
            <w:r w:rsidR="0044372B">
              <w:t>8</w:t>
            </w:r>
            <w:r w:rsidR="0044372B" w:rsidRPr="35298142">
              <w:t xml:space="preserve"> </w:t>
            </w:r>
            <w:r w:rsidRPr="35298142">
              <w:t>may be more reasonable.</w:t>
            </w:r>
          </w:p>
        </w:tc>
        <w:tc>
          <w:tcPr>
            <w:tcW w:w="1466" w:type="pct"/>
            <w:vAlign w:val="center"/>
          </w:tcPr>
          <w:p w14:paraId="0AD58F2B" w14:textId="65778609" w:rsidR="00490B17" w:rsidRPr="00C41ECA" w:rsidRDefault="00D110BD" w:rsidP="001D69A8">
            <w:pPr>
              <w:pStyle w:val="TableText0"/>
            </w:pPr>
            <w:r w:rsidRPr="35298142">
              <w:t>High, favours</w:t>
            </w:r>
            <w:r w:rsidR="0032718D" w:rsidRPr="35298142">
              <w:t xml:space="preserve"> </w:t>
            </w:r>
            <w:proofErr w:type="spellStart"/>
            <w:r w:rsidR="0032718D" w:rsidRPr="35298142">
              <w:t>omaveloxolone</w:t>
            </w:r>
            <w:proofErr w:type="spellEnd"/>
            <w:r w:rsidR="0032718D" w:rsidRPr="35298142">
              <w:t xml:space="preserve">. Assuming linear treatment waning from Year 4 to Year </w:t>
            </w:r>
            <w:r w:rsidR="0044372B" w:rsidRPr="35298142">
              <w:t>1</w:t>
            </w:r>
            <w:r w:rsidR="0044372B">
              <w:t>8</w:t>
            </w:r>
            <w:r w:rsidR="0044372B" w:rsidRPr="35298142">
              <w:t xml:space="preserve"> </w:t>
            </w:r>
            <w:r w:rsidR="00274C66" w:rsidRPr="35298142">
              <w:t>decreased the incremental QALYs to 0.81</w:t>
            </w:r>
            <w:r w:rsidR="00CC4049" w:rsidRPr="35298142">
              <w:t xml:space="preserve"> and increased </w:t>
            </w:r>
            <w:r w:rsidR="0032718D" w:rsidRPr="35298142">
              <w:t>the ICER to $</w:t>
            </w:r>
            <w:r w:rsidR="003452C5" w:rsidRPr="00593178">
              <w:rPr>
                <w:color w:val="000000"/>
                <w:spacing w:val="55"/>
                <w:w w:val="96"/>
                <w:shd w:val="solid" w:color="000000" w:fill="000000"/>
                <w:fitText w:val="330" w:id="-694425594"/>
                <w14:textFill>
                  <w14:solidFill>
                    <w14:srgbClr w14:val="000000">
                      <w14:alpha w14:val="100000"/>
                    </w14:srgbClr>
                  </w14:solidFill>
                </w14:textFill>
              </w:rPr>
              <w:t>|||</w:t>
            </w:r>
            <w:r w:rsidR="003452C5" w:rsidRPr="00593178">
              <w:rPr>
                <w:color w:val="000000"/>
                <w:spacing w:val="2"/>
                <w:w w:val="96"/>
                <w:shd w:val="solid" w:color="000000" w:fill="000000"/>
                <w:fitText w:val="330" w:id="-694425594"/>
                <w14:textFill>
                  <w14:solidFill>
                    <w14:srgbClr w14:val="000000">
                      <w14:alpha w14:val="100000"/>
                    </w14:srgbClr>
                  </w14:solidFill>
                </w14:textFill>
              </w:rPr>
              <w:t>|</w:t>
            </w:r>
            <w:r w:rsidR="00DD2B5B" w:rsidRPr="00B62C89">
              <w:rPr>
                <w:vertAlign w:val="superscript"/>
              </w:rPr>
              <w:t>1</w:t>
            </w:r>
            <w:r w:rsidR="0032718D" w:rsidRPr="35298142">
              <w:t>/QALY gained.</w:t>
            </w:r>
          </w:p>
        </w:tc>
      </w:tr>
      <w:tr w:rsidR="00537182" w:rsidRPr="00C41ECA" w14:paraId="3483847F" w14:textId="77777777" w:rsidTr="35298142">
        <w:tc>
          <w:tcPr>
            <w:tcW w:w="626" w:type="pct"/>
            <w:vAlign w:val="center"/>
          </w:tcPr>
          <w:p w14:paraId="2724D8D9" w14:textId="118D2E6A" w:rsidR="00D110BD" w:rsidRPr="00C41ECA" w:rsidRDefault="0032718D" w:rsidP="001D69A8">
            <w:pPr>
              <w:pStyle w:val="TableText0"/>
            </w:pPr>
            <w:r w:rsidRPr="00C41ECA">
              <w:t xml:space="preserve">Utility values </w:t>
            </w:r>
          </w:p>
        </w:tc>
        <w:tc>
          <w:tcPr>
            <w:tcW w:w="2908" w:type="pct"/>
            <w:vAlign w:val="center"/>
          </w:tcPr>
          <w:p w14:paraId="4B9FCE0E" w14:textId="734809EE" w:rsidR="00D110BD" w:rsidRPr="00C41ECA" w:rsidRDefault="00361EB3" w:rsidP="001D69A8">
            <w:pPr>
              <w:pStyle w:val="TableText0"/>
            </w:pPr>
            <w:r w:rsidRPr="35298142">
              <w:t xml:space="preserve">Based on a linear regression which estimated a 0.012 decrement for each increase in </w:t>
            </w:r>
            <w:proofErr w:type="spellStart"/>
            <w:r w:rsidRPr="35298142">
              <w:t>mFARS</w:t>
            </w:r>
            <w:proofErr w:type="spellEnd"/>
            <w:r w:rsidRPr="35298142">
              <w:t xml:space="preserve">. The five data points used to form the regression was insufficient to relate </w:t>
            </w:r>
            <w:proofErr w:type="spellStart"/>
            <w:r w:rsidRPr="35298142">
              <w:t>mFARS</w:t>
            </w:r>
            <w:proofErr w:type="spellEnd"/>
            <w:r w:rsidRPr="35298142">
              <w:t xml:space="preserve"> to utility values for the full range of utility values applied in the economic model. Re-calibrating the linear regression so that the data points were based on ambulatory and non-ambulatory patients in Reetz et al.</w:t>
            </w:r>
            <w:r>
              <w:fldChar w:fldCharType="begin"/>
            </w:r>
            <w:r>
              <w:instrText xml:space="preserve"> NOTEREF _Ref185333482 \f \h  \* MERGEFORMAT </w:instrText>
            </w:r>
            <w:r>
              <w:fldChar w:fldCharType="separate"/>
            </w:r>
            <w:r w:rsidR="003A4643" w:rsidRPr="003A4643">
              <w:rPr>
                <w:rStyle w:val="FootnoteReference"/>
              </w:rPr>
              <w:t>11</w:t>
            </w:r>
            <w:r>
              <w:fldChar w:fldCharType="end"/>
            </w:r>
            <w:r w:rsidRPr="35298142">
              <w:t xml:space="preserve"> (instead of the pooled mean of these patients used in the submission’s regression) is a more reasonable approach.</w:t>
            </w:r>
          </w:p>
        </w:tc>
        <w:tc>
          <w:tcPr>
            <w:tcW w:w="1466" w:type="pct"/>
            <w:vAlign w:val="center"/>
          </w:tcPr>
          <w:p w14:paraId="4CB0C507" w14:textId="1EF096BF" w:rsidR="00D110BD" w:rsidRPr="00C41ECA" w:rsidRDefault="00537182" w:rsidP="001D69A8">
            <w:pPr>
              <w:pStyle w:val="TableText0"/>
            </w:pPr>
            <w:r w:rsidRPr="00C41ECA">
              <w:t xml:space="preserve">High, favours </w:t>
            </w:r>
            <w:proofErr w:type="spellStart"/>
            <w:r w:rsidR="00361EB3" w:rsidRPr="00C41ECA">
              <w:t>omaveloxolone</w:t>
            </w:r>
            <w:proofErr w:type="spellEnd"/>
            <w:r w:rsidR="00361EB3" w:rsidRPr="00C41ECA">
              <w:t>. Including ambulatory and non-</w:t>
            </w:r>
            <w:r w:rsidR="00764CA8" w:rsidRPr="00C41ECA">
              <w:t>ambulatory</w:t>
            </w:r>
            <w:r w:rsidR="00361EB3" w:rsidRPr="00C41ECA">
              <w:t xml:space="preserve"> patients in Reetz et al.</w:t>
            </w:r>
            <w:r w:rsidR="00764CA8" w:rsidRPr="00C41ECA">
              <w:fldChar w:fldCharType="begin"/>
            </w:r>
            <w:r w:rsidR="00764CA8" w:rsidRPr="00C41ECA">
              <w:instrText xml:space="preserve"> NOTEREF _Ref185333482 \f \h  \* MERGEFORMAT </w:instrText>
            </w:r>
            <w:r w:rsidR="00764CA8" w:rsidRPr="00C41ECA">
              <w:fldChar w:fldCharType="separate"/>
            </w:r>
            <w:r w:rsidR="003A4643" w:rsidRPr="003A4643">
              <w:rPr>
                <w:rStyle w:val="FootnoteReference"/>
              </w:rPr>
              <w:t>11</w:t>
            </w:r>
            <w:r w:rsidR="00764CA8" w:rsidRPr="00C41ECA">
              <w:fldChar w:fldCharType="end"/>
            </w:r>
            <w:r w:rsidR="00361EB3" w:rsidRPr="00C41ECA">
              <w:t xml:space="preserve"> as separate data points in the regression</w:t>
            </w:r>
            <w:r w:rsidR="00CC4049" w:rsidRPr="00C41ECA">
              <w:t xml:space="preserve"> decreased the incremental QALYs to 0.93 and</w:t>
            </w:r>
            <w:r w:rsidR="00361EB3" w:rsidRPr="00C41ECA">
              <w:t xml:space="preserve"> increased the ICER to </w:t>
            </w:r>
            <w:r w:rsidR="00361EB3" w:rsidRPr="00C41ECA">
              <w:rPr>
                <w:lang w:val="en-US"/>
              </w:rPr>
              <w:t>$</w:t>
            </w:r>
            <w:r w:rsidR="003452C5" w:rsidRPr="00593178">
              <w:rPr>
                <w:color w:val="000000"/>
                <w:spacing w:val="53"/>
                <w:shd w:val="solid" w:color="000000" w:fill="000000"/>
                <w:fitText w:val="330" w:id="-694425593"/>
                <w:lang w:val="en-US"/>
                <w14:textFill>
                  <w14:solidFill>
                    <w14:srgbClr w14:val="000000">
                      <w14:alpha w14:val="100000"/>
                    </w14:srgbClr>
                  </w14:solidFill>
                </w14:textFill>
              </w:rPr>
              <w:t>|||</w:t>
            </w:r>
            <w:r w:rsidR="003452C5" w:rsidRPr="00593178">
              <w:rPr>
                <w:color w:val="000000"/>
                <w:spacing w:val="1"/>
                <w:shd w:val="solid" w:color="000000" w:fill="000000"/>
                <w:fitText w:val="330" w:id="-694425593"/>
                <w:lang w:val="en-US"/>
                <w14:textFill>
                  <w14:solidFill>
                    <w14:srgbClr w14:val="000000">
                      <w14:alpha w14:val="100000"/>
                    </w14:srgbClr>
                  </w14:solidFill>
                </w14:textFill>
              </w:rPr>
              <w:t>|</w:t>
            </w:r>
            <w:r w:rsidR="00DD2B5B" w:rsidRPr="00B62C89">
              <w:rPr>
                <w:vertAlign w:val="superscript"/>
              </w:rPr>
              <w:t>1</w:t>
            </w:r>
            <w:r w:rsidR="00361EB3" w:rsidRPr="00C41ECA">
              <w:rPr>
                <w:lang w:val="en-US"/>
              </w:rPr>
              <w:t>/</w:t>
            </w:r>
            <w:r w:rsidR="00361EB3" w:rsidRPr="00C41ECA">
              <w:t>QALY gained</w:t>
            </w:r>
            <w:r w:rsidR="00274C66" w:rsidRPr="00C41ECA">
              <w:t>.</w:t>
            </w:r>
          </w:p>
        </w:tc>
      </w:tr>
      <w:tr w:rsidR="00537182" w:rsidRPr="00C41ECA" w14:paraId="39E46D5B" w14:textId="77777777" w:rsidTr="35298142">
        <w:tc>
          <w:tcPr>
            <w:tcW w:w="626" w:type="pct"/>
            <w:vAlign w:val="center"/>
          </w:tcPr>
          <w:p w14:paraId="347EC5A4" w14:textId="703A4DEE" w:rsidR="00D110BD" w:rsidRPr="00C41ECA" w:rsidRDefault="0032718D" w:rsidP="001D69A8">
            <w:pPr>
              <w:pStyle w:val="TableText0"/>
            </w:pPr>
            <w:r w:rsidRPr="00C41ECA">
              <w:t>OS modelling</w:t>
            </w:r>
          </w:p>
        </w:tc>
        <w:tc>
          <w:tcPr>
            <w:tcW w:w="2908" w:type="pct"/>
            <w:vAlign w:val="center"/>
          </w:tcPr>
          <w:p w14:paraId="7E7105AF" w14:textId="243F93E5" w:rsidR="00D110BD" w:rsidRPr="00C41ECA" w:rsidRDefault="00361EB3" w:rsidP="001D69A8">
            <w:pPr>
              <w:pStyle w:val="TableText0"/>
            </w:pPr>
            <w:r w:rsidRPr="00C41ECA">
              <w:t>Based on the extrapolation of very immature OS data from patients in the EFACTS registry and adjusting the OS curve with the competing risks approach with general population mortality</w:t>
            </w:r>
            <w:r w:rsidR="005050C3" w:rsidRPr="00C41ECA">
              <w:t xml:space="preserve"> (i.e. the highest instantaneous risk of death is applied from either the extrapolated OS curve or general population mortality)</w:t>
            </w:r>
            <w:r w:rsidRPr="00C41ECA">
              <w:t>.</w:t>
            </w:r>
            <w:r w:rsidR="00764CA8" w:rsidRPr="00C41ECA">
              <w:fldChar w:fldCharType="begin"/>
            </w:r>
            <w:r w:rsidR="00764CA8" w:rsidRPr="00C41ECA">
              <w:instrText xml:space="preserve"> NOTEREF _Ref185333546 \f \h </w:instrText>
            </w:r>
            <w:r w:rsidR="00C41ECA" w:rsidRPr="00C41ECA">
              <w:instrText xml:space="preserve"> \* MERGEFORMAT </w:instrText>
            </w:r>
            <w:r w:rsidR="00764CA8" w:rsidRPr="00C41ECA">
              <w:fldChar w:fldCharType="separate"/>
            </w:r>
            <w:r w:rsidR="003A4643" w:rsidRPr="003A4643">
              <w:rPr>
                <w:rStyle w:val="FootnoteReference"/>
              </w:rPr>
              <w:t>9</w:t>
            </w:r>
            <w:r w:rsidR="00764CA8" w:rsidRPr="00C41ECA">
              <w:fldChar w:fldCharType="end"/>
            </w:r>
            <w:r w:rsidRPr="00C41ECA">
              <w:t xml:space="preserve"> The adjustment for general population mortality was not reasonable as the unadjusted curve should be sufficient to model FA OS </w:t>
            </w:r>
            <w:r w:rsidR="00764CA8" w:rsidRPr="00C41ECA">
              <w:t>where</w:t>
            </w:r>
            <w:r w:rsidRPr="00C41ECA">
              <w:t xml:space="preserve"> the majority of patients</w:t>
            </w:r>
            <w:r w:rsidR="005050C3" w:rsidRPr="00C41ECA">
              <w:t xml:space="preserve"> experience disease-related mortality</w:t>
            </w:r>
            <w:r w:rsidRPr="00C41ECA">
              <w:t>.</w:t>
            </w:r>
            <w:r w:rsidR="00764CA8" w:rsidRPr="00C41ECA">
              <w:fldChar w:fldCharType="begin"/>
            </w:r>
            <w:r w:rsidR="00764CA8" w:rsidRPr="00C41ECA">
              <w:instrText xml:space="preserve"> NOTEREF _Ref185333575 \f \h </w:instrText>
            </w:r>
            <w:r w:rsidR="00C41ECA" w:rsidRPr="00C41ECA">
              <w:instrText xml:space="preserve"> \* MERGEFORMAT </w:instrText>
            </w:r>
            <w:r w:rsidR="00764CA8" w:rsidRPr="00C41ECA">
              <w:fldChar w:fldCharType="separate"/>
            </w:r>
            <w:r w:rsidR="003A4643">
              <w:rPr>
                <w:b/>
                <w:bCs w:val="0"/>
                <w:lang w:val="en-US"/>
              </w:rPr>
              <w:t xml:space="preserve">Error! </w:t>
            </w:r>
            <w:proofErr w:type="gramStart"/>
            <w:r w:rsidR="003A4643">
              <w:rPr>
                <w:b/>
                <w:bCs w:val="0"/>
                <w:lang w:val="en-US"/>
              </w:rPr>
              <w:t>Bookmark</w:t>
            </w:r>
            <w:proofErr w:type="gramEnd"/>
            <w:r w:rsidR="003A4643">
              <w:rPr>
                <w:b/>
                <w:bCs w:val="0"/>
                <w:lang w:val="en-US"/>
              </w:rPr>
              <w:t xml:space="preserve"> not defined.</w:t>
            </w:r>
            <w:r w:rsidR="00764CA8" w:rsidRPr="00C41ECA">
              <w:fldChar w:fldCharType="end"/>
            </w:r>
            <w:r w:rsidRPr="00C41ECA">
              <w:t xml:space="preserve"> However, the final unadjusted OS curves were implausible and modelled a substantial proportion of the populations alive in the final year of the model</w:t>
            </w:r>
            <w:r w:rsidR="00764CA8" w:rsidRPr="00C41ECA">
              <w:t xml:space="preserve">.  </w:t>
            </w:r>
            <w:r w:rsidRPr="00C41ECA">
              <w:t xml:space="preserve">  </w:t>
            </w:r>
          </w:p>
        </w:tc>
        <w:tc>
          <w:tcPr>
            <w:tcW w:w="1466" w:type="pct"/>
            <w:vAlign w:val="center"/>
          </w:tcPr>
          <w:p w14:paraId="50F3F3FF" w14:textId="317EA6B6" w:rsidR="00D110BD" w:rsidRPr="00C41ECA" w:rsidRDefault="00764CA8" w:rsidP="001D69A8">
            <w:pPr>
              <w:pStyle w:val="TableText0"/>
            </w:pPr>
            <w:r w:rsidRPr="00C41ECA">
              <w:t xml:space="preserve">Moderate, favours </w:t>
            </w:r>
            <w:proofErr w:type="spellStart"/>
            <w:r w:rsidRPr="00C41ECA">
              <w:t>omaveloxolone</w:t>
            </w:r>
            <w:proofErr w:type="spellEnd"/>
            <w:r w:rsidRPr="00C41ECA">
              <w:t xml:space="preserve">. Using a different OS modelling </w:t>
            </w:r>
            <w:proofErr w:type="spellStart"/>
            <w:r w:rsidRPr="00C41ECA">
              <w:t>approach</w:t>
            </w:r>
            <w:r w:rsidR="005752B0" w:rsidRPr="00C41ECA">
              <w:rPr>
                <w:vertAlign w:val="superscript"/>
              </w:rPr>
              <w:t>a</w:t>
            </w:r>
            <w:proofErr w:type="spellEnd"/>
            <w:r w:rsidRPr="00C41ECA">
              <w:t xml:space="preserve"> </w:t>
            </w:r>
            <w:r w:rsidR="00CC4049" w:rsidRPr="00C41ECA">
              <w:t>decreased the incremental QALYs to 0.97 and</w:t>
            </w:r>
            <w:r w:rsidR="001472AF" w:rsidRPr="00C41ECA">
              <w:t xml:space="preserve"> </w:t>
            </w:r>
            <w:r w:rsidRPr="00C41ECA">
              <w:t xml:space="preserve">increased the ICER to </w:t>
            </w:r>
            <w:r w:rsidRPr="00C41ECA">
              <w:rPr>
                <w:lang w:val="en-US"/>
              </w:rPr>
              <w:t>$</w:t>
            </w:r>
            <w:r w:rsidR="003452C5">
              <w:rPr>
                <w:color w:val="000000"/>
                <w:spacing w:val="52"/>
                <w:shd w:val="solid" w:color="000000" w:fill="000000"/>
                <w:fitText w:val="330" w:id="-694425592"/>
                <w:lang w:val="en-US"/>
                <w14:textFill>
                  <w14:solidFill>
                    <w14:srgbClr w14:val="000000">
                      <w14:alpha w14:val="100000"/>
                    </w14:srgbClr>
                  </w14:solidFill>
                </w14:textFill>
              </w:rPr>
              <w:t>|||</w:t>
            </w:r>
            <w:r w:rsidR="003452C5">
              <w:rPr>
                <w:color w:val="000000"/>
                <w:spacing w:val="2"/>
                <w:shd w:val="solid" w:color="000000" w:fill="000000"/>
                <w:fitText w:val="330" w:id="-694425592"/>
                <w:lang w:val="en-US"/>
                <w14:textFill>
                  <w14:solidFill>
                    <w14:srgbClr w14:val="000000">
                      <w14:alpha w14:val="100000"/>
                    </w14:srgbClr>
                  </w14:solidFill>
                </w14:textFill>
              </w:rPr>
              <w:t>|</w:t>
            </w:r>
            <w:r w:rsidR="00DD2B5B" w:rsidRPr="00B62C89">
              <w:rPr>
                <w:vertAlign w:val="superscript"/>
              </w:rPr>
              <w:t>1</w:t>
            </w:r>
            <w:r w:rsidRPr="00C41ECA">
              <w:rPr>
                <w:lang w:val="en-US"/>
              </w:rPr>
              <w:t>/</w:t>
            </w:r>
            <w:r w:rsidRPr="00C41ECA">
              <w:t>QALY gained.</w:t>
            </w:r>
          </w:p>
        </w:tc>
      </w:tr>
    </w:tbl>
    <w:p w14:paraId="30E97087" w14:textId="7A077478" w:rsidR="00D110BD" w:rsidRPr="00C41ECA" w:rsidRDefault="009D792E" w:rsidP="001D69A8">
      <w:pPr>
        <w:pStyle w:val="FooterTableFigure"/>
        <w:keepNext/>
        <w:keepLines/>
      </w:pPr>
      <w:r w:rsidRPr="00C41ECA">
        <w:t xml:space="preserve">Source: </w:t>
      </w:r>
      <w:r w:rsidR="00764CA8" w:rsidRPr="00C41ECA">
        <w:t>Constructed during the evaluation.</w:t>
      </w:r>
    </w:p>
    <w:p w14:paraId="2857F918" w14:textId="181136FF" w:rsidR="005752B0" w:rsidRPr="00C41ECA" w:rsidRDefault="00764CA8" w:rsidP="001D69A8">
      <w:pPr>
        <w:pStyle w:val="FooterTableFigure"/>
        <w:keepNext/>
        <w:keepLines/>
      </w:pPr>
      <w:r w:rsidRPr="35298142">
        <w:t>EFACTS=European Friedreich's Ataxia Consortium for Translational Studies; FA=Friedreich's Ataxia;</w:t>
      </w:r>
      <w:r w:rsidR="005752B0" w:rsidRPr="35298142">
        <w:t xml:space="preserve"> HR=hazard ratio;</w:t>
      </w:r>
      <w:r w:rsidRPr="35298142">
        <w:t xml:space="preserve"> ICER=incremental cost-effectiveness ratio;</w:t>
      </w:r>
      <w:r w:rsidR="005752B0" w:rsidRPr="35298142">
        <w:t xml:space="preserve"> KM=Kaplan Meier;</w:t>
      </w:r>
      <w:r w:rsidRPr="35298142">
        <w:t xml:space="preserve"> </w:t>
      </w:r>
      <w:proofErr w:type="spellStart"/>
      <w:r w:rsidRPr="35298142">
        <w:t>mFARS</w:t>
      </w:r>
      <w:proofErr w:type="spellEnd"/>
      <w:r w:rsidRPr="35298142">
        <w:t>=modified Friedreich’s Ataxia rating scale; OS=overall survival; QALY=quality-adjusted life year.</w:t>
      </w:r>
    </w:p>
    <w:p w14:paraId="1B03BBB2" w14:textId="77777777" w:rsidR="00B51838" w:rsidRDefault="005752B0" w:rsidP="001D69A8">
      <w:pPr>
        <w:pStyle w:val="FooterTableFigure"/>
        <w:keepNext/>
        <w:keepLines/>
      </w:pPr>
      <w:r w:rsidRPr="35298142">
        <w:rPr>
          <w:vertAlign w:val="superscript"/>
        </w:rPr>
        <w:t xml:space="preserve">a </w:t>
      </w:r>
      <w:r w:rsidRPr="35298142">
        <w:t xml:space="preserve">An alternative modelling approach explored by the </w:t>
      </w:r>
      <w:r w:rsidR="00A31FC7" w:rsidRPr="35298142">
        <w:t>evaluation</w:t>
      </w:r>
      <w:r w:rsidRPr="35298142">
        <w:t>, which did not involve extrapolating the OS KM data in Indelicato et al. but applied FA mortality HRs to general population mortality.</w:t>
      </w:r>
      <w:r w:rsidR="00B51838" w:rsidRPr="00B51838">
        <w:t xml:space="preserve"> </w:t>
      </w:r>
    </w:p>
    <w:p w14:paraId="12AD8C12" w14:textId="5D2CCEBB" w:rsidR="00B51838" w:rsidRPr="001D69A8" w:rsidRDefault="00B51838" w:rsidP="001D69A8">
      <w:pPr>
        <w:pStyle w:val="FooterTableFigure"/>
        <w:keepNext/>
        <w:keepLines/>
        <w:rPr>
          <w:i/>
          <w:iCs/>
        </w:rPr>
      </w:pPr>
      <w:r w:rsidRPr="001D69A8">
        <w:rPr>
          <w:i/>
          <w:iCs/>
        </w:rPr>
        <w:t>The redacted values correspond to the following ranges:</w:t>
      </w:r>
    </w:p>
    <w:p w14:paraId="7BAD56D7" w14:textId="77777777" w:rsidR="00557399" w:rsidRPr="001D69A8" w:rsidRDefault="00B51838" w:rsidP="001D69A8">
      <w:pPr>
        <w:pStyle w:val="FooterTableFigure"/>
        <w:keepNext/>
        <w:keepLines/>
        <w:rPr>
          <w:i/>
          <w:iCs/>
        </w:rPr>
      </w:pPr>
      <w:r w:rsidRPr="001D69A8">
        <w:rPr>
          <w:i/>
          <w:iCs/>
        </w:rPr>
        <w:t xml:space="preserve">1 </w:t>
      </w:r>
      <w:r w:rsidR="00557399" w:rsidRPr="001D69A8">
        <w:rPr>
          <w:i/>
          <w:iCs/>
        </w:rPr>
        <w:t>&gt; $1,055,000</w:t>
      </w:r>
    </w:p>
    <w:p w14:paraId="371322F0" w14:textId="4D149751" w:rsidR="005752B0" w:rsidRPr="00C41ECA" w:rsidRDefault="005752B0" w:rsidP="005752B0">
      <w:pPr>
        <w:pStyle w:val="3-BodyText"/>
      </w:pPr>
      <w:r w:rsidRPr="35298142">
        <w:t xml:space="preserve">The submission conducted a stepped analysis presented in </w:t>
      </w:r>
      <w:r>
        <w:fldChar w:fldCharType="begin"/>
      </w:r>
      <w:r>
        <w:instrText xml:space="preserve"> REF _Ref104805160 \h  \* MERGEFORMAT </w:instrText>
      </w:r>
      <w:r>
        <w:fldChar w:fldCharType="separate"/>
      </w:r>
      <w:r w:rsidR="003A4643" w:rsidRPr="00C41ECA">
        <w:t xml:space="preserve">Table </w:t>
      </w:r>
      <w:r w:rsidR="003A4643">
        <w:rPr>
          <w:noProof/>
        </w:rPr>
        <w:t>17</w:t>
      </w:r>
      <w:r>
        <w:fldChar w:fldCharType="end"/>
      </w:r>
      <w:r w:rsidRPr="35298142">
        <w:t xml:space="preserve">.  Transforming avoided change in </w:t>
      </w:r>
      <w:proofErr w:type="spellStart"/>
      <w:r w:rsidRPr="35298142">
        <w:t>mFARS</w:t>
      </w:r>
      <w:proofErr w:type="spellEnd"/>
      <w:r w:rsidRPr="35298142">
        <w:t xml:space="preserve"> to survival gains resulted in a substantial increase in the ICER (</w:t>
      </w:r>
      <w:r w:rsidR="0097693E">
        <w:t>S</w:t>
      </w:r>
      <w:r w:rsidR="0097693E" w:rsidRPr="35298142">
        <w:t xml:space="preserve">tep </w:t>
      </w:r>
      <w:r w:rsidRPr="35298142">
        <w:t xml:space="preserve">1 to 2). However, this is expected given the small change in </w:t>
      </w:r>
      <w:proofErr w:type="spellStart"/>
      <w:r w:rsidRPr="35298142">
        <w:t>mFARS</w:t>
      </w:r>
      <w:proofErr w:type="spellEnd"/>
      <w:r w:rsidRPr="35298142">
        <w:t xml:space="preserve"> over the short time horizon (three-years) is unlikely to result in any substantial survival gain. As expected, extrapolating survival out to a lifetime time horizon resulted in a substantial decrease in the ICER (</w:t>
      </w:r>
      <w:r w:rsidR="0097693E">
        <w:t>S</w:t>
      </w:r>
      <w:r w:rsidR="0097693E" w:rsidRPr="35298142">
        <w:t xml:space="preserve">tep </w:t>
      </w:r>
      <w:r w:rsidRPr="35298142">
        <w:t>4 to 5) and transforming this to QALYs further reduced the ICER (</w:t>
      </w:r>
      <w:r w:rsidR="0097693E">
        <w:t>S</w:t>
      </w:r>
      <w:r w:rsidR="0097693E" w:rsidRPr="35298142">
        <w:t xml:space="preserve">tep </w:t>
      </w:r>
      <w:r w:rsidRPr="35298142">
        <w:t xml:space="preserve">5 to 6) as the majority of </w:t>
      </w:r>
      <w:proofErr w:type="spellStart"/>
      <w:r w:rsidRPr="35298142">
        <w:t>omaveloxolone</w:t>
      </w:r>
      <w:proofErr w:type="spellEnd"/>
      <w:r w:rsidRPr="35298142">
        <w:t xml:space="preserve"> benefit is reducing </w:t>
      </w:r>
      <w:proofErr w:type="spellStart"/>
      <w:r w:rsidRPr="35298142">
        <w:t>mFARS</w:t>
      </w:r>
      <w:proofErr w:type="spellEnd"/>
      <w:r w:rsidRPr="35298142">
        <w:t xml:space="preserve"> progression which </w:t>
      </w:r>
      <w:r w:rsidR="001A1174" w:rsidRPr="35298142">
        <w:t xml:space="preserve">delays </w:t>
      </w:r>
      <w:r w:rsidRPr="35298142">
        <w:t xml:space="preserve">quality of life </w:t>
      </w:r>
      <w:r w:rsidR="001A1174" w:rsidRPr="35298142">
        <w:t xml:space="preserve">deterioration </w:t>
      </w:r>
      <w:r w:rsidRPr="35298142">
        <w:t xml:space="preserve">in the model. However, as raised above (paragraph </w:t>
      </w:r>
      <w:r>
        <w:fldChar w:fldCharType="begin"/>
      </w:r>
      <w:r>
        <w:instrText xml:space="preserve"> REF _Ref185334163 \r \h  \* MERGEFORMAT </w:instrText>
      </w:r>
      <w:r>
        <w:fldChar w:fldCharType="separate"/>
      </w:r>
      <w:r w:rsidR="003A4643">
        <w:t>6.68</w:t>
      </w:r>
      <w:r>
        <w:fldChar w:fldCharType="end"/>
      </w:r>
      <w:r w:rsidRPr="35298142">
        <w:t>), the applied utility values are a key uncertainty in the economic evaluation.</w:t>
      </w:r>
    </w:p>
    <w:p w14:paraId="63D487B8" w14:textId="7B56DCF6" w:rsidR="00D110BD" w:rsidRPr="00C41ECA" w:rsidRDefault="00E16AD8" w:rsidP="00E16AD8">
      <w:pPr>
        <w:pStyle w:val="Caption"/>
      </w:pPr>
      <w:bookmarkStart w:id="55" w:name="_Ref104805160"/>
      <w:r w:rsidRPr="00C41ECA">
        <w:t xml:space="preserve">Table </w:t>
      </w:r>
      <w:r w:rsidR="00B717AF">
        <w:fldChar w:fldCharType="begin"/>
      </w:r>
      <w:r w:rsidR="00B717AF">
        <w:instrText xml:space="preserve"> SEQ Table \* ARABIC </w:instrText>
      </w:r>
      <w:r w:rsidR="00B717AF">
        <w:fldChar w:fldCharType="separate"/>
      </w:r>
      <w:r w:rsidR="003A4643">
        <w:rPr>
          <w:noProof/>
        </w:rPr>
        <w:t>17</w:t>
      </w:r>
      <w:r w:rsidR="00B717AF">
        <w:rPr>
          <w:noProof/>
        </w:rPr>
        <w:fldChar w:fldCharType="end"/>
      </w:r>
      <w:bookmarkEnd w:id="55"/>
      <w:r w:rsidRPr="00C41ECA">
        <w:t>:</w:t>
      </w:r>
      <w:r w:rsidR="005A373D" w:rsidRPr="00C41ECA">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7: Results of the stepped economic evaluation"/>
      </w:tblPr>
      <w:tblGrid>
        <w:gridCol w:w="2829"/>
        <w:gridCol w:w="2379"/>
        <w:gridCol w:w="31"/>
        <w:gridCol w:w="2267"/>
        <w:gridCol w:w="1511"/>
      </w:tblGrid>
      <w:tr w:rsidR="005752B0" w:rsidRPr="00C41ECA" w14:paraId="78FD6905" w14:textId="77777777" w:rsidTr="35298142">
        <w:trPr>
          <w:tblHeader/>
        </w:trPr>
        <w:tc>
          <w:tcPr>
            <w:tcW w:w="1569" w:type="pct"/>
            <w:vAlign w:val="center"/>
          </w:tcPr>
          <w:p w14:paraId="740D78DD" w14:textId="77777777" w:rsidR="005752B0" w:rsidRPr="00C41ECA" w:rsidRDefault="005752B0" w:rsidP="00C83CBF">
            <w:pPr>
              <w:pStyle w:val="In-tableHeading"/>
            </w:pPr>
            <w:r w:rsidRPr="00C41ECA">
              <w:t>Step and component</w:t>
            </w:r>
          </w:p>
        </w:tc>
        <w:tc>
          <w:tcPr>
            <w:tcW w:w="1319" w:type="pct"/>
            <w:vAlign w:val="center"/>
          </w:tcPr>
          <w:p w14:paraId="43E2B105" w14:textId="77777777" w:rsidR="005752B0" w:rsidRPr="00C41ECA" w:rsidRDefault="005752B0" w:rsidP="00C83CBF">
            <w:pPr>
              <w:pStyle w:val="In-tableHeading"/>
            </w:pPr>
            <w:proofErr w:type="spellStart"/>
            <w:r w:rsidRPr="00C41ECA">
              <w:t>Omaveloxolone</w:t>
            </w:r>
            <w:proofErr w:type="spellEnd"/>
          </w:p>
        </w:tc>
        <w:tc>
          <w:tcPr>
            <w:tcW w:w="1274" w:type="pct"/>
            <w:gridSpan w:val="2"/>
            <w:vAlign w:val="center"/>
          </w:tcPr>
          <w:p w14:paraId="6AADD4AC" w14:textId="77777777" w:rsidR="005752B0" w:rsidRPr="00C41ECA" w:rsidRDefault="005752B0" w:rsidP="00C83CBF">
            <w:pPr>
              <w:pStyle w:val="In-tableHeading"/>
            </w:pPr>
            <w:r w:rsidRPr="00C41ECA">
              <w:t>BSC</w:t>
            </w:r>
          </w:p>
        </w:tc>
        <w:tc>
          <w:tcPr>
            <w:tcW w:w="838" w:type="pct"/>
            <w:vAlign w:val="center"/>
          </w:tcPr>
          <w:p w14:paraId="29C4ABBE" w14:textId="77777777" w:rsidR="005752B0" w:rsidRPr="00C41ECA" w:rsidRDefault="005752B0" w:rsidP="00C83CBF">
            <w:pPr>
              <w:pStyle w:val="In-tableHeading"/>
            </w:pPr>
            <w:r w:rsidRPr="00C41ECA">
              <w:t>Increment</w:t>
            </w:r>
          </w:p>
        </w:tc>
      </w:tr>
      <w:tr w:rsidR="005752B0" w:rsidRPr="00C41ECA" w14:paraId="62514D4B" w14:textId="77777777" w:rsidTr="35298142">
        <w:tc>
          <w:tcPr>
            <w:tcW w:w="5000" w:type="pct"/>
            <w:gridSpan w:val="5"/>
            <w:vAlign w:val="center"/>
          </w:tcPr>
          <w:p w14:paraId="2CB2CC38" w14:textId="77777777" w:rsidR="005752B0" w:rsidRPr="00C41ECA" w:rsidRDefault="005752B0" w:rsidP="35298142">
            <w:pPr>
              <w:pStyle w:val="TableText0"/>
              <w:rPr>
                <w:b/>
                <w:vertAlign w:val="superscript"/>
              </w:rPr>
            </w:pPr>
            <w:r w:rsidRPr="35298142">
              <w:rPr>
                <w:b/>
              </w:rPr>
              <w:t>Step 1: Propensity matched analysis costs and outcomes (3-year time horizon)</w:t>
            </w:r>
            <w:r w:rsidRPr="35298142">
              <w:rPr>
                <w:b/>
                <w:vertAlign w:val="superscript"/>
              </w:rPr>
              <w:t>a</w:t>
            </w:r>
          </w:p>
        </w:tc>
      </w:tr>
      <w:tr w:rsidR="005752B0" w:rsidRPr="00C41ECA" w14:paraId="3724029C" w14:textId="77777777" w:rsidTr="35298142">
        <w:tc>
          <w:tcPr>
            <w:tcW w:w="1569" w:type="pct"/>
            <w:vAlign w:val="center"/>
          </w:tcPr>
          <w:p w14:paraId="640F24FD" w14:textId="77777777" w:rsidR="005752B0" w:rsidRPr="00C41ECA" w:rsidRDefault="005752B0" w:rsidP="00967D46">
            <w:pPr>
              <w:pStyle w:val="TableText0"/>
              <w:rPr>
                <w:rFonts w:ascii="Times" w:hAnsi="Times"/>
              </w:rPr>
            </w:pPr>
            <w:r w:rsidRPr="00C41ECA">
              <w:t>Costs</w:t>
            </w:r>
          </w:p>
        </w:tc>
        <w:tc>
          <w:tcPr>
            <w:tcW w:w="1319" w:type="pct"/>
            <w:vAlign w:val="center"/>
          </w:tcPr>
          <w:p w14:paraId="340AE995" w14:textId="45410D86" w:rsidR="005752B0" w:rsidRPr="00C41ECA" w:rsidRDefault="005752B0" w:rsidP="00967D46">
            <w:pPr>
              <w:pStyle w:val="TableText0"/>
              <w:jc w:val="center"/>
              <w:rPr>
                <w:rFonts w:ascii="Times" w:hAnsi="Times"/>
              </w:rPr>
            </w:pPr>
            <w:r w:rsidRPr="00C41ECA">
              <w:t>$</w:t>
            </w:r>
            <w:r w:rsidR="003452C5" w:rsidRPr="003452C5">
              <w:rPr>
                <w:color w:val="000000"/>
                <w:spacing w:val="53"/>
                <w:shd w:val="solid" w:color="000000" w:fill="000000"/>
                <w:fitText w:val="330" w:id="-694425591"/>
                <w14:textFill>
                  <w14:solidFill>
                    <w14:srgbClr w14:val="000000">
                      <w14:alpha w14:val="100000"/>
                    </w14:srgbClr>
                  </w14:solidFill>
                </w14:textFill>
              </w:rPr>
              <w:t>|||</w:t>
            </w:r>
            <w:r w:rsidR="003452C5" w:rsidRPr="003452C5">
              <w:rPr>
                <w:color w:val="000000"/>
                <w:spacing w:val="1"/>
                <w:shd w:val="solid" w:color="000000" w:fill="000000"/>
                <w:fitText w:val="330" w:id="-694425591"/>
                <w14:textFill>
                  <w14:solidFill>
                    <w14:srgbClr w14:val="000000">
                      <w14:alpha w14:val="100000"/>
                    </w14:srgbClr>
                  </w14:solidFill>
                </w14:textFill>
              </w:rPr>
              <w:t>|</w:t>
            </w:r>
          </w:p>
        </w:tc>
        <w:tc>
          <w:tcPr>
            <w:tcW w:w="1274" w:type="pct"/>
            <w:gridSpan w:val="2"/>
            <w:vAlign w:val="center"/>
          </w:tcPr>
          <w:p w14:paraId="21AFD3A5" w14:textId="77777777" w:rsidR="005752B0" w:rsidRPr="00C41ECA" w:rsidRDefault="005752B0" w:rsidP="00967D46">
            <w:pPr>
              <w:pStyle w:val="TableText0"/>
              <w:jc w:val="center"/>
              <w:rPr>
                <w:rFonts w:ascii="Times" w:hAnsi="Times"/>
              </w:rPr>
            </w:pPr>
            <w:r w:rsidRPr="00C41ECA">
              <w:t>$0</w:t>
            </w:r>
          </w:p>
        </w:tc>
        <w:tc>
          <w:tcPr>
            <w:tcW w:w="838" w:type="pct"/>
            <w:vAlign w:val="center"/>
          </w:tcPr>
          <w:p w14:paraId="71572499" w14:textId="5BCD2DDB" w:rsidR="005752B0" w:rsidRPr="00C41ECA" w:rsidRDefault="005752B0" w:rsidP="00967D46">
            <w:pPr>
              <w:pStyle w:val="TableText0"/>
              <w:jc w:val="center"/>
              <w:rPr>
                <w:rFonts w:ascii="Times" w:hAnsi="Times"/>
              </w:rPr>
            </w:pPr>
            <w:r w:rsidRPr="00C41ECA">
              <w:t>$</w:t>
            </w:r>
            <w:r w:rsidR="003452C5" w:rsidRPr="003452C5">
              <w:rPr>
                <w:color w:val="000000"/>
                <w:spacing w:val="53"/>
                <w:shd w:val="solid" w:color="000000" w:fill="000000"/>
                <w:fitText w:val="330" w:id="-694425590"/>
                <w14:textFill>
                  <w14:solidFill>
                    <w14:srgbClr w14:val="000000">
                      <w14:alpha w14:val="100000"/>
                    </w14:srgbClr>
                  </w14:solidFill>
                </w14:textFill>
              </w:rPr>
              <w:t>|||</w:t>
            </w:r>
            <w:r w:rsidR="003452C5" w:rsidRPr="003452C5">
              <w:rPr>
                <w:color w:val="000000"/>
                <w:spacing w:val="1"/>
                <w:shd w:val="solid" w:color="000000" w:fill="000000"/>
                <w:fitText w:val="330" w:id="-694425590"/>
                <w14:textFill>
                  <w14:solidFill>
                    <w14:srgbClr w14:val="000000">
                      <w14:alpha w14:val="100000"/>
                    </w14:srgbClr>
                  </w14:solidFill>
                </w14:textFill>
              </w:rPr>
              <w:t>|</w:t>
            </w:r>
          </w:p>
        </w:tc>
      </w:tr>
      <w:tr w:rsidR="005752B0" w:rsidRPr="00C41ECA" w14:paraId="20D29ABB" w14:textId="77777777" w:rsidTr="35298142">
        <w:tc>
          <w:tcPr>
            <w:tcW w:w="1569" w:type="pct"/>
            <w:vAlign w:val="center"/>
          </w:tcPr>
          <w:p w14:paraId="7B84EC6A" w14:textId="77777777" w:rsidR="005752B0" w:rsidRPr="00C41ECA" w:rsidRDefault="005752B0" w:rsidP="35298142">
            <w:pPr>
              <w:pStyle w:val="TableText0"/>
              <w:rPr>
                <w:rFonts w:ascii="Times" w:hAnsi="Times"/>
              </w:rPr>
            </w:pPr>
            <w:r w:rsidRPr="35298142">
              <w:t xml:space="preserve">Change in </w:t>
            </w:r>
            <w:proofErr w:type="spellStart"/>
            <w:r w:rsidRPr="35298142">
              <w:t>mFARS</w:t>
            </w:r>
            <w:proofErr w:type="spellEnd"/>
          </w:p>
        </w:tc>
        <w:tc>
          <w:tcPr>
            <w:tcW w:w="1319" w:type="pct"/>
            <w:vAlign w:val="center"/>
          </w:tcPr>
          <w:p w14:paraId="356EA53B" w14:textId="77777777" w:rsidR="005752B0" w:rsidRPr="00C41ECA" w:rsidRDefault="005752B0" w:rsidP="00967D46">
            <w:pPr>
              <w:pStyle w:val="TableText0"/>
              <w:jc w:val="center"/>
              <w:rPr>
                <w:rFonts w:ascii="Times" w:hAnsi="Times"/>
              </w:rPr>
            </w:pPr>
            <w:r w:rsidRPr="00C41ECA">
              <w:t>1.99</w:t>
            </w:r>
          </w:p>
        </w:tc>
        <w:tc>
          <w:tcPr>
            <w:tcW w:w="1274" w:type="pct"/>
            <w:gridSpan w:val="2"/>
            <w:vAlign w:val="center"/>
          </w:tcPr>
          <w:p w14:paraId="70C592AF" w14:textId="77777777" w:rsidR="005752B0" w:rsidRPr="00C41ECA" w:rsidRDefault="005752B0" w:rsidP="00967D46">
            <w:pPr>
              <w:pStyle w:val="TableText0"/>
              <w:jc w:val="center"/>
              <w:rPr>
                <w:rFonts w:ascii="Times" w:hAnsi="Times"/>
              </w:rPr>
            </w:pPr>
            <w:r w:rsidRPr="00C41ECA">
              <w:t>4.04</w:t>
            </w:r>
          </w:p>
        </w:tc>
        <w:tc>
          <w:tcPr>
            <w:tcW w:w="838" w:type="pct"/>
            <w:vAlign w:val="center"/>
          </w:tcPr>
          <w:p w14:paraId="66994400" w14:textId="77777777" w:rsidR="005752B0" w:rsidRPr="00C41ECA" w:rsidRDefault="005752B0" w:rsidP="00967D46">
            <w:pPr>
              <w:pStyle w:val="TableText0"/>
              <w:jc w:val="center"/>
            </w:pPr>
            <w:r w:rsidRPr="00C41ECA">
              <w:t>-2.05</w:t>
            </w:r>
          </w:p>
        </w:tc>
      </w:tr>
      <w:tr w:rsidR="005752B0" w:rsidRPr="00C41ECA" w14:paraId="2C94DBAD" w14:textId="77777777" w:rsidTr="35298142">
        <w:tc>
          <w:tcPr>
            <w:tcW w:w="4162" w:type="pct"/>
            <w:gridSpan w:val="4"/>
            <w:vAlign w:val="center"/>
          </w:tcPr>
          <w:p w14:paraId="4A86AC88" w14:textId="77777777" w:rsidR="005752B0" w:rsidRPr="00C41ECA" w:rsidRDefault="005752B0" w:rsidP="35298142">
            <w:pPr>
              <w:pStyle w:val="TableText0"/>
              <w:rPr>
                <w:rFonts w:ascii="Times" w:hAnsi="Times"/>
              </w:rPr>
            </w:pPr>
            <w:r w:rsidRPr="35298142">
              <w:t xml:space="preserve">Incremental cost/change in </w:t>
            </w:r>
            <w:proofErr w:type="spellStart"/>
            <w:r w:rsidRPr="35298142">
              <w:t>mFARS</w:t>
            </w:r>
            <w:proofErr w:type="spellEnd"/>
            <w:r w:rsidRPr="35298142">
              <w:t xml:space="preserve"> score avoided</w:t>
            </w:r>
          </w:p>
        </w:tc>
        <w:tc>
          <w:tcPr>
            <w:tcW w:w="838" w:type="pct"/>
            <w:vAlign w:val="center"/>
          </w:tcPr>
          <w:p w14:paraId="2B95CAE1" w14:textId="24C4DDA6" w:rsidR="005752B0" w:rsidRPr="00C41ECA" w:rsidRDefault="005752B0" w:rsidP="00967D46">
            <w:pPr>
              <w:pStyle w:val="TableText0"/>
              <w:jc w:val="center"/>
              <w:rPr>
                <w:rFonts w:ascii="Times" w:hAnsi="Times"/>
              </w:rPr>
            </w:pPr>
            <w:r w:rsidRPr="00C41ECA">
              <w:t>$</w:t>
            </w:r>
            <w:r w:rsidR="003452C5" w:rsidRPr="003452C5">
              <w:rPr>
                <w:color w:val="000000"/>
                <w:spacing w:val="53"/>
                <w:shd w:val="solid" w:color="000000" w:fill="000000"/>
                <w:fitText w:val="330" w:id="-694425589"/>
                <w14:textFill>
                  <w14:solidFill>
                    <w14:srgbClr w14:val="000000">
                      <w14:alpha w14:val="100000"/>
                    </w14:srgbClr>
                  </w14:solidFill>
                </w14:textFill>
              </w:rPr>
              <w:t>|||</w:t>
            </w:r>
            <w:r w:rsidR="003452C5" w:rsidRPr="003452C5">
              <w:rPr>
                <w:color w:val="000000"/>
                <w:spacing w:val="1"/>
                <w:shd w:val="solid" w:color="000000" w:fill="000000"/>
                <w:fitText w:val="330" w:id="-694425589"/>
                <w14:textFill>
                  <w14:solidFill>
                    <w14:srgbClr w14:val="000000">
                      <w14:alpha w14:val="100000"/>
                    </w14:srgbClr>
                  </w14:solidFill>
                </w14:textFill>
              </w:rPr>
              <w:t>|</w:t>
            </w:r>
            <w:r w:rsidR="002D2FBE" w:rsidRPr="002D2FBE">
              <w:rPr>
                <w:vertAlign w:val="superscript"/>
              </w:rPr>
              <w:t>1</w:t>
            </w:r>
          </w:p>
        </w:tc>
      </w:tr>
      <w:tr w:rsidR="005752B0" w:rsidRPr="00C41ECA" w14:paraId="044A1CF6" w14:textId="77777777" w:rsidTr="35298142">
        <w:tc>
          <w:tcPr>
            <w:tcW w:w="5000" w:type="pct"/>
            <w:gridSpan w:val="5"/>
            <w:vAlign w:val="center"/>
          </w:tcPr>
          <w:p w14:paraId="65BC4FB1" w14:textId="77777777" w:rsidR="005752B0" w:rsidRPr="00C41ECA" w:rsidRDefault="005752B0" w:rsidP="00C83CBF">
            <w:pPr>
              <w:pStyle w:val="In-tableHeading"/>
            </w:pPr>
            <w:r w:rsidRPr="00C41ECA">
              <w:t xml:space="preserve">Step 2: </w:t>
            </w:r>
            <w:proofErr w:type="spellStart"/>
            <w:r w:rsidRPr="00C41ECA">
              <w:t>mFARS</w:t>
            </w:r>
            <w:proofErr w:type="spellEnd"/>
            <w:r w:rsidRPr="00C41ECA">
              <w:t xml:space="preserve"> scores transformed to survival</w:t>
            </w:r>
          </w:p>
        </w:tc>
      </w:tr>
      <w:tr w:rsidR="005752B0" w:rsidRPr="00C41ECA" w14:paraId="6ECA5A39" w14:textId="77777777" w:rsidTr="35298142">
        <w:tc>
          <w:tcPr>
            <w:tcW w:w="1569" w:type="pct"/>
            <w:vAlign w:val="center"/>
          </w:tcPr>
          <w:p w14:paraId="2A45ACCF" w14:textId="77777777" w:rsidR="005752B0" w:rsidRPr="00C41ECA" w:rsidRDefault="005752B0" w:rsidP="00967D46">
            <w:pPr>
              <w:pStyle w:val="TableText0"/>
              <w:rPr>
                <w:rFonts w:ascii="Times" w:hAnsi="Times"/>
              </w:rPr>
            </w:pPr>
            <w:r w:rsidRPr="00C41ECA">
              <w:t>Costs</w:t>
            </w:r>
          </w:p>
        </w:tc>
        <w:tc>
          <w:tcPr>
            <w:tcW w:w="1319" w:type="pct"/>
            <w:vAlign w:val="center"/>
          </w:tcPr>
          <w:p w14:paraId="4E0357D1" w14:textId="521B2E25" w:rsidR="005752B0" w:rsidRPr="00C41ECA" w:rsidRDefault="005752B0" w:rsidP="00967D46">
            <w:pPr>
              <w:pStyle w:val="TableText0"/>
              <w:jc w:val="center"/>
              <w:rPr>
                <w:rFonts w:ascii="Times" w:hAnsi="Times"/>
              </w:rPr>
            </w:pPr>
            <w:r w:rsidRPr="00C41ECA">
              <w:t>$</w:t>
            </w:r>
            <w:r w:rsidR="003452C5" w:rsidRPr="003452C5">
              <w:rPr>
                <w:color w:val="000000"/>
                <w:spacing w:val="53"/>
                <w:shd w:val="solid" w:color="000000" w:fill="000000"/>
                <w:fitText w:val="330" w:id="-694425588"/>
                <w14:textFill>
                  <w14:solidFill>
                    <w14:srgbClr w14:val="000000">
                      <w14:alpha w14:val="100000"/>
                    </w14:srgbClr>
                  </w14:solidFill>
                </w14:textFill>
              </w:rPr>
              <w:t>|||</w:t>
            </w:r>
            <w:r w:rsidR="003452C5" w:rsidRPr="003452C5">
              <w:rPr>
                <w:color w:val="000000"/>
                <w:spacing w:val="1"/>
                <w:shd w:val="solid" w:color="000000" w:fill="000000"/>
                <w:fitText w:val="330" w:id="-694425588"/>
                <w14:textFill>
                  <w14:solidFill>
                    <w14:srgbClr w14:val="000000">
                      <w14:alpha w14:val="100000"/>
                    </w14:srgbClr>
                  </w14:solidFill>
                </w14:textFill>
              </w:rPr>
              <w:t>|</w:t>
            </w:r>
          </w:p>
        </w:tc>
        <w:tc>
          <w:tcPr>
            <w:tcW w:w="1274" w:type="pct"/>
            <w:gridSpan w:val="2"/>
            <w:vAlign w:val="center"/>
          </w:tcPr>
          <w:p w14:paraId="714CC5DD" w14:textId="77777777" w:rsidR="005752B0" w:rsidRPr="00C41ECA" w:rsidRDefault="005752B0" w:rsidP="00967D46">
            <w:pPr>
              <w:pStyle w:val="TableText0"/>
              <w:jc w:val="center"/>
              <w:rPr>
                <w:rFonts w:ascii="Times" w:hAnsi="Times"/>
              </w:rPr>
            </w:pPr>
            <w:r w:rsidRPr="00C41ECA">
              <w:t>$0</w:t>
            </w:r>
          </w:p>
        </w:tc>
        <w:tc>
          <w:tcPr>
            <w:tcW w:w="838" w:type="pct"/>
            <w:vAlign w:val="center"/>
          </w:tcPr>
          <w:p w14:paraId="294FA06E" w14:textId="59B2C72F" w:rsidR="005752B0" w:rsidRPr="00C41ECA" w:rsidRDefault="005752B0" w:rsidP="00967D46">
            <w:pPr>
              <w:pStyle w:val="TableText0"/>
              <w:jc w:val="center"/>
              <w:rPr>
                <w:rFonts w:ascii="Times" w:hAnsi="Times"/>
              </w:rPr>
            </w:pPr>
            <w:r w:rsidRPr="00C41ECA">
              <w:t>$</w:t>
            </w:r>
            <w:r w:rsidR="003452C5" w:rsidRPr="003452C5">
              <w:rPr>
                <w:color w:val="000000"/>
                <w:spacing w:val="53"/>
                <w:shd w:val="solid" w:color="000000" w:fill="000000"/>
                <w:fitText w:val="330" w:id="-694425587"/>
                <w14:textFill>
                  <w14:solidFill>
                    <w14:srgbClr w14:val="000000">
                      <w14:alpha w14:val="100000"/>
                    </w14:srgbClr>
                  </w14:solidFill>
                </w14:textFill>
              </w:rPr>
              <w:t>|||</w:t>
            </w:r>
            <w:r w:rsidR="003452C5" w:rsidRPr="003452C5">
              <w:rPr>
                <w:color w:val="000000"/>
                <w:spacing w:val="1"/>
                <w:shd w:val="solid" w:color="000000" w:fill="000000"/>
                <w:fitText w:val="330" w:id="-694425587"/>
                <w14:textFill>
                  <w14:solidFill>
                    <w14:srgbClr w14:val="000000">
                      <w14:alpha w14:val="100000"/>
                    </w14:srgbClr>
                  </w14:solidFill>
                </w14:textFill>
              </w:rPr>
              <w:t>|</w:t>
            </w:r>
          </w:p>
        </w:tc>
      </w:tr>
      <w:tr w:rsidR="005752B0" w:rsidRPr="00C41ECA" w14:paraId="2F3C02A0" w14:textId="77777777" w:rsidTr="35298142">
        <w:tc>
          <w:tcPr>
            <w:tcW w:w="1569" w:type="pct"/>
            <w:vAlign w:val="center"/>
          </w:tcPr>
          <w:p w14:paraId="63F43ABC" w14:textId="77777777" w:rsidR="005752B0" w:rsidRPr="00C41ECA" w:rsidRDefault="005752B0" w:rsidP="00967D46">
            <w:pPr>
              <w:pStyle w:val="TableText0"/>
              <w:rPr>
                <w:rFonts w:ascii="Times" w:hAnsi="Times"/>
              </w:rPr>
            </w:pPr>
            <w:r w:rsidRPr="00C41ECA">
              <w:t xml:space="preserve">Life years </w:t>
            </w:r>
          </w:p>
        </w:tc>
        <w:tc>
          <w:tcPr>
            <w:tcW w:w="1319" w:type="pct"/>
            <w:vAlign w:val="center"/>
          </w:tcPr>
          <w:p w14:paraId="2B7E2C38" w14:textId="77777777" w:rsidR="005752B0" w:rsidRPr="00C41ECA" w:rsidRDefault="005752B0" w:rsidP="00967D46">
            <w:pPr>
              <w:pStyle w:val="TableText0"/>
              <w:jc w:val="center"/>
              <w:rPr>
                <w:rFonts w:ascii="Times" w:hAnsi="Times"/>
              </w:rPr>
            </w:pPr>
            <w:r w:rsidRPr="00C41ECA">
              <w:t>2.83</w:t>
            </w:r>
          </w:p>
        </w:tc>
        <w:tc>
          <w:tcPr>
            <w:tcW w:w="1274" w:type="pct"/>
            <w:gridSpan w:val="2"/>
            <w:vAlign w:val="center"/>
          </w:tcPr>
          <w:p w14:paraId="227325BB" w14:textId="77777777" w:rsidR="005752B0" w:rsidRPr="00C41ECA" w:rsidRDefault="005752B0" w:rsidP="00967D46">
            <w:pPr>
              <w:pStyle w:val="TableText0"/>
              <w:jc w:val="center"/>
              <w:rPr>
                <w:rFonts w:ascii="Times" w:hAnsi="Times"/>
              </w:rPr>
            </w:pPr>
            <w:r w:rsidRPr="00C41ECA">
              <w:t>2.83</w:t>
            </w:r>
          </w:p>
        </w:tc>
        <w:tc>
          <w:tcPr>
            <w:tcW w:w="838" w:type="pct"/>
            <w:vAlign w:val="center"/>
          </w:tcPr>
          <w:p w14:paraId="367B320E" w14:textId="77777777" w:rsidR="005752B0" w:rsidRPr="00C41ECA" w:rsidRDefault="005752B0" w:rsidP="00967D46">
            <w:pPr>
              <w:pStyle w:val="TableText0"/>
              <w:jc w:val="center"/>
            </w:pPr>
            <w:r w:rsidRPr="00C41ECA">
              <w:t>0.00</w:t>
            </w:r>
          </w:p>
        </w:tc>
      </w:tr>
      <w:tr w:rsidR="005752B0" w:rsidRPr="00C41ECA" w14:paraId="26A7FD0F" w14:textId="77777777" w:rsidTr="35298142">
        <w:tc>
          <w:tcPr>
            <w:tcW w:w="4162" w:type="pct"/>
            <w:gridSpan w:val="4"/>
            <w:vAlign w:val="center"/>
          </w:tcPr>
          <w:p w14:paraId="2C3D8F2A" w14:textId="77777777" w:rsidR="005752B0" w:rsidRPr="00C41ECA" w:rsidRDefault="005752B0" w:rsidP="00967D46">
            <w:pPr>
              <w:pStyle w:val="TableText0"/>
              <w:rPr>
                <w:rFonts w:ascii="Times" w:hAnsi="Times"/>
              </w:rPr>
            </w:pPr>
            <w:r w:rsidRPr="00C41ECA">
              <w:t>Incremental cost/life year gained</w:t>
            </w:r>
          </w:p>
        </w:tc>
        <w:tc>
          <w:tcPr>
            <w:tcW w:w="838" w:type="pct"/>
            <w:vAlign w:val="center"/>
          </w:tcPr>
          <w:p w14:paraId="50AA0C55" w14:textId="08A0B9D9" w:rsidR="005752B0" w:rsidRPr="00C41ECA" w:rsidRDefault="005752B0" w:rsidP="00967D46">
            <w:pPr>
              <w:pStyle w:val="TableText0"/>
              <w:jc w:val="center"/>
              <w:rPr>
                <w:rFonts w:ascii="Times" w:hAnsi="Times"/>
              </w:rPr>
            </w:pPr>
            <w:r w:rsidRPr="00C41ECA">
              <w:rPr>
                <w:sz w:val="19"/>
                <w:szCs w:val="19"/>
              </w:rPr>
              <w:t>$</w:t>
            </w:r>
            <w:r w:rsidR="003452C5" w:rsidRPr="003452C5">
              <w:rPr>
                <w:color w:val="000000"/>
                <w:spacing w:val="49"/>
                <w:sz w:val="19"/>
                <w:szCs w:val="19"/>
                <w:shd w:val="solid" w:color="000000" w:fill="000000"/>
                <w:fitText w:val="310" w:id="-694425586"/>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86"/>
                <w14:textFill>
                  <w14:solidFill>
                    <w14:srgbClr w14:val="000000">
                      <w14:alpha w14:val="100000"/>
                    </w14:srgbClr>
                  </w14:solidFill>
                </w14:textFill>
              </w:rPr>
              <w:t>|</w:t>
            </w:r>
            <w:r w:rsidR="00014662" w:rsidRPr="00014662">
              <w:rPr>
                <w:sz w:val="19"/>
                <w:szCs w:val="19"/>
                <w:vertAlign w:val="superscript"/>
              </w:rPr>
              <w:t>2</w:t>
            </w:r>
          </w:p>
        </w:tc>
      </w:tr>
      <w:tr w:rsidR="005752B0" w:rsidRPr="00C41ECA" w14:paraId="4F210C41" w14:textId="77777777" w:rsidTr="35298142">
        <w:tc>
          <w:tcPr>
            <w:tcW w:w="5000" w:type="pct"/>
            <w:gridSpan w:val="5"/>
            <w:vAlign w:val="center"/>
          </w:tcPr>
          <w:p w14:paraId="15A3FCAC" w14:textId="77777777" w:rsidR="005752B0" w:rsidRPr="00C41ECA" w:rsidRDefault="005752B0" w:rsidP="00C83CBF">
            <w:pPr>
              <w:pStyle w:val="In-tableHeading"/>
              <w:rPr>
                <w:vertAlign w:val="superscript"/>
              </w:rPr>
            </w:pPr>
            <w:r w:rsidRPr="00C41ECA">
              <w:t xml:space="preserve">Step 3: Include disease management </w:t>
            </w:r>
            <w:proofErr w:type="spellStart"/>
            <w:r w:rsidRPr="00C41ECA">
              <w:t>costs</w:t>
            </w:r>
            <w:r w:rsidRPr="00C41ECA">
              <w:rPr>
                <w:vertAlign w:val="superscript"/>
              </w:rPr>
              <w:t>b</w:t>
            </w:r>
            <w:proofErr w:type="spellEnd"/>
          </w:p>
        </w:tc>
      </w:tr>
      <w:tr w:rsidR="005752B0" w:rsidRPr="00C41ECA" w14:paraId="241115E4" w14:textId="77777777" w:rsidTr="35298142">
        <w:tc>
          <w:tcPr>
            <w:tcW w:w="1569" w:type="pct"/>
            <w:vAlign w:val="center"/>
          </w:tcPr>
          <w:p w14:paraId="41DFF52D" w14:textId="77777777" w:rsidR="005752B0" w:rsidRPr="00C41ECA" w:rsidRDefault="005752B0" w:rsidP="00967D46">
            <w:pPr>
              <w:pStyle w:val="TableText0"/>
              <w:rPr>
                <w:rFonts w:ascii="Times" w:hAnsi="Times"/>
              </w:rPr>
            </w:pPr>
            <w:r w:rsidRPr="00C41ECA">
              <w:t>Costs</w:t>
            </w:r>
          </w:p>
        </w:tc>
        <w:tc>
          <w:tcPr>
            <w:tcW w:w="1319" w:type="pct"/>
            <w:vAlign w:val="center"/>
          </w:tcPr>
          <w:p w14:paraId="47CD97D6" w14:textId="4CF0D9FE" w:rsidR="005752B0" w:rsidRPr="00C41ECA" w:rsidRDefault="005752B0" w:rsidP="00967D46">
            <w:pPr>
              <w:pStyle w:val="TableText0"/>
              <w:jc w:val="center"/>
              <w:rPr>
                <w:rFonts w:ascii="Times" w:hAnsi="Times"/>
              </w:rPr>
            </w:pPr>
            <w:r w:rsidRPr="00C41ECA">
              <w:rPr>
                <w:sz w:val="19"/>
                <w:szCs w:val="19"/>
              </w:rPr>
              <w:t>$</w:t>
            </w:r>
            <w:r w:rsidR="003452C5" w:rsidRPr="003452C5">
              <w:rPr>
                <w:color w:val="000000"/>
                <w:spacing w:val="49"/>
                <w:sz w:val="19"/>
                <w:szCs w:val="19"/>
                <w:shd w:val="solid" w:color="000000" w:fill="000000"/>
                <w:fitText w:val="310" w:id="-694425585"/>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85"/>
                <w14:textFill>
                  <w14:solidFill>
                    <w14:srgbClr w14:val="000000">
                      <w14:alpha w14:val="100000"/>
                    </w14:srgbClr>
                  </w14:solidFill>
                </w14:textFill>
              </w:rPr>
              <w:t>|</w:t>
            </w:r>
          </w:p>
        </w:tc>
        <w:tc>
          <w:tcPr>
            <w:tcW w:w="1274" w:type="pct"/>
            <w:gridSpan w:val="2"/>
            <w:vAlign w:val="center"/>
          </w:tcPr>
          <w:p w14:paraId="3546DA70" w14:textId="77777777" w:rsidR="005752B0" w:rsidRPr="00C41ECA" w:rsidRDefault="005752B0" w:rsidP="00967D46">
            <w:pPr>
              <w:pStyle w:val="TableText0"/>
              <w:jc w:val="center"/>
              <w:rPr>
                <w:rFonts w:ascii="Times" w:hAnsi="Times"/>
              </w:rPr>
            </w:pPr>
            <w:r w:rsidRPr="00C41ECA">
              <w:rPr>
                <w:sz w:val="19"/>
                <w:szCs w:val="19"/>
              </w:rPr>
              <w:t>$90,777</w:t>
            </w:r>
          </w:p>
        </w:tc>
        <w:tc>
          <w:tcPr>
            <w:tcW w:w="838" w:type="pct"/>
            <w:vAlign w:val="center"/>
          </w:tcPr>
          <w:p w14:paraId="7A36D187" w14:textId="1738B3F8" w:rsidR="005752B0" w:rsidRPr="00C41ECA" w:rsidRDefault="005752B0" w:rsidP="00967D46">
            <w:pPr>
              <w:pStyle w:val="TableText0"/>
              <w:jc w:val="center"/>
              <w:rPr>
                <w:rFonts w:ascii="Times" w:hAnsi="Times"/>
              </w:rPr>
            </w:pPr>
            <w:r w:rsidRPr="00C41ECA">
              <w:rPr>
                <w:sz w:val="19"/>
                <w:szCs w:val="19"/>
              </w:rPr>
              <w:t>$</w:t>
            </w:r>
            <w:r w:rsidR="003452C5" w:rsidRPr="003452C5">
              <w:rPr>
                <w:color w:val="000000"/>
                <w:spacing w:val="49"/>
                <w:sz w:val="19"/>
                <w:szCs w:val="19"/>
                <w:shd w:val="solid" w:color="000000" w:fill="000000"/>
                <w:fitText w:val="310" w:id="-694425584"/>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84"/>
                <w14:textFill>
                  <w14:solidFill>
                    <w14:srgbClr w14:val="000000">
                      <w14:alpha w14:val="100000"/>
                    </w14:srgbClr>
                  </w14:solidFill>
                </w14:textFill>
              </w:rPr>
              <w:t>|</w:t>
            </w:r>
          </w:p>
        </w:tc>
      </w:tr>
      <w:tr w:rsidR="005752B0" w:rsidRPr="00C41ECA" w14:paraId="780221FC" w14:textId="77777777" w:rsidTr="35298142">
        <w:tc>
          <w:tcPr>
            <w:tcW w:w="1569" w:type="pct"/>
            <w:vAlign w:val="center"/>
          </w:tcPr>
          <w:p w14:paraId="3E818A65" w14:textId="77777777" w:rsidR="005752B0" w:rsidRPr="00C41ECA" w:rsidRDefault="005752B0" w:rsidP="00967D46">
            <w:pPr>
              <w:pStyle w:val="TableText0"/>
              <w:rPr>
                <w:rFonts w:ascii="Times" w:hAnsi="Times"/>
              </w:rPr>
            </w:pPr>
            <w:r w:rsidRPr="00C41ECA">
              <w:t>LYG</w:t>
            </w:r>
          </w:p>
        </w:tc>
        <w:tc>
          <w:tcPr>
            <w:tcW w:w="1319" w:type="pct"/>
            <w:vAlign w:val="center"/>
          </w:tcPr>
          <w:p w14:paraId="0AA711DF" w14:textId="77777777" w:rsidR="005752B0" w:rsidRPr="00C41ECA" w:rsidRDefault="005752B0" w:rsidP="00967D46">
            <w:pPr>
              <w:pStyle w:val="TableText0"/>
              <w:jc w:val="center"/>
              <w:rPr>
                <w:rFonts w:ascii="Times" w:hAnsi="Times"/>
              </w:rPr>
            </w:pPr>
            <w:r w:rsidRPr="00C41ECA">
              <w:rPr>
                <w:sz w:val="19"/>
                <w:szCs w:val="19"/>
              </w:rPr>
              <w:t>2.83</w:t>
            </w:r>
          </w:p>
        </w:tc>
        <w:tc>
          <w:tcPr>
            <w:tcW w:w="1274" w:type="pct"/>
            <w:gridSpan w:val="2"/>
            <w:vAlign w:val="center"/>
          </w:tcPr>
          <w:p w14:paraId="46654EEF" w14:textId="77777777" w:rsidR="005752B0" w:rsidRPr="00C41ECA" w:rsidRDefault="005752B0" w:rsidP="00967D46">
            <w:pPr>
              <w:pStyle w:val="TableText0"/>
              <w:jc w:val="center"/>
              <w:rPr>
                <w:rFonts w:ascii="Times" w:hAnsi="Times"/>
              </w:rPr>
            </w:pPr>
            <w:r w:rsidRPr="00C41ECA">
              <w:rPr>
                <w:sz w:val="19"/>
                <w:szCs w:val="19"/>
              </w:rPr>
              <w:t>2.83</w:t>
            </w:r>
          </w:p>
        </w:tc>
        <w:tc>
          <w:tcPr>
            <w:tcW w:w="838" w:type="pct"/>
            <w:vAlign w:val="center"/>
          </w:tcPr>
          <w:p w14:paraId="37920622" w14:textId="77777777" w:rsidR="005752B0" w:rsidRPr="00C41ECA" w:rsidRDefault="005752B0" w:rsidP="00967D46">
            <w:pPr>
              <w:pStyle w:val="TableText0"/>
              <w:jc w:val="center"/>
            </w:pPr>
            <w:r w:rsidRPr="00C41ECA">
              <w:rPr>
                <w:sz w:val="19"/>
                <w:szCs w:val="19"/>
              </w:rPr>
              <w:t>0.00</w:t>
            </w:r>
          </w:p>
        </w:tc>
      </w:tr>
      <w:tr w:rsidR="005752B0" w:rsidRPr="00C41ECA" w14:paraId="7AEE6929" w14:textId="77777777" w:rsidTr="35298142">
        <w:tc>
          <w:tcPr>
            <w:tcW w:w="4162" w:type="pct"/>
            <w:gridSpan w:val="4"/>
            <w:vAlign w:val="center"/>
          </w:tcPr>
          <w:p w14:paraId="04DEC65F" w14:textId="77777777" w:rsidR="005752B0" w:rsidRPr="00C41ECA" w:rsidRDefault="005752B0" w:rsidP="00967D46">
            <w:pPr>
              <w:pStyle w:val="TableText0"/>
              <w:rPr>
                <w:rFonts w:ascii="Times" w:hAnsi="Times"/>
              </w:rPr>
            </w:pPr>
            <w:r w:rsidRPr="00C41ECA">
              <w:t>Incremental cost/life year gained</w:t>
            </w:r>
          </w:p>
        </w:tc>
        <w:tc>
          <w:tcPr>
            <w:tcW w:w="838" w:type="pct"/>
            <w:vAlign w:val="center"/>
          </w:tcPr>
          <w:p w14:paraId="716CEDDF" w14:textId="13326858" w:rsidR="005752B0" w:rsidRPr="00727742" w:rsidRDefault="003452C5" w:rsidP="00967D46">
            <w:pPr>
              <w:pStyle w:val="TableText0"/>
              <w:jc w:val="center"/>
              <w:rPr>
                <w:rFonts w:ascii="Times" w:hAnsi="Times"/>
                <w:highlight w:val="darkGray"/>
              </w:rPr>
            </w:pPr>
            <w:r w:rsidRPr="003452C5">
              <w:rPr>
                <w:color w:val="000000"/>
                <w:spacing w:val="49"/>
                <w:sz w:val="19"/>
                <w:szCs w:val="19"/>
                <w:shd w:val="solid" w:color="000000" w:fill="000000"/>
                <w:fitText w:val="310" w:id="-694425600"/>
                <w14:textFill>
                  <w14:solidFill>
                    <w14:srgbClr w14:val="000000">
                      <w14:alpha w14:val="100000"/>
                    </w14:srgbClr>
                  </w14:solidFill>
                </w14:textFill>
              </w:rPr>
              <w:t>|||</w:t>
            </w:r>
            <w:r w:rsidRPr="003452C5">
              <w:rPr>
                <w:color w:val="000000"/>
                <w:spacing w:val="2"/>
                <w:sz w:val="19"/>
                <w:szCs w:val="19"/>
                <w:shd w:val="solid" w:color="000000" w:fill="000000"/>
                <w:fitText w:val="310" w:id="-694425600"/>
                <w14:textFill>
                  <w14:solidFill>
                    <w14:srgbClr w14:val="000000">
                      <w14:alpha w14:val="100000"/>
                    </w14:srgbClr>
                  </w14:solidFill>
                </w14:textFill>
              </w:rPr>
              <w:t>|</w:t>
            </w:r>
            <w:r w:rsidR="00CE2AEA" w:rsidRPr="00014662">
              <w:rPr>
                <w:sz w:val="19"/>
                <w:szCs w:val="19"/>
                <w:vertAlign w:val="superscript"/>
              </w:rPr>
              <w:t>2</w:t>
            </w:r>
          </w:p>
        </w:tc>
      </w:tr>
      <w:tr w:rsidR="005752B0" w:rsidRPr="00C41ECA" w14:paraId="297A6459" w14:textId="77777777" w:rsidTr="35298142">
        <w:tc>
          <w:tcPr>
            <w:tcW w:w="5000" w:type="pct"/>
            <w:gridSpan w:val="5"/>
            <w:vAlign w:val="center"/>
          </w:tcPr>
          <w:p w14:paraId="2745527E" w14:textId="77777777" w:rsidR="005752B0" w:rsidRPr="00C41ECA" w:rsidRDefault="005752B0" w:rsidP="00C83CBF">
            <w:pPr>
              <w:pStyle w:val="In-tableHeading"/>
            </w:pPr>
            <w:r w:rsidRPr="00C41ECA">
              <w:t>Step 4: Include AE costs</w:t>
            </w:r>
          </w:p>
        </w:tc>
      </w:tr>
      <w:tr w:rsidR="005752B0" w:rsidRPr="00C41ECA" w14:paraId="5A42E8E4" w14:textId="77777777" w:rsidTr="35298142">
        <w:tc>
          <w:tcPr>
            <w:tcW w:w="1569" w:type="pct"/>
            <w:vAlign w:val="center"/>
          </w:tcPr>
          <w:p w14:paraId="57686320" w14:textId="77777777" w:rsidR="005752B0" w:rsidRPr="00C41ECA" w:rsidRDefault="005752B0" w:rsidP="00967D46">
            <w:pPr>
              <w:pStyle w:val="TableText0"/>
              <w:rPr>
                <w:rFonts w:ascii="Times" w:hAnsi="Times"/>
              </w:rPr>
            </w:pPr>
            <w:r w:rsidRPr="00C41ECA">
              <w:t>Costs</w:t>
            </w:r>
          </w:p>
        </w:tc>
        <w:tc>
          <w:tcPr>
            <w:tcW w:w="1319" w:type="pct"/>
            <w:vAlign w:val="center"/>
          </w:tcPr>
          <w:p w14:paraId="5AAFB6B0" w14:textId="2C860ACD" w:rsidR="005752B0" w:rsidRPr="00C41ECA" w:rsidRDefault="005752B0" w:rsidP="00967D46">
            <w:pPr>
              <w:pStyle w:val="TableText0"/>
              <w:jc w:val="center"/>
              <w:rPr>
                <w:rFonts w:ascii="Times" w:hAnsi="Times"/>
              </w:rPr>
            </w:pPr>
            <w:r w:rsidRPr="00C41ECA">
              <w:rPr>
                <w:sz w:val="19"/>
                <w:szCs w:val="19"/>
              </w:rPr>
              <w:t>$</w:t>
            </w:r>
            <w:r w:rsidR="003452C5" w:rsidRPr="003452C5">
              <w:rPr>
                <w:color w:val="000000"/>
                <w:spacing w:val="49"/>
                <w:sz w:val="19"/>
                <w:szCs w:val="19"/>
                <w:shd w:val="solid" w:color="000000" w:fill="000000"/>
                <w:fitText w:val="310" w:id="-694425599"/>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99"/>
                <w14:textFill>
                  <w14:solidFill>
                    <w14:srgbClr w14:val="000000">
                      <w14:alpha w14:val="100000"/>
                    </w14:srgbClr>
                  </w14:solidFill>
                </w14:textFill>
              </w:rPr>
              <w:t>|</w:t>
            </w:r>
          </w:p>
        </w:tc>
        <w:tc>
          <w:tcPr>
            <w:tcW w:w="1274" w:type="pct"/>
            <w:gridSpan w:val="2"/>
            <w:vAlign w:val="center"/>
          </w:tcPr>
          <w:p w14:paraId="220065A4" w14:textId="77777777" w:rsidR="005752B0" w:rsidRPr="00C41ECA" w:rsidRDefault="005752B0" w:rsidP="00967D46">
            <w:pPr>
              <w:pStyle w:val="TableText0"/>
              <w:jc w:val="center"/>
              <w:rPr>
                <w:rFonts w:ascii="Times" w:hAnsi="Times"/>
              </w:rPr>
            </w:pPr>
            <w:r w:rsidRPr="00C41ECA">
              <w:rPr>
                <w:sz w:val="19"/>
                <w:szCs w:val="19"/>
              </w:rPr>
              <w:t>$90,813</w:t>
            </w:r>
          </w:p>
        </w:tc>
        <w:tc>
          <w:tcPr>
            <w:tcW w:w="838" w:type="pct"/>
            <w:vAlign w:val="center"/>
          </w:tcPr>
          <w:p w14:paraId="0448070B" w14:textId="7E925D6D" w:rsidR="005752B0" w:rsidRPr="00C41ECA" w:rsidRDefault="005752B0" w:rsidP="00967D46">
            <w:pPr>
              <w:pStyle w:val="TableText0"/>
              <w:jc w:val="center"/>
              <w:rPr>
                <w:rFonts w:ascii="Times" w:hAnsi="Times"/>
              </w:rPr>
            </w:pPr>
            <w:r w:rsidRPr="00C41ECA">
              <w:rPr>
                <w:sz w:val="19"/>
                <w:szCs w:val="19"/>
              </w:rPr>
              <w:t>$</w:t>
            </w:r>
            <w:r w:rsidR="003452C5" w:rsidRPr="003452C5">
              <w:rPr>
                <w:color w:val="000000"/>
                <w:spacing w:val="49"/>
                <w:sz w:val="19"/>
                <w:szCs w:val="19"/>
                <w:shd w:val="solid" w:color="000000" w:fill="000000"/>
                <w:fitText w:val="310" w:id="-694425598"/>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98"/>
                <w14:textFill>
                  <w14:solidFill>
                    <w14:srgbClr w14:val="000000">
                      <w14:alpha w14:val="100000"/>
                    </w14:srgbClr>
                  </w14:solidFill>
                </w14:textFill>
              </w:rPr>
              <w:t>|</w:t>
            </w:r>
          </w:p>
        </w:tc>
      </w:tr>
      <w:tr w:rsidR="005752B0" w:rsidRPr="00C41ECA" w14:paraId="3FE1C081" w14:textId="77777777" w:rsidTr="35298142">
        <w:tc>
          <w:tcPr>
            <w:tcW w:w="1569" w:type="pct"/>
            <w:vAlign w:val="center"/>
          </w:tcPr>
          <w:p w14:paraId="53ED5FFF" w14:textId="77777777" w:rsidR="005752B0" w:rsidRPr="00C41ECA" w:rsidRDefault="005752B0" w:rsidP="00967D46">
            <w:pPr>
              <w:pStyle w:val="TableText0"/>
              <w:rPr>
                <w:rFonts w:ascii="Times" w:hAnsi="Times"/>
              </w:rPr>
            </w:pPr>
            <w:r w:rsidRPr="00C41ECA">
              <w:t>LYG</w:t>
            </w:r>
          </w:p>
        </w:tc>
        <w:tc>
          <w:tcPr>
            <w:tcW w:w="1319" w:type="pct"/>
            <w:vAlign w:val="center"/>
          </w:tcPr>
          <w:p w14:paraId="5488AC6D" w14:textId="77777777" w:rsidR="005752B0" w:rsidRPr="00C41ECA" w:rsidRDefault="005752B0" w:rsidP="00967D46">
            <w:pPr>
              <w:pStyle w:val="TableText0"/>
              <w:jc w:val="center"/>
              <w:rPr>
                <w:rFonts w:ascii="Times" w:hAnsi="Times"/>
              </w:rPr>
            </w:pPr>
            <w:r w:rsidRPr="00C41ECA">
              <w:rPr>
                <w:sz w:val="19"/>
                <w:szCs w:val="19"/>
              </w:rPr>
              <w:t>2.83</w:t>
            </w:r>
          </w:p>
        </w:tc>
        <w:tc>
          <w:tcPr>
            <w:tcW w:w="1274" w:type="pct"/>
            <w:gridSpan w:val="2"/>
            <w:vAlign w:val="center"/>
          </w:tcPr>
          <w:p w14:paraId="1A4BB5EE" w14:textId="77777777" w:rsidR="005752B0" w:rsidRPr="00C41ECA" w:rsidRDefault="005752B0" w:rsidP="00967D46">
            <w:pPr>
              <w:pStyle w:val="TableText0"/>
              <w:jc w:val="center"/>
              <w:rPr>
                <w:rFonts w:ascii="Times" w:hAnsi="Times"/>
              </w:rPr>
            </w:pPr>
            <w:r w:rsidRPr="00C41ECA">
              <w:rPr>
                <w:sz w:val="19"/>
                <w:szCs w:val="19"/>
              </w:rPr>
              <w:t>2.83</w:t>
            </w:r>
          </w:p>
        </w:tc>
        <w:tc>
          <w:tcPr>
            <w:tcW w:w="838" w:type="pct"/>
            <w:vAlign w:val="center"/>
          </w:tcPr>
          <w:p w14:paraId="658F2740" w14:textId="77777777" w:rsidR="005752B0" w:rsidRPr="00C41ECA" w:rsidRDefault="005752B0" w:rsidP="00967D46">
            <w:pPr>
              <w:pStyle w:val="TableText0"/>
              <w:jc w:val="center"/>
            </w:pPr>
            <w:r w:rsidRPr="00C41ECA">
              <w:rPr>
                <w:sz w:val="19"/>
                <w:szCs w:val="19"/>
              </w:rPr>
              <w:t>0.00</w:t>
            </w:r>
          </w:p>
        </w:tc>
      </w:tr>
      <w:tr w:rsidR="005752B0" w:rsidRPr="00C41ECA" w14:paraId="555C8298" w14:textId="77777777" w:rsidTr="35298142">
        <w:tc>
          <w:tcPr>
            <w:tcW w:w="4162" w:type="pct"/>
            <w:gridSpan w:val="4"/>
            <w:vAlign w:val="center"/>
          </w:tcPr>
          <w:p w14:paraId="52A2F12D" w14:textId="77777777" w:rsidR="005752B0" w:rsidRPr="00C41ECA" w:rsidRDefault="005752B0" w:rsidP="00967D46">
            <w:pPr>
              <w:pStyle w:val="TableText0"/>
              <w:rPr>
                <w:rFonts w:ascii="Times" w:hAnsi="Times"/>
              </w:rPr>
            </w:pPr>
            <w:r w:rsidRPr="00C41ECA">
              <w:t>Incremental cost/life year gained</w:t>
            </w:r>
          </w:p>
        </w:tc>
        <w:tc>
          <w:tcPr>
            <w:tcW w:w="838" w:type="pct"/>
            <w:vAlign w:val="center"/>
          </w:tcPr>
          <w:p w14:paraId="500B1CCB" w14:textId="4531F664" w:rsidR="005752B0" w:rsidRPr="00C41ECA" w:rsidRDefault="005752B0" w:rsidP="00967D46">
            <w:pPr>
              <w:pStyle w:val="TableText0"/>
              <w:jc w:val="center"/>
              <w:rPr>
                <w:rFonts w:ascii="Times" w:hAnsi="Times"/>
              </w:rPr>
            </w:pPr>
            <w:r w:rsidRPr="00C41ECA">
              <w:rPr>
                <w:sz w:val="19"/>
                <w:szCs w:val="19"/>
              </w:rPr>
              <w:t>$</w:t>
            </w:r>
            <w:r w:rsidR="003452C5" w:rsidRPr="003452C5">
              <w:rPr>
                <w:color w:val="000000"/>
                <w:spacing w:val="49"/>
                <w:sz w:val="19"/>
                <w:szCs w:val="19"/>
                <w:shd w:val="solid" w:color="000000" w:fill="000000"/>
                <w:fitText w:val="310" w:id="-694425597"/>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97"/>
                <w14:textFill>
                  <w14:solidFill>
                    <w14:srgbClr w14:val="000000">
                      <w14:alpha w14:val="100000"/>
                    </w14:srgbClr>
                  </w14:solidFill>
                </w14:textFill>
              </w:rPr>
              <w:t>|</w:t>
            </w:r>
            <w:r w:rsidR="00CE2AEA" w:rsidRPr="00014662">
              <w:rPr>
                <w:sz w:val="19"/>
                <w:szCs w:val="19"/>
                <w:vertAlign w:val="superscript"/>
              </w:rPr>
              <w:t>2</w:t>
            </w:r>
          </w:p>
        </w:tc>
      </w:tr>
      <w:tr w:rsidR="005752B0" w:rsidRPr="00C41ECA" w14:paraId="109F5ED5" w14:textId="77777777" w:rsidTr="35298142">
        <w:tc>
          <w:tcPr>
            <w:tcW w:w="5000" w:type="pct"/>
            <w:gridSpan w:val="5"/>
            <w:vAlign w:val="center"/>
          </w:tcPr>
          <w:p w14:paraId="590ADBCE" w14:textId="77777777" w:rsidR="005752B0" w:rsidRPr="00C41ECA" w:rsidRDefault="005752B0" w:rsidP="00C83CBF">
            <w:pPr>
              <w:pStyle w:val="In-tableHeading"/>
            </w:pPr>
            <w:r w:rsidRPr="00C41ECA">
              <w:t>Step 5: Extrapolate survival and costs to lifetime time horizon</w:t>
            </w:r>
          </w:p>
        </w:tc>
      </w:tr>
      <w:tr w:rsidR="005752B0" w:rsidRPr="00C41ECA" w14:paraId="417BFE20" w14:textId="77777777" w:rsidTr="35298142">
        <w:tc>
          <w:tcPr>
            <w:tcW w:w="1569" w:type="pct"/>
            <w:vAlign w:val="center"/>
          </w:tcPr>
          <w:p w14:paraId="4D05C18F" w14:textId="77777777" w:rsidR="005752B0" w:rsidRPr="00C41ECA" w:rsidRDefault="005752B0" w:rsidP="00967D46">
            <w:pPr>
              <w:pStyle w:val="TableText0"/>
              <w:rPr>
                <w:rFonts w:ascii="Times" w:hAnsi="Times"/>
              </w:rPr>
            </w:pPr>
            <w:r w:rsidRPr="00C41ECA">
              <w:t>Costs</w:t>
            </w:r>
          </w:p>
        </w:tc>
        <w:tc>
          <w:tcPr>
            <w:tcW w:w="1319" w:type="pct"/>
            <w:vAlign w:val="center"/>
          </w:tcPr>
          <w:p w14:paraId="70DF5CEB" w14:textId="38211A69" w:rsidR="005752B0" w:rsidRPr="00C41ECA" w:rsidRDefault="005752B0" w:rsidP="00967D46">
            <w:pPr>
              <w:pStyle w:val="TableText0"/>
              <w:jc w:val="center"/>
              <w:rPr>
                <w:rFonts w:ascii="Times" w:hAnsi="Times"/>
              </w:rPr>
            </w:pPr>
            <w:r w:rsidRPr="00C41ECA">
              <w:rPr>
                <w:sz w:val="19"/>
                <w:szCs w:val="19"/>
              </w:rPr>
              <w:t>$</w:t>
            </w:r>
            <w:r w:rsidR="003452C5" w:rsidRPr="003452C5">
              <w:rPr>
                <w:color w:val="000000"/>
                <w:spacing w:val="49"/>
                <w:sz w:val="19"/>
                <w:szCs w:val="19"/>
                <w:shd w:val="solid" w:color="000000" w:fill="000000"/>
                <w:fitText w:val="310" w:id="-694425596"/>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96"/>
                <w14:textFill>
                  <w14:solidFill>
                    <w14:srgbClr w14:val="000000">
                      <w14:alpha w14:val="100000"/>
                    </w14:srgbClr>
                  </w14:solidFill>
                </w14:textFill>
              </w:rPr>
              <w:t>|</w:t>
            </w:r>
          </w:p>
        </w:tc>
        <w:tc>
          <w:tcPr>
            <w:tcW w:w="1274" w:type="pct"/>
            <w:gridSpan w:val="2"/>
            <w:vAlign w:val="center"/>
          </w:tcPr>
          <w:p w14:paraId="43FC98A2" w14:textId="77777777" w:rsidR="005752B0" w:rsidRPr="00C41ECA" w:rsidRDefault="005752B0" w:rsidP="00967D46">
            <w:pPr>
              <w:pStyle w:val="TableText0"/>
              <w:jc w:val="center"/>
              <w:rPr>
                <w:rFonts w:ascii="Times" w:hAnsi="Times"/>
              </w:rPr>
            </w:pPr>
            <w:r w:rsidRPr="00C41ECA">
              <w:rPr>
                <w:sz w:val="19"/>
                <w:szCs w:val="19"/>
              </w:rPr>
              <w:t>$646,846</w:t>
            </w:r>
          </w:p>
        </w:tc>
        <w:tc>
          <w:tcPr>
            <w:tcW w:w="838" w:type="pct"/>
            <w:vAlign w:val="center"/>
          </w:tcPr>
          <w:p w14:paraId="4C786308" w14:textId="3AA73268" w:rsidR="005752B0" w:rsidRPr="00C41ECA" w:rsidRDefault="005752B0" w:rsidP="00967D46">
            <w:pPr>
              <w:pStyle w:val="TableText0"/>
              <w:jc w:val="center"/>
              <w:rPr>
                <w:rFonts w:ascii="Times" w:hAnsi="Times"/>
              </w:rPr>
            </w:pPr>
            <w:r w:rsidRPr="00C41ECA">
              <w:rPr>
                <w:sz w:val="19"/>
                <w:szCs w:val="19"/>
              </w:rPr>
              <w:t>$</w:t>
            </w:r>
            <w:r w:rsidR="003452C5" w:rsidRPr="003452C5">
              <w:rPr>
                <w:color w:val="000000"/>
                <w:spacing w:val="49"/>
                <w:sz w:val="19"/>
                <w:szCs w:val="19"/>
                <w:shd w:val="solid" w:color="000000" w:fill="000000"/>
                <w:fitText w:val="310" w:id="-694425595"/>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95"/>
                <w14:textFill>
                  <w14:solidFill>
                    <w14:srgbClr w14:val="000000">
                      <w14:alpha w14:val="100000"/>
                    </w14:srgbClr>
                  </w14:solidFill>
                </w14:textFill>
              </w:rPr>
              <w:t>|</w:t>
            </w:r>
          </w:p>
        </w:tc>
      </w:tr>
      <w:tr w:rsidR="005752B0" w:rsidRPr="00C41ECA" w14:paraId="64C816D8" w14:textId="77777777" w:rsidTr="35298142">
        <w:tc>
          <w:tcPr>
            <w:tcW w:w="1569" w:type="pct"/>
            <w:vAlign w:val="center"/>
          </w:tcPr>
          <w:p w14:paraId="4CD0F1C2" w14:textId="77777777" w:rsidR="005752B0" w:rsidRPr="00C41ECA" w:rsidRDefault="005752B0" w:rsidP="00967D46">
            <w:pPr>
              <w:pStyle w:val="TableText0"/>
              <w:rPr>
                <w:rFonts w:ascii="Times" w:hAnsi="Times"/>
              </w:rPr>
            </w:pPr>
            <w:r w:rsidRPr="00C41ECA">
              <w:t>LYG</w:t>
            </w:r>
          </w:p>
        </w:tc>
        <w:tc>
          <w:tcPr>
            <w:tcW w:w="1319" w:type="pct"/>
            <w:vAlign w:val="center"/>
          </w:tcPr>
          <w:p w14:paraId="06D77B0B" w14:textId="77777777" w:rsidR="005752B0" w:rsidRPr="00C41ECA" w:rsidRDefault="005752B0" w:rsidP="00967D46">
            <w:pPr>
              <w:pStyle w:val="TableText0"/>
              <w:jc w:val="center"/>
              <w:rPr>
                <w:rFonts w:ascii="Times" w:hAnsi="Times"/>
              </w:rPr>
            </w:pPr>
            <w:r w:rsidRPr="00C41ECA">
              <w:rPr>
                <w:sz w:val="19"/>
                <w:szCs w:val="19"/>
              </w:rPr>
              <w:t>16.63</w:t>
            </w:r>
          </w:p>
        </w:tc>
        <w:tc>
          <w:tcPr>
            <w:tcW w:w="1274" w:type="pct"/>
            <w:gridSpan w:val="2"/>
            <w:vAlign w:val="center"/>
          </w:tcPr>
          <w:p w14:paraId="13980720" w14:textId="77777777" w:rsidR="005752B0" w:rsidRPr="00C41ECA" w:rsidRDefault="005752B0" w:rsidP="00967D46">
            <w:pPr>
              <w:pStyle w:val="TableText0"/>
              <w:jc w:val="center"/>
              <w:rPr>
                <w:rFonts w:ascii="Times" w:hAnsi="Times"/>
              </w:rPr>
            </w:pPr>
            <w:r w:rsidRPr="00C41ECA">
              <w:rPr>
                <w:sz w:val="19"/>
                <w:szCs w:val="19"/>
              </w:rPr>
              <w:t>16.26</w:t>
            </w:r>
          </w:p>
        </w:tc>
        <w:tc>
          <w:tcPr>
            <w:tcW w:w="838" w:type="pct"/>
            <w:vAlign w:val="center"/>
          </w:tcPr>
          <w:p w14:paraId="4A561DF5" w14:textId="77777777" w:rsidR="005752B0" w:rsidRPr="00C41ECA" w:rsidRDefault="005752B0" w:rsidP="00967D46">
            <w:pPr>
              <w:pStyle w:val="TableText0"/>
              <w:jc w:val="center"/>
            </w:pPr>
            <w:r w:rsidRPr="00C41ECA">
              <w:rPr>
                <w:sz w:val="19"/>
                <w:szCs w:val="19"/>
              </w:rPr>
              <w:t>0.37</w:t>
            </w:r>
          </w:p>
        </w:tc>
      </w:tr>
      <w:tr w:rsidR="005752B0" w:rsidRPr="00C41ECA" w14:paraId="0B61F4C9" w14:textId="77777777" w:rsidTr="35298142">
        <w:tc>
          <w:tcPr>
            <w:tcW w:w="4162" w:type="pct"/>
            <w:gridSpan w:val="4"/>
            <w:vAlign w:val="center"/>
          </w:tcPr>
          <w:p w14:paraId="6B214A50" w14:textId="77777777" w:rsidR="005752B0" w:rsidRPr="00C41ECA" w:rsidRDefault="005752B0" w:rsidP="00967D46">
            <w:pPr>
              <w:pStyle w:val="TableText0"/>
              <w:rPr>
                <w:rFonts w:ascii="Times" w:hAnsi="Times"/>
              </w:rPr>
            </w:pPr>
            <w:r w:rsidRPr="00C41ECA">
              <w:t>Incremental cost/life year gained</w:t>
            </w:r>
          </w:p>
        </w:tc>
        <w:tc>
          <w:tcPr>
            <w:tcW w:w="838" w:type="pct"/>
            <w:vAlign w:val="center"/>
          </w:tcPr>
          <w:p w14:paraId="772CC3D7" w14:textId="3F3F2F44" w:rsidR="005752B0" w:rsidRPr="00C41ECA" w:rsidRDefault="005752B0" w:rsidP="00967D46">
            <w:pPr>
              <w:pStyle w:val="TableText0"/>
              <w:jc w:val="center"/>
              <w:rPr>
                <w:rFonts w:ascii="Times" w:hAnsi="Times"/>
              </w:rPr>
            </w:pPr>
            <w:r w:rsidRPr="00C41ECA">
              <w:rPr>
                <w:sz w:val="19"/>
                <w:szCs w:val="19"/>
              </w:rPr>
              <w:t>$</w:t>
            </w:r>
            <w:r w:rsidR="003452C5" w:rsidRPr="003452C5">
              <w:rPr>
                <w:color w:val="000000"/>
                <w:spacing w:val="49"/>
                <w:sz w:val="19"/>
                <w:szCs w:val="19"/>
                <w:shd w:val="solid" w:color="000000" w:fill="000000"/>
                <w:fitText w:val="310" w:id="-694425594"/>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94"/>
                <w14:textFill>
                  <w14:solidFill>
                    <w14:srgbClr w14:val="000000">
                      <w14:alpha w14:val="100000"/>
                    </w14:srgbClr>
                  </w14:solidFill>
                </w14:textFill>
              </w:rPr>
              <w:t>|</w:t>
            </w:r>
            <w:r w:rsidR="00CE2AEA" w:rsidRPr="00014662">
              <w:rPr>
                <w:sz w:val="19"/>
                <w:szCs w:val="19"/>
                <w:vertAlign w:val="superscript"/>
              </w:rPr>
              <w:t>2</w:t>
            </w:r>
          </w:p>
        </w:tc>
      </w:tr>
      <w:tr w:rsidR="005752B0" w:rsidRPr="00C41ECA" w14:paraId="5BE9C241" w14:textId="77777777" w:rsidTr="35298142">
        <w:tc>
          <w:tcPr>
            <w:tcW w:w="4162" w:type="pct"/>
            <w:gridSpan w:val="4"/>
            <w:vAlign w:val="center"/>
          </w:tcPr>
          <w:p w14:paraId="47F8893A" w14:textId="77777777" w:rsidR="005752B0" w:rsidRPr="00C41ECA" w:rsidRDefault="005752B0" w:rsidP="00967D46">
            <w:pPr>
              <w:pStyle w:val="TableText0"/>
              <w:rPr>
                <w:b/>
                <w:bCs w:val="0"/>
              </w:rPr>
            </w:pPr>
            <w:r w:rsidRPr="00C41ECA">
              <w:rPr>
                <w:b/>
                <w:bCs w:val="0"/>
              </w:rPr>
              <w:t>Step 6: Apply utility weights to life years</w:t>
            </w:r>
          </w:p>
        </w:tc>
        <w:tc>
          <w:tcPr>
            <w:tcW w:w="838" w:type="pct"/>
            <w:vAlign w:val="center"/>
          </w:tcPr>
          <w:p w14:paraId="24B5577B" w14:textId="77777777" w:rsidR="005752B0" w:rsidRPr="00C41ECA" w:rsidRDefault="005752B0" w:rsidP="00967D46">
            <w:pPr>
              <w:pStyle w:val="TableText0"/>
              <w:rPr>
                <w:sz w:val="19"/>
                <w:szCs w:val="19"/>
              </w:rPr>
            </w:pPr>
          </w:p>
        </w:tc>
      </w:tr>
      <w:tr w:rsidR="005752B0" w:rsidRPr="00C41ECA" w14:paraId="51B1F5AC" w14:textId="77777777" w:rsidTr="35298142">
        <w:tc>
          <w:tcPr>
            <w:tcW w:w="1569" w:type="pct"/>
            <w:vAlign w:val="center"/>
          </w:tcPr>
          <w:p w14:paraId="31CE16C6" w14:textId="77777777" w:rsidR="005752B0" w:rsidRPr="00C41ECA" w:rsidRDefault="005752B0" w:rsidP="00967D46">
            <w:pPr>
              <w:pStyle w:val="TableText0"/>
            </w:pPr>
            <w:r w:rsidRPr="00C41ECA">
              <w:t>Costs</w:t>
            </w:r>
          </w:p>
        </w:tc>
        <w:tc>
          <w:tcPr>
            <w:tcW w:w="1336" w:type="pct"/>
            <w:gridSpan w:val="2"/>
            <w:vAlign w:val="center"/>
          </w:tcPr>
          <w:p w14:paraId="4A4C77A1" w14:textId="399CE0FE" w:rsidR="005752B0" w:rsidRPr="00C41ECA" w:rsidRDefault="005752B0" w:rsidP="00967D46">
            <w:pPr>
              <w:pStyle w:val="TableText0"/>
              <w:jc w:val="center"/>
            </w:pPr>
            <w:r w:rsidRPr="00C41ECA">
              <w:rPr>
                <w:sz w:val="19"/>
                <w:szCs w:val="19"/>
              </w:rPr>
              <w:t>$</w:t>
            </w:r>
            <w:r w:rsidR="003452C5" w:rsidRPr="003452C5">
              <w:rPr>
                <w:color w:val="000000"/>
                <w:spacing w:val="49"/>
                <w:sz w:val="19"/>
                <w:szCs w:val="19"/>
                <w:shd w:val="solid" w:color="000000" w:fill="000000"/>
                <w:fitText w:val="310" w:id="-694425593"/>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93"/>
                <w14:textFill>
                  <w14:solidFill>
                    <w14:srgbClr w14:val="000000">
                      <w14:alpha w14:val="100000"/>
                    </w14:srgbClr>
                  </w14:solidFill>
                </w14:textFill>
              </w:rPr>
              <w:t>|</w:t>
            </w:r>
          </w:p>
        </w:tc>
        <w:tc>
          <w:tcPr>
            <w:tcW w:w="1257" w:type="pct"/>
            <w:vAlign w:val="center"/>
          </w:tcPr>
          <w:p w14:paraId="72964330" w14:textId="77777777" w:rsidR="005752B0" w:rsidRPr="00C41ECA" w:rsidRDefault="005752B0" w:rsidP="00967D46">
            <w:pPr>
              <w:pStyle w:val="TableText0"/>
              <w:jc w:val="center"/>
            </w:pPr>
            <w:r w:rsidRPr="00C41ECA">
              <w:rPr>
                <w:sz w:val="19"/>
                <w:szCs w:val="19"/>
              </w:rPr>
              <w:t>$646,846</w:t>
            </w:r>
          </w:p>
        </w:tc>
        <w:tc>
          <w:tcPr>
            <w:tcW w:w="838" w:type="pct"/>
            <w:vAlign w:val="center"/>
          </w:tcPr>
          <w:p w14:paraId="099C7144" w14:textId="2E2266FB" w:rsidR="005752B0" w:rsidRPr="00C41ECA" w:rsidRDefault="005752B0" w:rsidP="00967D46">
            <w:pPr>
              <w:pStyle w:val="TableText0"/>
              <w:jc w:val="center"/>
              <w:rPr>
                <w:sz w:val="19"/>
                <w:szCs w:val="19"/>
              </w:rPr>
            </w:pPr>
            <w:r w:rsidRPr="00C41ECA">
              <w:rPr>
                <w:sz w:val="19"/>
                <w:szCs w:val="19"/>
              </w:rPr>
              <w:t>$</w:t>
            </w:r>
            <w:r w:rsidR="003452C5" w:rsidRPr="003452C5">
              <w:rPr>
                <w:color w:val="000000"/>
                <w:spacing w:val="49"/>
                <w:sz w:val="19"/>
                <w:szCs w:val="19"/>
                <w:shd w:val="solid" w:color="000000" w:fill="000000"/>
                <w:fitText w:val="310" w:id="-694425592"/>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92"/>
                <w14:textFill>
                  <w14:solidFill>
                    <w14:srgbClr w14:val="000000">
                      <w14:alpha w14:val="100000"/>
                    </w14:srgbClr>
                  </w14:solidFill>
                </w14:textFill>
              </w:rPr>
              <w:t>|</w:t>
            </w:r>
          </w:p>
        </w:tc>
      </w:tr>
      <w:tr w:rsidR="005752B0" w:rsidRPr="00C41ECA" w14:paraId="3F71B2FA" w14:textId="77777777" w:rsidTr="35298142">
        <w:tc>
          <w:tcPr>
            <w:tcW w:w="1569" w:type="pct"/>
            <w:vAlign w:val="center"/>
          </w:tcPr>
          <w:p w14:paraId="332ABBA0" w14:textId="77777777" w:rsidR="005752B0" w:rsidRPr="00C41ECA" w:rsidRDefault="005752B0" w:rsidP="00967D46">
            <w:pPr>
              <w:pStyle w:val="TableText0"/>
            </w:pPr>
            <w:r w:rsidRPr="00C41ECA">
              <w:t>QALYs</w:t>
            </w:r>
          </w:p>
        </w:tc>
        <w:tc>
          <w:tcPr>
            <w:tcW w:w="1336" w:type="pct"/>
            <w:gridSpan w:val="2"/>
            <w:vAlign w:val="center"/>
          </w:tcPr>
          <w:p w14:paraId="096CB16F" w14:textId="77777777" w:rsidR="005752B0" w:rsidRPr="00C41ECA" w:rsidRDefault="005752B0" w:rsidP="00967D46">
            <w:pPr>
              <w:pStyle w:val="TableText0"/>
              <w:jc w:val="center"/>
            </w:pPr>
            <w:r w:rsidRPr="00C41ECA">
              <w:rPr>
                <w:sz w:val="19"/>
                <w:szCs w:val="19"/>
              </w:rPr>
              <w:t>10.58</w:t>
            </w:r>
          </w:p>
        </w:tc>
        <w:tc>
          <w:tcPr>
            <w:tcW w:w="1257" w:type="pct"/>
            <w:vAlign w:val="center"/>
          </w:tcPr>
          <w:p w14:paraId="29DFADAB" w14:textId="77777777" w:rsidR="005752B0" w:rsidRPr="00C41ECA" w:rsidRDefault="005752B0" w:rsidP="00967D46">
            <w:pPr>
              <w:pStyle w:val="TableText0"/>
              <w:jc w:val="center"/>
            </w:pPr>
            <w:r w:rsidRPr="00C41ECA">
              <w:rPr>
                <w:sz w:val="19"/>
                <w:szCs w:val="19"/>
              </w:rPr>
              <w:t>9.42</w:t>
            </w:r>
          </w:p>
        </w:tc>
        <w:tc>
          <w:tcPr>
            <w:tcW w:w="838" w:type="pct"/>
            <w:vAlign w:val="center"/>
          </w:tcPr>
          <w:p w14:paraId="05163165" w14:textId="77777777" w:rsidR="005752B0" w:rsidRPr="00C41ECA" w:rsidRDefault="005752B0" w:rsidP="00967D46">
            <w:pPr>
              <w:pStyle w:val="TableText0"/>
              <w:jc w:val="center"/>
              <w:rPr>
                <w:sz w:val="19"/>
                <w:szCs w:val="19"/>
              </w:rPr>
            </w:pPr>
            <w:r w:rsidRPr="00C41ECA">
              <w:rPr>
                <w:sz w:val="19"/>
                <w:szCs w:val="19"/>
              </w:rPr>
              <w:t>1.16</w:t>
            </w:r>
          </w:p>
        </w:tc>
      </w:tr>
      <w:tr w:rsidR="005752B0" w:rsidRPr="00C41ECA" w14:paraId="13361E3A" w14:textId="77777777" w:rsidTr="35298142">
        <w:tc>
          <w:tcPr>
            <w:tcW w:w="4162" w:type="pct"/>
            <w:gridSpan w:val="4"/>
            <w:vAlign w:val="center"/>
          </w:tcPr>
          <w:p w14:paraId="07EBFF02" w14:textId="77777777" w:rsidR="005752B0" w:rsidRPr="00C41ECA" w:rsidRDefault="005752B0" w:rsidP="00967D46">
            <w:pPr>
              <w:pStyle w:val="TableText0"/>
              <w:rPr>
                <w:b/>
                <w:bCs w:val="0"/>
              </w:rPr>
            </w:pPr>
            <w:r w:rsidRPr="00C41ECA">
              <w:rPr>
                <w:b/>
                <w:bCs w:val="0"/>
              </w:rPr>
              <w:t>Incremental cost/extra QALY gained (base case)</w:t>
            </w:r>
          </w:p>
        </w:tc>
        <w:tc>
          <w:tcPr>
            <w:tcW w:w="838" w:type="pct"/>
            <w:vAlign w:val="center"/>
          </w:tcPr>
          <w:p w14:paraId="03A2AF92" w14:textId="0D5979D7" w:rsidR="005752B0" w:rsidRPr="00C41ECA" w:rsidRDefault="005752B0" w:rsidP="00967D46">
            <w:pPr>
              <w:pStyle w:val="TableText0"/>
              <w:jc w:val="center"/>
              <w:rPr>
                <w:b/>
                <w:bCs w:val="0"/>
                <w:sz w:val="19"/>
                <w:szCs w:val="19"/>
              </w:rPr>
            </w:pPr>
            <w:r w:rsidRPr="00C41ECA">
              <w:rPr>
                <w:b/>
                <w:bCs w:val="0"/>
                <w:sz w:val="19"/>
                <w:szCs w:val="19"/>
              </w:rPr>
              <w:t>$</w:t>
            </w:r>
            <w:r w:rsidR="003452C5" w:rsidRPr="003452C5">
              <w:rPr>
                <w:b/>
                <w:bCs w:val="0"/>
                <w:color w:val="000000"/>
                <w:spacing w:val="55"/>
                <w:sz w:val="19"/>
                <w:szCs w:val="19"/>
                <w:shd w:val="solid" w:color="000000" w:fill="000000"/>
                <w:fitText w:val="340" w:id="-694425591"/>
                <w14:textFill>
                  <w14:solidFill>
                    <w14:srgbClr w14:val="000000">
                      <w14:alpha w14:val="100000"/>
                    </w14:srgbClr>
                  </w14:solidFill>
                </w14:textFill>
              </w:rPr>
              <w:t>|||</w:t>
            </w:r>
            <w:r w:rsidR="003452C5" w:rsidRPr="003452C5">
              <w:rPr>
                <w:b/>
                <w:bCs w:val="0"/>
                <w:color w:val="000000"/>
                <w:spacing w:val="1"/>
                <w:sz w:val="19"/>
                <w:szCs w:val="19"/>
                <w:shd w:val="solid" w:color="000000" w:fill="000000"/>
                <w:fitText w:val="340" w:id="-694425591"/>
                <w14:textFill>
                  <w14:solidFill>
                    <w14:srgbClr w14:val="000000">
                      <w14:alpha w14:val="100000"/>
                    </w14:srgbClr>
                  </w14:solidFill>
                </w14:textFill>
              </w:rPr>
              <w:t>|</w:t>
            </w:r>
            <w:r w:rsidR="00CE2AEA" w:rsidRPr="00014662">
              <w:rPr>
                <w:sz w:val="19"/>
                <w:szCs w:val="19"/>
                <w:vertAlign w:val="superscript"/>
              </w:rPr>
              <w:t>2</w:t>
            </w:r>
          </w:p>
        </w:tc>
      </w:tr>
    </w:tbl>
    <w:p w14:paraId="1E3254AA" w14:textId="77777777" w:rsidR="005752B0" w:rsidRPr="00C41ECA" w:rsidRDefault="005752B0" w:rsidP="005752B0">
      <w:pPr>
        <w:pStyle w:val="TableFigureFooter"/>
      </w:pPr>
      <w:r w:rsidRPr="00C41ECA">
        <w:t xml:space="preserve">Source: Adapted during the evaluation from Table 3.35 of the submission. </w:t>
      </w:r>
    </w:p>
    <w:p w14:paraId="0BE6BD13" w14:textId="5DAC516F" w:rsidR="005752B0" w:rsidRPr="00C41ECA" w:rsidRDefault="005752B0" w:rsidP="005752B0">
      <w:pPr>
        <w:pStyle w:val="TableFigureFooter"/>
      </w:pPr>
      <w:proofErr w:type="spellStart"/>
      <w:r w:rsidRPr="35298142">
        <w:t>mFARS</w:t>
      </w:r>
      <w:proofErr w:type="spellEnd"/>
      <w:r w:rsidR="004E633B" w:rsidRPr="35298142">
        <w:t>=</w:t>
      </w:r>
      <w:r w:rsidRPr="35298142">
        <w:t xml:space="preserve">modified Friedreich’s Ataxia rating scale; QALYs=quality-adjusted life years. </w:t>
      </w:r>
    </w:p>
    <w:p w14:paraId="2DF04809" w14:textId="3545BB08" w:rsidR="005752B0" w:rsidRPr="00C41ECA" w:rsidRDefault="005752B0" w:rsidP="35298142">
      <w:pPr>
        <w:pStyle w:val="TableFigureFooter"/>
      </w:pPr>
      <w:proofErr w:type="spellStart"/>
      <w:r w:rsidRPr="35298142">
        <w:rPr>
          <w:vertAlign w:val="superscript"/>
        </w:rPr>
        <w:t>a</w:t>
      </w:r>
      <w:proofErr w:type="spellEnd"/>
      <w:r w:rsidRPr="35298142">
        <w:rPr>
          <w:vertAlign w:val="superscript"/>
        </w:rPr>
        <w:t xml:space="preserve"> </w:t>
      </w:r>
      <w:r w:rsidRPr="35298142">
        <w:t xml:space="preserve">Costs include only </w:t>
      </w:r>
      <w:proofErr w:type="spellStart"/>
      <w:r w:rsidRPr="35298142">
        <w:t>omaveloxolone</w:t>
      </w:r>
      <w:proofErr w:type="spellEnd"/>
      <w:r w:rsidRPr="35298142">
        <w:t xml:space="preserve"> acquisition costs and outcomes from the propensity matched analysis.</w:t>
      </w:r>
      <w:r w:rsidR="00E026F0" w:rsidRPr="35298142">
        <w:rPr>
          <w:rStyle w:val="FootnoteReference"/>
        </w:rPr>
        <w:footnoteReference w:id="13"/>
      </w:r>
    </w:p>
    <w:p w14:paraId="69408C72" w14:textId="77777777" w:rsidR="00CE2AEA" w:rsidRDefault="005752B0" w:rsidP="00D710B8">
      <w:pPr>
        <w:pStyle w:val="TableFigureFooter"/>
      </w:pPr>
      <w:r w:rsidRPr="00C41ECA">
        <w:rPr>
          <w:vertAlign w:val="superscript"/>
        </w:rPr>
        <w:t xml:space="preserve">b </w:t>
      </w:r>
      <w:r w:rsidRPr="00C41ECA">
        <w:t xml:space="preserve">Including medical appointments, hospitalisation, disease aids, home modification and carer costs. </w:t>
      </w:r>
    </w:p>
    <w:p w14:paraId="5C319489" w14:textId="33589B0A" w:rsidR="00D710B8" w:rsidRPr="001D69A8" w:rsidRDefault="00D710B8" w:rsidP="00D710B8">
      <w:pPr>
        <w:pStyle w:val="TableFigureFooter"/>
        <w:rPr>
          <w:i/>
          <w:iCs/>
        </w:rPr>
      </w:pPr>
      <w:r w:rsidRPr="001D69A8">
        <w:rPr>
          <w:i/>
          <w:iCs/>
        </w:rPr>
        <w:t>The redacted values correspond to the following ranges:</w:t>
      </w:r>
    </w:p>
    <w:p w14:paraId="61EF994B" w14:textId="77777777" w:rsidR="007C485C" w:rsidRPr="001D69A8" w:rsidRDefault="00D710B8" w:rsidP="007C485C">
      <w:pPr>
        <w:pStyle w:val="TableFigureFooter"/>
        <w:rPr>
          <w:i/>
          <w:iCs/>
        </w:rPr>
      </w:pPr>
      <w:r w:rsidRPr="001D69A8">
        <w:rPr>
          <w:i/>
          <w:iCs/>
          <w:vertAlign w:val="superscript"/>
        </w:rPr>
        <w:t>1</w:t>
      </w:r>
      <w:r w:rsidRPr="001D69A8">
        <w:rPr>
          <w:i/>
          <w:iCs/>
        </w:rPr>
        <w:t xml:space="preserve"> </w:t>
      </w:r>
      <w:r w:rsidR="007C485C" w:rsidRPr="001D69A8">
        <w:rPr>
          <w:i/>
          <w:iCs/>
        </w:rPr>
        <w:t>$455,000 to &lt; $555,000</w:t>
      </w:r>
    </w:p>
    <w:p w14:paraId="751C3FAE" w14:textId="6ECB1C87" w:rsidR="00D710B8" w:rsidRPr="001D69A8" w:rsidRDefault="007C485C" w:rsidP="00D710B8">
      <w:pPr>
        <w:pStyle w:val="TableFigureFooter"/>
        <w:rPr>
          <w:i/>
          <w:iCs/>
        </w:rPr>
      </w:pPr>
      <w:r w:rsidRPr="001D69A8">
        <w:rPr>
          <w:i/>
          <w:iCs/>
          <w:vertAlign w:val="superscript"/>
        </w:rPr>
        <w:t>2</w:t>
      </w:r>
      <w:r w:rsidRPr="001D69A8">
        <w:rPr>
          <w:i/>
          <w:iCs/>
        </w:rPr>
        <w:t xml:space="preserve"> </w:t>
      </w:r>
      <w:r w:rsidR="00D710B8" w:rsidRPr="001D69A8">
        <w:rPr>
          <w:i/>
          <w:iCs/>
        </w:rPr>
        <w:t>&gt; $1,055,000</w:t>
      </w:r>
    </w:p>
    <w:p w14:paraId="76085BB4" w14:textId="57C3F656" w:rsidR="005752B0" w:rsidRPr="00C41ECA" w:rsidRDefault="005752B0" w:rsidP="005752B0">
      <w:pPr>
        <w:pStyle w:val="TableFigureFooter"/>
      </w:pPr>
    </w:p>
    <w:p w14:paraId="11D35BE8" w14:textId="4EF90DEE" w:rsidR="00ED3546" w:rsidRPr="00C41ECA" w:rsidRDefault="00ED3546" w:rsidP="00ED3546">
      <w:pPr>
        <w:pStyle w:val="3-BodyText"/>
      </w:pPr>
      <w:r w:rsidRPr="35298142">
        <w:t>The results of the economic analysis</w:t>
      </w:r>
      <w:r w:rsidR="00D167FF" w:rsidRPr="35298142">
        <w:t xml:space="preserve"> by age of onset cohort</w:t>
      </w:r>
      <w:r w:rsidRPr="35298142">
        <w:t xml:space="preserve"> indicates that the cost-effectiveness of </w:t>
      </w:r>
      <w:proofErr w:type="spellStart"/>
      <w:r w:rsidRPr="35298142">
        <w:t>omaveloxolone</w:t>
      </w:r>
      <w:proofErr w:type="spellEnd"/>
      <w:r w:rsidRPr="35298142">
        <w:t xml:space="preserve"> is primarily driven by the patients in the 8 – 14 years age of onset cohort (which also happens to be the largest cohort). However, this should be interpreted with caution as cohort specific treatment effects were not applied in the model.</w:t>
      </w:r>
    </w:p>
    <w:p w14:paraId="27C885D9" w14:textId="3FAF36BD" w:rsidR="00ED3546" w:rsidRPr="00C41ECA" w:rsidRDefault="00ED3546" w:rsidP="00ED3546">
      <w:pPr>
        <w:pStyle w:val="Caption"/>
        <w:rPr>
          <w:sz w:val="28"/>
          <w:szCs w:val="28"/>
        </w:rPr>
      </w:pPr>
      <w:r w:rsidRPr="00C41ECA">
        <w:t xml:space="preserve">Table </w:t>
      </w:r>
      <w:r w:rsidR="00B717AF">
        <w:fldChar w:fldCharType="begin"/>
      </w:r>
      <w:r w:rsidR="00B717AF">
        <w:instrText xml:space="preserve"> SEQ Table \* ARABIC </w:instrText>
      </w:r>
      <w:r w:rsidR="00B717AF">
        <w:fldChar w:fldCharType="separate"/>
      </w:r>
      <w:r w:rsidR="003A4643">
        <w:rPr>
          <w:noProof/>
        </w:rPr>
        <w:t>18</w:t>
      </w:r>
      <w:r w:rsidR="00B717AF">
        <w:rPr>
          <w:noProof/>
        </w:rPr>
        <w:fldChar w:fldCharType="end"/>
      </w:r>
      <w:r w:rsidRPr="00C41ECA">
        <w:t>: Results of the economic analysis by age of onset cohort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8: Results of the economic analysis by age of onset cohort"/>
      </w:tblPr>
      <w:tblGrid>
        <w:gridCol w:w="2829"/>
        <w:gridCol w:w="2379"/>
        <w:gridCol w:w="2298"/>
        <w:gridCol w:w="1511"/>
      </w:tblGrid>
      <w:tr w:rsidR="00ED3546" w:rsidRPr="00C41ECA" w14:paraId="0E4BA913" w14:textId="77777777" w:rsidTr="00967D46">
        <w:trPr>
          <w:tblHeader/>
        </w:trPr>
        <w:tc>
          <w:tcPr>
            <w:tcW w:w="1569" w:type="pct"/>
            <w:vAlign w:val="center"/>
          </w:tcPr>
          <w:p w14:paraId="52C3B045" w14:textId="77777777" w:rsidR="00ED3546" w:rsidRPr="00C41ECA" w:rsidRDefault="00ED3546" w:rsidP="00C83CBF">
            <w:pPr>
              <w:pStyle w:val="In-tableHeading"/>
            </w:pPr>
            <w:r w:rsidRPr="00C41ECA">
              <w:t>Population</w:t>
            </w:r>
          </w:p>
        </w:tc>
        <w:tc>
          <w:tcPr>
            <w:tcW w:w="1319" w:type="pct"/>
            <w:vAlign w:val="center"/>
          </w:tcPr>
          <w:p w14:paraId="384E2A1F" w14:textId="77777777" w:rsidR="00ED3546" w:rsidRPr="00C41ECA" w:rsidRDefault="00ED3546" w:rsidP="00C83CBF">
            <w:pPr>
              <w:pStyle w:val="In-tableHeading"/>
            </w:pPr>
            <w:proofErr w:type="spellStart"/>
            <w:r w:rsidRPr="00C41ECA">
              <w:t>Omaveloxolone</w:t>
            </w:r>
            <w:proofErr w:type="spellEnd"/>
          </w:p>
        </w:tc>
        <w:tc>
          <w:tcPr>
            <w:tcW w:w="1274" w:type="pct"/>
            <w:vAlign w:val="center"/>
          </w:tcPr>
          <w:p w14:paraId="29B2C60C" w14:textId="77777777" w:rsidR="00ED3546" w:rsidRPr="00C41ECA" w:rsidRDefault="00ED3546" w:rsidP="00C83CBF">
            <w:pPr>
              <w:pStyle w:val="In-tableHeading"/>
            </w:pPr>
            <w:r w:rsidRPr="00C41ECA">
              <w:t>BSC</w:t>
            </w:r>
          </w:p>
        </w:tc>
        <w:tc>
          <w:tcPr>
            <w:tcW w:w="838" w:type="pct"/>
            <w:vAlign w:val="center"/>
          </w:tcPr>
          <w:p w14:paraId="4A648B95" w14:textId="77777777" w:rsidR="00ED3546" w:rsidRPr="00C41ECA" w:rsidRDefault="00ED3546" w:rsidP="00967D46">
            <w:pPr>
              <w:pStyle w:val="TableText0"/>
              <w:jc w:val="center"/>
              <w:rPr>
                <w:b/>
                <w:bCs w:val="0"/>
              </w:rPr>
            </w:pPr>
            <w:r w:rsidRPr="00C41ECA">
              <w:rPr>
                <w:b/>
                <w:bCs w:val="0"/>
              </w:rPr>
              <w:t>Increment</w:t>
            </w:r>
          </w:p>
        </w:tc>
      </w:tr>
      <w:tr w:rsidR="00ED3546" w:rsidRPr="00C41ECA" w14:paraId="6CACF147" w14:textId="77777777" w:rsidTr="00967D46">
        <w:tc>
          <w:tcPr>
            <w:tcW w:w="5000" w:type="pct"/>
            <w:gridSpan w:val="4"/>
            <w:vAlign w:val="center"/>
          </w:tcPr>
          <w:p w14:paraId="07A1FE7F" w14:textId="77777777" w:rsidR="00ED3546" w:rsidRPr="00C41ECA" w:rsidRDefault="00ED3546" w:rsidP="00967D46">
            <w:pPr>
              <w:pStyle w:val="TableText0"/>
              <w:rPr>
                <w:b/>
                <w:bCs w:val="0"/>
              </w:rPr>
            </w:pPr>
            <w:r w:rsidRPr="00C41ECA">
              <w:rPr>
                <w:b/>
                <w:bCs w:val="0"/>
              </w:rPr>
              <w:t>Overall population</w:t>
            </w:r>
          </w:p>
        </w:tc>
      </w:tr>
      <w:tr w:rsidR="00ED3546" w:rsidRPr="00C41ECA" w14:paraId="5556C5C0" w14:textId="77777777" w:rsidTr="00967D46">
        <w:tc>
          <w:tcPr>
            <w:tcW w:w="1569" w:type="pct"/>
            <w:vAlign w:val="center"/>
          </w:tcPr>
          <w:p w14:paraId="41B111E6" w14:textId="77777777" w:rsidR="00ED3546" w:rsidRPr="00C41ECA" w:rsidRDefault="00ED3546" w:rsidP="00967D46">
            <w:pPr>
              <w:pStyle w:val="TableText0"/>
              <w:rPr>
                <w:rFonts w:ascii="Times" w:hAnsi="Times"/>
              </w:rPr>
            </w:pPr>
            <w:r w:rsidRPr="00C41ECA">
              <w:t>Costs</w:t>
            </w:r>
          </w:p>
        </w:tc>
        <w:tc>
          <w:tcPr>
            <w:tcW w:w="1319" w:type="pct"/>
            <w:vAlign w:val="center"/>
          </w:tcPr>
          <w:p w14:paraId="41088DFB" w14:textId="3B4045F6" w:rsidR="00ED3546" w:rsidRPr="00C41ECA" w:rsidRDefault="00ED3546" w:rsidP="00967D46">
            <w:pPr>
              <w:pStyle w:val="TableText0"/>
              <w:jc w:val="center"/>
              <w:rPr>
                <w:rFonts w:ascii="Times" w:hAnsi="Times"/>
              </w:rPr>
            </w:pPr>
            <w:r w:rsidRPr="00C41ECA">
              <w:rPr>
                <w:sz w:val="19"/>
                <w:szCs w:val="19"/>
              </w:rPr>
              <w:t>$</w:t>
            </w:r>
            <w:r w:rsidR="003452C5" w:rsidRPr="003452C5">
              <w:rPr>
                <w:color w:val="000000"/>
                <w:spacing w:val="49"/>
                <w:sz w:val="19"/>
                <w:szCs w:val="19"/>
                <w:shd w:val="solid" w:color="000000" w:fill="000000"/>
                <w:fitText w:val="310" w:id="-694425590"/>
                <w14:textFill>
                  <w14:solidFill>
                    <w14:srgbClr w14:val="000000">
                      <w14:alpha w14:val="100000"/>
                    </w14:srgbClr>
                  </w14:solidFill>
                </w14:textFill>
              </w:rPr>
              <w:t>|||</w:t>
            </w:r>
            <w:r w:rsidR="003452C5" w:rsidRPr="003452C5">
              <w:rPr>
                <w:color w:val="000000"/>
                <w:spacing w:val="2"/>
                <w:sz w:val="19"/>
                <w:szCs w:val="19"/>
                <w:shd w:val="solid" w:color="000000" w:fill="000000"/>
                <w:fitText w:val="310" w:id="-694425590"/>
                <w14:textFill>
                  <w14:solidFill>
                    <w14:srgbClr w14:val="000000">
                      <w14:alpha w14:val="100000"/>
                    </w14:srgbClr>
                  </w14:solidFill>
                </w14:textFill>
              </w:rPr>
              <w:t>|</w:t>
            </w:r>
          </w:p>
        </w:tc>
        <w:tc>
          <w:tcPr>
            <w:tcW w:w="1274" w:type="pct"/>
            <w:vAlign w:val="center"/>
          </w:tcPr>
          <w:p w14:paraId="003B9F78" w14:textId="77777777" w:rsidR="00ED3546" w:rsidRPr="00C41ECA" w:rsidRDefault="00ED3546" w:rsidP="00967D46">
            <w:pPr>
              <w:pStyle w:val="TableText0"/>
              <w:jc w:val="center"/>
              <w:rPr>
                <w:rFonts w:ascii="Times" w:hAnsi="Times"/>
              </w:rPr>
            </w:pPr>
            <w:r w:rsidRPr="00C41ECA">
              <w:rPr>
                <w:sz w:val="19"/>
                <w:szCs w:val="19"/>
              </w:rPr>
              <w:t>$646,846</w:t>
            </w:r>
          </w:p>
        </w:tc>
        <w:tc>
          <w:tcPr>
            <w:tcW w:w="838" w:type="pct"/>
            <w:vAlign w:val="center"/>
          </w:tcPr>
          <w:p w14:paraId="0A616470" w14:textId="4871BDBC" w:rsidR="00ED3546" w:rsidRPr="00C41ECA" w:rsidRDefault="00ED3546" w:rsidP="00967D46">
            <w:pPr>
              <w:pStyle w:val="TableText0"/>
              <w:jc w:val="center"/>
            </w:pPr>
            <w:r w:rsidRPr="00C41ECA">
              <w:t>$</w:t>
            </w:r>
            <w:r w:rsidR="003452C5" w:rsidRPr="003452C5">
              <w:rPr>
                <w:color w:val="000000"/>
                <w:spacing w:val="53"/>
                <w:shd w:val="solid" w:color="000000" w:fill="000000"/>
                <w:fitText w:val="330" w:id="-694425589"/>
                <w14:textFill>
                  <w14:solidFill>
                    <w14:srgbClr w14:val="000000">
                      <w14:alpha w14:val="100000"/>
                    </w14:srgbClr>
                  </w14:solidFill>
                </w14:textFill>
              </w:rPr>
              <w:t>|||</w:t>
            </w:r>
            <w:r w:rsidR="003452C5" w:rsidRPr="003452C5">
              <w:rPr>
                <w:color w:val="000000"/>
                <w:spacing w:val="1"/>
                <w:shd w:val="solid" w:color="000000" w:fill="000000"/>
                <w:fitText w:val="330" w:id="-694425589"/>
                <w14:textFill>
                  <w14:solidFill>
                    <w14:srgbClr w14:val="000000">
                      <w14:alpha w14:val="100000"/>
                    </w14:srgbClr>
                  </w14:solidFill>
                </w14:textFill>
              </w:rPr>
              <w:t>|</w:t>
            </w:r>
          </w:p>
        </w:tc>
      </w:tr>
      <w:tr w:rsidR="00ED3546" w:rsidRPr="00C41ECA" w14:paraId="79BCD185" w14:textId="77777777" w:rsidTr="00967D46">
        <w:tc>
          <w:tcPr>
            <w:tcW w:w="1569" w:type="pct"/>
            <w:vAlign w:val="center"/>
          </w:tcPr>
          <w:p w14:paraId="7CED2D48" w14:textId="77777777" w:rsidR="00ED3546" w:rsidRPr="00C41ECA" w:rsidRDefault="00ED3546" w:rsidP="00967D46">
            <w:pPr>
              <w:pStyle w:val="TableText0"/>
              <w:rPr>
                <w:rFonts w:ascii="Times" w:hAnsi="Times"/>
              </w:rPr>
            </w:pPr>
            <w:r w:rsidRPr="00C41ECA">
              <w:t>QALYs</w:t>
            </w:r>
          </w:p>
        </w:tc>
        <w:tc>
          <w:tcPr>
            <w:tcW w:w="1319" w:type="pct"/>
            <w:vAlign w:val="center"/>
          </w:tcPr>
          <w:p w14:paraId="31EF0C35" w14:textId="77777777" w:rsidR="00ED3546" w:rsidRPr="00C41ECA" w:rsidRDefault="00ED3546" w:rsidP="00967D46">
            <w:pPr>
              <w:pStyle w:val="TableText0"/>
              <w:jc w:val="center"/>
              <w:rPr>
                <w:rFonts w:ascii="Times" w:hAnsi="Times"/>
              </w:rPr>
            </w:pPr>
            <w:r w:rsidRPr="00C41ECA">
              <w:rPr>
                <w:sz w:val="19"/>
                <w:szCs w:val="19"/>
              </w:rPr>
              <w:t>10.58</w:t>
            </w:r>
          </w:p>
        </w:tc>
        <w:tc>
          <w:tcPr>
            <w:tcW w:w="1274" w:type="pct"/>
            <w:vAlign w:val="center"/>
          </w:tcPr>
          <w:p w14:paraId="3AB41A35" w14:textId="77777777" w:rsidR="00ED3546" w:rsidRPr="00C41ECA" w:rsidRDefault="00ED3546" w:rsidP="00967D46">
            <w:pPr>
              <w:pStyle w:val="TableText0"/>
              <w:jc w:val="center"/>
              <w:rPr>
                <w:rFonts w:ascii="Times" w:hAnsi="Times"/>
              </w:rPr>
            </w:pPr>
            <w:r w:rsidRPr="00C41ECA">
              <w:rPr>
                <w:sz w:val="19"/>
                <w:szCs w:val="19"/>
              </w:rPr>
              <w:t>9.42</w:t>
            </w:r>
          </w:p>
        </w:tc>
        <w:tc>
          <w:tcPr>
            <w:tcW w:w="838" w:type="pct"/>
            <w:vAlign w:val="center"/>
          </w:tcPr>
          <w:p w14:paraId="2A5E2BA3" w14:textId="77777777" w:rsidR="00ED3546" w:rsidRPr="00C41ECA" w:rsidRDefault="00ED3546" w:rsidP="00967D46">
            <w:pPr>
              <w:pStyle w:val="TableText0"/>
              <w:jc w:val="center"/>
            </w:pPr>
            <w:r w:rsidRPr="00C41ECA">
              <w:t>1.16</w:t>
            </w:r>
          </w:p>
        </w:tc>
      </w:tr>
      <w:tr w:rsidR="00ED3546" w:rsidRPr="00C41ECA" w14:paraId="0874D252" w14:textId="77777777" w:rsidTr="00967D46">
        <w:tc>
          <w:tcPr>
            <w:tcW w:w="4162" w:type="pct"/>
            <w:gridSpan w:val="3"/>
            <w:vAlign w:val="center"/>
          </w:tcPr>
          <w:p w14:paraId="5BBEDC31" w14:textId="77777777" w:rsidR="00ED3546" w:rsidRPr="00C41ECA" w:rsidRDefault="00ED3546" w:rsidP="00967D46">
            <w:pPr>
              <w:pStyle w:val="TableText0"/>
              <w:rPr>
                <w:rFonts w:ascii="Times" w:hAnsi="Times"/>
              </w:rPr>
            </w:pPr>
            <w:r w:rsidRPr="00C41ECA">
              <w:rPr>
                <w:b/>
                <w:bCs w:val="0"/>
              </w:rPr>
              <w:t>Incremental cost/extra QALY gained (base case)</w:t>
            </w:r>
          </w:p>
        </w:tc>
        <w:tc>
          <w:tcPr>
            <w:tcW w:w="838" w:type="pct"/>
            <w:vAlign w:val="center"/>
          </w:tcPr>
          <w:p w14:paraId="44122DD3" w14:textId="7A946E5E" w:rsidR="00ED3546" w:rsidRPr="00C41ECA" w:rsidRDefault="00ED3546" w:rsidP="00967D46">
            <w:pPr>
              <w:pStyle w:val="TableText0"/>
              <w:jc w:val="center"/>
              <w:rPr>
                <w:b/>
                <w:bCs w:val="0"/>
              </w:rPr>
            </w:pPr>
            <w:r w:rsidRPr="00C41ECA">
              <w:rPr>
                <w:b/>
                <w:bCs w:val="0"/>
              </w:rPr>
              <w:t>$</w:t>
            </w:r>
            <w:r w:rsidR="003452C5" w:rsidRPr="003452C5">
              <w:rPr>
                <w:b/>
                <w:bCs w:val="0"/>
                <w:color w:val="000000"/>
                <w:spacing w:val="55"/>
                <w:shd w:val="solid" w:color="000000" w:fill="000000"/>
                <w:fitText w:val="350" w:id="-694425588"/>
                <w14:textFill>
                  <w14:solidFill>
                    <w14:srgbClr w14:val="000000">
                      <w14:alpha w14:val="100000"/>
                    </w14:srgbClr>
                  </w14:solidFill>
                </w14:textFill>
              </w:rPr>
              <w:t>|||</w:t>
            </w:r>
            <w:r w:rsidR="003452C5" w:rsidRPr="003452C5">
              <w:rPr>
                <w:b/>
                <w:bCs w:val="0"/>
                <w:color w:val="000000"/>
                <w:spacing w:val="2"/>
                <w:shd w:val="solid" w:color="000000" w:fill="000000"/>
                <w:fitText w:val="350" w:id="-694425588"/>
                <w14:textFill>
                  <w14:solidFill>
                    <w14:srgbClr w14:val="000000">
                      <w14:alpha w14:val="100000"/>
                    </w14:srgbClr>
                  </w14:solidFill>
                </w14:textFill>
              </w:rPr>
              <w:t>|</w:t>
            </w:r>
            <w:r w:rsidR="00E369B9" w:rsidRPr="00E369B9">
              <w:rPr>
                <w:b/>
                <w:bCs w:val="0"/>
                <w:vertAlign w:val="superscript"/>
              </w:rPr>
              <w:t>1</w:t>
            </w:r>
          </w:p>
        </w:tc>
      </w:tr>
      <w:tr w:rsidR="00ED3546" w:rsidRPr="00C41ECA" w14:paraId="383F9B9A" w14:textId="77777777" w:rsidTr="00967D46">
        <w:tc>
          <w:tcPr>
            <w:tcW w:w="5000" w:type="pct"/>
            <w:gridSpan w:val="4"/>
            <w:vAlign w:val="center"/>
          </w:tcPr>
          <w:p w14:paraId="04B53F07" w14:textId="77777777" w:rsidR="00ED3546" w:rsidRPr="00C41ECA" w:rsidRDefault="00ED3546" w:rsidP="00967D46">
            <w:pPr>
              <w:pStyle w:val="TableText0"/>
            </w:pPr>
            <w:r w:rsidRPr="00C41ECA">
              <w:t>≤7 years age of onset cohort (27% of total population)</w:t>
            </w:r>
          </w:p>
        </w:tc>
      </w:tr>
      <w:tr w:rsidR="00ED3546" w:rsidRPr="00C41ECA" w14:paraId="1B6480D4" w14:textId="77777777" w:rsidTr="00967D46">
        <w:tc>
          <w:tcPr>
            <w:tcW w:w="1569" w:type="pct"/>
            <w:vAlign w:val="center"/>
          </w:tcPr>
          <w:p w14:paraId="7B41354A" w14:textId="77777777" w:rsidR="00ED3546" w:rsidRPr="00C41ECA" w:rsidRDefault="00ED3546" w:rsidP="00967D46">
            <w:pPr>
              <w:pStyle w:val="TableText0"/>
              <w:rPr>
                <w:rFonts w:ascii="Times" w:hAnsi="Times"/>
              </w:rPr>
            </w:pPr>
            <w:r w:rsidRPr="00C41ECA">
              <w:t>Costs</w:t>
            </w:r>
          </w:p>
        </w:tc>
        <w:tc>
          <w:tcPr>
            <w:tcW w:w="1319" w:type="pct"/>
            <w:vAlign w:val="center"/>
          </w:tcPr>
          <w:p w14:paraId="0FA649A1" w14:textId="0EEC1C7A" w:rsidR="00ED3546" w:rsidRPr="00C41ECA" w:rsidRDefault="00ED3546" w:rsidP="00967D46">
            <w:pPr>
              <w:pStyle w:val="TableText0"/>
              <w:jc w:val="center"/>
              <w:rPr>
                <w:rFonts w:ascii="Times" w:hAnsi="Times"/>
              </w:rPr>
            </w:pPr>
            <w:r w:rsidRPr="00C41ECA">
              <w:rPr>
                <w:rFonts w:cs="Calibri"/>
                <w:color w:val="000000"/>
                <w:szCs w:val="20"/>
              </w:rPr>
              <w:t>$</w:t>
            </w:r>
            <w:r w:rsidR="003452C5" w:rsidRPr="003452C5">
              <w:rPr>
                <w:rFonts w:cs="Calibri"/>
                <w:color w:val="000000"/>
                <w:spacing w:val="53"/>
                <w:szCs w:val="20"/>
                <w:shd w:val="solid" w:color="000000" w:fill="000000"/>
                <w:fitText w:val="330" w:id="-694425587"/>
                <w14:textFill>
                  <w14:solidFill>
                    <w14:srgbClr w14:val="000000">
                      <w14:alpha w14:val="100000"/>
                    </w14:srgbClr>
                  </w14:solidFill>
                </w14:textFill>
              </w:rPr>
              <w:t>|||</w:t>
            </w:r>
            <w:r w:rsidR="003452C5" w:rsidRPr="003452C5">
              <w:rPr>
                <w:rFonts w:cs="Calibri"/>
                <w:color w:val="000000"/>
                <w:spacing w:val="1"/>
                <w:szCs w:val="20"/>
                <w:shd w:val="solid" w:color="000000" w:fill="000000"/>
                <w:fitText w:val="330" w:id="-694425587"/>
                <w14:textFill>
                  <w14:solidFill>
                    <w14:srgbClr w14:val="000000">
                      <w14:alpha w14:val="100000"/>
                    </w14:srgbClr>
                  </w14:solidFill>
                </w14:textFill>
              </w:rPr>
              <w:t>|</w:t>
            </w:r>
          </w:p>
        </w:tc>
        <w:tc>
          <w:tcPr>
            <w:tcW w:w="1274" w:type="pct"/>
            <w:vAlign w:val="center"/>
          </w:tcPr>
          <w:p w14:paraId="79634EC5" w14:textId="77777777" w:rsidR="00ED3546" w:rsidRPr="00C41ECA" w:rsidRDefault="00ED3546" w:rsidP="00967D46">
            <w:pPr>
              <w:pStyle w:val="TableText0"/>
              <w:jc w:val="center"/>
              <w:rPr>
                <w:rFonts w:ascii="Times" w:hAnsi="Times"/>
              </w:rPr>
            </w:pPr>
            <w:r w:rsidRPr="00C41ECA">
              <w:rPr>
                <w:rFonts w:cs="Calibri"/>
                <w:color w:val="000000"/>
                <w:szCs w:val="20"/>
              </w:rPr>
              <w:t>$745,901</w:t>
            </w:r>
          </w:p>
        </w:tc>
        <w:tc>
          <w:tcPr>
            <w:tcW w:w="838" w:type="pct"/>
            <w:vAlign w:val="center"/>
          </w:tcPr>
          <w:p w14:paraId="71D1DEFD" w14:textId="0726D87E" w:rsidR="00ED3546" w:rsidRPr="00C41ECA" w:rsidRDefault="00ED3546" w:rsidP="00967D46">
            <w:pPr>
              <w:pStyle w:val="TableText0"/>
              <w:jc w:val="center"/>
            </w:pPr>
            <w:r w:rsidRPr="00C41ECA">
              <w:t>$</w:t>
            </w:r>
            <w:r w:rsidR="003452C5" w:rsidRPr="003452C5">
              <w:rPr>
                <w:color w:val="000000"/>
                <w:spacing w:val="53"/>
                <w:shd w:val="solid" w:color="000000" w:fill="000000"/>
                <w:fitText w:val="330" w:id="-694425586"/>
                <w14:textFill>
                  <w14:solidFill>
                    <w14:srgbClr w14:val="000000">
                      <w14:alpha w14:val="100000"/>
                    </w14:srgbClr>
                  </w14:solidFill>
                </w14:textFill>
              </w:rPr>
              <w:t>|||</w:t>
            </w:r>
            <w:r w:rsidR="003452C5" w:rsidRPr="003452C5">
              <w:rPr>
                <w:color w:val="000000"/>
                <w:spacing w:val="1"/>
                <w:shd w:val="solid" w:color="000000" w:fill="000000"/>
                <w:fitText w:val="330" w:id="-694425586"/>
                <w14:textFill>
                  <w14:solidFill>
                    <w14:srgbClr w14:val="000000">
                      <w14:alpha w14:val="100000"/>
                    </w14:srgbClr>
                  </w14:solidFill>
                </w14:textFill>
              </w:rPr>
              <w:t>|</w:t>
            </w:r>
          </w:p>
        </w:tc>
      </w:tr>
      <w:tr w:rsidR="00ED3546" w:rsidRPr="00C41ECA" w14:paraId="15B10617" w14:textId="77777777" w:rsidTr="00967D46">
        <w:tc>
          <w:tcPr>
            <w:tcW w:w="1569" w:type="pct"/>
            <w:vAlign w:val="center"/>
          </w:tcPr>
          <w:p w14:paraId="79AF14A9" w14:textId="77777777" w:rsidR="00ED3546" w:rsidRPr="00C41ECA" w:rsidRDefault="00ED3546" w:rsidP="00967D46">
            <w:pPr>
              <w:pStyle w:val="TableText0"/>
              <w:rPr>
                <w:rFonts w:ascii="Times" w:hAnsi="Times"/>
              </w:rPr>
            </w:pPr>
            <w:r w:rsidRPr="00C41ECA">
              <w:t>QALYs</w:t>
            </w:r>
          </w:p>
        </w:tc>
        <w:tc>
          <w:tcPr>
            <w:tcW w:w="1319" w:type="pct"/>
            <w:vAlign w:val="center"/>
          </w:tcPr>
          <w:p w14:paraId="4CB89AD1" w14:textId="77777777" w:rsidR="00ED3546" w:rsidRPr="00C41ECA" w:rsidRDefault="00ED3546" w:rsidP="00967D46">
            <w:pPr>
              <w:pStyle w:val="TableText0"/>
              <w:jc w:val="center"/>
              <w:rPr>
                <w:rFonts w:ascii="Times" w:hAnsi="Times"/>
              </w:rPr>
            </w:pPr>
            <w:r w:rsidRPr="00C41ECA">
              <w:rPr>
                <w:rFonts w:cs="Calibri"/>
                <w:color w:val="000000"/>
                <w:szCs w:val="20"/>
              </w:rPr>
              <w:t>6.76</w:t>
            </w:r>
          </w:p>
        </w:tc>
        <w:tc>
          <w:tcPr>
            <w:tcW w:w="1274" w:type="pct"/>
            <w:vAlign w:val="center"/>
          </w:tcPr>
          <w:p w14:paraId="611834D7" w14:textId="77777777" w:rsidR="00ED3546" w:rsidRPr="00C41ECA" w:rsidRDefault="00ED3546" w:rsidP="00967D46">
            <w:pPr>
              <w:pStyle w:val="TableText0"/>
              <w:jc w:val="center"/>
              <w:rPr>
                <w:rFonts w:ascii="Times" w:hAnsi="Times"/>
              </w:rPr>
            </w:pPr>
            <w:r w:rsidRPr="00C41ECA">
              <w:rPr>
                <w:rFonts w:cs="Calibri"/>
                <w:color w:val="000000"/>
                <w:szCs w:val="20"/>
              </w:rPr>
              <w:t>5.81</w:t>
            </w:r>
          </w:p>
        </w:tc>
        <w:tc>
          <w:tcPr>
            <w:tcW w:w="838" w:type="pct"/>
            <w:vAlign w:val="center"/>
          </w:tcPr>
          <w:p w14:paraId="78B0120A" w14:textId="77777777" w:rsidR="00ED3546" w:rsidRPr="00C41ECA" w:rsidRDefault="00ED3546" w:rsidP="00967D46">
            <w:pPr>
              <w:pStyle w:val="TableText0"/>
              <w:jc w:val="center"/>
            </w:pPr>
            <w:r w:rsidRPr="00C41ECA">
              <w:t>0.95</w:t>
            </w:r>
          </w:p>
        </w:tc>
      </w:tr>
      <w:tr w:rsidR="00ED3546" w:rsidRPr="00C41ECA" w14:paraId="7F125C87" w14:textId="77777777" w:rsidTr="00967D46">
        <w:tc>
          <w:tcPr>
            <w:tcW w:w="4162" w:type="pct"/>
            <w:gridSpan w:val="3"/>
            <w:vAlign w:val="center"/>
          </w:tcPr>
          <w:p w14:paraId="43436EF5" w14:textId="77777777" w:rsidR="00ED3546" w:rsidRPr="00C41ECA" w:rsidRDefault="00ED3546" w:rsidP="00967D46">
            <w:pPr>
              <w:pStyle w:val="TableText0"/>
              <w:rPr>
                <w:rFonts w:ascii="Times" w:hAnsi="Times"/>
              </w:rPr>
            </w:pPr>
            <w:r w:rsidRPr="00C41ECA">
              <w:t>Incremental cost/extra QALY gained</w:t>
            </w:r>
          </w:p>
        </w:tc>
        <w:tc>
          <w:tcPr>
            <w:tcW w:w="838" w:type="pct"/>
            <w:vAlign w:val="center"/>
          </w:tcPr>
          <w:p w14:paraId="0D04753D" w14:textId="0CAD10EB" w:rsidR="00ED3546" w:rsidRPr="00C41ECA" w:rsidRDefault="00ED3546" w:rsidP="00967D46">
            <w:pPr>
              <w:pStyle w:val="TableText0"/>
              <w:jc w:val="center"/>
            </w:pPr>
            <w:r w:rsidRPr="00C41ECA">
              <w:t>$</w:t>
            </w:r>
            <w:r w:rsidR="003452C5" w:rsidRPr="003452C5">
              <w:rPr>
                <w:color w:val="000000"/>
                <w:spacing w:val="53"/>
                <w:shd w:val="solid" w:color="000000" w:fill="000000"/>
                <w:fitText w:val="330" w:id="-694425585"/>
                <w14:textFill>
                  <w14:solidFill>
                    <w14:srgbClr w14:val="000000">
                      <w14:alpha w14:val="100000"/>
                    </w14:srgbClr>
                  </w14:solidFill>
                </w14:textFill>
              </w:rPr>
              <w:t>|||</w:t>
            </w:r>
            <w:r w:rsidR="003452C5" w:rsidRPr="003452C5">
              <w:rPr>
                <w:color w:val="000000"/>
                <w:spacing w:val="1"/>
                <w:shd w:val="solid" w:color="000000" w:fill="000000"/>
                <w:fitText w:val="330" w:id="-694425585"/>
                <w14:textFill>
                  <w14:solidFill>
                    <w14:srgbClr w14:val="000000">
                      <w14:alpha w14:val="100000"/>
                    </w14:srgbClr>
                  </w14:solidFill>
                </w14:textFill>
              </w:rPr>
              <w:t>|</w:t>
            </w:r>
            <w:r w:rsidR="00E369B9" w:rsidRPr="00E369B9">
              <w:rPr>
                <w:b/>
                <w:bCs w:val="0"/>
                <w:vertAlign w:val="superscript"/>
              </w:rPr>
              <w:t>1</w:t>
            </w:r>
          </w:p>
        </w:tc>
      </w:tr>
      <w:tr w:rsidR="00ED3546" w:rsidRPr="00C41ECA" w14:paraId="5D96FE51" w14:textId="77777777" w:rsidTr="00967D46">
        <w:tc>
          <w:tcPr>
            <w:tcW w:w="5000" w:type="pct"/>
            <w:gridSpan w:val="4"/>
            <w:vAlign w:val="center"/>
          </w:tcPr>
          <w:p w14:paraId="7E74B029" w14:textId="77777777" w:rsidR="00ED3546" w:rsidRPr="00C41ECA" w:rsidRDefault="00ED3546" w:rsidP="00967D46">
            <w:pPr>
              <w:pStyle w:val="TableText0"/>
            </w:pPr>
            <w:r w:rsidRPr="00C41ECA">
              <w:t>8 – 14 years age of onset cohort (45% of total population)</w:t>
            </w:r>
          </w:p>
        </w:tc>
      </w:tr>
      <w:tr w:rsidR="00ED3546" w:rsidRPr="00C41ECA" w14:paraId="32E83CF6" w14:textId="77777777" w:rsidTr="00967D46">
        <w:tc>
          <w:tcPr>
            <w:tcW w:w="1569" w:type="pct"/>
            <w:vAlign w:val="center"/>
          </w:tcPr>
          <w:p w14:paraId="04A75926" w14:textId="77777777" w:rsidR="00ED3546" w:rsidRPr="00C41ECA" w:rsidRDefault="00ED3546" w:rsidP="00967D46">
            <w:pPr>
              <w:pStyle w:val="TableText0"/>
              <w:rPr>
                <w:rFonts w:ascii="Times" w:hAnsi="Times"/>
              </w:rPr>
            </w:pPr>
            <w:r w:rsidRPr="00C41ECA">
              <w:t>Costs</w:t>
            </w:r>
          </w:p>
        </w:tc>
        <w:tc>
          <w:tcPr>
            <w:tcW w:w="1319" w:type="pct"/>
            <w:vAlign w:val="center"/>
          </w:tcPr>
          <w:p w14:paraId="2313B39D" w14:textId="06C39D49" w:rsidR="00ED3546" w:rsidRPr="00C41ECA" w:rsidRDefault="00ED3546" w:rsidP="00967D46">
            <w:pPr>
              <w:pStyle w:val="TableText0"/>
              <w:jc w:val="center"/>
              <w:rPr>
                <w:rFonts w:ascii="Times" w:hAnsi="Times"/>
              </w:rPr>
            </w:pPr>
            <w:r w:rsidRPr="00C41ECA">
              <w:rPr>
                <w:rFonts w:cs="Calibri"/>
                <w:color w:val="000000"/>
                <w:sz w:val="19"/>
                <w:szCs w:val="19"/>
              </w:rPr>
              <w:t>$</w:t>
            </w:r>
            <w:r w:rsidR="003452C5" w:rsidRPr="003452C5">
              <w:rPr>
                <w:rFonts w:cs="Calibri"/>
                <w:color w:val="000000"/>
                <w:spacing w:val="49"/>
                <w:sz w:val="19"/>
                <w:szCs w:val="19"/>
                <w:shd w:val="solid" w:color="000000" w:fill="000000"/>
                <w:fitText w:val="310" w:id="-694425584"/>
                <w14:textFill>
                  <w14:solidFill>
                    <w14:srgbClr w14:val="000000">
                      <w14:alpha w14:val="100000"/>
                    </w14:srgbClr>
                  </w14:solidFill>
                </w14:textFill>
              </w:rPr>
              <w:t>|||</w:t>
            </w:r>
            <w:r w:rsidR="003452C5" w:rsidRPr="003452C5">
              <w:rPr>
                <w:rFonts w:cs="Calibri"/>
                <w:color w:val="000000"/>
                <w:spacing w:val="2"/>
                <w:sz w:val="19"/>
                <w:szCs w:val="19"/>
                <w:shd w:val="solid" w:color="000000" w:fill="000000"/>
                <w:fitText w:val="310" w:id="-694425584"/>
                <w14:textFill>
                  <w14:solidFill>
                    <w14:srgbClr w14:val="000000">
                      <w14:alpha w14:val="100000"/>
                    </w14:srgbClr>
                  </w14:solidFill>
                </w14:textFill>
              </w:rPr>
              <w:t>|</w:t>
            </w:r>
          </w:p>
        </w:tc>
        <w:tc>
          <w:tcPr>
            <w:tcW w:w="1274" w:type="pct"/>
            <w:vAlign w:val="center"/>
          </w:tcPr>
          <w:p w14:paraId="45DE5957" w14:textId="77777777" w:rsidR="00ED3546" w:rsidRPr="00C41ECA" w:rsidRDefault="00ED3546" w:rsidP="00967D46">
            <w:pPr>
              <w:pStyle w:val="TableText0"/>
              <w:jc w:val="center"/>
              <w:rPr>
                <w:rFonts w:ascii="Times" w:hAnsi="Times"/>
              </w:rPr>
            </w:pPr>
            <w:r w:rsidRPr="00C41ECA">
              <w:rPr>
                <w:rFonts w:cs="Calibri"/>
                <w:color w:val="000000"/>
                <w:sz w:val="19"/>
                <w:szCs w:val="19"/>
              </w:rPr>
              <w:t>$656,105</w:t>
            </w:r>
          </w:p>
        </w:tc>
        <w:tc>
          <w:tcPr>
            <w:tcW w:w="838" w:type="pct"/>
            <w:vAlign w:val="center"/>
          </w:tcPr>
          <w:p w14:paraId="7E162722" w14:textId="22CA4499" w:rsidR="00ED3546" w:rsidRPr="00C41ECA" w:rsidRDefault="00ED3546" w:rsidP="00967D46">
            <w:pPr>
              <w:pStyle w:val="TableText0"/>
              <w:jc w:val="center"/>
            </w:pPr>
            <w:r w:rsidRPr="00C41ECA">
              <w:t>$</w:t>
            </w:r>
            <w:r w:rsidR="003452C5" w:rsidRPr="003452C5">
              <w:rPr>
                <w:color w:val="000000"/>
                <w:spacing w:val="53"/>
                <w:shd w:val="solid" w:color="000000" w:fill="000000"/>
                <w:fitText w:val="330" w:id="-694425600"/>
                <w14:textFill>
                  <w14:solidFill>
                    <w14:srgbClr w14:val="000000">
                      <w14:alpha w14:val="100000"/>
                    </w14:srgbClr>
                  </w14:solidFill>
                </w14:textFill>
              </w:rPr>
              <w:t>|||</w:t>
            </w:r>
            <w:r w:rsidR="003452C5" w:rsidRPr="003452C5">
              <w:rPr>
                <w:color w:val="000000"/>
                <w:spacing w:val="1"/>
                <w:shd w:val="solid" w:color="000000" w:fill="000000"/>
                <w:fitText w:val="330" w:id="-694425600"/>
                <w14:textFill>
                  <w14:solidFill>
                    <w14:srgbClr w14:val="000000">
                      <w14:alpha w14:val="100000"/>
                    </w14:srgbClr>
                  </w14:solidFill>
                </w14:textFill>
              </w:rPr>
              <w:t>|</w:t>
            </w:r>
          </w:p>
        </w:tc>
      </w:tr>
      <w:tr w:rsidR="00ED3546" w:rsidRPr="00C41ECA" w14:paraId="2BFC9F12" w14:textId="77777777" w:rsidTr="00967D46">
        <w:tc>
          <w:tcPr>
            <w:tcW w:w="1569" w:type="pct"/>
            <w:vAlign w:val="center"/>
          </w:tcPr>
          <w:p w14:paraId="12777BB7" w14:textId="77777777" w:rsidR="00ED3546" w:rsidRPr="00C41ECA" w:rsidRDefault="00ED3546" w:rsidP="00967D46">
            <w:pPr>
              <w:pStyle w:val="TableText0"/>
              <w:rPr>
                <w:rFonts w:ascii="Times" w:hAnsi="Times"/>
              </w:rPr>
            </w:pPr>
            <w:r w:rsidRPr="00C41ECA">
              <w:t>QALYs</w:t>
            </w:r>
          </w:p>
        </w:tc>
        <w:tc>
          <w:tcPr>
            <w:tcW w:w="1319" w:type="pct"/>
            <w:vAlign w:val="center"/>
          </w:tcPr>
          <w:p w14:paraId="0CD1E6DD" w14:textId="77777777" w:rsidR="00ED3546" w:rsidRPr="00C41ECA" w:rsidRDefault="00ED3546" w:rsidP="00967D46">
            <w:pPr>
              <w:pStyle w:val="TableText0"/>
              <w:jc w:val="center"/>
              <w:rPr>
                <w:rFonts w:ascii="Times" w:hAnsi="Times"/>
              </w:rPr>
            </w:pPr>
            <w:r w:rsidRPr="00C41ECA">
              <w:rPr>
                <w:rFonts w:cs="Calibri"/>
                <w:color w:val="000000"/>
                <w:sz w:val="19"/>
                <w:szCs w:val="19"/>
              </w:rPr>
              <w:t>11.05</w:t>
            </w:r>
          </w:p>
        </w:tc>
        <w:tc>
          <w:tcPr>
            <w:tcW w:w="1274" w:type="pct"/>
            <w:vAlign w:val="center"/>
          </w:tcPr>
          <w:p w14:paraId="6B92556B" w14:textId="77777777" w:rsidR="00ED3546" w:rsidRPr="00C41ECA" w:rsidRDefault="00ED3546" w:rsidP="00967D46">
            <w:pPr>
              <w:pStyle w:val="TableText0"/>
              <w:jc w:val="center"/>
              <w:rPr>
                <w:rFonts w:ascii="Times" w:hAnsi="Times"/>
              </w:rPr>
            </w:pPr>
            <w:r w:rsidRPr="00C41ECA">
              <w:rPr>
                <w:rFonts w:cs="Calibri"/>
                <w:color w:val="000000"/>
                <w:sz w:val="19"/>
                <w:szCs w:val="19"/>
              </w:rPr>
              <w:t>9.73</w:t>
            </w:r>
          </w:p>
        </w:tc>
        <w:tc>
          <w:tcPr>
            <w:tcW w:w="838" w:type="pct"/>
            <w:vAlign w:val="center"/>
          </w:tcPr>
          <w:p w14:paraId="67E3DF5B" w14:textId="77777777" w:rsidR="00ED3546" w:rsidRPr="00C41ECA" w:rsidRDefault="00ED3546" w:rsidP="00967D46">
            <w:pPr>
              <w:pStyle w:val="TableText0"/>
              <w:jc w:val="center"/>
            </w:pPr>
            <w:r w:rsidRPr="00C41ECA">
              <w:t>1.32</w:t>
            </w:r>
          </w:p>
        </w:tc>
      </w:tr>
      <w:tr w:rsidR="00ED3546" w:rsidRPr="00C41ECA" w14:paraId="049BBF72" w14:textId="77777777" w:rsidTr="00967D46">
        <w:tc>
          <w:tcPr>
            <w:tcW w:w="4162" w:type="pct"/>
            <w:gridSpan w:val="3"/>
            <w:vAlign w:val="center"/>
          </w:tcPr>
          <w:p w14:paraId="156F366E" w14:textId="77777777" w:rsidR="00ED3546" w:rsidRPr="00C41ECA" w:rsidRDefault="00ED3546" w:rsidP="00967D46">
            <w:pPr>
              <w:pStyle w:val="TableText0"/>
              <w:rPr>
                <w:rFonts w:ascii="Times" w:hAnsi="Times"/>
              </w:rPr>
            </w:pPr>
            <w:r w:rsidRPr="00C41ECA">
              <w:t>Incremental cost/extra QALY gained</w:t>
            </w:r>
          </w:p>
        </w:tc>
        <w:tc>
          <w:tcPr>
            <w:tcW w:w="838" w:type="pct"/>
            <w:vAlign w:val="center"/>
          </w:tcPr>
          <w:p w14:paraId="6687D8F9" w14:textId="02C1423D" w:rsidR="00ED3546" w:rsidRPr="00C41ECA" w:rsidRDefault="00ED3546" w:rsidP="00967D46">
            <w:pPr>
              <w:pStyle w:val="TableText0"/>
              <w:jc w:val="center"/>
            </w:pPr>
            <w:r w:rsidRPr="00C41ECA">
              <w:t>$</w:t>
            </w:r>
            <w:r w:rsidR="003452C5" w:rsidRPr="003452C5">
              <w:rPr>
                <w:color w:val="000000"/>
                <w:spacing w:val="53"/>
                <w:shd w:val="solid" w:color="000000" w:fill="000000"/>
                <w:fitText w:val="330" w:id="-694425599"/>
                <w14:textFill>
                  <w14:solidFill>
                    <w14:srgbClr w14:val="000000">
                      <w14:alpha w14:val="100000"/>
                    </w14:srgbClr>
                  </w14:solidFill>
                </w14:textFill>
              </w:rPr>
              <w:t>|||</w:t>
            </w:r>
            <w:r w:rsidR="003452C5" w:rsidRPr="003452C5">
              <w:rPr>
                <w:color w:val="000000"/>
                <w:spacing w:val="1"/>
                <w:shd w:val="solid" w:color="000000" w:fill="000000"/>
                <w:fitText w:val="330" w:id="-694425599"/>
                <w14:textFill>
                  <w14:solidFill>
                    <w14:srgbClr w14:val="000000">
                      <w14:alpha w14:val="100000"/>
                    </w14:srgbClr>
                  </w14:solidFill>
                </w14:textFill>
              </w:rPr>
              <w:t>|</w:t>
            </w:r>
            <w:r w:rsidR="00E369B9" w:rsidRPr="00E369B9">
              <w:rPr>
                <w:b/>
                <w:bCs w:val="0"/>
                <w:vertAlign w:val="superscript"/>
              </w:rPr>
              <w:t>1</w:t>
            </w:r>
          </w:p>
        </w:tc>
      </w:tr>
      <w:tr w:rsidR="00ED3546" w:rsidRPr="00C41ECA" w14:paraId="7E8BFE03" w14:textId="77777777" w:rsidTr="00967D46">
        <w:tc>
          <w:tcPr>
            <w:tcW w:w="5000" w:type="pct"/>
            <w:gridSpan w:val="4"/>
            <w:vAlign w:val="center"/>
          </w:tcPr>
          <w:p w14:paraId="660C3CF9" w14:textId="77777777" w:rsidR="00ED3546" w:rsidRPr="00C41ECA" w:rsidRDefault="00ED3546" w:rsidP="00967D46">
            <w:pPr>
              <w:pStyle w:val="TableText0"/>
            </w:pPr>
            <w:r w:rsidRPr="00C41ECA">
              <w:t>15 – 24 years age of onset cohort (18% of total population)</w:t>
            </w:r>
          </w:p>
        </w:tc>
      </w:tr>
      <w:tr w:rsidR="00ED3546" w:rsidRPr="00C41ECA" w14:paraId="25E804EF" w14:textId="77777777" w:rsidTr="00967D46">
        <w:tc>
          <w:tcPr>
            <w:tcW w:w="1569" w:type="pct"/>
            <w:vAlign w:val="center"/>
          </w:tcPr>
          <w:p w14:paraId="5B9CA5F6" w14:textId="77777777" w:rsidR="00ED3546" w:rsidRPr="00C41ECA" w:rsidRDefault="00ED3546" w:rsidP="00967D46">
            <w:pPr>
              <w:pStyle w:val="TableText0"/>
              <w:rPr>
                <w:rFonts w:ascii="Times" w:hAnsi="Times"/>
              </w:rPr>
            </w:pPr>
            <w:r w:rsidRPr="00C41ECA">
              <w:t>Costs</w:t>
            </w:r>
          </w:p>
        </w:tc>
        <w:tc>
          <w:tcPr>
            <w:tcW w:w="1319" w:type="pct"/>
            <w:vAlign w:val="center"/>
          </w:tcPr>
          <w:p w14:paraId="2397A55C" w14:textId="2A237C99" w:rsidR="00ED3546" w:rsidRPr="00C41ECA" w:rsidRDefault="00ED3546" w:rsidP="00967D46">
            <w:pPr>
              <w:pStyle w:val="TableText0"/>
              <w:jc w:val="center"/>
              <w:rPr>
                <w:rFonts w:ascii="Times" w:hAnsi="Times"/>
              </w:rPr>
            </w:pPr>
            <w:r w:rsidRPr="00C41ECA">
              <w:rPr>
                <w:rFonts w:cs="Calibri"/>
                <w:color w:val="000000"/>
                <w:sz w:val="19"/>
                <w:szCs w:val="19"/>
              </w:rPr>
              <w:t>$</w:t>
            </w:r>
            <w:r w:rsidR="003452C5" w:rsidRPr="003452C5">
              <w:rPr>
                <w:rFonts w:cs="Calibri"/>
                <w:color w:val="000000"/>
                <w:spacing w:val="49"/>
                <w:sz w:val="19"/>
                <w:szCs w:val="19"/>
                <w:shd w:val="solid" w:color="000000" w:fill="000000"/>
                <w:fitText w:val="310" w:id="-694425598"/>
                <w14:textFill>
                  <w14:solidFill>
                    <w14:srgbClr w14:val="000000">
                      <w14:alpha w14:val="100000"/>
                    </w14:srgbClr>
                  </w14:solidFill>
                </w14:textFill>
              </w:rPr>
              <w:t>|||</w:t>
            </w:r>
            <w:r w:rsidR="003452C5" w:rsidRPr="003452C5">
              <w:rPr>
                <w:rFonts w:cs="Calibri"/>
                <w:color w:val="000000"/>
                <w:spacing w:val="2"/>
                <w:sz w:val="19"/>
                <w:szCs w:val="19"/>
                <w:shd w:val="solid" w:color="000000" w:fill="000000"/>
                <w:fitText w:val="310" w:id="-694425598"/>
                <w14:textFill>
                  <w14:solidFill>
                    <w14:srgbClr w14:val="000000">
                      <w14:alpha w14:val="100000"/>
                    </w14:srgbClr>
                  </w14:solidFill>
                </w14:textFill>
              </w:rPr>
              <w:t>|</w:t>
            </w:r>
          </w:p>
        </w:tc>
        <w:tc>
          <w:tcPr>
            <w:tcW w:w="1274" w:type="pct"/>
            <w:vAlign w:val="center"/>
          </w:tcPr>
          <w:p w14:paraId="0BAF8FD8" w14:textId="77777777" w:rsidR="00ED3546" w:rsidRPr="00C41ECA" w:rsidRDefault="00ED3546" w:rsidP="00967D46">
            <w:pPr>
              <w:pStyle w:val="TableText0"/>
              <w:jc w:val="center"/>
              <w:rPr>
                <w:rFonts w:ascii="Times" w:hAnsi="Times"/>
              </w:rPr>
            </w:pPr>
            <w:r w:rsidRPr="00C41ECA">
              <w:rPr>
                <w:rFonts w:cs="Calibri"/>
                <w:color w:val="000000"/>
                <w:sz w:val="19"/>
                <w:szCs w:val="19"/>
              </w:rPr>
              <w:t>$553,978</w:t>
            </w:r>
          </w:p>
        </w:tc>
        <w:tc>
          <w:tcPr>
            <w:tcW w:w="838" w:type="pct"/>
            <w:vAlign w:val="center"/>
          </w:tcPr>
          <w:p w14:paraId="692E07A4" w14:textId="0159A6C5" w:rsidR="00ED3546" w:rsidRPr="00C41ECA" w:rsidRDefault="00ED3546" w:rsidP="00967D46">
            <w:pPr>
              <w:pStyle w:val="TableText0"/>
              <w:jc w:val="center"/>
            </w:pPr>
            <w:r w:rsidRPr="00C41ECA">
              <w:t>$</w:t>
            </w:r>
            <w:r w:rsidR="003452C5" w:rsidRPr="003452C5">
              <w:rPr>
                <w:color w:val="000000"/>
                <w:spacing w:val="53"/>
                <w:shd w:val="solid" w:color="000000" w:fill="000000"/>
                <w:fitText w:val="330" w:id="-694425597"/>
                <w14:textFill>
                  <w14:solidFill>
                    <w14:srgbClr w14:val="000000">
                      <w14:alpha w14:val="100000"/>
                    </w14:srgbClr>
                  </w14:solidFill>
                </w14:textFill>
              </w:rPr>
              <w:t>|||</w:t>
            </w:r>
            <w:r w:rsidR="003452C5" w:rsidRPr="003452C5">
              <w:rPr>
                <w:color w:val="000000"/>
                <w:spacing w:val="1"/>
                <w:shd w:val="solid" w:color="000000" w:fill="000000"/>
                <w:fitText w:val="330" w:id="-694425597"/>
                <w14:textFill>
                  <w14:solidFill>
                    <w14:srgbClr w14:val="000000">
                      <w14:alpha w14:val="100000"/>
                    </w14:srgbClr>
                  </w14:solidFill>
                </w14:textFill>
              </w:rPr>
              <w:t>|</w:t>
            </w:r>
          </w:p>
        </w:tc>
      </w:tr>
      <w:tr w:rsidR="00ED3546" w:rsidRPr="00C41ECA" w14:paraId="0DFB2971" w14:textId="77777777" w:rsidTr="00967D46">
        <w:tc>
          <w:tcPr>
            <w:tcW w:w="1569" w:type="pct"/>
            <w:vAlign w:val="center"/>
          </w:tcPr>
          <w:p w14:paraId="5111FCF2" w14:textId="77777777" w:rsidR="00ED3546" w:rsidRPr="00C41ECA" w:rsidRDefault="00ED3546" w:rsidP="00967D46">
            <w:pPr>
              <w:pStyle w:val="TableText0"/>
              <w:rPr>
                <w:rFonts w:ascii="Times" w:hAnsi="Times"/>
              </w:rPr>
            </w:pPr>
            <w:r w:rsidRPr="00C41ECA">
              <w:t>QALYs</w:t>
            </w:r>
          </w:p>
        </w:tc>
        <w:tc>
          <w:tcPr>
            <w:tcW w:w="1319" w:type="pct"/>
            <w:vAlign w:val="center"/>
          </w:tcPr>
          <w:p w14:paraId="3A21ABA1" w14:textId="77777777" w:rsidR="00ED3546" w:rsidRPr="00C41ECA" w:rsidRDefault="00ED3546" w:rsidP="00967D46">
            <w:pPr>
              <w:pStyle w:val="TableText0"/>
              <w:jc w:val="center"/>
              <w:rPr>
                <w:rFonts w:ascii="Times" w:hAnsi="Times"/>
              </w:rPr>
            </w:pPr>
            <w:r w:rsidRPr="00C41ECA">
              <w:rPr>
                <w:rFonts w:cs="Calibri"/>
                <w:color w:val="000000"/>
                <w:sz w:val="19"/>
                <w:szCs w:val="19"/>
              </w:rPr>
              <w:t>14.28</w:t>
            </w:r>
          </w:p>
        </w:tc>
        <w:tc>
          <w:tcPr>
            <w:tcW w:w="1274" w:type="pct"/>
            <w:vAlign w:val="center"/>
          </w:tcPr>
          <w:p w14:paraId="38C1FF8E" w14:textId="77777777" w:rsidR="00ED3546" w:rsidRPr="00C41ECA" w:rsidRDefault="00ED3546" w:rsidP="00967D46">
            <w:pPr>
              <w:pStyle w:val="TableText0"/>
              <w:jc w:val="center"/>
              <w:rPr>
                <w:rFonts w:ascii="Times" w:hAnsi="Times"/>
              </w:rPr>
            </w:pPr>
            <w:r w:rsidRPr="00C41ECA">
              <w:rPr>
                <w:rFonts w:cs="Calibri"/>
                <w:color w:val="000000"/>
                <w:sz w:val="19"/>
                <w:szCs w:val="19"/>
              </w:rPr>
              <w:t>13.13</w:t>
            </w:r>
          </w:p>
        </w:tc>
        <w:tc>
          <w:tcPr>
            <w:tcW w:w="838" w:type="pct"/>
            <w:vAlign w:val="center"/>
          </w:tcPr>
          <w:p w14:paraId="0575A9AE" w14:textId="77777777" w:rsidR="00ED3546" w:rsidRPr="00C41ECA" w:rsidRDefault="00ED3546" w:rsidP="00967D46">
            <w:pPr>
              <w:pStyle w:val="TableText0"/>
              <w:jc w:val="center"/>
            </w:pPr>
            <w:r w:rsidRPr="00C41ECA">
              <w:t>1.15</w:t>
            </w:r>
          </w:p>
        </w:tc>
      </w:tr>
      <w:tr w:rsidR="00ED3546" w:rsidRPr="00C41ECA" w14:paraId="35553008" w14:textId="77777777" w:rsidTr="00967D46">
        <w:tc>
          <w:tcPr>
            <w:tcW w:w="4162" w:type="pct"/>
            <w:gridSpan w:val="3"/>
            <w:vAlign w:val="center"/>
          </w:tcPr>
          <w:p w14:paraId="7771947C" w14:textId="77777777" w:rsidR="00ED3546" w:rsidRPr="00C41ECA" w:rsidRDefault="00ED3546" w:rsidP="00967D46">
            <w:pPr>
              <w:pStyle w:val="TableText0"/>
              <w:rPr>
                <w:rFonts w:ascii="Times" w:hAnsi="Times"/>
              </w:rPr>
            </w:pPr>
            <w:r w:rsidRPr="00C41ECA">
              <w:t>Incremental cost/extra QALY gained</w:t>
            </w:r>
          </w:p>
        </w:tc>
        <w:tc>
          <w:tcPr>
            <w:tcW w:w="838" w:type="pct"/>
            <w:vAlign w:val="center"/>
          </w:tcPr>
          <w:p w14:paraId="5B5A6157" w14:textId="5AC6EC5B" w:rsidR="00ED3546" w:rsidRPr="00C41ECA" w:rsidRDefault="00ED3546" w:rsidP="00967D46">
            <w:pPr>
              <w:pStyle w:val="TableText0"/>
              <w:jc w:val="center"/>
            </w:pPr>
            <w:r w:rsidRPr="00C41ECA">
              <w:t>$</w:t>
            </w:r>
            <w:r w:rsidR="003452C5" w:rsidRPr="003452C5">
              <w:rPr>
                <w:color w:val="000000"/>
                <w:spacing w:val="53"/>
                <w:shd w:val="solid" w:color="000000" w:fill="000000"/>
                <w:fitText w:val="330" w:id="-694425596"/>
                <w14:textFill>
                  <w14:solidFill>
                    <w14:srgbClr w14:val="000000">
                      <w14:alpha w14:val="100000"/>
                    </w14:srgbClr>
                  </w14:solidFill>
                </w14:textFill>
              </w:rPr>
              <w:t>|||</w:t>
            </w:r>
            <w:r w:rsidR="003452C5" w:rsidRPr="003452C5">
              <w:rPr>
                <w:color w:val="000000"/>
                <w:spacing w:val="1"/>
                <w:shd w:val="solid" w:color="000000" w:fill="000000"/>
                <w:fitText w:val="330" w:id="-694425596"/>
                <w14:textFill>
                  <w14:solidFill>
                    <w14:srgbClr w14:val="000000">
                      <w14:alpha w14:val="100000"/>
                    </w14:srgbClr>
                  </w14:solidFill>
                </w14:textFill>
              </w:rPr>
              <w:t>|</w:t>
            </w:r>
            <w:r w:rsidR="00E369B9" w:rsidRPr="00E369B9">
              <w:rPr>
                <w:b/>
                <w:bCs w:val="0"/>
                <w:vertAlign w:val="superscript"/>
              </w:rPr>
              <w:t>1</w:t>
            </w:r>
          </w:p>
        </w:tc>
      </w:tr>
      <w:tr w:rsidR="00ED3546" w:rsidRPr="00C41ECA" w14:paraId="16E339A4" w14:textId="77777777" w:rsidTr="00967D46">
        <w:tc>
          <w:tcPr>
            <w:tcW w:w="5000" w:type="pct"/>
            <w:gridSpan w:val="4"/>
            <w:vAlign w:val="center"/>
          </w:tcPr>
          <w:p w14:paraId="20206C30" w14:textId="77777777" w:rsidR="00ED3546" w:rsidRPr="00C41ECA" w:rsidRDefault="00ED3546" w:rsidP="00967D46">
            <w:pPr>
              <w:pStyle w:val="TableText0"/>
            </w:pPr>
            <w:r w:rsidRPr="00C41ECA">
              <w:t>&gt;24 years age of onset cohort (11% of total population)</w:t>
            </w:r>
          </w:p>
        </w:tc>
      </w:tr>
      <w:tr w:rsidR="00ED3546" w:rsidRPr="00C41ECA" w14:paraId="76AB84C3" w14:textId="77777777" w:rsidTr="00967D46">
        <w:trPr>
          <w:trHeight w:val="65"/>
        </w:trPr>
        <w:tc>
          <w:tcPr>
            <w:tcW w:w="1569" w:type="pct"/>
            <w:vAlign w:val="center"/>
          </w:tcPr>
          <w:p w14:paraId="26271801" w14:textId="77777777" w:rsidR="00ED3546" w:rsidRPr="00C41ECA" w:rsidRDefault="00ED3546" w:rsidP="00967D46">
            <w:pPr>
              <w:pStyle w:val="TableText0"/>
              <w:rPr>
                <w:rFonts w:ascii="Times" w:hAnsi="Times"/>
              </w:rPr>
            </w:pPr>
            <w:r w:rsidRPr="00C41ECA">
              <w:t>Costs</w:t>
            </w:r>
          </w:p>
        </w:tc>
        <w:tc>
          <w:tcPr>
            <w:tcW w:w="1319" w:type="pct"/>
            <w:vAlign w:val="center"/>
          </w:tcPr>
          <w:p w14:paraId="44D0A685" w14:textId="11ADA6E3" w:rsidR="00ED3546" w:rsidRPr="00C41ECA" w:rsidRDefault="00ED3546" w:rsidP="00967D46">
            <w:pPr>
              <w:pStyle w:val="TableText0"/>
              <w:jc w:val="center"/>
              <w:rPr>
                <w:rFonts w:ascii="Times" w:hAnsi="Times"/>
              </w:rPr>
            </w:pPr>
            <w:r w:rsidRPr="00C41ECA">
              <w:rPr>
                <w:rFonts w:cs="Calibri"/>
                <w:color w:val="000000"/>
                <w:sz w:val="19"/>
                <w:szCs w:val="19"/>
              </w:rPr>
              <w:t>$</w:t>
            </w:r>
            <w:r w:rsidR="003452C5" w:rsidRPr="003452C5">
              <w:rPr>
                <w:rFonts w:cs="Calibri"/>
                <w:color w:val="000000"/>
                <w:spacing w:val="49"/>
                <w:sz w:val="19"/>
                <w:szCs w:val="19"/>
                <w:shd w:val="solid" w:color="000000" w:fill="000000"/>
                <w:fitText w:val="310" w:id="-694425595"/>
                <w14:textFill>
                  <w14:solidFill>
                    <w14:srgbClr w14:val="000000">
                      <w14:alpha w14:val="100000"/>
                    </w14:srgbClr>
                  </w14:solidFill>
                </w14:textFill>
              </w:rPr>
              <w:t>|||</w:t>
            </w:r>
            <w:r w:rsidR="003452C5" w:rsidRPr="003452C5">
              <w:rPr>
                <w:rFonts w:cs="Calibri"/>
                <w:color w:val="000000"/>
                <w:spacing w:val="2"/>
                <w:sz w:val="19"/>
                <w:szCs w:val="19"/>
                <w:shd w:val="solid" w:color="000000" w:fill="000000"/>
                <w:fitText w:val="310" w:id="-694425595"/>
                <w14:textFill>
                  <w14:solidFill>
                    <w14:srgbClr w14:val="000000">
                      <w14:alpha w14:val="100000"/>
                    </w14:srgbClr>
                  </w14:solidFill>
                </w14:textFill>
              </w:rPr>
              <w:t>|</w:t>
            </w:r>
          </w:p>
        </w:tc>
        <w:tc>
          <w:tcPr>
            <w:tcW w:w="1274" w:type="pct"/>
            <w:vAlign w:val="center"/>
          </w:tcPr>
          <w:p w14:paraId="13911316" w14:textId="77777777" w:rsidR="00ED3546" w:rsidRPr="00C41ECA" w:rsidRDefault="00ED3546" w:rsidP="00967D46">
            <w:pPr>
              <w:pStyle w:val="TableText0"/>
              <w:jc w:val="center"/>
              <w:rPr>
                <w:rFonts w:ascii="Times" w:hAnsi="Times"/>
              </w:rPr>
            </w:pPr>
            <w:r w:rsidRPr="00C41ECA">
              <w:rPr>
                <w:rFonts w:cs="Calibri"/>
                <w:color w:val="000000"/>
                <w:sz w:val="19"/>
                <w:szCs w:val="19"/>
              </w:rPr>
              <w:t>$517,195</w:t>
            </w:r>
          </w:p>
        </w:tc>
        <w:tc>
          <w:tcPr>
            <w:tcW w:w="838" w:type="pct"/>
            <w:vAlign w:val="center"/>
          </w:tcPr>
          <w:p w14:paraId="3F95F381" w14:textId="179465BA" w:rsidR="00ED3546" w:rsidRPr="00C41ECA" w:rsidRDefault="00ED3546" w:rsidP="00967D46">
            <w:pPr>
              <w:pStyle w:val="TableText0"/>
              <w:jc w:val="center"/>
            </w:pPr>
            <w:r w:rsidRPr="00C41ECA">
              <w:t>$</w:t>
            </w:r>
            <w:r w:rsidR="003452C5" w:rsidRPr="003452C5">
              <w:rPr>
                <w:color w:val="000000"/>
                <w:spacing w:val="53"/>
                <w:shd w:val="solid" w:color="000000" w:fill="000000"/>
                <w:fitText w:val="330" w:id="-694425594"/>
                <w14:textFill>
                  <w14:solidFill>
                    <w14:srgbClr w14:val="000000">
                      <w14:alpha w14:val="100000"/>
                    </w14:srgbClr>
                  </w14:solidFill>
                </w14:textFill>
              </w:rPr>
              <w:t>|||</w:t>
            </w:r>
            <w:r w:rsidR="003452C5" w:rsidRPr="003452C5">
              <w:rPr>
                <w:color w:val="000000"/>
                <w:spacing w:val="1"/>
                <w:shd w:val="solid" w:color="000000" w:fill="000000"/>
                <w:fitText w:val="330" w:id="-694425594"/>
                <w14:textFill>
                  <w14:solidFill>
                    <w14:srgbClr w14:val="000000">
                      <w14:alpha w14:val="100000"/>
                    </w14:srgbClr>
                  </w14:solidFill>
                </w14:textFill>
              </w:rPr>
              <w:t>|</w:t>
            </w:r>
          </w:p>
        </w:tc>
      </w:tr>
      <w:tr w:rsidR="00ED3546" w:rsidRPr="00C41ECA" w14:paraId="34770C0C" w14:textId="77777777" w:rsidTr="00967D46">
        <w:tc>
          <w:tcPr>
            <w:tcW w:w="1569" w:type="pct"/>
            <w:vAlign w:val="center"/>
          </w:tcPr>
          <w:p w14:paraId="2D111212" w14:textId="77777777" w:rsidR="00ED3546" w:rsidRPr="00C41ECA" w:rsidRDefault="00ED3546" w:rsidP="00967D46">
            <w:pPr>
              <w:pStyle w:val="TableText0"/>
              <w:rPr>
                <w:rFonts w:ascii="Times" w:hAnsi="Times"/>
              </w:rPr>
            </w:pPr>
            <w:r w:rsidRPr="00C41ECA">
              <w:t>QALYs</w:t>
            </w:r>
          </w:p>
        </w:tc>
        <w:tc>
          <w:tcPr>
            <w:tcW w:w="1319" w:type="pct"/>
            <w:vAlign w:val="center"/>
          </w:tcPr>
          <w:p w14:paraId="02EEFF4E" w14:textId="77777777" w:rsidR="00ED3546" w:rsidRPr="00C41ECA" w:rsidRDefault="00ED3546" w:rsidP="00967D46">
            <w:pPr>
              <w:pStyle w:val="TableText0"/>
              <w:jc w:val="center"/>
              <w:rPr>
                <w:rFonts w:ascii="Times" w:hAnsi="Times"/>
              </w:rPr>
            </w:pPr>
            <w:r w:rsidRPr="00C41ECA">
              <w:rPr>
                <w:rFonts w:cs="Calibri"/>
                <w:color w:val="000000"/>
                <w:sz w:val="19"/>
                <w:szCs w:val="19"/>
              </w:rPr>
              <w:t>12.01</w:t>
            </w:r>
          </w:p>
        </w:tc>
        <w:tc>
          <w:tcPr>
            <w:tcW w:w="1274" w:type="pct"/>
            <w:vAlign w:val="center"/>
          </w:tcPr>
          <w:p w14:paraId="25C500BF" w14:textId="77777777" w:rsidR="00ED3546" w:rsidRPr="00C41ECA" w:rsidRDefault="00ED3546" w:rsidP="00967D46">
            <w:pPr>
              <w:pStyle w:val="TableText0"/>
              <w:jc w:val="center"/>
              <w:rPr>
                <w:rFonts w:ascii="Times" w:hAnsi="Times"/>
              </w:rPr>
            </w:pPr>
            <w:r w:rsidRPr="00C41ECA">
              <w:rPr>
                <w:rFonts w:cs="Calibri"/>
                <w:color w:val="000000"/>
                <w:sz w:val="19"/>
                <w:szCs w:val="19"/>
              </w:rPr>
              <w:t>10.99</w:t>
            </w:r>
          </w:p>
        </w:tc>
        <w:tc>
          <w:tcPr>
            <w:tcW w:w="838" w:type="pct"/>
            <w:vAlign w:val="center"/>
          </w:tcPr>
          <w:p w14:paraId="11BA55B7" w14:textId="77777777" w:rsidR="00ED3546" w:rsidRPr="00C41ECA" w:rsidRDefault="00ED3546" w:rsidP="00967D46">
            <w:pPr>
              <w:pStyle w:val="TableText0"/>
              <w:jc w:val="center"/>
            </w:pPr>
            <w:r w:rsidRPr="00C41ECA">
              <w:t>1.02</w:t>
            </w:r>
          </w:p>
        </w:tc>
      </w:tr>
      <w:tr w:rsidR="00ED3546" w:rsidRPr="00C41ECA" w14:paraId="034D0666" w14:textId="77777777" w:rsidTr="00967D46">
        <w:tc>
          <w:tcPr>
            <w:tcW w:w="4162" w:type="pct"/>
            <w:gridSpan w:val="3"/>
            <w:vAlign w:val="center"/>
          </w:tcPr>
          <w:p w14:paraId="5615F589" w14:textId="77777777" w:rsidR="00ED3546" w:rsidRPr="00C41ECA" w:rsidRDefault="00ED3546" w:rsidP="00967D46">
            <w:pPr>
              <w:pStyle w:val="TableText0"/>
              <w:rPr>
                <w:rFonts w:ascii="Times" w:hAnsi="Times"/>
              </w:rPr>
            </w:pPr>
            <w:r w:rsidRPr="00C41ECA">
              <w:t>Incremental cost/extra QALY gained</w:t>
            </w:r>
          </w:p>
        </w:tc>
        <w:tc>
          <w:tcPr>
            <w:tcW w:w="838" w:type="pct"/>
            <w:vAlign w:val="center"/>
          </w:tcPr>
          <w:p w14:paraId="2379660F" w14:textId="1176630F" w:rsidR="00ED3546" w:rsidRPr="00C41ECA" w:rsidRDefault="00ED3546" w:rsidP="00967D46">
            <w:pPr>
              <w:pStyle w:val="TableText0"/>
              <w:jc w:val="center"/>
            </w:pPr>
            <w:r w:rsidRPr="00C41ECA">
              <w:t>$</w:t>
            </w:r>
            <w:r w:rsidR="003452C5">
              <w:rPr>
                <w:color w:val="000000"/>
                <w:spacing w:val="52"/>
                <w:shd w:val="solid" w:color="000000" w:fill="000000"/>
                <w:fitText w:val="330" w:id="-694425593"/>
                <w14:textFill>
                  <w14:solidFill>
                    <w14:srgbClr w14:val="000000">
                      <w14:alpha w14:val="100000"/>
                    </w14:srgbClr>
                  </w14:solidFill>
                </w14:textFill>
              </w:rPr>
              <w:t>|||</w:t>
            </w:r>
            <w:r w:rsidR="003452C5">
              <w:rPr>
                <w:color w:val="000000"/>
                <w:spacing w:val="2"/>
                <w:shd w:val="solid" w:color="000000" w:fill="000000"/>
                <w:fitText w:val="330" w:id="-694425593"/>
                <w14:textFill>
                  <w14:solidFill>
                    <w14:srgbClr w14:val="000000">
                      <w14:alpha w14:val="100000"/>
                    </w14:srgbClr>
                  </w14:solidFill>
                </w14:textFill>
              </w:rPr>
              <w:t>|</w:t>
            </w:r>
            <w:r w:rsidR="00E369B9" w:rsidRPr="00E369B9">
              <w:rPr>
                <w:b/>
                <w:bCs w:val="0"/>
                <w:vertAlign w:val="superscript"/>
              </w:rPr>
              <w:t>1</w:t>
            </w:r>
          </w:p>
        </w:tc>
      </w:tr>
    </w:tbl>
    <w:p w14:paraId="3CFB2C54" w14:textId="77777777" w:rsidR="00ED3546" w:rsidRPr="00C41ECA" w:rsidRDefault="00ED3546" w:rsidP="00ED3546">
      <w:pPr>
        <w:pStyle w:val="TableFigureFooter"/>
      </w:pPr>
      <w:r w:rsidRPr="00C41ECA">
        <w:t>Source: Constructed during the evaluation from the “Attachment 10 - Cost utility analysis (CUA) workbook (Section 3)” attachment.</w:t>
      </w:r>
    </w:p>
    <w:p w14:paraId="5893E707" w14:textId="4B31F01F" w:rsidR="00F726CF" w:rsidRDefault="00ED3546" w:rsidP="00F726CF">
      <w:pPr>
        <w:pStyle w:val="TableFigureFooter"/>
      </w:pPr>
      <w:r w:rsidRPr="35298142">
        <w:t>BSC</w:t>
      </w:r>
      <w:r w:rsidR="004E633B" w:rsidRPr="35298142">
        <w:t>=</w:t>
      </w:r>
      <w:r w:rsidRPr="35298142">
        <w:t>best supportive care; QALYS=quality-adjusted life years.</w:t>
      </w:r>
      <w:r w:rsidR="004E633B" w:rsidRPr="35298142">
        <w:t xml:space="preserve"> </w:t>
      </w:r>
      <w:r w:rsidR="00452C07" w:rsidRPr="35298142">
        <w:t xml:space="preserve">Traces of health state membership over the time horizon are presented in </w:t>
      </w:r>
      <w:r>
        <w:fldChar w:fldCharType="begin"/>
      </w:r>
      <w:r>
        <w:instrText xml:space="preserve"> REF _Ref185344055 \h  \* MERGEFORMAT </w:instrText>
      </w:r>
      <w:r>
        <w:fldChar w:fldCharType="separate"/>
      </w:r>
      <w:r w:rsidR="003A4643" w:rsidRPr="00C41ECA">
        <w:t xml:space="preserve">Figure </w:t>
      </w:r>
      <w:r w:rsidR="003A4643">
        <w:rPr>
          <w:noProof/>
        </w:rPr>
        <w:t>7</w:t>
      </w:r>
      <w:r>
        <w:fldChar w:fldCharType="end"/>
      </w:r>
      <w:r w:rsidR="00452C07" w:rsidRPr="35298142">
        <w:t xml:space="preserve">. There is minimal incremental difference in survival over the time horizon. The majority of </w:t>
      </w:r>
      <w:proofErr w:type="spellStart"/>
      <w:r w:rsidR="00452C07" w:rsidRPr="35298142">
        <w:t>omaveloxolone</w:t>
      </w:r>
      <w:proofErr w:type="spellEnd"/>
      <w:r w:rsidR="00452C07" w:rsidRPr="35298142">
        <w:t xml:space="preserve"> benefit is through the preservation of quality of life through the slowing of </w:t>
      </w:r>
      <w:proofErr w:type="spellStart"/>
      <w:r w:rsidR="00452C07" w:rsidRPr="35298142">
        <w:t>mFARS</w:t>
      </w:r>
      <w:proofErr w:type="spellEnd"/>
      <w:r w:rsidR="00452C07" w:rsidRPr="35298142">
        <w:t xml:space="preserve"> progression (this was presented in </w:t>
      </w:r>
      <w:r>
        <w:fldChar w:fldCharType="begin"/>
      </w:r>
      <w:r>
        <w:instrText xml:space="preserve"> REF _Ref185344165 \h  \* MERGEFORMAT </w:instrText>
      </w:r>
      <w:r>
        <w:fldChar w:fldCharType="separate"/>
      </w:r>
      <w:r w:rsidR="003A4643" w:rsidRPr="35298142">
        <w:t xml:space="preserve">Figure </w:t>
      </w:r>
      <w:r w:rsidR="003A4643">
        <w:rPr>
          <w:noProof/>
        </w:rPr>
        <w:t>5</w:t>
      </w:r>
      <w:r>
        <w:fldChar w:fldCharType="end"/>
      </w:r>
      <w:r w:rsidR="00452C07" w:rsidRPr="35298142">
        <w:t>).</w:t>
      </w:r>
    </w:p>
    <w:p w14:paraId="3D60668C" w14:textId="7DAEF632" w:rsidR="00F726CF" w:rsidRPr="001D69A8" w:rsidRDefault="00F726CF" w:rsidP="00F726CF">
      <w:pPr>
        <w:pStyle w:val="TableFigureFooter"/>
        <w:rPr>
          <w:i/>
          <w:iCs/>
        </w:rPr>
      </w:pPr>
      <w:r w:rsidRPr="001D69A8">
        <w:rPr>
          <w:i/>
          <w:iCs/>
        </w:rPr>
        <w:t>The redacted values correspond to the following ranges:</w:t>
      </w:r>
    </w:p>
    <w:p w14:paraId="2DFDC3C3" w14:textId="0FDECD04" w:rsidR="00452C07" w:rsidRPr="001D69A8" w:rsidRDefault="00E369B9" w:rsidP="00F726CF">
      <w:pPr>
        <w:pStyle w:val="TableFigureFooter"/>
        <w:rPr>
          <w:i/>
          <w:iCs/>
        </w:rPr>
      </w:pPr>
      <w:r w:rsidRPr="001D69A8">
        <w:rPr>
          <w:i/>
          <w:iCs/>
          <w:vertAlign w:val="superscript"/>
        </w:rPr>
        <w:t>1</w:t>
      </w:r>
      <w:r w:rsidR="00F726CF" w:rsidRPr="001D69A8">
        <w:rPr>
          <w:i/>
          <w:iCs/>
        </w:rPr>
        <w:t xml:space="preserve"> &gt; $1,055,000</w:t>
      </w:r>
    </w:p>
    <w:p w14:paraId="61E2E5A2" w14:textId="056268D7" w:rsidR="00452C07" w:rsidRPr="00C41ECA" w:rsidRDefault="00452C07" w:rsidP="00452C07">
      <w:pPr>
        <w:pStyle w:val="Caption"/>
      </w:pPr>
      <w:bookmarkStart w:id="56" w:name="_Ref185344055"/>
      <w:r w:rsidRPr="00C41ECA">
        <w:t xml:space="preserve">Figure </w:t>
      </w:r>
      <w:r w:rsidR="00D77094">
        <w:fldChar w:fldCharType="begin"/>
      </w:r>
      <w:r w:rsidR="00D77094">
        <w:instrText xml:space="preserve"> SEQ Figure \* ARABIC </w:instrText>
      </w:r>
      <w:r w:rsidR="00D77094">
        <w:fldChar w:fldCharType="separate"/>
      </w:r>
      <w:r w:rsidR="003A4643">
        <w:rPr>
          <w:noProof/>
        </w:rPr>
        <w:t>7</w:t>
      </w:r>
      <w:r w:rsidR="00D77094">
        <w:rPr>
          <w:noProof/>
        </w:rPr>
        <w:fldChar w:fldCharType="end"/>
      </w:r>
      <w:bookmarkEnd w:id="56"/>
      <w:r w:rsidRPr="00C41ECA">
        <w:t>: Health state membership over the time horizon</w:t>
      </w:r>
    </w:p>
    <w:p w14:paraId="39664150" w14:textId="639478B6" w:rsidR="00452C07" w:rsidRPr="00C41ECA" w:rsidRDefault="00452C07" w:rsidP="00452C07">
      <w:pPr>
        <w:keepNext/>
      </w:pPr>
      <w:r w:rsidRPr="00C41ECA">
        <w:rPr>
          <w:noProof/>
        </w:rPr>
        <w:drawing>
          <wp:inline distT="0" distB="0" distL="0" distR="0" wp14:anchorId="0DC19873" wp14:editId="7DD65A33">
            <wp:extent cx="5787085" cy="3919508"/>
            <wp:effectExtent l="0" t="0" r="4445" b="5080"/>
            <wp:docPr id="1892943552" name="Picture 9" descr="Figure 7: Health state membership over the tim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43552" name="Picture 9" descr="Figure 7: Health state membership over the time horiz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4034" cy="3924214"/>
                    </a:xfrm>
                    <a:prstGeom prst="rect">
                      <a:avLst/>
                    </a:prstGeom>
                    <a:noFill/>
                  </pic:spPr>
                </pic:pic>
              </a:graphicData>
            </a:graphic>
          </wp:inline>
        </w:drawing>
      </w:r>
    </w:p>
    <w:p w14:paraId="54DDE0BA" w14:textId="77777777" w:rsidR="00452C07" w:rsidRPr="00C41ECA" w:rsidRDefault="00452C07" w:rsidP="00452C07">
      <w:pPr>
        <w:pStyle w:val="TableFigureFooter"/>
      </w:pPr>
      <w:r w:rsidRPr="00C41ECA">
        <w:t>Source: Constructed during the evaluation from the “Attachment 10 - Cost utility analysis (CUA) workbook (Section 3)” attachment.</w:t>
      </w:r>
    </w:p>
    <w:p w14:paraId="5F030FBE" w14:textId="0B3F64C7" w:rsidR="00452C07" w:rsidRPr="00C41ECA" w:rsidRDefault="00452C07" w:rsidP="00452C07">
      <w:pPr>
        <w:pStyle w:val="TableFigureFooter"/>
      </w:pPr>
      <w:r w:rsidRPr="00C41ECA">
        <w:t>BSC=best supportive care.</w:t>
      </w:r>
    </w:p>
    <w:p w14:paraId="2F39BB94" w14:textId="7644D5BC" w:rsidR="00452C07" w:rsidRPr="00C41ECA" w:rsidRDefault="004E633B" w:rsidP="00452C07">
      <w:pPr>
        <w:pStyle w:val="TableFigureFooter"/>
      </w:pPr>
      <w:r w:rsidRPr="35298142">
        <w:t xml:space="preserve">Note: </w:t>
      </w:r>
      <w:r w:rsidR="00452C07" w:rsidRPr="35298142">
        <w:t>*</w:t>
      </w:r>
      <w:r w:rsidRPr="35298142">
        <w:t>=</w:t>
      </w:r>
      <w:proofErr w:type="spellStart"/>
      <w:r w:rsidR="00452C07" w:rsidRPr="35298142">
        <w:t>Omaveloxolone</w:t>
      </w:r>
      <w:proofErr w:type="spellEnd"/>
      <w:r w:rsidR="00452C07" w:rsidRPr="35298142">
        <w:t xml:space="preserve"> alive health state is the sum of the proportion of patients in the </w:t>
      </w:r>
      <w:proofErr w:type="spellStart"/>
      <w:r w:rsidR="00452C07" w:rsidRPr="35298142">
        <w:t>omaveloxolone</w:t>
      </w:r>
      <w:proofErr w:type="spellEnd"/>
      <w:r w:rsidR="00452C07" w:rsidRPr="35298142">
        <w:t xml:space="preserve"> on and off treatment (sub) health states.</w:t>
      </w:r>
    </w:p>
    <w:p w14:paraId="6DDC1B6E" w14:textId="49C114AB" w:rsidR="003C1C8C" w:rsidRPr="00C41ECA" w:rsidRDefault="003C1C8C" w:rsidP="00BB732D">
      <w:pPr>
        <w:pStyle w:val="3-BodyText"/>
      </w:pPr>
      <w:r w:rsidRPr="35298142">
        <w:t xml:space="preserve">The disaggregated costs and outcomes are presented in </w:t>
      </w:r>
      <w:r>
        <w:fldChar w:fldCharType="begin"/>
      </w:r>
      <w:r>
        <w:instrText xml:space="preserve"> REF _Ref185335516 \h  \* MERGEFORMAT </w:instrText>
      </w:r>
      <w:r>
        <w:fldChar w:fldCharType="separate"/>
      </w:r>
      <w:r w:rsidR="003A4643" w:rsidRPr="00C41ECA">
        <w:t xml:space="preserve">Table </w:t>
      </w:r>
      <w:r w:rsidR="003A4643">
        <w:rPr>
          <w:noProof/>
        </w:rPr>
        <w:t>19</w:t>
      </w:r>
      <w:r>
        <w:fldChar w:fldCharType="end"/>
      </w:r>
      <w:r w:rsidRPr="35298142">
        <w:t xml:space="preserve">. The vast majority of incremental costs are attributable to </w:t>
      </w:r>
      <w:proofErr w:type="spellStart"/>
      <w:r w:rsidRPr="35298142">
        <w:t>omaveloxolone</w:t>
      </w:r>
      <w:proofErr w:type="spellEnd"/>
      <w:r w:rsidRPr="35298142">
        <w:t xml:space="preserve"> acquisition.</w:t>
      </w:r>
    </w:p>
    <w:p w14:paraId="3DD75691" w14:textId="42115DE8" w:rsidR="003C1C8C" w:rsidRPr="00C41ECA" w:rsidRDefault="00307391" w:rsidP="00307391">
      <w:pPr>
        <w:pStyle w:val="Caption"/>
        <w:rPr>
          <w:rStyle w:val="CommentReference"/>
          <w:b/>
          <w:szCs w:val="24"/>
        </w:rPr>
      </w:pPr>
      <w:bookmarkStart w:id="57" w:name="_Ref185335516"/>
      <w:r w:rsidRPr="00C41ECA">
        <w:t xml:space="preserve">Table </w:t>
      </w:r>
      <w:r w:rsidR="00B717AF">
        <w:fldChar w:fldCharType="begin"/>
      </w:r>
      <w:r w:rsidR="00B717AF">
        <w:instrText xml:space="preserve"> SEQ Table \* ARABIC </w:instrText>
      </w:r>
      <w:r w:rsidR="00B717AF">
        <w:fldChar w:fldCharType="separate"/>
      </w:r>
      <w:r w:rsidR="003A4643">
        <w:rPr>
          <w:noProof/>
        </w:rPr>
        <w:t>19</w:t>
      </w:r>
      <w:r w:rsidR="00B717AF">
        <w:rPr>
          <w:noProof/>
        </w:rPr>
        <w:fldChar w:fldCharType="end"/>
      </w:r>
      <w:bookmarkEnd w:id="57"/>
      <w:r w:rsidR="003C1C8C" w:rsidRPr="00C41ECA">
        <w:rPr>
          <w:rStyle w:val="CommentReference"/>
          <w:b/>
          <w:szCs w:val="24"/>
        </w:rPr>
        <w:t>: Health care resource items: disaggregated summary of cost impacts</w:t>
      </w: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9: Health care resource items: disaggregated summary of cost impacts"/>
      </w:tblPr>
      <w:tblGrid>
        <w:gridCol w:w="3119"/>
        <w:gridCol w:w="1475"/>
        <w:gridCol w:w="15"/>
        <w:gridCol w:w="1487"/>
        <w:gridCol w:w="1417"/>
        <w:gridCol w:w="1559"/>
        <w:gridCol w:w="7"/>
      </w:tblGrid>
      <w:tr w:rsidR="00307391" w:rsidRPr="00C41ECA" w14:paraId="11CB9FBC" w14:textId="77777777" w:rsidTr="35298142">
        <w:trPr>
          <w:gridAfter w:val="1"/>
          <w:wAfter w:w="7" w:type="dxa"/>
          <w:tblHeader/>
        </w:trPr>
        <w:tc>
          <w:tcPr>
            <w:tcW w:w="3119" w:type="dxa"/>
            <w:vAlign w:val="center"/>
          </w:tcPr>
          <w:p w14:paraId="28726B40" w14:textId="4F933FEF" w:rsidR="00307391" w:rsidRPr="00C41ECA" w:rsidRDefault="00307391" w:rsidP="00E026F0">
            <w:pPr>
              <w:pStyle w:val="In-tableHeading"/>
              <w:jc w:val="center"/>
            </w:pPr>
            <w:r w:rsidRPr="00C41ECA">
              <w:t>Resource/health state</w:t>
            </w:r>
          </w:p>
        </w:tc>
        <w:tc>
          <w:tcPr>
            <w:tcW w:w="1475" w:type="dxa"/>
            <w:vAlign w:val="center"/>
          </w:tcPr>
          <w:p w14:paraId="488933EA" w14:textId="38F1D685" w:rsidR="00307391" w:rsidRPr="00C41ECA" w:rsidRDefault="00307391" w:rsidP="00E026F0">
            <w:pPr>
              <w:pStyle w:val="In-tableHeading"/>
              <w:jc w:val="center"/>
            </w:pPr>
            <w:proofErr w:type="spellStart"/>
            <w:r w:rsidRPr="00C41ECA">
              <w:t>Omaveloxolone</w:t>
            </w:r>
            <w:proofErr w:type="spellEnd"/>
          </w:p>
        </w:tc>
        <w:tc>
          <w:tcPr>
            <w:tcW w:w="1502" w:type="dxa"/>
            <w:gridSpan w:val="2"/>
            <w:vAlign w:val="center"/>
          </w:tcPr>
          <w:p w14:paraId="529984A7" w14:textId="30BF845C" w:rsidR="00307391" w:rsidRPr="00C41ECA" w:rsidRDefault="00307391" w:rsidP="00E026F0">
            <w:pPr>
              <w:pStyle w:val="In-tableHeading"/>
              <w:jc w:val="center"/>
            </w:pPr>
            <w:r w:rsidRPr="00C41ECA">
              <w:t>BSC</w:t>
            </w:r>
          </w:p>
        </w:tc>
        <w:tc>
          <w:tcPr>
            <w:tcW w:w="1417" w:type="dxa"/>
            <w:vAlign w:val="center"/>
          </w:tcPr>
          <w:p w14:paraId="6682E30B" w14:textId="3E45814F" w:rsidR="00307391" w:rsidRPr="00C41ECA" w:rsidRDefault="00307391" w:rsidP="00E026F0">
            <w:pPr>
              <w:pStyle w:val="In-tableHeading"/>
              <w:jc w:val="center"/>
            </w:pPr>
            <w:r w:rsidRPr="00C41ECA">
              <w:t>Increment</w:t>
            </w:r>
          </w:p>
        </w:tc>
        <w:tc>
          <w:tcPr>
            <w:tcW w:w="1559" w:type="dxa"/>
            <w:vAlign w:val="center"/>
          </w:tcPr>
          <w:p w14:paraId="464CF7CF" w14:textId="0B7E7CE8" w:rsidR="00307391" w:rsidRPr="00C41ECA" w:rsidRDefault="00307391" w:rsidP="00E026F0">
            <w:pPr>
              <w:pStyle w:val="In-tableHeading"/>
              <w:jc w:val="center"/>
            </w:pPr>
            <w:r w:rsidRPr="00C41ECA">
              <w:t>% increment</w:t>
            </w:r>
          </w:p>
        </w:tc>
      </w:tr>
      <w:tr w:rsidR="00307391" w:rsidRPr="00C41ECA" w14:paraId="4C7C01AA" w14:textId="77777777" w:rsidTr="35298142">
        <w:trPr>
          <w:gridAfter w:val="1"/>
          <w:wAfter w:w="7" w:type="dxa"/>
          <w:tblHeader/>
        </w:trPr>
        <w:tc>
          <w:tcPr>
            <w:tcW w:w="9072" w:type="dxa"/>
            <w:gridSpan w:val="6"/>
            <w:vAlign w:val="center"/>
          </w:tcPr>
          <w:p w14:paraId="3389E752" w14:textId="7FB5126C" w:rsidR="00307391" w:rsidRPr="00C41ECA" w:rsidRDefault="00307391" w:rsidP="00C83CBF">
            <w:pPr>
              <w:pStyle w:val="In-tableHeading"/>
            </w:pPr>
            <w:r w:rsidRPr="00C41ECA">
              <w:t>Costs</w:t>
            </w:r>
          </w:p>
        </w:tc>
      </w:tr>
      <w:tr w:rsidR="00307391" w:rsidRPr="00C41ECA" w14:paraId="7E442722" w14:textId="77777777" w:rsidTr="35298142">
        <w:trPr>
          <w:gridAfter w:val="1"/>
          <w:wAfter w:w="7" w:type="dxa"/>
        </w:trPr>
        <w:tc>
          <w:tcPr>
            <w:tcW w:w="3119" w:type="dxa"/>
            <w:vAlign w:val="center"/>
          </w:tcPr>
          <w:p w14:paraId="4E1A1DA2" w14:textId="77777777" w:rsidR="00307391" w:rsidRPr="00C41ECA" w:rsidRDefault="00307391" w:rsidP="35298142">
            <w:pPr>
              <w:pStyle w:val="TableText0"/>
            </w:pPr>
            <w:proofErr w:type="spellStart"/>
            <w:r w:rsidRPr="35298142">
              <w:t>Omaveloxolone</w:t>
            </w:r>
            <w:proofErr w:type="spellEnd"/>
          </w:p>
        </w:tc>
        <w:tc>
          <w:tcPr>
            <w:tcW w:w="1475" w:type="dxa"/>
          </w:tcPr>
          <w:p w14:paraId="5AEFA126" w14:textId="448447E1" w:rsidR="00307391" w:rsidRPr="00C41ECA" w:rsidRDefault="00307391" w:rsidP="00307391">
            <w:pPr>
              <w:pStyle w:val="TableText0"/>
              <w:jc w:val="center"/>
            </w:pPr>
            <w:r w:rsidRPr="00C41ECA">
              <w:t>$</w:t>
            </w:r>
            <w:r w:rsidR="003452C5" w:rsidRPr="00E119B7">
              <w:rPr>
                <w:color w:val="000000"/>
                <w:spacing w:val="49"/>
                <w:shd w:val="solid" w:color="000000" w:fill="000000"/>
                <w:fitText w:val="320" w:id="-694425592"/>
                <w14:textFill>
                  <w14:solidFill>
                    <w14:srgbClr w14:val="000000">
                      <w14:alpha w14:val="100000"/>
                    </w14:srgbClr>
                  </w14:solidFill>
                </w14:textFill>
              </w:rPr>
              <w:t>|||</w:t>
            </w:r>
            <w:r w:rsidR="003452C5" w:rsidRPr="00E119B7">
              <w:rPr>
                <w:color w:val="000000"/>
                <w:spacing w:val="3"/>
                <w:shd w:val="solid" w:color="000000" w:fill="000000"/>
                <w:fitText w:val="320" w:id="-694425592"/>
                <w14:textFill>
                  <w14:solidFill>
                    <w14:srgbClr w14:val="000000">
                      <w14:alpha w14:val="100000"/>
                    </w14:srgbClr>
                  </w14:solidFill>
                </w14:textFill>
              </w:rPr>
              <w:t>|</w:t>
            </w:r>
          </w:p>
        </w:tc>
        <w:tc>
          <w:tcPr>
            <w:tcW w:w="1502" w:type="dxa"/>
            <w:gridSpan w:val="2"/>
          </w:tcPr>
          <w:p w14:paraId="36060BB7" w14:textId="77777777" w:rsidR="00307391" w:rsidRPr="00C41ECA" w:rsidRDefault="00307391" w:rsidP="00307391">
            <w:pPr>
              <w:pStyle w:val="TableText0"/>
              <w:jc w:val="center"/>
            </w:pPr>
            <w:r w:rsidRPr="00C41ECA">
              <w:t>$0</w:t>
            </w:r>
          </w:p>
        </w:tc>
        <w:tc>
          <w:tcPr>
            <w:tcW w:w="1417" w:type="dxa"/>
          </w:tcPr>
          <w:p w14:paraId="20FC4E50" w14:textId="56288B5F" w:rsidR="00307391" w:rsidRPr="00C41ECA" w:rsidRDefault="00307391" w:rsidP="00307391">
            <w:pPr>
              <w:pStyle w:val="TableText0"/>
              <w:jc w:val="center"/>
            </w:pPr>
            <w:r w:rsidRPr="00C41ECA">
              <w:t>$</w:t>
            </w:r>
            <w:r w:rsidR="003452C5" w:rsidRPr="00E119B7">
              <w:rPr>
                <w:color w:val="000000"/>
                <w:spacing w:val="59"/>
                <w:w w:val="84"/>
                <w:shd w:val="solid" w:color="000000" w:fill="000000"/>
                <w:fitText w:val="320" w:id="-694425591"/>
                <w14:textFill>
                  <w14:solidFill>
                    <w14:srgbClr w14:val="000000">
                      <w14:alpha w14:val="100000"/>
                    </w14:srgbClr>
                  </w14:solidFill>
                </w14:textFill>
              </w:rPr>
              <w:t>|||</w:t>
            </w:r>
            <w:r w:rsidR="003452C5" w:rsidRPr="00E119B7">
              <w:rPr>
                <w:color w:val="000000"/>
                <w:spacing w:val="1"/>
                <w:w w:val="84"/>
                <w:shd w:val="solid" w:color="000000" w:fill="000000"/>
                <w:fitText w:val="320" w:id="-694425591"/>
                <w14:textFill>
                  <w14:solidFill>
                    <w14:srgbClr w14:val="000000">
                      <w14:alpha w14:val="100000"/>
                    </w14:srgbClr>
                  </w14:solidFill>
                </w14:textFill>
              </w:rPr>
              <w:t>|</w:t>
            </w:r>
          </w:p>
        </w:tc>
        <w:tc>
          <w:tcPr>
            <w:tcW w:w="1559" w:type="dxa"/>
          </w:tcPr>
          <w:p w14:paraId="0A551CF2" w14:textId="34316452" w:rsidR="00307391" w:rsidRPr="00C41ECA" w:rsidRDefault="003452C5" w:rsidP="00307391">
            <w:pPr>
              <w:pStyle w:val="TableText0"/>
              <w:jc w:val="center"/>
            </w:pPr>
            <w:r w:rsidRPr="003452C5">
              <w:rPr>
                <w:color w:val="000000"/>
                <w:spacing w:val="53"/>
                <w:shd w:val="solid" w:color="000000" w:fill="000000"/>
                <w:fitText w:val="330" w:id="-694425590"/>
                <w14:textFill>
                  <w14:solidFill>
                    <w14:srgbClr w14:val="000000">
                      <w14:alpha w14:val="100000"/>
                    </w14:srgbClr>
                  </w14:solidFill>
                </w14:textFill>
              </w:rPr>
              <w:t>|||</w:t>
            </w:r>
            <w:r w:rsidRPr="003452C5">
              <w:rPr>
                <w:color w:val="000000"/>
                <w:spacing w:val="1"/>
                <w:shd w:val="solid" w:color="000000" w:fill="000000"/>
                <w:fitText w:val="330" w:id="-694425590"/>
                <w14:textFill>
                  <w14:solidFill>
                    <w14:srgbClr w14:val="000000">
                      <w14:alpha w14:val="100000"/>
                    </w14:srgbClr>
                  </w14:solidFill>
                </w14:textFill>
              </w:rPr>
              <w:t>|</w:t>
            </w:r>
            <w:r w:rsidR="00307391" w:rsidRPr="00C41ECA">
              <w:t>%</w:t>
            </w:r>
          </w:p>
        </w:tc>
      </w:tr>
      <w:tr w:rsidR="00307391" w:rsidRPr="00C41ECA" w14:paraId="7A3D44BB" w14:textId="77777777" w:rsidTr="35298142">
        <w:trPr>
          <w:gridAfter w:val="1"/>
          <w:wAfter w:w="7" w:type="dxa"/>
        </w:trPr>
        <w:tc>
          <w:tcPr>
            <w:tcW w:w="3119" w:type="dxa"/>
            <w:vAlign w:val="center"/>
          </w:tcPr>
          <w:p w14:paraId="179E3E89" w14:textId="77777777" w:rsidR="00307391" w:rsidRPr="00C41ECA" w:rsidRDefault="00307391" w:rsidP="00307391">
            <w:pPr>
              <w:pStyle w:val="TableText0"/>
            </w:pPr>
            <w:r w:rsidRPr="00C41ECA">
              <w:t>AE management costs</w:t>
            </w:r>
          </w:p>
        </w:tc>
        <w:tc>
          <w:tcPr>
            <w:tcW w:w="1475" w:type="dxa"/>
          </w:tcPr>
          <w:p w14:paraId="2CD1D8ED" w14:textId="77777777" w:rsidR="00307391" w:rsidRPr="00C41ECA" w:rsidRDefault="00307391" w:rsidP="00307391">
            <w:pPr>
              <w:pStyle w:val="TableText0"/>
              <w:jc w:val="center"/>
            </w:pPr>
            <w:r w:rsidRPr="00C41ECA">
              <w:t>$341</w:t>
            </w:r>
          </w:p>
        </w:tc>
        <w:tc>
          <w:tcPr>
            <w:tcW w:w="1502" w:type="dxa"/>
            <w:gridSpan w:val="2"/>
          </w:tcPr>
          <w:p w14:paraId="097BB6B2" w14:textId="77777777" w:rsidR="00307391" w:rsidRPr="00C41ECA" w:rsidRDefault="00307391" w:rsidP="00307391">
            <w:pPr>
              <w:pStyle w:val="TableText0"/>
              <w:jc w:val="center"/>
            </w:pPr>
            <w:r w:rsidRPr="00C41ECA">
              <w:t>$36</w:t>
            </w:r>
          </w:p>
        </w:tc>
        <w:tc>
          <w:tcPr>
            <w:tcW w:w="1417" w:type="dxa"/>
          </w:tcPr>
          <w:p w14:paraId="6A1C7FC9" w14:textId="77777777" w:rsidR="00307391" w:rsidRPr="00C41ECA" w:rsidRDefault="00307391" w:rsidP="00307391">
            <w:pPr>
              <w:pStyle w:val="TableText0"/>
              <w:jc w:val="center"/>
            </w:pPr>
            <w:r w:rsidRPr="00C41ECA">
              <w:t>$304</w:t>
            </w:r>
          </w:p>
        </w:tc>
        <w:tc>
          <w:tcPr>
            <w:tcW w:w="1559" w:type="dxa"/>
          </w:tcPr>
          <w:p w14:paraId="625F39E7" w14:textId="77777777" w:rsidR="00307391" w:rsidRPr="00C41ECA" w:rsidRDefault="00307391" w:rsidP="00307391">
            <w:pPr>
              <w:pStyle w:val="TableText0"/>
              <w:jc w:val="center"/>
            </w:pPr>
            <w:r w:rsidRPr="00C41ECA">
              <w:t>0%</w:t>
            </w:r>
          </w:p>
        </w:tc>
      </w:tr>
      <w:tr w:rsidR="00307391" w:rsidRPr="00C41ECA" w14:paraId="11DF2378" w14:textId="77777777" w:rsidTr="35298142">
        <w:trPr>
          <w:gridAfter w:val="1"/>
          <w:wAfter w:w="7" w:type="dxa"/>
        </w:trPr>
        <w:tc>
          <w:tcPr>
            <w:tcW w:w="3119" w:type="dxa"/>
            <w:vAlign w:val="center"/>
          </w:tcPr>
          <w:p w14:paraId="1B82B6C4" w14:textId="77777777" w:rsidR="00307391" w:rsidRPr="00C41ECA" w:rsidRDefault="00307391" w:rsidP="00307391">
            <w:pPr>
              <w:pStyle w:val="TableText0"/>
            </w:pPr>
            <w:r w:rsidRPr="00C41ECA">
              <w:t>GP, specialist visits and hospitalisation</w:t>
            </w:r>
          </w:p>
        </w:tc>
        <w:tc>
          <w:tcPr>
            <w:tcW w:w="1475" w:type="dxa"/>
          </w:tcPr>
          <w:p w14:paraId="00AA485C" w14:textId="77777777" w:rsidR="00307391" w:rsidRPr="00C41ECA" w:rsidRDefault="00307391" w:rsidP="00307391">
            <w:pPr>
              <w:pStyle w:val="TableText0"/>
              <w:jc w:val="center"/>
            </w:pPr>
            <w:r w:rsidRPr="00C41ECA">
              <w:t>$251,087</w:t>
            </w:r>
          </w:p>
        </w:tc>
        <w:tc>
          <w:tcPr>
            <w:tcW w:w="1502" w:type="dxa"/>
            <w:gridSpan w:val="2"/>
          </w:tcPr>
          <w:p w14:paraId="1FA6AC05" w14:textId="77777777" w:rsidR="00307391" w:rsidRPr="00C41ECA" w:rsidRDefault="00307391" w:rsidP="00307391">
            <w:pPr>
              <w:pStyle w:val="TableText0"/>
              <w:jc w:val="center"/>
            </w:pPr>
            <w:r w:rsidRPr="00C41ECA">
              <w:t>$293,076</w:t>
            </w:r>
          </w:p>
        </w:tc>
        <w:tc>
          <w:tcPr>
            <w:tcW w:w="1417" w:type="dxa"/>
          </w:tcPr>
          <w:p w14:paraId="5821F0F1" w14:textId="77777777" w:rsidR="00307391" w:rsidRPr="00C41ECA" w:rsidRDefault="00307391" w:rsidP="00307391">
            <w:pPr>
              <w:pStyle w:val="TableText0"/>
              <w:jc w:val="center"/>
            </w:pPr>
            <w:r w:rsidRPr="00C41ECA">
              <w:t>-$41,989</w:t>
            </w:r>
          </w:p>
        </w:tc>
        <w:tc>
          <w:tcPr>
            <w:tcW w:w="1559" w:type="dxa"/>
          </w:tcPr>
          <w:p w14:paraId="29252A93" w14:textId="77777777" w:rsidR="00307391" w:rsidRPr="00C41ECA" w:rsidRDefault="00307391" w:rsidP="00307391">
            <w:pPr>
              <w:pStyle w:val="TableText0"/>
              <w:jc w:val="center"/>
            </w:pPr>
            <w:r w:rsidRPr="00C41ECA">
              <w:t>-1%</w:t>
            </w:r>
          </w:p>
        </w:tc>
      </w:tr>
      <w:tr w:rsidR="00307391" w:rsidRPr="00C41ECA" w14:paraId="5FB4253A" w14:textId="77777777" w:rsidTr="35298142">
        <w:trPr>
          <w:gridAfter w:val="1"/>
          <w:wAfter w:w="7" w:type="dxa"/>
        </w:trPr>
        <w:tc>
          <w:tcPr>
            <w:tcW w:w="3119" w:type="dxa"/>
            <w:vAlign w:val="center"/>
          </w:tcPr>
          <w:p w14:paraId="386072CF" w14:textId="77777777" w:rsidR="00307391" w:rsidRPr="00C41ECA" w:rsidRDefault="00307391" w:rsidP="00307391">
            <w:pPr>
              <w:pStyle w:val="TableText0"/>
            </w:pPr>
            <w:r w:rsidRPr="00C41ECA">
              <w:t>Disease management aids</w:t>
            </w:r>
          </w:p>
        </w:tc>
        <w:tc>
          <w:tcPr>
            <w:tcW w:w="1475" w:type="dxa"/>
          </w:tcPr>
          <w:p w14:paraId="67213C39" w14:textId="77777777" w:rsidR="00307391" w:rsidRPr="00C41ECA" w:rsidRDefault="00307391" w:rsidP="00307391">
            <w:pPr>
              <w:pStyle w:val="TableText0"/>
              <w:jc w:val="center"/>
            </w:pPr>
            <w:r w:rsidRPr="00C41ECA">
              <w:t>$28,190</w:t>
            </w:r>
          </w:p>
        </w:tc>
        <w:tc>
          <w:tcPr>
            <w:tcW w:w="1502" w:type="dxa"/>
            <w:gridSpan w:val="2"/>
          </w:tcPr>
          <w:p w14:paraId="01104C6C" w14:textId="77777777" w:rsidR="00307391" w:rsidRPr="00C41ECA" w:rsidRDefault="00307391" w:rsidP="00307391">
            <w:pPr>
              <w:pStyle w:val="TableText0"/>
              <w:jc w:val="center"/>
            </w:pPr>
            <w:r w:rsidRPr="00C41ECA">
              <w:t>$43,622</w:t>
            </w:r>
          </w:p>
        </w:tc>
        <w:tc>
          <w:tcPr>
            <w:tcW w:w="1417" w:type="dxa"/>
          </w:tcPr>
          <w:p w14:paraId="69508C6B" w14:textId="77777777" w:rsidR="00307391" w:rsidRPr="00C41ECA" w:rsidRDefault="00307391" w:rsidP="00307391">
            <w:pPr>
              <w:pStyle w:val="TableText0"/>
              <w:jc w:val="center"/>
            </w:pPr>
            <w:r w:rsidRPr="00C41ECA">
              <w:t>-$15,432</w:t>
            </w:r>
          </w:p>
        </w:tc>
        <w:tc>
          <w:tcPr>
            <w:tcW w:w="1559" w:type="dxa"/>
          </w:tcPr>
          <w:p w14:paraId="5227E61F" w14:textId="77777777" w:rsidR="00307391" w:rsidRPr="00C41ECA" w:rsidRDefault="00307391" w:rsidP="00307391">
            <w:pPr>
              <w:pStyle w:val="TableText0"/>
              <w:jc w:val="center"/>
            </w:pPr>
            <w:r w:rsidRPr="00C41ECA">
              <w:t>-0%</w:t>
            </w:r>
          </w:p>
        </w:tc>
      </w:tr>
      <w:tr w:rsidR="00307391" w:rsidRPr="00C41ECA" w14:paraId="25A92186" w14:textId="77777777" w:rsidTr="35298142">
        <w:trPr>
          <w:gridAfter w:val="1"/>
          <w:wAfter w:w="7" w:type="dxa"/>
        </w:trPr>
        <w:tc>
          <w:tcPr>
            <w:tcW w:w="3119" w:type="dxa"/>
            <w:vAlign w:val="center"/>
          </w:tcPr>
          <w:p w14:paraId="1D05067A" w14:textId="77777777" w:rsidR="00307391" w:rsidRPr="00C41ECA" w:rsidRDefault="00307391" w:rsidP="00307391">
            <w:pPr>
              <w:pStyle w:val="TableText0"/>
            </w:pPr>
            <w:r w:rsidRPr="00C41ECA">
              <w:t>Co-morbidity costs</w:t>
            </w:r>
          </w:p>
        </w:tc>
        <w:tc>
          <w:tcPr>
            <w:tcW w:w="1475" w:type="dxa"/>
          </w:tcPr>
          <w:p w14:paraId="64D63914" w14:textId="77777777" w:rsidR="00307391" w:rsidRPr="00C41ECA" w:rsidRDefault="00307391" w:rsidP="00307391">
            <w:pPr>
              <w:pStyle w:val="TableText0"/>
              <w:jc w:val="center"/>
            </w:pPr>
            <w:r w:rsidRPr="00C41ECA">
              <w:t>$303,353</w:t>
            </w:r>
          </w:p>
        </w:tc>
        <w:tc>
          <w:tcPr>
            <w:tcW w:w="1502" w:type="dxa"/>
            <w:gridSpan w:val="2"/>
          </w:tcPr>
          <w:p w14:paraId="0958AE67" w14:textId="77777777" w:rsidR="00307391" w:rsidRPr="00C41ECA" w:rsidRDefault="00307391" w:rsidP="00307391">
            <w:pPr>
              <w:pStyle w:val="TableText0"/>
              <w:jc w:val="center"/>
            </w:pPr>
            <w:r w:rsidRPr="00C41ECA">
              <w:t>$297,002</w:t>
            </w:r>
          </w:p>
        </w:tc>
        <w:tc>
          <w:tcPr>
            <w:tcW w:w="1417" w:type="dxa"/>
          </w:tcPr>
          <w:p w14:paraId="2A275BBE" w14:textId="77777777" w:rsidR="00307391" w:rsidRPr="00C41ECA" w:rsidRDefault="00307391" w:rsidP="00307391">
            <w:pPr>
              <w:pStyle w:val="TableText0"/>
              <w:jc w:val="center"/>
            </w:pPr>
            <w:r w:rsidRPr="00C41ECA">
              <w:t>$6,351</w:t>
            </w:r>
          </w:p>
        </w:tc>
        <w:tc>
          <w:tcPr>
            <w:tcW w:w="1559" w:type="dxa"/>
          </w:tcPr>
          <w:p w14:paraId="42F755F3" w14:textId="77777777" w:rsidR="00307391" w:rsidRPr="00C41ECA" w:rsidRDefault="00307391" w:rsidP="00307391">
            <w:pPr>
              <w:pStyle w:val="TableText0"/>
              <w:jc w:val="center"/>
            </w:pPr>
            <w:r w:rsidRPr="00C41ECA">
              <w:t>0%</w:t>
            </w:r>
          </w:p>
        </w:tc>
      </w:tr>
      <w:tr w:rsidR="00307391" w:rsidRPr="00C41ECA" w14:paraId="643200C2" w14:textId="77777777" w:rsidTr="35298142">
        <w:trPr>
          <w:gridAfter w:val="1"/>
          <w:wAfter w:w="7" w:type="dxa"/>
        </w:trPr>
        <w:tc>
          <w:tcPr>
            <w:tcW w:w="3119" w:type="dxa"/>
            <w:vAlign w:val="center"/>
          </w:tcPr>
          <w:p w14:paraId="6477C7C7" w14:textId="77777777" w:rsidR="00307391" w:rsidRPr="00C41ECA" w:rsidRDefault="00307391" w:rsidP="00307391">
            <w:pPr>
              <w:pStyle w:val="TableText0"/>
            </w:pPr>
            <w:r w:rsidRPr="00C41ECA">
              <w:t>Carer costs</w:t>
            </w:r>
          </w:p>
        </w:tc>
        <w:tc>
          <w:tcPr>
            <w:tcW w:w="1475" w:type="dxa"/>
          </w:tcPr>
          <w:p w14:paraId="6237FCAD" w14:textId="77777777" w:rsidR="00307391" w:rsidRPr="00C41ECA" w:rsidRDefault="00307391" w:rsidP="00307391">
            <w:pPr>
              <w:pStyle w:val="TableText0"/>
              <w:jc w:val="center"/>
            </w:pPr>
            <w:r w:rsidRPr="00C41ECA">
              <w:t>$10,675</w:t>
            </w:r>
          </w:p>
        </w:tc>
        <w:tc>
          <w:tcPr>
            <w:tcW w:w="1502" w:type="dxa"/>
            <w:gridSpan w:val="2"/>
          </w:tcPr>
          <w:p w14:paraId="18E55B75" w14:textId="77777777" w:rsidR="00307391" w:rsidRPr="00C41ECA" w:rsidRDefault="00307391" w:rsidP="00307391">
            <w:pPr>
              <w:pStyle w:val="TableText0"/>
              <w:jc w:val="center"/>
            </w:pPr>
            <w:r w:rsidRPr="00C41ECA">
              <w:t>$13,111</w:t>
            </w:r>
          </w:p>
        </w:tc>
        <w:tc>
          <w:tcPr>
            <w:tcW w:w="1417" w:type="dxa"/>
          </w:tcPr>
          <w:p w14:paraId="31F24C7B" w14:textId="77777777" w:rsidR="00307391" w:rsidRPr="00C41ECA" w:rsidRDefault="00307391" w:rsidP="00307391">
            <w:pPr>
              <w:pStyle w:val="TableText0"/>
              <w:jc w:val="center"/>
            </w:pPr>
            <w:r w:rsidRPr="00C41ECA">
              <w:t>-$2,435</w:t>
            </w:r>
          </w:p>
        </w:tc>
        <w:tc>
          <w:tcPr>
            <w:tcW w:w="1559" w:type="dxa"/>
          </w:tcPr>
          <w:p w14:paraId="376CCE45" w14:textId="77777777" w:rsidR="00307391" w:rsidRPr="00C41ECA" w:rsidRDefault="00307391" w:rsidP="00307391">
            <w:pPr>
              <w:pStyle w:val="TableText0"/>
              <w:jc w:val="center"/>
            </w:pPr>
            <w:r w:rsidRPr="00C41ECA">
              <w:t>-0%</w:t>
            </w:r>
          </w:p>
        </w:tc>
      </w:tr>
      <w:tr w:rsidR="00307391" w:rsidRPr="00C41ECA" w14:paraId="2780F884" w14:textId="77777777" w:rsidTr="35298142">
        <w:trPr>
          <w:gridAfter w:val="1"/>
          <w:wAfter w:w="7" w:type="dxa"/>
        </w:trPr>
        <w:tc>
          <w:tcPr>
            <w:tcW w:w="3119" w:type="dxa"/>
            <w:vAlign w:val="center"/>
          </w:tcPr>
          <w:p w14:paraId="6D540E8E" w14:textId="77777777" w:rsidR="00307391" w:rsidRPr="00C41ECA" w:rsidRDefault="00307391" w:rsidP="00307391">
            <w:pPr>
              <w:pStyle w:val="TableText0"/>
              <w:rPr>
                <w:b/>
                <w:bCs w:val="0"/>
              </w:rPr>
            </w:pPr>
            <w:r w:rsidRPr="00C41ECA">
              <w:rPr>
                <w:b/>
                <w:bCs w:val="0"/>
              </w:rPr>
              <w:t>Total</w:t>
            </w:r>
          </w:p>
        </w:tc>
        <w:tc>
          <w:tcPr>
            <w:tcW w:w="1475" w:type="dxa"/>
            <w:vAlign w:val="center"/>
          </w:tcPr>
          <w:p w14:paraId="4CBF55FF" w14:textId="3EE5CF1D" w:rsidR="00307391" w:rsidRPr="00C41ECA" w:rsidRDefault="00307391" w:rsidP="00307391">
            <w:pPr>
              <w:pStyle w:val="TableText0"/>
              <w:jc w:val="center"/>
              <w:rPr>
                <w:b/>
                <w:bCs w:val="0"/>
              </w:rPr>
            </w:pPr>
            <w:r w:rsidRPr="00C41ECA">
              <w:rPr>
                <w:b/>
                <w:bCs w:val="0"/>
              </w:rPr>
              <w:t>$</w:t>
            </w:r>
            <w:r w:rsidR="003452C5" w:rsidRPr="00E119B7">
              <w:rPr>
                <w:b/>
                <w:bCs w:val="0"/>
                <w:color w:val="000000"/>
                <w:spacing w:val="65"/>
                <w:w w:val="84"/>
                <w:shd w:val="solid" w:color="000000" w:fill="000000"/>
                <w:fitText w:val="350" w:id="-694425589"/>
                <w14:textFill>
                  <w14:solidFill>
                    <w14:srgbClr w14:val="000000">
                      <w14:alpha w14:val="100000"/>
                    </w14:srgbClr>
                  </w14:solidFill>
                </w14:textFill>
              </w:rPr>
              <w:t>|||</w:t>
            </w:r>
            <w:r w:rsidR="003452C5" w:rsidRPr="00E119B7">
              <w:rPr>
                <w:b/>
                <w:bCs w:val="0"/>
                <w:color w:val="000000"/>
                <w:spacing w:val="1"/>
                <w:w w:val="84"/>
                <w:shd w:val="solid" w:color="000000" w:fill="000000"/>
                <w:fitText w:val="350" w:id="-694425589"/>
                <w14:textFill>
                  <w14:solidFill>
                    <w14:srgbClr w14:val="000000">
                      <w14:alpha w14:val="100000"/>
                    </w14:srgbClr>
                  </w14:solidFill>
                </w14:textFill>
              </w:rPr>
              <w:t>|</w:t>
            </w:r>
          </w:p>
        </w:tc>
        <w:tc>
          <w:tcPr>
            <w:tcW w:w="1502" w:type="dxa"/>
            <w:gridSpan w:val="2"/>
            <w:vAlign w:val="center"/>
          </w:tcPr>
          <w:p w14:paraId="6352ED94" w14:textId="77777777" w:rsidR="00307391" w:rsidRPr="00C41ECA" w:rsidRDefault="00307391" w:rsidP="00307391">
            <w:pPr>
              <w:pStyle w:val="TableText0"/>
              <w:jc w:val="center"/>
              <w:rPr>
                <w:b/>
                <w:bCs w:val="0"/>
              </w:rPr>
            </w:pPr>
            <w:r w:rsidRPr="00C41ECA">
              <w:rPr>
                <w:b/>
                <w:bCs w:val="0"/>
              </w:rPr>
              <w:t>$646,846</w:t>
            </w:r>
          </w:p>
        </w:tc>
        <w:tc>
          <w:tcPr>
            <w:tcW w:w="1417" w:type="dxa"/>
            <w:vAlign w:val="center"/>
          </w:tcPr>
          <w:p w14:paraId="7F712DB7" w14:textId="17CACB07" w:rsidR="00307391" w:rsidRPr="00C41ECA" w:rsidRDefault="00307391" w:rsidP="00307391">
            <w:pPr>
              <w:pStyle w:val="TableText0"/>
              <w:jc w:val="center"/>
              <w:rPr>
                <w:b/>
                <w:bCs w:val="0"/>
              </w:rPr>
            </w:pPr>
            <w:r w:rsidRPr="00C41ECA">
              <w:rPr>
                <w:b/>
                <w:bCs w:val="0"/>
              </w:rPr>
              <w:t>$</w:t>
            </w:r>
            <w:r w:rsidR="003452C5" w:rsidRPr="00E119B7">
              <w:rPr>
                <w:b/>
                <w:bCs w:val="0"/>
                <w:color w:val="000000"/>
                <w:spacing w:val="55"/>
                <w:shd w:val="solid" w:color="000000" w:fill="000000"/>
                <w:fitText w:val="350" w:id="-694425588"/>
                <w14:textFill>
                  <w14:solidFill>
                    <w14:srgbClr w14:val="000000">
                      <w14:alpha w14:val="100000"/>
                    </w14:srgbClr>
                  </w14:solidFill>
                </w14:textFill>
              </w:rPr>
              <w:t>|||</w:t>
            </w:r>
            <w:r w:rsidR="003452C5" w:rsidRPr="00E119B7">
              <w:rPr>
                <w:b/>
                <w:bCs w:val="0"/>
                <w:color w:val="000000"/>
                <w:spacing w:val="2"/>
                <w:shd w:val="solid" w:color="000000" w:fill="000000"/>
                <w:fitText w:val="350" w:id="-694425588"/>
                <w14:textFill>
                  <w14:solidFill>
                    <w14:srgbClr w14:val="000000">
                      <w14:alpha w14:val="100000"/>
                    </w14:srgbClr>
                  </w14:solidFill>
                </w14:textFill>
              </w:rPr>
              <w:t>|</w:t>
            </w:r>
          </w:p>
        </w:tc>
        <w:tc>
          <w:tcPr>
            <w:tcW w:w="1559" w:type="dxa"/>
            <w:vAlign w:val="center"/>
          </w:tcPr>
          <w:p w14:paraId="33F3B559" w14:textId="651E5530" w:rsidR="00307391" w:rsidRPr="00C41ECA" w:rsidRDefault="003452C5" w:rsidP="00307391">
            <w:pPr>
              <w:pStyle w:val="TableText0"/>
              <w:jc w:val="center"/>
              <w:rPr>
                <w:b/>
                <w:bCs w:val="0"/>
              </w:rPr>
            </w:pPr>
            <w:r w:rsidRPr="003452C5">
              <w:rPr>
                <w:b/>
                <w:bCs w:val="0"/>
                <w:color w:val="000000"/>
                <w:spacing w:val="58"/>
                <w:shd w:val="solid" w:color="000000" w:fill="000000"/>
                <w:fitText w:val="360" w:id="-694425587"/>
                <w14:textFill>
                  <w14:solidFill>
                    <w14:srgbClr w14:val="000000">
                      <w14:alpha w14:val="100000"/>
                    </w14:srgbClr>
                  </w14:solidFill>
                </w14:textFill>
              </w:rPr>
              <w:t>|||</w:t>
            </w:r>
            <w:r w:rsidRPr="003452C5">
              <w:rPr>
                <w:b/>
                <w:bCs w:val="0"/>
                <w:color w:val="000000"/>
                <w:spacing w:val="3"/>
                <w:shd w:val="solid" w:color="000000" w:fill="000000"/>
                <w:fitText w:val="360" w:id="-694425587"/>
                <w14:textFill>
                  <w14:solidFill>
                    <w14:srgbClr w14:val="000000">
                      <w14:alpha w14:val="100000"/>
                    </w14:srgbClr>
                  </w14:solidFill>
                </w14:textFill>
              </w:rPr>
              <w:t>|</w:t>
            </w:r>
            <w:r w:rsidR="00307391" w:rsidRPr="00C41ECA">
              <w:rPr>
                <w:b/>
                <w:bCs w:val="0"/>
              </w:rPr>
              <w:t>%</w:t>
            </w:r>
          </w:p>
        </w:tc>
      </w:tr>
      <w:tr w:rsidR="00307391" w:rsidRPr="00C41ECA" w14:paraId="0FBF208C" w14:textId="77777777" w:rsidTr="35298142">
        <w:tblPrEx>
          <w:tblCellMar>
            <w:left w:w="28" w:type="dxa"/>
            <w:right w:w="28" w:type="dxa"/>
          </w:tblCellMar>
          <w:tblLook w:val="01E0" w:firstRow="1" w:lastRow="1" w:firstColumn="1" w:lastColumn="1" w:noHBand="0" w:noVBand="0"/>
        </w:tblPrEx>
        <w:trPr>
          <w:cantSplit/>
        </w:trPr>
        <w:tc>
          <w:tcPr>
            <w:tcW w:w="9079"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C0EFE0" w14:textId="6F5861EA" w:rsidR="00307391" w:rsidRPr="00C41ECA" w:rsidRDefault="00307391" w:rsidP="00C83CBF">
            <w:pPr>
              <w:pStyle w:val="In-tableHeading"/>
            </w:pPr>
            <w:r w:rsidRPr="00C41ECA">
              <w:t>Outcomes</w:t>
            </w:r>
          </w:p>
        </w:tc>
      </w:tr>
      <w:tr w:rsidR="00307391" w:rsidRPr="00C41ECA" w14:paraId="3F789D5E" w14:textId="77777777" w:rsidTr="35298142">
        <w:tblPrEx>
          <w:tblCellMar>
            <w:left w:w="28" w:type="dxa"/>
            <w:right w:w="28" w:type="dxa"/>
          </w:tblCellMar>
          <w:tblLook w:val="01E0" w:firstRow="1" w:lastRow="1" w:firstColumn="1" w:lastColumn="1" w:noHBand="0" w:noVBand="0"/>
        </w:tblPrEx>
        <w:trPr>
          <w:cantSplit/>
        </w:trPr>
        <w:tc>
          <w:tcPr>
            <w:tcW w:w="9079"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BF5DA6" w14:textId="77777777" w:rsidR="00307391" w:rsidRPr="00C41ECA" w:rsidRDefault="00307391" w:rsidP="00307391">
            <w:pPr>
              <w:pStyle w:val="TableText0"/>
              <w:rPr>
                <w:b/>
                <w:bCs w:val="0"/>
              </w:rPr>
            </w:pPr>
            <w:r w:rsidRPr="00C41ECA">
              <w:rPr>
                <w:b/>
                <w:bCs w:val="0"/>
              </w:rPr>
              <w:t>Life-years (undiscounted)</w:t>
            </w:r>
          </w:p>
        </w:tc>
      </w:tr>
      <w:tr w:rsidR="00307391" w:rsidRPr="00C41ECA" w14:paraId="0A4A70DB" w14:textId="77777777" w:rsidTr="35298142">
        <w:tblPrEx>
          <w:tblCellMar>
            <w:left w:w="28" w:type="dxa"/>
            <w:right w:w="28" w:type="dxa"/>
          </w:tblCellMar>
          <w:tblLook w:val="01E0" w:firstRow="1" w:lastRow="1" w:firstColumn="1" w:lastColumn="1" w:noHBand="0" w:noVBand="0"/>
        </w:tblPrEx>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3A06DA" w14:textId="77777777" w:rsidR="00307391" w:rsidRPr="00C41ECA" w:rsidRDefault="00307391" w:rsidP="35298142">
            <w:pPr>
              <w:pStyle w:val="TableText0"/>
            </w:pPr>
            <w:r w:rsidRPr="35298142">
              <w:t xml:space="preserve">On </w:t>
            </w:r>
            <w:proofErr w:type="spellStart"/>
            <w:r w:rsidRPr="35298142">
              <w:t>omaveloxolone</w:t>
            </w:r>
            <w:proofErr w:type="spellEnd"/>
          </w:p>
        </w:tc>
        <w:tc>
          <w:tcPr>
            <w:tcW w:w="149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259BA7" w14:textId="77777777" w:rsidR="00307391" w:rsidRPr="00C41ECA" w:rsidRDefault="00307391" w:rsidP="00307391">
            <w:pPr>
              <w:pStyle w:val="TableText0"/>
              <w:jc w:val="center"/>
            </w:pPr>
            <w:r w:rsidRPr="00C41ECA">
              <w:rPr>
                <w:rFonts w:cs="Calibri"/>
                <w:color w:val="000000"/>
                <w:szCs w:val="20"/>
              </w:rPr>
              <w:t>13.71</w:t>
            </w:r>
          </w:p>
        </w:tc>
        <w:tc>
          <w:tcPr>
            <w:tcW w:w="14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D15A4B" w14:textId="77777777" w:rsidR="00307391" w:rsidRPr="00C41ECA" w:rsidRDefault="00307391" w:rsidP="00307391">
            <w:pPr>
              <w:pStyle w:val="TableText0"/>
              <w:jc w:val="center"/>
            </w:pPr>
            <w:r w:rsidRPr="00C41ECA">
              <w:rPr>
                <w:rFonts w:cs="Calibri"/>
                <w:color w:val="00000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D81B633" w14:textId="77777777" w:rsidR="00307391" w:rsidRPr="00C41ECA" w:rsidRDefault="00307391" w:rsidP="00307391">
            <w:pPr>
              <w:pStyle w:val="TableText0"/>
              <w:jc w:val="center"/>
            </w:pPr>
            <w:r w:rsidRPr="00C41ECA">
              <w:rPr>
                <w:rFonts w:cs="Calibri"/>
                <w:color w:val="000000"/>
                <w:szCs w:val="20"/>
              </w:rPr>
              <w:t>13.71</w:t>
            </w:r>
          </w:p>
        </w:tc>
        <w:tc>
          <w:tcPr>
            <w:tcW w:w="156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37C342" w14:textId="77777777" w:rsidR="00307391" w:rsidRPr="00C41ECA" w:rsidRDefault="00307391" w:rsidP="00307391">
            <w:pPr>
              <w:pStyle w:val="TableText0"/>
              <w:jc w:val="center"/>
            </w:pPr>
            <w:r w:rsidRPr="00C41ECA">
              <w:rPr>
                <w:rFonts w:cs="Calibri"/>
                <w:color w:val="000000"/>
                <w:szCs w:val="20"/>
              </w:rPr>
              <w:t>813%</w:t>
            </w:r>
          </w:p>
        </w:tc>
      </w:tr>
      <w:tr w:rsidR="00307391" w:rsidRPr="00C41ECA" w14:paraId="5BB21684" w14:textId="77777777" w:rsidTr="35298142">
        <w:tblPrEx>
          <w:tblCellMar>
            <w:left w:w="28" w:type="dxa"/>
            <w:right w:w="28" w:type="dxa"/>
          </w:tblCellMar>
          <w:tblLook w:val="01E0" w:firstRow="1" w:lastRow="1" w:firstColumn="1" w:lastColumn="1" w:noHBand="0" w:noVBand="0"/>
        </w:tblPrEx>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D825AC" w14:textId="77777777" w:rsidR="00307391" w:rsidRPr="00C41ECA" w:rsidRDefault="00307391" w:rsidP="35298142">
            <w:pPr>
              <w:pStyle w:val="TableText0"/>
            </w:pPr>
            <w:r w:rsidRPr="35298142">
              <w:t xml:space="preserve">Off </w:t>
            </w:r>
            <w:proofErr w:type="spellStart"/>
            <w:r w:rsidRPr="35298142">
              <w:t>omaveloxolone</w:t>
            </w:r>
            <w:proofErr w:type="spellEnd"/>
          </w:p>
        </w:tc>
        <w:tc>
          <w:tcPr>
            <w:tcW w:w="149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2A2674" w14:textId="77777777" w:rsidR="00307391" w:rsidRPr="00C41ECA" w:rsidRDefault="00307391" w:rsidP="00307391">
            <w:pPr>
              <w:pStyle w:val="TableText0"/>
              <w:jc w:val="center"/>
            </w:pPr>
            <w:r w:rsidRPr="00C41ECA">
              <w:rPr>
                <w:rFonts w:cs="Calibri"/>
                <w:color w:val="000000"/>
                <w:szCs w:val="20"/>
              </w:rPr>
              <w:t>30.02</w:t>
            </w:r>
          </w:p>
        </w:tc>
        <w:tc>
          <w:tcPr>
            <w:tcW w:w="14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120A5B" w14:textId="77777777" w:rsidR="00307391" w:rsidRPr="00C41ECA" w:rsidRDefault="00307391" w:rsidP="00307391">
            <w:pPr>
              <w:pStyle w:val="TableText0"/>
              <w:jc w:val="center"/>
            </w:pPr>
            <w:r w:rsidRPr="00C41ECA">
              <w:rPr>
                <w:rFonts w:cs="Calibri"/>
                <w:color w:val="000000"/>
                <w:szCs w:val="20"/>
              </w:rPr>
              <w:t>42.04</w:t>
            </w:r>
          </w:p>
        </w:tc>
        <w:tc>
          <w:tcPr>
            <w:tcW w:w="1417" w:type="dxa"/>
            <w:tcBorders>
              <w:top w:val="single" w:sz="4" w:space="0" w:color="auto"/>
              <w:left w:val="single" w:sz="4" w:space="0" w:color="auto"/>
              <w:bottom w:val="single" w:sz="4" w:space="0" w:color="auto"/>
              <w:right w:val="single" w:sz="4" w:space="0" w:color="auto"/>
            </w:tcBorders>
            <w:vAlign w:val="center"/>
          </w:tcPr>
          <w:p w14:paraId="36241336" w14:textId="77777777" w:rsidR="00307391" w:rsidRPr="00C41ECA" w:rsidRDefault="00307391" w:rsidP="00307391">
            <w:pPr>
              <w:pStyle w:val="TableText0"/>
              <w:jc w:val="center"/>
            </w:pPr>
            <w:r w:rsidRPr="00C41ECA">
              <w:rPr>
                <w:rFonts w:cs="Calibri"/>
                <w:color w:val="000000"/>
                <w:szCs w:val="20"/>
              </w:rPr>
              <w:t>-12.03</w:t>
            </w:r>
          </w:p>
        </w:tc>
        <w:tc>
          <w:tcPr>
            <w:tcW w:w="156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01C367" w14:textId="77777777" w:rsidR="00307391" w:rsidRPr="00C41ECA" w:rsidRDefault="00307391" w:rsidP="00307391">
            <w:pPr>
              <w:pStyle w:val="TableText0"/>
              <w:jc w:val="center"/>
            </w:pPr>
            <w:r w:rsidRPr="00C41ECA">
              <w:rPr>
                <w:rFonts w:cs="Calibri"/>
                <w:color w:val="000000"/>
                <w:szCs w:val="20"/>
              </w:rPr>
              <w:t>-713%</w:t>
            </w:r>
          </w:p>
        </w:tc>
      </w:tr>
      <w:tr w:rsidR="00307391" w:rsidRPr="00C41ECA" w14:paraId="342E3A9D" w14:textId="77777777" w:rsidTr="35298142">
        <w:tblPrEx>
          <w:tblCellMar>
            <w:left w:w="28" w:type="dxa"/>
            <w:right w:w="28" w:type="dxa"/>
          </w:tblCellMar>
          <w:tblLook w:val="01E0" w:firstRow="1" w:lastRow="1" w:firstColumn="1" w:lastColumn="1" w:noHBand="0" w:noVBand="0"/>
        </w:tblPrEx>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16A676" w14:textId="77777777" w:rsidR="00307391" w:rsidRPr="00C41ECA" w:rsidRDefault="00307391" w:rsidP="00307391">
            <w:pPr>
              <w:pStyle w:val="TableText0"/>
            </w:pPr>
            <w:r w:rsidRPr="00C41ECA">
              <w:t>Total</w:t>
            </w:r>
          </w:p>
        </w:tc>
        <w:tc>
          <w:tcPr>
            <w:tcW w:w="149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FCD4E9" w14:textId="77777777" w:rsidR="00307391" w:rsidRPr="00C41ECA" w:rsidRDefault="00307391" w:rsidP="00307391">
            <w:pPr>
              <w:pStyle w:val="TableText0"/>
              <w:jc w:val="center"/>
            </w:pPr>
            <w:r w:rsidRPr="00C41ECA">
              <w:rPr>
                <w:rFonts w:cs="Calibri"/>
                <w:color w:val="000000"/>
                <w:szCs w:val="20"/>
              </w:rPr>
              <w:t>43.73</w:t>
            </w:r>
          </w:p>
        </w:tc>
        <w:tc>
          <w:tcPr>
            <w:tcW w:w="14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80B287" w14:textId="77777777" w:rsidR="00307391" w:rsidRPr="00C41ECA" w:rsidRDefault="00307391" w:rsidP="00307391">
            <w:pPr>
              <w:pStyle w:val="TableText0"/>
              <w:jc w:val="center"/>
            </w:pPr>
            <w:r w:rsidRPr="00C41ECA">
              <w:rPr>
                <w:rFonts w:cs="Calibri"/>
                <w:color w:val="000000"/>
                <w:szCs w:val="20"/>
              </w:rPr>
              <w:t>42.04</w:t>
            </w:r>
          </w:p>
        </w:tc>
        <w:tc>
          <w:tcPr>
            <w:tcW w:w="1417" w:type="dxa"/>
            <w:tcBorders>
              <w:top w:val="single" w:sz="4" w:space="0" w:color="auto"/>
              <w:left w:val="single" w:sz="4" w:space="0" w:color="auto"/>
              <w:bottom w:val="single" w:sz="4" w:space="0" w:color="auto"/>
              <w:right w:val="single" w:sz="4" w:space="0" w:color="auto"/>
            </w:tcBorders>
            <w:vAlign w:val="center"/>
          </w:tcPr>
          <w:p w14:paraId="234DD49D" w14:textId="77777777" w:rsidR="00307391" w:rsidRPr="00C41ECA" w:rsidRDefault="00307391" w:rsidP="00307391">
            <w:pPr>
              <w:pStyle w:val="TableText0"/>
              <w:jc w:val="center"/>
            </w:pPr>
            <w:r w:rsidRPr="00C41ECA">
              <w:rPr>
                <w:rFonts w:cs="Calibri"/>
                <w:color w:val="000000"/>
                <w:szCs w:val="20"/>
              </w:rPr>
              <w:t>1.69</w:t>
            </w:r>
          </w:p>
        </w:tc>
        <w:tc>
          <w:tcPr>
            <w:tcW w:w="156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E25044" w14:textId="77777777" w:rsidR="00307391" w:rsidRPr="00C41ECA" w:rsidRDefault="00307391" w:rsidP="00307391">
            <w:pPr>
              <w:pStyle w:val="TableText0"/>
              <w:jc w:val="center"/>
            </w:pPr>
            <w:r w:rsidRPr="00C41ECA">
              <w:rPr>
                <w:rFonts w:cs="Calibri"/>
                <w:color w:val="000000"/>
                <w:szCs w:val="20"/>
              </w:rPr>
              <w:t>100%</w:t>
            </w:r>
          </w:p>
        </w:tc>
      </w:tr>
      <w:tr w:rsidR="00307391" w:rsidRPr="00C41ECA" w14:paraId="3A10EC16" w14:textId="77777777" w:rsidTr="35298142">
        <w:tblPrEx>
          <w:tblCellMar>
            <w:left w:w="28" w:type="dxa"/>
            <w:right w:w="28" w:type="dxa"/>
          </w:tblCellMar>
          <w:tblLook w:val="01E0" w:firstRow="1" w:lastRow="1" w:firstColumn="1" w:lastColumn="1" w:noHBand="0" w:noVBand="0"/>
        </w:tblPrEx>
        <w:trPr>
          <w:cantSplit/>
        </w:trPr>
        <w:tc>
          <w:tcPr>
            <w:tcW w:w="9079"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8B60E4" w14:textId="77777777" w:rsidR="00307391" w:rsidRPr="00C41ECA" w:rsidRDefault="00307391" w:rsidP="00307391">
            <w:pPr>
              <w:pStyle w:val="TableText0"/>
              <w:rPr>
                <w:b/>
                <w:bCs w:val="0"/>
              </w:rPr>
            </w:pPr>
            <w:r w:rsidRPr="00C41ECA">
              <w:rPr>
                <w:b/>
                <w:bCs w:val="0"/>
              </w:rPr>
              <w:t>QALYs (discounted)</w:t>
            </w:r>
          </w:p>
        </w:tc>
      </w:tr>
      <w:tr w:rsidR="00307391" w:rsidRPr="00C41ECA" w14:paraId="3A348BF1" w14:textId="77777777" w:rsidTr="35298142">
        <w:tblPrEx>
          <w:tblCellMar>
            <w:left w:w="28" w:type="dxa"/>
            <w:right w:w="28" w:type="dxa"/>
          </w:tblCellMar>
          <w:tblLook w:val="01E0" w:firstRow="1" w:lastRow="1" w:firstColumn="1" w:lastColumn="1" w:noHBand="0" w:noVBand="0"/>
        </w:tblPrEx>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3DD924" w14:textId="77777777" w:rsidR="00307391" w:rsidRPr="00C41ECA" w:rsidRDefault="00307391" w:rsidP="35298142">
            <w:pPr>
              <w:pStyle w:val="TableText0"/>
            </w:pPr>
            <w:r w:rsidRPr="35298142">
              <w:t xml:space="preserve">On </w:t>
            </w:r>
            <w:proofErr w:type="spellStart"/>
            <w:r w:rsidRPr="35298142">
              <w:t>omaveloxolone</w:t>
            </w:r>
            <w:proofErr w:type="spellEnd"/>
          </w:p>
        </w:tc>
        <w:tc>
          <w:tcPr>
            <w:tcW w:w="149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C0090D" w14:textId="77777777" w:rsidR="00307391" w:rsidRPr="00C41ECA" w:rsidRDefault="00307391" w:rsidP="00307391">
            <w:pPr>
              <w:pStyle w:val="TableText0"/>
              <w:jc w:val="center"/>
            </w:pPr>
            <w:r w:rsidRPr="00C41ECA">
              <w:rPr>
                <w:rFonts w:cs="Calibri"/>
                <w:color w:val="000000"/>
                <w:szCs w:val="20"/>
              </w:rPr>
              <w:t>6.04</w:t>
            </w:r>
          </w:p>
        </w:tc>
        <w:tc>
          <w:tcPr>
            <w:tcW w:w="14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2822CB" w14:textId="77777777" w:rsidR="00307391" w:rsidRPr="00C41ECA" w:rsidRDefault="00307391" w:rsidP="00307391">
            <w:pPr>
              <w:pStyle w:val="TableText0"/>
              <w:jc w:val="center"/>
            </w:pPr>
            <w:r w:rsidRPr="00C41ECA">
              <w:rPr>
                <w:rFonts w:cs="Calibri"/>
                <w:color w:val="00000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5DCBB550" w14:textId="77777777" w:rsidR="00307391" w:rsidRPr="00C41ECA" w:rsidRDefault="00307391" w:rsidP="00307391">
            <w:pPr>
              <w:pStyle w:val="TableText0"/>
              <w:jc w:val="center"/>
            </w:pPr>
            <w:r w:rsidRPr="00C41ECA">
              <w:rPr>
                <w:rFonts w:cs="Calibri"/>
                <w:color w:val="000000"/>
                <w:szCs w:val="20"/>
              </w:rPr>
              <w:t>6.04</w:t>
            </w:r>
          </w:p>
        </w:tc>
        <w:tc>
          <w:tcPr>
            <w:tcW w:w="156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F7A9A8" w14:textId="77777777" w:rsidR="00307391" w:rsidRPr="00C41ECA" w:rsidRDefault="00307391" w:rsidP="00307391">
            <w:pPr>
              <w:pStyle w:val="TableText0"/>
              <w:jc w:val="center"/>
            </w:pPr>
            <w:r w:rsidRPr="00C41ECA">
              <w:rPr>
                <w:rFonts w:cs="Calibri"/>
                <w:color w:val="000000"/>
                <w:szCs w:val="20"/>
              </w:rPr>
              <w:t>522%</w:t>
            </w:r>
          </w:p>
        </w:tc>
      </w:tr>
      <w:tr w:rsidR="00307391" w:rsidRPr="00C41ECA" w14:paraId="2ECFAFEE" w14:textId="77777777" w:rsidTr="35298142">
        <w:tblPrEx>
          <w:tblCellMar>
            <w:left w:w="28" w:type="dxa"/>
            <w:right w:w="28" w:type="dxa"/>
          </w:tblCellMar>
          <w:tblLook w:val="01E0" w:firstRow="1" w:lastRow="1" w:firstColumn="1" w:lastColumn="1" w:noHBand="0" w:noVBand="0"/>
        </w:tblPrEx>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E96469" w14:textId="77777777" w:rsidR="00307391" w:rsidRPr="00C41ECA" w:rsidRDefault="00307391" w:rsidP="35298142">
            <w:pPr>
              <w:pStyle w:val="TableText0"/>
            </w:pPr>
            <w:r w:rsidRPr="35298142">
              <w:t xml:space="preserve">Off </w:t>
            </w:r>
            <w:proofErr w:type="spellStart"/>
            <w:r w:rsidRPr="35298142">
              <w:t>omaveloxolone</w:t>
            </w:r>
            <w:proofErr w:type="spellEnd"/>
          </w:p>
        </w:tc>
        <w:tc>
          <w:tcPr>
            <w:tcW w:w="149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BDCB09" w14:textId="77777777" w:rsidR="00307391" w:rsidRPr="00C41ECA" w:rsidRDefault="00307391" w:rsidP="00307391">
            <w:pPr>
              <w:pStyle w:val="TableText0"/>
              <w:jc w:val="center"/>
            </w:pPr>
            <w:r w:rsidRPr="00C41ECA">
              <w:rPr>
                <w:rFonts w:cs="Calibri"/>
                <w:color w:val="000000"/>
                <w:szCs w:val="20"/>
              </w:rPr>
              <w:t>4.54</w:t>
            </w:r>
          </w:p>
        </w:tc>
        <w:tc>
          <w:tcPr>
            <w:tcW w:w="14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230FA2" w14:textId="77777777" w:rsidR="00307391" w:rsidRPr="00C41ECA" w:rsidRDefault="00307391" w:rsidP="00307391">
            <w:pPr>
              <w:pStyle w:val="TableText0"/>
              <w:jc w:val="center"/>
            </w:pPr>
            <w:r w:rsidRPr="00C41ECA">
              <w:rPr>
                <w:rFonts w:cs="Calibri"/>
                <w:color w:val="000000"/>
                <w:szCs w:val="20"/>
              </w:rPr>
              <w:t>9.42</w:t>
            </w:r>
          </w:p>
        </w:tc>
        <w:tc>
          <w:tcPr>
            <w:tcW w:w="1417" w:type="dxa"/>
            <w:tcBorders>
              <w:top w:val="single" w:sz="4" w:space="0" w:color="auto"/>
              <w:left w:val="single" w:sz="4" w:space="0" w:color="auto"/>
              <w:bottom w:val="single" w:sz="4" w:space="0" w:color="auto"/>
              <w:right w:val="single" w:sz="4" w:space="0" w:color="auto"/>
            </w:tcBorders>
            <w:vAlign w:val="center"/>
          </w:tcPr>
          <w:p w14:paraId="281B7AF7" w14:textId="77777777" w:rsidR="00307391" w:rsidRPr="00C41ECA" w:rsidRDefault="00307391" w:rsidP="00307391">
            <w:pPr>
              <w:pStyle w:val="TableText0"/>
              <w:jc w:val="center"/>
            </w:pPr>
            <w:r w:rsidRPr="00C41ECA">
              <w:rPr>
                <w:rFonts w:cs="Calibri"/>
                <w:color w:val="000000"/>
                <w:szCs w:val="20"/>
              </w:rPr>
              <w:t>-4.88</w:t>
            </w:r>
          </w:p>
        </w:tc>
        <w:tc>
          <w:tcPr>
            <w:tcW w:w="156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4929A7" w14:textId="77777777" w:rsidR="00307391" w:rsidRPr="00C41ECA" w:rsidRDefault="00307391" w:rsidP="00307391">
            <w:pPr>
              <w:pStyle w:val="TableText0"/>
              <w:jc w:val="center"/>
            </w:pPr>
            <w:r w:rsidRPr="00C41ECA">
              <w:rPr>
                <w:rFonts w:cs="Calibri"/>
                <w:color w:val="000000"/>
                <w:szCs w:val="20"/>
              </w:rPr>
              <w:t>-422%</w:t>
            </w:r>
          </w:p>
        </w:tc>
      </w:tr>
      <w:tr w:rsidR="00307391" w:rsidRPr="00C41ECA" w14:paraId="4F1515A9" w14:textId="77777777" w:rsidTr="35298142">
        <w:tblPrEx>
          <w:tblCellMar>
            <w:left w:w="28" w:type="dxa"/>
            <w:right w:w="28" w:type="dxa"/>
          </w:tblCellMar>
          <w:tblLook w:val="01E0" w:firstRow="1" w:lastRow="1" w:firstColumn="1" w:lastColumn="1" w:noHBand="0" w:noVBand="0"/>
        </w:tblPrEx>
        <w:trPr>
          <w:cantSplit/>
        </w:trPr>
        <w:tc>
          <w:tcPr>
            <w:tcW w:w="3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9D0324" w14:textId="77777777" w:rsidR="00307391" w:rsidRPr="00C41ECA" w:rsidRDefault="00307391" w:rsidP="00307391">
            <w:pPr>
              <w:pStyle w:val="TableText0"/>
            </w:pPr>
            <w:r w:rsidRPr="00C41ECA">
              <w:t>Total</w:t>
            </w:r>
          </w:p>
        </w:tc>
        <w:tc>
          <w:tcPr>
            <w:tcW w:w="149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8E796F" w14:textId="77777777" w:rsidR="00307391" w:rsidRPr="00C41ECA" w:rsidRDefault="00307391" w:rsidP="00307391">
            <w:pPr>
              <w:pStyle w:val="TableText0"/>
              <w:jc w:val="center"/>
            </w:pPr>
            <w:r w:rsidRPr="00C41ECA">
              <w:rPr>
                <w:rFonts w:cs="Calibri"/>
                <w:color w:val="000000"/>
                <w:szCs w:val="20"/>
              </w:rPr>
              <w:t>10.58</w:t>
            </w:r>
          </w:p>
        </w:tc>
        <w:tc>
          <w:tcPr>
            <w:tcW w:w="14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D56CD1" w14:textId="77777777" w:rsidR="00307391" w:rsidRPr="00C41ECA" w:rsidRDefault="00307391" w:rsidP="00307391">
            <w:pPr>
              <w:pStyle w:val="TableText0"/>
              <w:jc w:val="center"/>
            </w:pPr>
            <w:r w:rsidRPr="00C41ECA">
              <w:rPr>
                <w:rFonts w:cs="Calibri"/>
                <w:color w:val="000000"/>
                <w:szCs w:val="20"/>
              </w:rPr>
              <w:t>9.42</w:t>
            </w:r>
          </w:p>
        </w:tc>
        <w:tc>
          <w:tcPr>
            <w:tcW w:w="1417" w:type="dxa"/>
            <w:tcBorders>
              <w:top w:val="single" w:sz="4" w:space="0" w:color="auto"/>
              <w:left w:val="single" w:sz="4" w:space="0" w:color="auto"/>
              <w:bottom w:val="single" w:sz="4" w:space="0" w:color="auto"/>
              <w:right w:val="single" w:sz="4" w:space="0" w:color="auto"/>
            </w:tcBorders>
            <w:vAlign w:val="center"/>
          </w:tcPr>
          <w:p w14:paraId="1CBC716F" w14:textId="77777777" w:rsidR="00307391" w:rsidRPr="00C41ECA" w:rsidRDefault="00307391" w:rsidP="00307391">
            <w:pPr>
              <w:pStyle w:val="TableText0"/>
              <w:jc w:val="center"/>
            </w:pPr>
            <w:r w:rsidRPr="00C41ECA">
              <w:rPr>
                <w:rFonts w:cs="Calibri"/>
                <w:color w:val="000000"/>
                <w:szCs w:val="20"/>
              </w:rPr>
              <w:t>1.16</w:t>
            </w:r>
          </w:p>
        </w:tc>
        <w:tc>
          <w:tcPr>
            <w:tcW w:w="156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586B32" w14:textId="77777777" w:rsidR="00307391" w:rsidRPr="00C41ECA" w:rsidRDefault="00307391" w:rsidP="00307391">
            <w:pPr>
              <w:pStyle w:val="TableText0"/>
              <w:jc w:val="center"/>
            </w:pPr>
            <w:r w:rsidRPr="00C41ECA">
              <w:rPr>
                <w:rFonts w:cs="Calibri"/>
                <w:color w:val="000000"/>
                <w:szCs w:val="20"/>
              </w:rPr>
              <w:t>100%</w:t>
            </w:r>
          </w:p>
        </w:tc>
      </w:tr>
    </w:tbl>
    <w:p w14:paraId="76ECCC95" w14:textId="77777777" w:rsidR="003C1C8C" w:rsidRPr="00C41ECA" w:rsidRDefault="003C1C8C" w:rsidP="003C1C8C">
      <w:pPr>
        <w:pStyle w:val="TableFigureFooter"/>
      </w:pPr>
      <w:r w:rsidRPr="00C41ECA">
        <w:t>Source: Constructed during the evaluation from the “Attachment 10 - Cost utility analysis (CUA) workbook (Section 3)” attachment.</w:t>
      </w:r>
    </w:p>
    <w:p w14:paraId="6823840C" w14:textId="67B3144C" w:rsidR="003C1C8C" w:rsidRPr="00C41ECA" w:rsidRDefault="003C1C8C" w:rsidP="00E545BC">
      <w:pPr>
        <w:pStyle w:val="TableFigureFooter"/>
      </w:pPr>
      <w:r w:rsidRPr="00C41ECA">
        <w:t xml:space="preserve">AE=adverse event, BSC=best supportive care; GP=general practitioner. </w:t>
      </w:r>
    </w:p>
    <w:p w14:paraId="1BAC1159" w14:textId="668ED7DD" w:rsidR="00A86E8B" w:rsidRPr="00C41ECA" w:rsidRDefault="00D23D11" w:rsidP="00BB732D">
      <w:pPr>
        <w:pStyle w:val="3-BodyText"/>
      </w:pPr>
      <w:r w:rsidRPr="35298142">
        <w:t xml:space="preserve">The results of key sensitivity analyses are </w:t>
      </w:r>
      <w:r w:rsidR="00307391" w:rsidRPr="35298142">
        <w:t>presented</w:t>
      </w:r>
      <w:r w:rsidRPr="35298142">
        <w:t xml:space="preserve"> </w:t>
      </w:r>
      <w:r w:rsidR="00E16AD8" w:rsidRPr="35298142">
        <w:t xml:space="preserve">in </w:t>
      </w:r>
      <w:r>
        <w:fldChar w:fldCharType="begin"/>
      </w:r>
      <w:r>
        <w:instrText xml:space="preserve"> REF _Ref104804865 \h  \* MERGEFORMAT </w:instrText>
      </w:r>
      <w:r>
        <w:fldChar w:fldCharType="separate"/>
      </w:r>
      <w:r w:rsidR="003A4643" w:rsidRPr="00C41ECA">
        <w:t xml:space="preserve">Table </w:t>
      </w:r>
      <w:r w:rsidR="003A4643">
        <w:rPr>
          <w:noProof/>
        </w:rPr>
        <w:t>20</w:t>
      </w:r>
      <w:r>
        <w:fldChar w:fldCharType="end"/>
      </w:r>
      <w:r w:rsidRPr="35298142">
        <w:t>.</w:t>
      </w:r>
      <w:r w:rsidR="007030A7" w:rsidRPr="35298142">
        <w:t xml:space="preserve"> While some of the parameters tested in sensitivity analyses did not appear to have a substantial effect on the economic analysis</w:t>
      </w:r>
      <w:r w:rsidR="007030A7" w:rsidRPr="00424A49">
        <w:t xml:space="preserve">, </w:t>
      </w:r>
      <w:r w:rsidR="00D30135" w:rsidRPr="00424A49">
        <w:t xml:space="preserve">the ESC noted </w:t>
      </w:r>
      <w:r w:rsidR="007030A7" w:rsidRPr="00424A49">
        <w:t>the</w:t>
      </w:r>
      <w:r w:rsidR="007030A7" w:rsidRPr="35298142">
        <w:t xml:space="preserve"> impact is masked to some extent due to the high base case ICER. If the base case ICER is reduced (through a special pricing arrangement of </w:t>
      </w:r>
      <w:proofErr w:type="spellStart"/>
      <w:r w:rsidR="007030A7" w:rsidRPr="35298142">
        <w:t>omaveloxolone</w:t>
      </w:r>
      <w:proofErr w:type="spellEnd"/>
      <w:r w:rsidR="007030A7" w:rsidRPr="35298142">
        <w:t xml:space="preserve"> as proposed in the submission), parameters would have larger effect on the economic analysis.</w:t>
      </w:r>
    </w:p>
    <w:p w14:paraId="167D6DD4" w14:textId="6DBCB97B" w:rsidR="00307391" w:rsidRPr="00C41ECA" w:rsidRDefault="00E16AD8" w:rsidP="00307391">
      <w:pPr>
        <w:pStyle w:val="Caption"/>
        <w:rPr>
          <w:rStyle w:val="CommentReference"/>
          <w:b/>
          <w:szCs w:val="24"/>
        </w:rPr>
      </w:pPr>
      <w:bookmarkStart w:id="58" w:name="_Ref104804865"/>
      <w:r w:rsidRPr="00C41ECA">
        <w:t xml:space="preserve">Table </w:t>
      </w:r>
      <w:r w:rsidR="00B717AF">
        <w:fldChar w:fldCharType="begin"/>
      </w:r>
      <w:r w:rsidR="00B717AF">
        <w:instrText xml:space="preserve"> SEQ Table \* ARABIC </w:instrText>
      </w:r>
      <w:r w:rsidR="00B717AF">
        <w:fldChar w:fldCharType="separate"/>
      </w:r>
      <w:r w:rsidR="003A4643">
        <w:rPr>
          <w:noProof/>
        </w:rPr>
        <w:t>20</w:t>
      </w:r>
      <w:r w:rsidR="00B717AF">
        <w:rPr>
          <w:noProof/>
        </w:rPr>
        <w:fldChar w:fldCharType="end"/>
      </w:r>
      <w:bookmarkEnd w:id="58"/>
      <w:r w:rsidRPr="00C41ECA">
        <w:t>:</w:t>
      </w:r>
      <w:r w:rsidR="00354F64" w:rsidRPr="00C41ECA">
        <w:rPr>
          <w:rStyle w:val="CommentReference"/>
          <w:b/>
          <w:szCs w:val="24"/>
        </w:rPr>
        <w:t xml:space="preserve"> </w:t>
      </w:r>
      <w:r w:rsidR="00307391" w:rsidRPr="00C41ECA">
        <w:rPr>
          <w:rStyle w:val="CommentReference"/>
          <w:b/>
          <w:szCs w:val="24"/>
        </w:rPr>
        <w:t xml:space="preserve">Results of key sensitivity analyses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0: Results of key sensitivity analyses "/>
      </w:tblPr>
      <w:tblGrid>
        <w:gridCol w:w="4623"/>
        <w:gridCol w:w="1221"/>
        <w:gridCol w:w="1137"/>
        <w:gridCol w:w="1218"/>
        <w:gridCol w:w="818"/>
      </w:tblGrid>
      <w:tr w:rsidR="00307391" w:rsidRPr="00C41ECA" w14:paraId="61D43D02" w14:textId="77777777" w:rsidTr="003452C5">
        <w:trPr>
          <w:tblHeader/>
        </w:trPr>
        <w:tc>
          <w:tcPr>
            <w:tcW w:w="4623" w:type="dxa"/>
            <w:vAlign w:val="center"/>
          </w:tcPr>
          <w:p w14:paraId="64EB16CF" w14:textId="77777777" w:rsidR="00307391" w:rsidRPr="00C41ECA" w:rsidRDefault="00307391" w:rsidP="00342DF9">
            <w:pPr>
              <w:pStyle w:val="In-tableHeading"/>
              <w:jc w:val="center"/>
            </w:pPr>
            <w:r w:rsidRPr="00C41ECA">
              <w:t>Analyses</w:t>
            </w:r>
          </w:p>
        </w:tc>
        <w:tc>
          <w:tcPr>
            <w:tcW w:w="1221" w:type="dxa"/>
            <w:tcBorders>
              <w:bottom w:val="single" w:sz="4" w:space="0" w:color="auto"/>
            </w:tcBorders>
            <w:vAlign w:val="center"/>
          </w:tcPr>
          <w:p w14:paraId="29D6F744" w14:textId="2C4104EB" w:rsidR="00307391" w:rsidRPr="00C41ECA" w:rsidRDefault="00307391" w:rsidP="00342DF9">
            <w:pPr>
              <w:pStyle w:val="In-tableHeading"/>
              <w:jc w:val="center"/>
            </w:pPr>
            <w:r w:rsidRPr="00C41ECA">
              <w:t>Incremental cost</w:t>
            </w:r>
            <w:r w:rsidR="003B720E">
              <w:t xml:space="preserve"> ($)</w:t>
            </w:r>
          </w:p>
        </w:tc>
        <w:tc>
          <w:tcPr>
            <w:tcW w:w="1137" w:type="dxa"/>
            <w:vAlign w:val="center"/>
          </w:tcPr>
          <w:p w14:paraId="36D8AD0B" w14:textId="77777777" w:rsidR="00307391" w:rsidRPr="00C41ECA" w:rsidRDefault="00307391" w:rsidP="00342DF9">
            <w:pPr>
              <w:pStyle w:val="In-tableHeading"/>
              <w:jc w:val="center"/>
            </w:pPr>
            <w:r w:rsidRPr="00C41ECA">
              <w:t>Incremental QALY</w:t>
            </w:r>
          </w:p>
        </w:tc>
        <w:tc>
          <w:tcPr>
            <w:tcW w:w="1218" w:type="dxa"/>
            <w:vAlign w:val="center"/>
          </w:tcPr>
          <w:p w14:paraId="31734175" w14:textId="72DA2688" w:rsidR="00307391" w:rsidRPr="00C41ECA" w:rsidRDefault="00307391" w:rsidP="00342DF9">
            <w:pPr>
              <w:pStyle w:val="In-tableHeading"/>
              <w:jc w:val="center"/>
            </w:pPr>
            <w:r w:rsidRPr="00C41ECA">
              <w:t>ICER</w:t>
            </w:r>
            <w:r w:rsidR="00873F07">
              <w:t xml:space="preserve"> ($)</w:t>
            </w:r>
          </w:p>
        </w:tc>
        <w:tc>
          <w:tcPr>
            <w:tcW w:w="818" w:type="dxa"/>
            <w:vAlign w:val="center"/>
          </w:tcPr>
          <w:p w14:paraId="2DA303C4" w14:textId="77777777" w:rsidR="00307391" w:rsidRPr="00C41ECA" w:rsidRDefault="00307391" w:rsidP="00342DF9">
            <w:pPr>
              <w:pStyle w:val="In-tableHeading"/>
              <w:jc w:val="center"/>
            </w:pPr>
            <w:r w:rsidRPr="00C41ECA">
              <w:t>% Change</w:t>
            </w:r>
          </w:p>
        </w:tc>
      </w:tr>
      <w:tr w:rsidR="00307391" w:rsidRPr="00C41ECA" w14:paraId="75B82216" w14:textId="77777777" w:rsidTr="003452C5">
        <w:tc>
          <w:tcPr>
            <w:tcW w:w="4623" w:type="dxa"/>
          </w:tcPr>
          <w:p w14:paraId="26356885" w14:textId="77777777" w:rsidR="00307391" w:rsidRPr="00C41ECA" w:rsidRDefault="00307391" w:rsidP="00967D46">
            <w:pPr>
              <w:pStyle w:val="TableText0"/>
              <w:rPr>
                <w:b/>
                <w:bCs w:val="0"/>
              </w:rPr>
            </w:pPr>
            <w:r w:rsidRPr="00C41ECA">
              <w:rPr>
                <w:b/>
                <w:bCs w:val="0"/>
              </w:rPr>
              <w:t>Base case</w:t>
            </w:r>
          </w:p>
        </w:tc>
        <w:tc>
          <w:tcPr>
            <w:tcW w:w="1221" w:type="dxa"/>
            <w:shd w:val="solid" w:color="000000" w:fill="000000"/>
            <w:vAlign w:val="center"/>
          </w:tcPr>
          <w:p w14:paraId="69F77448" w14:textId="48508D33" w:rsidR="00307391" w:rsidRPr="00C41ECA" w:rsidRDefault="003452C5" w:rsidP="00967D46">
            <w:pPr>
              <w:pStyle w:val="TableText0"/>
              <w:jc w:val="center"/>
              <w:rPr>
                <w:b/>
                <w:bCs w:val="0"/>
              </w:rPr>
            </w:pPr>
            <w:r w:rsidRPr="003452C5">
              <w:rPr>
                <w:b/>
                <w:bCs w:val="0"/>
                <w:color w:val="000000"/>
                <w:spacing w:val="58"/>
                <w:fitText w:val="360" w:id="-694425586"/>
                <w14:textFill>
                  <w14:solidFill>
                    <w14:srgbClr w14:val="000000">
                      <w14:alpha w14:val="100000"/>
                    </w14:srgbClr>
                  </w14:solidFill>
                </w14:textFill>
              </w:rPr>
              <w:t>|||</w:t>
            </w:r>
            <w:r w:rsidRPr="003452C5">
              <w:rPr>
                <w:b/>
                <w:bCs w:val="0"/>
                <w:color w:val="000000"/>
                <w:spacing w:val="3"/>
                <w:fitText w:val="360" w:id="-694425586"/>
                <w14:textFill>
                  <w14:solidFill>
                    <w14:srgbClr w14:val="000000">
                      <w14:alpha w14:val="100000"/>
                    </w14:srgbClr>
                  </w14:solidFill>
                </w14:textFill>
              </w:rPr>
              <w:t>|</w:t>
            </w:r>
          </w:p>
        </w:tc>
        <w:tc>
          <w:tcPr>
            <w:tcW w:w="1137" w:type="dxa"/>
            <w:vAlign w:val="center"/>
          </w:tcPr>
          <w:p w14:paraId="5534D050" w14:textId="77777777" w:rsidR="00307391" w:rsidRPr="00C41ECA" w:rsidRDefault="00307391" w:rsidP="00967D46">
            <w:pPr>
              <w:pStyle w:val="TableText0"/>
              <w:jc w:val="center"/>
              <w:rPr>
                <w:b/>
                <w:bCs w:val="0"/>
              </w:rPr>
            </w:pPr>
            <w:r w:rsidRPr="00C41ECA">
              <w:rPr>
                <w:b/>
                <w:bCs w:val="0"/>
              </w:rPr>
              <w:t>1.16</w:t>
            </w:r>
          </w:p>
        </w:tc>
        <w:tc>
          <w:tcPr>
            <w:tcW w:w="1218" w:type="dxa"/>
            <w:vAlign w:val="center"/>
          </w:tcPr>
          <w:p w14:paraId="662864F4" w14:textId="0907F063" w:rsidR="00307391" w:rsidRPr="00C41ECA" w:rsidRDefault="003452C5" w:rsidP="00967D46">
            <w:pPr>
              <w:pStyle w:val="TableText0"/>
              <w:jc w:val="center"/>
              <w:rPr>
                <w:b/>
                <w:bCs w:val="0"/>
              </w:rPr>
            </w:pPr>
            <w:r w:rsidRPr="003452C5">
              <w:rPr>
                <w:b/>
                <w:bCs w:val="0"/>
                <w:color w:val="000000"/>
                <w:spacing w:val="58"/>
                <w:shd w:val="solid" w:color="000000" w:fill="000000"/>
                <w:fitText w:val="360" w:id="-694425585"/>
                <w14:textFill>
                  <w14:solidFill>
                    <w14:srgbClr w14:val="000000">
                      <w14:alpha w14:val="100000"/>
                    </w14:srgbClr>
                  </w14:solidFill>
                </w14:textFill>
              </w:rPr>
              <w:t>|||</w:t>
            </w:r>
            <w:r w:rsidRPr="003452C5">
              <w:rPr>
                <w:b/>
                <w:bCs w:val="0"/>
                <w:color w:val="000000"/>
                <w:spacing w:val="3"/>
                <w:shd w:val="solid" w:color="000000" w:fill="000000"/>
                <w:fitText w:val="360" w:id="-694425585"/>
                <w14:textFill>
                  <w14:solidFill>
                    <w14:srgbClr w14:val="000000">
                      <w14:alpha w14:val="100000"/>
                    </w14:srgbClr>
                  </w14:solidFill>
                </w14:textFill>
              </w:rPr>
              <w:t>|</w:t>
            </w:r>
            <w:r w:rsidR="0080616F" w:rsidRPr="0080616F">
              <w:rPr>
                <w:b/>
                <w:bCs w:val="0"/>
                <w:vertAlign w:val="superscript"/>
              </w:rPr>
              <w:t>1</w:t>
            </w:r>
          </w:p>
        </w:tc>
        <w:tc>
          <w:tcPr>
            <w:tcW w:w="818" w:type="dxa"/>
            <w:vAlign w:val="center"/>
          </w:tcPr>
          <w:p w14:paraId="36B5C0F4" w14:textId="0F73CDAA" w:rsidR="00307391" w:rsidRPr="00C41ECA" w:rsidRDefault="003452C5" w:rsidP="00967D46">
            <w:pPr>
              <w:pStyle w:val="TableText0"/>
              <w:jc w:val="center"/>
              <w:rPr>
                <w:b/>
                <w:bCs w:val="0"/>
              </w:rPr>
            </w:pPr>
            <w:r w:rsidRPr="003452C5">
              <w:rPr>
                <w:b/>
                <w:bCs w:val="0"/>
                <w:color w:val="000000"/>
                <w:spacing w:val="55"/>
                <w:shd w:val="solid" w:color="000000" w:fill="000000"/>
                <w:fitText w:val="350" w:id="-694425584"/>
                <w14:textFill>
                  <w14:solidFill>
                    <w14:srgbClr w14:val="000000">
                      <w14:alpha w14:val="100000"/>
                    </w14:srgbClr>
                  </w14:solidFill>
                </w14:textFill>
              </w:rPr>
              <w:t>|||</w:t>
            </w:r>
            <w:r w:rsidRPr="003452C5">
              <w:rPr>
                <w:b/>
                <w:bCs w:val="0"/>
                <w:color w:val="000000"/>
                <w:spacing w:val="2"/>
                <w:shd w:val="solid" w:color="000000" w:fill="000000"/>
                <w:fitText w:val="350" w:id="-694425584"/>
                <w14:textFill>
                  <w14:solidFill>
                    <w14:srgbClr w14:val="000000">
                      <w14:alpha w14:val="100000"/>
                    </w14:srgbClr>
                  </w14:solidFill>
                </w14:textFill>
              </w:rPr>
              <w:t>|</w:t>
            </w:r>
            <w:r w:rsidR="00307391" w:rsidRPr="00C41ECA">
              <w:rPr>
                <w:b/>
                <w:bCs w:val="0"/>
              </w:rPr>
              <w:t>%</w:t>
            </w:r>
          </w:p>
        </w:tc>
      </w:tr>
      <w:tr w:rsidR="00307391" w:rsidRPr="00C41ECA" w14:paraId="14C162D9" w14:textId="77777777" w:rsidTr="35298142">
        <w:tc>
          <w:tcPr>
            <w:tcW w:w="0" w:type="auto"/>
            <w:gridSpan w:val="5"/>
          </w:tcPr>
          <w:p w14:paraId="340090D7" w14:textId="77777777" w:rsidR="00307391" w:rsidRPr="00C41ECA" w:rsidRDefault="00307391" w:rsidP="00967D46">
            <w:pPr>
              <w:pStyle w:val="TableText0"/>
            </w:pPr>
            <w:r w:rsidRPr="00C41ECA">
              <w:t>Discount rate (base case 5% costs and outcomes)</w:t>
            </w:r>
          </w:p>
        </w:tc>
      </w:tr>
      <w:tr w:rsidR="00307391" w:rsidRPr="00C41ECA" w14:paraId="51FD3ABB" w14:textId="77777777" w:rsidTr="003452C5">
        <w:tc>
          <w:tcPr>
            <w:tcW w:w="4623" w:type="dxa"/>
          </w:tcPr>
          <w:p w14:paraId="59F9D108" w14:textId="77777777" w:rsidR="00307391" w:rsidRPr="00C41ECA" w:rsidRDefault="00307391" w:rsidP="00AA68ED">
            <w:pPr>
              <w:pStyle w:val="TableText0"/>
              <w:numPr>
                <w:ilvl w:val="0"/>
                <w:numId w:val="4"/>
              </w:numPr>
            </w:pPr>
            <w:r w:rsidRPr="00C41ECA">
              <w:t>0% costs and outcomes</w:t>
            </w:r>
          </w:p>
        </w:tc>
        <w:tc>
          <w:tcPr>
            <w:tcW w:w="1221" w:type="dxa"/>
            <w:tcBorders>
              <w:bottom w:val="single" w:sz="4" w:space="0" w:color="auto"/>
            </w:tcBorders>
            <w:shd w:val="solid" w:color="000000" w:fill="000000"/>
            <w:vAlign w:val="center"/>
          </w:tcPr>
          <w:p w14:paraId="5FD51491" w14:textId="61B62C51" w:rsidR="00307391" w:rsidRPr="003B720E" w:rsidRDefault="003452C5" w:rsidP="00967D46">
            <w:pPr>
              <w:pStyle w:val="TableText0"/>
              <w:jc w:val="center"/>
              <w:rPr>
                <w:highlight w:val="darkGray"/>
              </w:rPr>
            </w:pPr>
            <w:r w:rsidRPr="003452C5">
              <w:rPr>
                <w:color w:val="000000"/>
                <w:spacing w:val="53"/>
                <w:fitText w:val="330" w:id="-694425600"/>
                <w14:textFill>
                  <w14:solidFill>
                    <w14:srgbClr w14:val="000000">
                      <w14:alpha w14:val="100000"/>
                    </w14:srgbClr>
                  </w14:solidFill>
                </w14:textFill>
              </w:rPr>
              <w:t>|||</w:t>
            </w:r>
            <w:r w:rsidRPr="003452C5">
              <w:rPr>
                <w:color w:val="000000"/>
                <w:spacing w:val="1"/>
                <w:fitText w:val="330" w:id="-694425600"/>
                <w14:textFill>
                  <w14:solidFill>
                    <w14:srgbClr w14:val="000000">
                      <w14:alpha w14:val="100000"/>
                    </w14:srgbClr>
                  </w14:solidFill>
                </w14:textFill>
              </w:rPr>
              <w:t>|</w:t>
            </w:r>
          </w:p>
        </w:tc>
        <w:tc>
          <w:tcPr>
            <w:tcW w:w="1137" w:type="dxa"/>
            <w:vAlign w:val="center"/>
          </w:tcPr>
          <w:p w14:paraId="0C82F7C3" w14:textId="77777777" w:rsidR="00307391" w:rsidRPr="00C41ECA" w:rsidRDefault="00307391" w:rsidP="00967D46">
            <w:pPr>
              <w:pStyle w:val="TableText0"/>
              <w:jc w:val="center"/>
            </w:pPr>
            <w:r w:rsidRPr="00C41ECA">
              <w:t>3.41</w:t>
            </w:r>
          </w:p>
        </w:tc>
        <w:tc>
          <w:tcPr>
            <w:tcW w:w="1218" w:type="dxa"/>
            <w:vAlign w:val="center"/>
          </w:tcPr>
          <w:p w14:paraId="1767BBB3" w14:textId="02DF89D8" w:rsidR="00307391" w:rsidRPr="00873F07" w:rsidRDefault="003452C5" w:rsidP="00967D46">
            <w:pPr>
              <w:pStyle w:val="TableText0"/>
              <w:jc w:val="center"/>
              <w:rPr>
                <w:highlight w:val="darkGray"/>
              </w:rPr>
            </w:pPr>
            <w:r w:rsidRPr="003452C5">
              <w:rPr>
                <w:color w:val="000000"/>
                <w:spacing w:val="53"/>
                <w:shd w:val="solid" w:color="000000" w:fill="000000"/>
                <w:fitText w:val="330" w:id="-694425599"/>
                <w14:textFill>
                  <w14:solidFill>
                    <w14:srgbClr w14:val="000000">
                      <w14:alpha w14:val="100000"/>
                    </w14:srgbClr>
                  </w14:solidFill>
                </w14:textFill>
              </w:rPr>
              <w:t>|||</w:t>
            </w:r>
            <w:r w:rsidRPr="003452C5">
              <w:rPr>
                <w:color w:val="000000"/>
                <w:spacing w:val="1"/>
                <w:shd w:val="solid" w:color="000000" w:fill="000000"/>
                <w:fitText w:val="330" w:id="-694425599"/>
                <w14:textFill>
                  <w14:solidFill>
                    <w14:srgbClr w14:val="000000">
                      <w14:alpha w14:val="100000"/>
                    </w14:srgbClr>
                  </w14:solidFill>
                </w14:textFill>
              </w:rPr>
              <w:t>|</w:t>
            </w:r>
            <w:r w:rsidR="009E3DBA" w:rsidRPr="0080616F">
              <w:rPr>
                <w:b/>
                <w:bCs w:val="0"/>
                <w:vertAlign w:val="superscript"/>
              </w:rPr>
              <w:t>1</w:t>
            </w:r>
          </w:p>
        </w:tc>
        <w:tc>
          <w:tcPr>
            <w:tcW w:w="818" w:type="dxa"/>
            <w:vAlign w:val="center"/>
          </w:tcPr>
          <w:p w14:paraId="01987CED" w14:textId="4417C55B" w:rsidR="00307391" w:rsidRPr="00C41ECA" w:rsidRDefault="00307391" w:rsidP="00967D46">
            <w:pPr>
              <w:pStyle w:val="TableText0"/>
              <w:jc w:val="center"/>
            </w:pPr>
            <w:r w:rsidRPr="00C41ECA">
              <w:t>-</w:t>
            </w:r>
            <w:r w:rsidR="003452C5" w:rsidRPr="003452C5">
              <w:rPr>
                <w:color w:val="000000"/>
                <w:spacing w:val="53"/>
                <w:shd w:val="solid" w:color="000000" w:fill="000000"/>
                <w:fitText w:val="330" w:id="-694425598"/>
                <w14:textFill>
                  <w14:solidFill>
                    <w14:srgbClr w14:val="000000">
                      <w14:alpha w14:val="100000"/>
                    </w14:srgbClr>
                  </w14:solidFill>
                </w14:textFill>
              </w:rPr>
              <w:t>|||</w:t>
            </w:r>
            <w:r w:rsidR="003452C5" w:rsidRPr="003452C5">
              <w:rPr>
                <w:color w:val="000000"/>
                <w:spacing w:val="1"/>
                <w:shd w:val="solid" w:color="000000" w:fill="000000"/>
                <w:fitText w:val="330" w:id="-694425598"/>
                <w14:textFill>
                  <w14:solidFill>
                    <w14:srgbClr w14:val="000000">
                      <w14:alpha w14:val="100000"/>
                    </w14:srgbClr>
                  </w14:solidFill>
                </w14:textFill>
              </w:rPr>
              <w:t>|</w:t>
            </w:r>
            <w:r w:rsidRPr="00C41ECA">
              <w:t>%</w:t>
            </w:r>
          </w:p>
        </w:tc>
      </w:tr>
      <w:tr w:rsidR="00307391" w:rsidRPr="00C41ECA" w14:paraId="6E6536D4" w14:textId="77777777" w:rsidTr="003452C5">
        <w:tc>
          <w:tcPr>
            <w:tcW w:w="4623" w:type="dxa"/>
          </w:tcPr>
          <w:p w14:paraId="7AC2FF55" w14:textId="77777777" w:rsidR="00307391" w:rsidRPr="00C41ECA" w:rsidRDefault="00307391" w:rsidP="00AA68ED">
            <w:pPr>
              <w:pStyle w:val="TableText0"/>
              <w:numPr>
                <w:ilvl w:val="0"/>
                <w:numId w:val="4"/>
              </w:numPr>
            </w:pPr>
            <w:r w:rsidRPr="00C41ECA">
              <w:t>3.5% costs and outcomes</w:t>
            </w:r>
          </w:p>
        </w:tc>
        <w:tc>
          <w:tcPr>
            <w:tcW w:w="1221" w:type="dxa"/>
            <w:shd w:val="solid" w:color="000000" w:fill="000000"/>
            <w:vAlign w:val="center"/>
          </w:tcPr>
          <w:p w14:paraId="25CA5EA9" w14:textId="5F138C45" w:rsidR="00307391" w:rsidRPr="003B720E" w:rsidRDefault="003452C5" w:rsidP="00967D46">
            <w:pPr>
              <w:pStyle w:val="TableText0"/>
              <w:jc w:val="center"/>
              <w:rPr>
                <w:highlight w:val="darkGray"/>
              </w:rPr>
            </w:pPr>
            <w:r w:rsidRPr="003452C5">
              <w:rPr>
                <w:color w:val="000000"/>
                <w:spacing w:val="53"/>
                <w:fitText w:val="330" w:id="-694425597"/>
                <w14:textFill>
                  <w14:solidFill>
                    <w14:srgbClr w14:val="000000">
                      <w14:alpha w14:val="100000"/>
                    </w14:srgbClr>
                  </w14:solidFill>
                </w14:textFill>
              </w:rPr>
              <w:t>|||</w:t>
            </w:r>
            <w:r w:rsidRPr="003452C5">
              <w:rPr>
                <w:color w:val="000000"/>
                <w:spacing w:val="1"/>
                <w:fitText w:val="330" w:id="-694425597"/>
                <w14:textFill>
                  <w14:solidFill>
                    <w14:srgbClr w14:val="000000">
                      <w14:alpha w14:val="100000"/>
                    </w14:srgbClr>
                  </w14:solidFill>
                </w14:textFill>
              </w:rPr>
              <w:t>|</w:t>
            </w:r>
          </w:p>
        </w:tc>
        <w:tc>
          <w:tcPr>
            <w:tcW w:w="1137" w:type="dxa"/>
            <w:vAlign w:val="center"/>
          </w:tcPr>
          <w:p w14:paraId="5F9E39C2" w14:textId="77777777" w:rsidR="00307391" w:rsidRPr="00C41ECA" w:rsidRDefault="00307391" w:rsidP="00967D46">
            <w:pPr>
              <w:pStyle w:val="TableText0"/>
              <w:jc w:val="center"/>
            </w:pPr>
            <w:r w:rsidRPr="00C41ECA">
              <w:t>1.53</w:t>
            </w:r>
          </w:p>
        </w:tc>
        <w:tc>
          <w:tcPr>
            <w:tcW w:w="1218" w:type="dxa"/>
            <w:vAlign w:val="center"/>
          </w:tcPr>
          <w:p w14:paraId="541AA270" w14:textId="123F26BE" w:rsidR="00307391" w:rsidRPr="00873F07" w:rsidRDefault="003452C5" w:rsidP="00967D46">
            <w:pPr>
              <w:pStyle w:val="TableText0"/>
              <w:jc w:val="center"/>
              <w:rPr>
                <w:highlight w:val="darkGray"/>
              </w:rPr>
            </w:pPr>
            <w:r w:rsidRPr="003452C5">
              <w:rPr>
                <w:color w:val="000000"/>
                <w:spacing w:val="53"/>
                <w:shd w:val="solid" w:color="000000" w:fill="000000"/>
                <w:fitText w:val="330" w:id="-694425596"/>
                <w14:textFill>
                  <w14:solidFill>
                    <w14:srgbClr w14:val="000000">
                      <w14:alpha w14:val="100000"/>
                    </w14:srgbClr>
                  </w14:solidFill>
                </w14:textFill>
              </w:rPr>
              <w:t>|||</w:t>
            </w:r>
            <w:r w:rsidRPr="003452C5">
              <w:rPr>
                <w:color w:val="000000"/>
                <w:spacing w:val="1"/>
                <w:shd w:val="solid" w:color="000000" w:fill="000000"/>
                <w:fitText w:val="330" w:id="-694425596"/>
                <w14:textFill>
                  <w14:solidFill>
                    <w14:srgbClr w14:val="000000">
                      <w14:alpha w14:val="100000"/>
                    </w14:srgbClr>
                  </w14:solidFill>
                </w14:textFill>
              </w:rPr>
              <w:t>|</w:t>
            </w:r>
            <w:r w:rsidR="009E3DBA" w:rsidRPr="0080616F">
              <w:rPr>
                <w:b/>
                <w:bCs w:val="0"/>
                <w:vertAlign w:val="superscript"/>
              </w:rPr>
              <w:t>1</w:t>
            </w:r>
          </w:p>
        </w:tc>
        <w:tc>
          <w:tcPr>
            <w:tcW w:w="818" w:type="dxa"/>
            <w:vAlign w:val="center"/>
          </w:tcPr>
          <w:p w14:paraId="1CD69029" w14:textId="1F70EB48" w:rsidR="00307391" w:rsidRPr="00C41ECA" w:rsidRDefault="00307391" w:rsidP="00967D46">
            <w:pPr>
              <w:pStyle w:val="TableText0"/>
              <w:jc w:val="center"/>
            </w:pPr>
            <w:r w:rsidRPr="00C41ECA">
              <w:t>-</w:t>
            </w:r>
            <w:r w:rsidR="003452C5" w:rsidRPr="003452C5">
              <w:rPr>
                <w:color w:val="000000"/>
                <w:spacing w:val="53"/>
                <w:shd w:val="solid" w:color="000000" w:fill="000000"/>
                <w:fitText w:val="330" w:id="-694425595"/>
                <w14:textFill>
                  <w14:solidFill>
                    <w14:srgbClr w14:val="000000">
                      <w14:alpha w14:val="100000"/>
                    </w14:srgbClr>
                  </w14:solidFill>
                </w14:textFill>
              </w:rPr>
              <w:t>|||</w:t>
            </w:r>
            <w:r w:rsidR="003452C5" w:rsidRPr="003452C5">
              <w:rPr>
                <w:color w:val="000000"/>
                <w:spacing w:val="1"/>
                <w:shd w:val="solid" w:color="000000" w:fill="000000"/>
                <w:fitText w:val="330" w:id="-694425595"/>
                <w14:textFill>
                  <w14:solidFill>
                    <w14:srgbClr w14:val="000000">
                      <w14:alpha w14:val="100000"/>
                    </w14:srgbClr>
                  </w14:solidFill>
                </w14:textFill>
              </w:rPr>
              <w:t>|</w:t>
            </w:r>
            <w:r w:rsidRPr="00C41ECA">
              <w:t>%</w:t>
            </w:r>
          </w:p>
        </w:tc>
      </w:tr>
      <w:tr w:rsidR="00307391" w:rsidRPr="00C41ECA" w14:paraId="4F063770" w14:textId="77777777" w:rsidTr="35298142">
        <w:tc>
          <w:tcPr>
            <w:tcW w:w="0" w:type="auto"/>
            <w:gridSpan w:val="5"/>
          </w:tcPr>
          <w:p w14:paraId="3BF55D39" w14:textId="77777777" w:rsidR="00307391" w:rsidRPr="00C41ECA" w:rsidRDefault="00307391" w:rsidP="00967D46">
            <w:pPr>
              <w:pStyle w:val="TableText0"/>
            </w:pPr>
            <w:r w:rsidRPr="00C41ECA">
              <w:t>Time horizon (base case 84 years)</w:t>
            </w:r>
          </w:p>
        </w:tc>
      </w:tr>
      <w:tr w:rsidR="00307391" w:rsidRPr="00C41ECA" w14:paraId="518456C8" w14:textId="77777777" w:rsidTr="003452C5">
        <w:tc>
          <w:tcPr>
            <w:tcW w:w="4623" w:type="dxa"/>
          </w:tcPr>
          <w:p w14:paraId="2707C00A" w14:textId="77777777" w:rsidR="00307391" w:rsidRPr="00C41ECA" w:rsidRDefault="00307391" w:rsidP="00AA68ED">
            <w:pPr>
              <w:pStyle w:val="TableText0"/>
              <w:numPr>
                <w:ilvl w:val="0"/>
                <w:numId w:val="5"/>
              </w:numPr>
            </w:pPr>
            <w:r w:rsidRPr="00C41ECA">
              <w:t>20 years</w:t>
            </w:r>
          </w:p>
        </w:tc>
        <w:tc>
          <w:tcPr>
            <w:tcW w:w="1221" w:type="dxa"/>
            <w:tcBorders>
              <w:bottom w:val="single" w:sz="4" w:space="0" w:color="auto"/>
            </w:tcBorders>
            <w:shd w:val="solid" w:color="000000" w:fill="000000"/>
            <w:vAlign w:val="center"/>
          </w:tcPr>
          <w:p w14:paraId="6F5F0337" w14:textId="78BE971E" w:rsidR="00307391" w:rsidRPr="003B720E" w:rsidRDefault="003452C5" w:rsidP="00967D46">
            <w:pPr>
              <w:pStyle w:val="TableText0"/>
              <w:jc w:val="center"/>
              <w:rPr>
                <w:rFonts w:ascii="Calibri" w:hAnsi="Calibri" w:cs="Calibri"/>
                <w:color w:val="000000"/>
                <w:sz w:val="22"/>
                <w:szCs w:val="22"/>
                <w:highlight w:val="darkGray"/>
              </w:rPr>
            </w:pPr>
            <w:r w:rsidRPr="003452C5">
              <w:rPr>
                <w:color w:val="000000"/>
                <w:spacing w:val="53"/>
                <w:fitText w:val="330" w:id="-694425594"/>
                <w14:textFill>
                  <w14:solidFill>
                    <w14:srgbClr w14:val="000000">
                      <w14:alpha w14:val="100000"/>
                    </w14:srgbClr>
                  </w14:solidFill>
                </w14:textFill>
              </w:rPr>
              <w:t>|||</w:t>
            </w:r>
            <w:r w:rsidRPr="003452C5">
              <w:rPr>
                <w:color w:val="000000"/>
                <w:spacing w:val="1"/>
                <w:fitText w:val="330" w:id="-694425594"/>
                <w14:textFill>
                  <w14:solidFill>
                    <w14:srgbClr w14:val="000000">
                      <w14:alpha w14:val="100000"/>
                    </w14:srgbClr>
                  </w14:solidFill>
                </w14:textFill>
              </w:rPr>
              <w:t>|</w:t>
            </w:r>
          </w:p>
        </w:tc>
        <w:tc>
          <w:tcPr>
            <w:tcW w:w="1137" w:type="dxa"/>
            <w:vAlign w:val="center"/>
          </w:tcPr>
          <w:p w14:paraId="2B0B4F0A" w14:textId="77777777" w:rsidR="00307391" w:rsidRPr="00C41ECA" w:rsidRDefault="00307391" w:rsidP="00967D46">
            <w:pPr>
              <w:pStyle w:val="TableText0"/>
              <w:jc w:val="center"/>
              <w:rPr>
                <w:rFonts w:ascii="Calibri" w:hAnsi="Calibri" w:cs="Calibri"/>
                <w:color w:val="000000"/>
                <w:sz w:val="22"/>
                <w:szCs w:val="22"/>
              </w:rPr>
            </w:pPr>
            <w:r w:rsidRPr="00C41ECA">
              <w:t>0.71</w:t>
            </w:r>
          </w:p>
        </w:tc>
        <w:tc>
          <w:tcPr>
            <w:tcW w:w="1218" w:type="dxa"/>
            <w:vAlign w:val="center"/>
          </w:tcPr>
          <w:p w14:paraId="6BE4086C" w14:textId="52A9027C" w:rsidR="00307391" w:rsidRPr="00873F07" w:rsidRDefault="003452C5" w:rsidP="00967D46">
            <w:pPr>
              <w:pStyle w:val="TableText0"/>
              <w:jc w:val="center"/>
              <w:rPr>
                <w:rFonts w:ascii="Calibri" w:hAnsi="Calibri" w:cs="Calibri"/>
                <w:color w:val="000000"/>
                <w:sz w:val="22"/>
                <w:szCs w:val="22"/>
                <w:highlight w:val="darkGray"/>
              </w:rPr>
            </w:pPr>
            <w:r w:rsidRPr="003452C5">
              <w:rPr>
                <w:color w:val="000000"/>
                <w:spacing w:val="53"/>
                <w:shd w:val="solid" w:color="000000" w:fill="000000"/>
                <w:fitText w:val="330" w:id="-694425593"/>
                <w14:textFill>
                  <w14:solidFill>
                    <w14:srgbClr w14:val="000000">
                      <w14:alpha w14:val="100000"/>
                    </w14:srgbClr>
                  </w14:solidFill>
                </w14:textFill>
              </w:rPr>
              <w:t>|||</w:t>
            </w:r>
            <w:r w:rsidRPr="003452C5">
              <w:rPr>
                <w:color w:val="000000"/>
                <w:spacing w:val="1"/>
                <w:shd w:val="solid" w:color="000000" w:fill="000000"/>
                <w:fitText w:val="330" w:id="-694425593"/>
                <w14:textFill>
                  <w14:solidFill>
                    <w14:srgbClr w14:val="000000">
                      <w14:alpha w14:val="100000"/>
                    </w14:srgbClr>
                  </w14:solidFill>
                </w14:textFill>
              </w:rPr>
              <w:t>|</w:t>
            </w:r>
            <w:r w:rsidR="009E3DBA" w:rsidRPr="0080616F">
              <w:rPr>
                <w:b/>
                <w:bCs w:val="0"/>
                <w:vertAlign w:val="superscript"/>
              </w:rPr>
              <w:t>1</w:t>
            </w:r>
          </w:p>
        </w:tc>
        <w:tc>
          <w:tcPr>
            <w:tcW w:w="818" w:type="dxa"/>
            <w:vAlign w:val="center"/>
          </w:tcPr>
          <w:p w14:paraId="2624169D" w14:textId="0657D4D9" w:rsidR="00307391" w:rsidRPr="00C41ECA" w:rsidRDefault="003452C5" w:rsidP="00967D46">
            <w:pPr>
              <w:pStyle w:val="TableText0"/>
              <w:jc w:val="center"/>
              <w:rPr>
                <w:rFonts w:ascii="Calibri" w:hAnsi="Calibri" w:cs="Calibri"/>
                <w:color w:val="000000"/>
                <w:sz w:val="22"/>
                <w:szCs w:val="22"/>
              </w:rPr>
            </w:pPr>
            <w:r w:rsidRPr="003452C5">
              <w:rPr>
                <w:color w:val="000000"/>
                <w:spacing w:val="53"/>
                <w:shd w:val="solid" w:color="000000" w:fill="000000"/>
                <w:fitText w:val="330" w:id="-694425592"/>
                <w14:textFill>
                  <w14:solidFill>
                    <w14:srgbClr w14:val="000000">
                      <w14:alpha w14:val="100000"/>
                    </w14:srgbClr>
                  </w14:solidFill>
                </w14:textFill>
              </w:rPr>
              <w:t>|||</w:t>
            </w:r>
            <w:r w:rsidRPr="003452C5">
              <w:rPr>
                <w:color w:val="000000"/>
                <w:spacing w:val="1"/>
                <w:shd w:val="solid" w:color="000000" w:fill="000000"/>
                <w:fitText w:val="330" w:id="-694425592"/>
                <w14:textFill>
                  <w14:solidFill>
                    <w14:srgbClr w14:val="000000">
                      <w14:alpha w14:val="100000"/>
                    </w14:srgbClr>
                  </w14:solidFill>
                </w14:textFill>
              </w:rPr>
              <w:t>|</w:t>
            </w:r>
            <w:r w:rsidR="00307391" w:rsidRPr="00C41ECA">
              <w:t>%</w:t>
            </w:r>
          </w:p>
        </w:tc>
      </w:tr>
      <w:tr w:rsidR="00307391" w:rsidRPr="00C41ECA" w14:paraId="0C753B98" w14:textId="77777777" w:rsidTr="003452C5">
        <w:tc>
          <w:tcPr>
            <w:tcW w:w="4623" w:type="dxa"/>
          </w:tcPr>
          <w:p w14:paraId="5D021703" w14:textId="77777777" w:rsidR="00307391" w:rsidRPr="00C41ECA" w:rsidRDefault="00307391" w:rsidP="00AA68ED">
            <w:pPr>
              <w:pStyle w:val="TableText0"/>
              <w:numPr>
                <w:ilvl w:val="0"/>
                <w:numId w:val="5"/>
              </w:numPr>
            </w:pPr>
            <w:r w:rsidRPr="00C41ECA">
              <w:t xml:space="preserve">40 years </w:t>
            </w:r>
            <w:r w:rsidRPr="00C41ECA">
              <w:rPr>
                <w:b/>
                <w:bCs w:val="0"/>
              </w:rPr>
              <w:t>#4</w:t>
            </w:r>
          </w:p>
        </w:tc>
        <w:tc>
          <w:tcPr>
            <w:tcW w:w="1221" w:type="dxa"/>
            <w:shd w:val="solid" w:color="000000" w:fill="000000"/>
            <w:vAlign w:val="center"/>
          </w:tcPr>
          <w:p w14:paraId="3439BE8F" w14:textId="0F2BF998" w:rsidR="00307391" w:rsidRPr="003B720E" w:rsidRDefault="003452C5" w:rsidP="00967D46">
            <w:pPr>
              <w:pStyle w:val="TableText0"/>
              <w:jc w:val="center"/>
              <w:rPr>
                <w:rFonts w:ascii="Calibri" w:hAnsi="Calibri" w:cs="Calibri"/>
                <w:color w:val="000000"/>
                <w:sz w:val="22"/>
                <w:szCs w:val="22"/>
                <w:highlight w:val="darkGray"/>
              </w:rPr>
            </w:pPr>
            <w:r w:rsidRPr="003452C5">
              <w:rPr>
                <w:color w:val="000000"/>
                <w:spacing w:val="53"/>
                <w:fitText w:val="330" w:id="-694425591"/>
                <w14:textFill>
                  <w14:solidFill>
                    <w14:srgbClr w14:val="000000">
                      <w14:alpha w14:val="100000"/>
                    </w14:srgbClr>
                  </w14:solidFill>
                </w14:textFill>
              </w:rPr>
              <w:t>|||</w:t>
            </w:r>
            <w:r w:rsidRPr="003452C5">
              <w:rPr>
                <w:color w:val="000000"/>
                <w:spacing w:val="1"/>
                <w:fitText w:val="330" w:id="-694425591"/>
                <w14:textFill>
                  <w14:solidFill>
                    <w14:srgbClr w14:val="000000">
                      <w14:alpha w14:val="100000"/>
                    </w14:srgbClr>
                  </w14:solidFill>
                </w14:textFill>
              </w:rPr>
              <w:t>|</w:t>
            </w:r>
          </w:p>
        </w:tc>
        <w:tc>
          <w:tcPr>
            <w:tcW w:w="1137" w:type="dxa"/>
            <w:vAlign w:val="center"/>
          </w:tcPr>
          <w:p w14:paraId="26504014" w14:textId="77777777" w:rsidR="00307391" w:rsidRPr="00C41ECA" w:rsidRDefault="00307391" w:rsidP="00967D46">
            <w:pPr>
              <w:pStyle w:val="TableText0"/>
              <w:jc w:val="center"/>
              <w:rPr>
                <w:rFonts w:ascii="Calibri" w:hAnsi="Calibri" w:cs="Calibri"/>
                <w:color w:val="000000"/>
                <w:sz w:val="22"/>
                <w:szCs w:val="22"/>
              </w:rPr>
            </w:pPr>
            <w:r w:rsidRPr="00C41ECA">
              <w:t>1.09</w:t>
            </w:r>
          </w:p>
        </w:tc>
        <w:tc>
          <w:tcPr>
            <w:tcW w:w="1218" w:type="dxa"/>
            <w:vAlign w:val="center"/>
          </w:tcPr>
          <w:p w14:paraId="6FB707B8" w14:textId="281E37CA" w:rsidR="00307391" w:rsidRPr="00873F07" w:rsidRDefault="003452C5" w:rsidP="00967D46">
            <w:pPr>
              <w:pStyle w:val="TableText0"/>
              <w:jc w:val="center"/>
              <w:rPr>
                <w:rFonts w:ascii="Calibri" w:hAnsi="Calibri" w:cs="Calibri"/>
                <w:color w:val="000000"/>
                <w:sz w:val="22"/>
                <w:szCs w:val="22"/>
                <w:highlight w:val="darkGray"/>
              </w:rPr>
            </w:pPr>
            <w:r w:rsidRPr="003452C5">
              <w:rPr>
                <w:color w:val="000000"/>
                <w:spacing w:val="53"/>
                <w:shd w:val="solid" w:color="000000" w:fill="000000"/>
                <w:fitText w:val="330" w:id="-694425590"/>
                <w14:textFill>
                  <w14:solidFill>
                    <w14:srgbClr w14:val="000000">
                      <w14:alpha w14:val="100000"/>
                    </w14:srgbClr>
                  </w14:solidFill>
                </w14:textFill>
              </w:rPr>
              <w:t>|||</w:t>
            </w:r>
            <w:r w:rsidRPr="003452C5">
              <w:rPr>
                <w:color w:val="000000"/>
                <w:spacing w:val="1"/>
                <w:shd w:val="solid" w:color="000000" w:fill="000000"/>
                <w:fitText w:val="330" w:id="-694425590"/>
                <w14:textFill>
                  <w14:solidFill>
                    <w14:srgbClr w14:val="000000">
                      <w14:alpha w14:val="100000"/>
                    </w14:srgbClr>
                  </w14:solidFill>
                </w14:textFill>
              </w:rPr>
              <w:t>|</w:t>
            </w:r>
            <w:r w:rsidR="009E3DBA" w:rsidRPr="0080616F">
              <w:rPr>
                <w:b/>
                <w:bCs w:val="0"/>
                <w:vertAlign w:val="superscript"/>
              </w:rPr>
              <w:t>1</w:t>
            </w:r>
          </w:p>
        </w:tc>
        <w:tc>
          <w:tcPr>
            <w:tcW w:w="818" w:type="dxa"/>
            <w:vAlign w:val="center"/>
          </w:tcPr>
          <w:p w14:paraId="5BB0107C" w14:textId="0E1863EE" w:rsidR="00307391" w:rsidRPr="00C41ECA" w:rsidRDefault="003452C5" w:rsidP="00967D46">
            <w:pPr>
              <w:pStyle w:val="TableText0"/>
              <w:jc w:val="center"/>
            </w:pPr>
            <w:r w:rsidRPr="003452C5">
              <w:rPr>
                <w:color w:val="000000"/>
                <w:spacing w:val="53"/>
                <w:shd w:val="solid" w:color="000000" w:fill="000000"/>
                <w:fitText w:val="330" w:id="-694425589"/>
                <w14:textFill>
                  <w14:solidFill>
                    <w14:srgbClr w14:val="000000">
                      <w14:alpha w14:val="100000"/>
                    </w14:srgbClr>
                  </w14:solidFill>
                </w14:textFill>
              </w:rPr>
              <w:t>|||</w:t>
            </w:r>
            <w:r w:rsidRPr="003452C5">
              <w:rPr>
                <w:color w:val="000000"/>
                <w:spacing w:val="1"/>
                <w:shd w:val="solid" w:color="000000" w:fill="000000"/>
                <w:fitText w:val="330" w:id="-694425589"/>
                <w14:textFill>
                  <w14:solidFill>
                    <w14:srgbClr w14:val="000000">
                      <w14:alpha w14:val="100000"/>
                    </w14:srgbClr>
                  </w14:solidFill>
                </w14:textFill>
              </w:rPr>
              <w:t>|</w:t>
            </w:r>
            <w:r w:rsidR="00307391" w:rsidRPr="00C41ECA">
              <w:t>%</w:t>
            </w:r>
          </w:p>
        </w:tc>
      </w:tr>
      <w:tr w:rsidR="00307391" w:rsidRPr="00C41ECA" w14:paraId="25AC92E0" w14:textId="77777777" w:rsidTr="35298142">
        <w:tc>
          <w:tcPr>
            <w:tcW w:w="0" w:type="auto"/>
            <w:gridSpan w:val="5"/>
          </w:tcPr>
          <w:p w14:paraId="0E35167E" w14:textId="77777777" w:rsidR="00307391" w:rsidRPr="00C41ECA" w:rsidRDefault="00307391" w:rsidP="00967D46">
            <w:pPr>
              <w:pStyle w:val="TableText0"/>
            </w:pPr>
            <w:r w:rsidRPr="00C41ECA">
              <w:t>Treatment effect waning (base case: no waning)</w:t>
            </w:r>
          </w:p>
        </w:tc>
      </w:tr>
      <w:tr w:rsidR="00307391" w:rsidRPr="00C41ECA" w14:paraId="2A29A8BA" w14:textId="77777777" w:rsidTr="003452C5">
        <w:tc>
          <w:tcPr>
            <w:tcW w:w="4623" w:type="dxa"/>
          </w:tcPr>
          <w:p w14:paraId="688B7091" w14:textId="77777777" w:rsidR="00307391" w:rsidRPr="00C41ECA" w:rsidRDefault="00307391" w:rsidP="00AA68ED">
            <w:pPr>
              <w:pStyle w:val="TableText0"/>
              <w:numPr>
                <w:ilvl w:val="0"/>
                <w:numId w:val="5"/>
              </w:numPr>
            </w:pPr>
            <w:r w:rsidRPr="00C41ECA">
              <w:t>Linear decrease to no treatment effect from Year 4 to 8</w:t>
            </w:r>
          </w:p>
        </w:tc>
        <w:tc>
          <w:tcPr>
            <w:tcW w:w="1221" w:type="dxa"/>
            <w:tcBorders>
              <w:bottom w:val="single" w:sz="4" w:space="0" w:color="auto"/>
            </w:tcBorders>
            <w:shd w:val="solid" w:color="000000" w:fill="000000"/>
            <w:vAlign w:val="center"/>
          </w:tcPr>
          <w:p w14:paraId="486A58AC" w14:textId="1BF2290B" w:rsidR="00307391" w:rsidRPr="003B720E" w:rsidRDefault="003452C5" w:rsidP="00967D46">
            <w:pPr>
              <w:pStyle w:val="TableText0"/>
              <w:jc w:val="center"/>
              <w:rPr>
                <w:highlight w:val="darkGray"/>
              </w:rPr>
            </w:pPr>
            <w:r w:rsidRPr="003452C5">
              <w:rPr>
                <w:color w:val="000000"/>
                <w:spacing w:val="53"/>
                <w:fitText w:val="330" w:id="-694425588"/>
                <w14:textFill>
                  <w14:solidFill>
                    <w14:srgbClr w14:val="000000">
                      <w14:alpha w14:val="100000"/>
                    </w14:srgbClr>
                  </w14:solidFill>
                </w14:textFill>
              </w:rPr>
              <w:t>|||</w:t>
            </w:r>
            <w:r w:rsidRPr="003452C5">
              <w:rPr>
                <w:color w:val="000000"/>
                <w:spacing w:val="1"/>
                <w:fitText w:val="330" w:id="-694425588"/>
                <w14:textFill>
                  <w14:solidFill>
                    <w14:srgbClr w14:val="000000">
                      <w14:alpha w14:val="100000"/>
                    </w14:srgbClr>
                  </w14:solidFill>
                </w14:textFill>
              </w:rPr>
              <w:t>|</w:t>
            </w:r>
          </w:p>
        </w:tc>
        <w:tc>
          <w:tcPr>
            <w:tcW w:w="1137" w:type="dxa"/>
            <w:vAlign w:val="center"/>
          </w:tcPr>
          <w:p w14:paraId="32D88AD6" w14:textId="77777777" w:rsidR="00307391" w:rsidRPr="00C41ECA" w:rsidRDefault="00307391" w:rsidP="00967D46">
            <w:pPr>
              <w:pStyle w:val="TableText0"/>
              <w:jc w:val="center"/>
            </w:pPr>
            <w:r w:rsidRPr="00C41ECA">
              <w:t>0.58</w:t>
            </w:r>
          </w:p>
        </w:tc>
        <w:tc>
          <w:tcPr>
            <w:tcW w:w="1218" w:type="dxa"/>
            <w:vAlign w:val="center"/>
          </w:tcPr>
          <w:p w14:paraId="3853111B" w14:textId="0CC3E716" w:rsidR="00307391" w:rsidRPr="00873F07" w:rsidRDefault="003452C5" w:rsidP="00967D46">
            <w:pPr>
              <w:pStyle w:val="TableText0"/>
              <w:jc w:val="center"/>
              <w:rPr>
                <w:highlight w:val="darkGray"/>
              </w:rPr>
            </w:pPr>
            <w:r w:rsidRPr="003452C5">
              <w:rPr>
                <w:color w:val="000000"/>
                <w:spacing w:val="53"/>
                <w:shd w:val="solid" w:color="000000" w:fill="000000"/>
                <w:fitText w:val="330" w:id="-694425587"/>
                <w14:textFill>
                  <w14:solidFill>
                    <w14:srgbClr w14:val="000000">
                      <w14:alpha w14:val="100000"/>
                    </w14:srgbClr>
                  </w14:solidFill>
                </w14:textFill>
              </w:rPr>
              <w:t>|||</w:t>
            </w:r>
            <w:r w:rsidRPr="003452C5">
              <w:rPr>
                <w:color w:val="000000"/>
                <w:spacing w:val="1"/>
                <w:shd w:val="solid" w:color="000000" w:fill="000000"/>
                <w:fitText w:val="330" w:id="-694425587"/>
                <w14:textFill>
                  <w14:solidFill>
                    <w14:srgbClr w14:val="000000">
                      <w14:alpha w14:val="100000"/>
                    </w14:srgbClr>
                  </w14:solidFill>
                </w14:textFill>
              </w:rPr>
              <w:t>|</w:t>
            </w:r>
            <w:r w:rsidR="009E3DBA" w:rsidRPr="0080616F">
              <w:rPr>
                <w:b/>
                <w:bCs w:val="0"/>
                <w:vertAlign w:val="superscript"/>
              </w:rPr>
              <w:t>1</w:t>
            </w:r>
          </w:p>
        </w:tc>
        <w:tc>
          <w:tcPr>
            <w:tcW w:w="818" w:type="dxa"/>
            <w:vAlign w:val="center"/>
          </w:tcPr>
          <w:p w14:paraId="65C3F8B8" w14:textId="0A87C8DD" w:rsidR="00307391" w:rsidRPr="00C41ECA" w:rsidRDefault="003452C5" w:rsidP="00967D46">
            <w:pPr>
              <w:pStyle w:val="TableText0"/>
              <w:jc w:val="center"/>
            </w:pPr>
            <w:r w:rsidRPr="003452C5">
              <w:rPr>
                <w:color w:val="000000"/>
                <w:spacing w:val="53"/>
                <w:shd w:val="solid" w:color="000000" w:fill="000000"/>
                <w:fitText w:val="330" w:id="-694425586"/>
                <w14:textFill>
                  <w14:solidFill>
                    <w14:srgbClr w14:val="000000">
                      <w14:alpha w14:val="100000"/>
                    </w14:srgbClr>
                  </w14:solidFill>
                </w14:textFill>
              </w:rPr>
              <w:t>|||</w:t>
            </w:r>
            <w:r w:rsidRPr="003452C5">
              <w:rPr>
                <w:color w:val="000000"/>
                <w:spacing w:val="1"/>
                <w:shd w:val="solid" w:color="000000" w:fill="000000"/>
                <w:fitText w:val="330" w:id="-694425586"/>
                <w14:textFill>
                  <w14:solidFill>
                    <w14:srgbClr w14:val="000000">
                      <w14:alpha w14:val="100000"/>
                    </w14:srgbClr>
                  </w14:solidFill>
                </w14:textFill>
              </w:rPr>
              <w:t>|</w:t>
            </w:r>
            <w:r w:rsidR="00307391" w:rsidRPr="00C41ECA">
              <w:t>%</w:t>
            </w:r>
          </w:p>
        </w:tc>
      </w:tr>
      <w:tr w:rsidR="00307391" w:rsidRPr="00C41ECA" w14:paraId="2A9737A2" w14:textId="77777777" w:rsidTr="003452C5">
        <w:tc>
          <w:tcPr>
            <w:tcW w:w="4623" w:type="dxa"/>
          </w:tcPr>
          <w:p w14:paraId="1B3AA10B" w14:textId="77777777" w:rsidR="00307391" w:rsidRPr="00C41ECA" w:rsidRDefault="00307391" w:rsidP="00AA68ED">
            <w:pPr>
              <w:pStyle w:val="TableText0"/>
              <w:numPr>
                <w:ilvl w:val="0"/>
                <w:numId w:val="5"/>
              </w:numPr>
            </w:pPr>
            <w:r w:rsidRPr="00C41ECA">
              <w:t>Linear decrease to no treatment effect from Year 4 to 13</w:t>
            </w:r>
          </w:p>
        </w:tc>
        <w:tc>
          <w:tcPr>
            <w:tcW w:w="1221" w:type="dxa"/>
            <w:tcBorders>
              <w:bottom w:val="single" w:sz="4" w:space="0" w:color="auto"/>
            </w:tcBorders>
            <w:shd w:val="solid" w:color="000000" w:fill="000000"/>
            <w:vAlign w:val="center"/>
          </w:tcPr>
          <w:p w14:paraId="3340E2B0" w14:textId="26CA60C3" w:rsidR="00307391" w:rsidRPr="003B720E" w:rsidRDefault="003452C5" w:rsidP="00967D46">
            <w:pPr>
              <w:pStyle w:val="TableText0"/>
              <w:jc w:val="center"/>
              <w:rPr>
                <w:highlight w:val="darkGray"/>
              </w:rPr>
            </w:pPr>
            <w:r w:rsidRPr="003452C5">
              <w:rPr>
                <w:color w:val="000000"/>
                <w:spacing w:val="53"/>
                <w:fitText w:val="330" w:id="-694425585"/>
                <w14:textFill>
                  <w14:solidFill>
                    <w14:srgbClr w14:val="000000">
                      <w14:alpha w14:val="100000"/>
                    </w14:srgbClr>
                  </w14:solidFill>
                </w14:textFill>
              </w:rPr>
              <w:t>|||</w:t>
            </w:r>
            <w:r w:rsidRPr="003452C5">
              <w:rPr>
                <w:color w:val="000000"/>
                <w:spacing w:val="1"/>
                <w:fitText w:val="330" w:id="-694425585"/>
                <w14:textFill>
                  <w14:solidFill>
                    <w14:srgbClr w14:val="000000">
                      <w14:alpha w14:val="100000"/>
                    </w14:srgbClr>
                  </w14:solidFill>
                </w14:textFill>
              </w:rPr>
              <w:t>|</w:t>
            </w:r>
          </w:p>
        </w:tc>
        <w:tc>
          <w:tcPr>
            <w:tcW w:w="1137" w:type="dxa"/>
            <w:vAlign w:val="center"/>
          </w:tcPr>
          <w:p w14:paraId="5B453C8C" w14:textId="77777777" w:rsidR="00307391" w:rsidRPr="00C41ECA" w:rsidRDefault="00307391" w:rsidP="00967D46">
            <w:pPr>
              <w:pStyle w:val="TableText0"/>
              <w:jc w:val="center"/>
            </w:pPr>
            <w:r w:rsidRPr="00C41ECA">
              <w:t>0.71</w:t>
            </w:r>
          </w:p>
        </w:tc>
        <w:tc>
          <w:tcPr>
            <w:tcW w:w="1218" w:type="dxa"/>
            <w:vAlign w:val="center"/>
          </w:tcPr>
          <w:p w14:paraId="0A30B30F" w14:textId="347D8082" w:rsidR="00307391" w:rsidRPr="00873F07" w:rsidRDefault="003452C5" w:rsidP="00967D46">
            <w:pPr>
              <w:pStyle w:val="TableText0"/>
              <w:jc w:val="center"/>
              <w:rPr>
                <w:highlight w:val="darkGray"/>
              </w:rPr>
            </w:pPr>
            <w:r w:rsidRPr="003452C5">
              <w:rPr>
                <w:color w:val="000000"/>
                <w:spacing w:val="53"/>
                <w:shd w:val="solid" w:color="000000" w:fill="000000"/>
                <w:fitText w:val="330" w:id="-694425584"/>
                <w14:textFill>
                  <w14:solidFill>
                    <w14:srgbClr w14:val="000000">
                      <w14:alpha w14:val="100000"/>
                    </w14:srgbClr>
                  </w14:solidFill>
                </w14:textFill>
              </w:rPr>
              <w:t>|||</w:t>
            </w:r>
            <w:r w:rsidRPr="003452C5">
              <w:rPr>
                <w:color w:val="000000"/>
                <w:spacing w:val="1"/>
                <w:shd w:val="solid" w:color="000000" w:fill="000000"/>
                <w:fitText w:val="330" w:id="-694425584"/>
                <w14:textFill>
                  <w14:solidFill>
                    <w14:srgbClr w14:val="000000">
                      <w14:alpha w14:val="100000"/>
                    </w14:srgbClr>
                  </w14:solidFill>
                </w14:textFill>
              </w:rPr>
              <w:t>|</w:t>
            </w:r>
            <w:r w:rsidR="009E3DBA" w:rsidRPr="0080616F">
              <w:rPr>
                <w:b/>
                <w:bCs w:val="0"/>
                <w:vertAlign w:val="superscript"/>
              </w:rPr>
              <w:t>1</w:t>
            </w:r>
          </w:p>
        </w:tc>
        <w:tc>
          <w:tcPr>
            <w:tcW w:w="818" w:type="dxa"/>
            <w:vAlign w:val="center"/>
          </w:tcPr>
          <w:p w14:paraId="09520505" w14:textId="75F2B783" w:rsidR="00307391" w:rsidRPr="00C41ECA" w:rsidRDefault="003452C5" w:rsidP="00967D46">
            <w:pPr>
              <w:pStyle w:val="TableText0"/>
              <w:jc w:val="center"/>
            </w:pPr>
            <w:r w:rsidRPr="003452C5">
              <w:rPr>
                <w:color w:val="000000"/>
                <w:spacing w:val="53"/>
                <w:shd w:val="solid" w:color="000000" w:fill="000000"/>
                <w:fitText w:val="330" w:id="-694425600"/>
                <w14:textFill>
                  <w14:solidFill>
                    <w14:srgbClr w14:val="000000">
                      <w14:alpha w14:val="100000"/>
                    </w14:srgbClr>
                  </w14:solidFill>
                </w14:textFill>
              </w:rPr>
              <w:t>|||</w:t>
            </w:r>
            <w:r w:rsidRPr="003452C5">
              <w:rPr>
                <w:color w:val="000000"/>
                <w:spacing w:val="1"/>
                <w:shd w:val="solid" w:color="000000" w:fill="000000"/>
                <w:fitText w:val="330" w:id="-694425600"/>
                <w14:textFill>
                  <w14:solidFill>
                    <w14:srgbClr w14:val="000000">
                      <w14:alpha w14:val="100000"/>
                    </w14:srgbClr>
                  </w14:solidFill>
                </w14:textFill>
              </w:rPr>
              <w:t>|</w:t>
            </w:r>
            <w:r w:rsidR="00307391" w:rsidRPr="00C41ECA">
              <w:t>%</w:t>
            </w:r>
          </w:p>
        </w:tc>
      </w:tr>
      <w:tr w:rsidR="00307391" w:rsidRPr="00C41ECA" w14:paraId="3A5F8935" w14:textId="77777777" w:rsidTr="003452C5">
        <w:tc>
          <w:tcPr>
            <w:tcW w:w="4623" w:type="dxa"/>
          </w:tcPr>
          <w:p w14:paraId="063DF8C7" w14:textId="77777777" w:rsidR="00307391" w:rsidRPr="00C41ECA" w:rsidRDefault="00307391" w:rsidP="00AA68ED">
            <w:pPr>
              <w:pStyle w:val="TableText0"/>
              <w:numPr>
                <w:ilvl w:val="0"/>
                <w:numId w:val="5"/>
              </w:numPr>
            </w:pPr>
            <w:r w:rsidRPr="00C41ECA">
              <w:t xml:space="preserve">Linear decrease to no treatment effect from Year 4 to 18 </w:t>
            </w:r>
            <w:r w:rsidRPr="00C41ECA">
              <w:rPr>
                <w:b/>
                <w:bCs w:val="0"/>
              </w:rPr>
              <w:t>#5</w:t>
            </w:r>
          </w:p>
        </w:tc>
        <w:tc>
          <w:tcPr>
            <w:tcW w:w="1221" w:type="dxa"/>
            <w:shd w:val="solid" w:color="000000" w:fill="000000"/>
            <w:vAlign w:val="center"/>
          </w:tcPr>
          <w:p w14:paraId="127DA33E" w14:textId="4B96191C" w:rsidR="00307391" w:rsidRPr="003B720E" w:rsidRDefault="003452C5" w:rsidP="00967D46">
            <w:pPr>
              <w:pStyle w:val="TableText0"/>
              <w:jc w:val="center"/>
              <w:rPr>
                <w:highlight w:val="darkGray"/>
              </w:rPr>
            </w:pPr>
            <w:r w:rsidRPr="003452C5">
              <w:rPr>
                <w:color w:val="000000"/>
                <w:spacing w:val="53"/>
                <w:fitText w:val="330" w:id="-694425599"/>
                <w14:textFill>
                  <w14:solidFill>
                    <w14:srgbClr w14:val="000000">
                      <w14:alpha w14:val="100000"/>
                    </w14:srgbClr>
                  </w14:solidFill>
                </w14:textFill>
              </w:rPr>
              <w:t>|||</w:t>
            </w:r>
            <w:r w:rsidRPr="003452C5">
              <w:rPr>
                <w:color w:val="000000"/>
                <w:spacing w:val="1"/>
                <w:fitText w:val="330" w:id="-694425599"/>
                <w14:textFill>
                  <w14:solidFill>
                    <w14:srgbClr w14:val="000000">
                      <w14:alpha w14:val="100000"/>
                    </w14:srgbClr>
                  </w14:solidFill>
                </w14:textFill>
              </w:rPr>
              <w:t>|</w:t>
            </w:r>
          </w:p>
        </w:tc>
        <w:tc>
          <w:tcPr>
            <w:tcW w:w="1137" w:type="dxa"/>
            <w:vAlign w:val="center"/>
          </w:tcPr>
          <w:p w14:paraId="78EC36CB" w14:textId="77777777" w:rsidR="00307391" w:rsidRPr="00C41ECA" w:rsidRDefault="00307391" w:rsidP="00967D46">
            <w:pPr>
              <w:pStyle w:val="TableText0"/>
              <w:jc w:val="center"/>
            </w:pPr>
            <w:r w:rsidRPr="00C41ECA">
              <w:t>0.81</w:t>
            </w:r>
          </w:p>
        </w:tc>
        <w:tc>
          <w:tcPr>
            <w:tcW w:w="1218" w:type="dxa"/>
            <w:vAlign w:val="center"/>
          </w:tcPr>
          <w:p w14:paraId="18FF0F92" w14:textId="16F3DE83" w:rsidR="00307391" w:rsidRPr="00873F07" w:rsidRDefault="003452C5" w:rsidP="00967D46">
            <w:pPr>
              <w:pStyle w:val="TableText0"/>
              <w:jc w:val="center"/>
              <w:rPr>
                <w:highlight w:val="darkGray"/>
              </w:rPr>
            </w:pPr>
            <w:r w:rsidRPr="003452C5">
              <w:rPr>
                <w:color w:val="000000"/>
                <w:spacing w:val="53"/>
                <w:shd w:val="solid" w:color="000000" w:fill="000000"/>
                <w:fitText w:val="330" w:id="-694425598"/>
                <w14:textFill>
                  <w14:solidFill>
                    <w14:srgbClr w14:val="000000">
                      <w14:alpha w14:val="100000"/>
                    </w14:srgbClr>
                  </w14:solidFill>
                </w14:textFill>
              </w:rPr>
              <w:t>|||</w:t>
            </w:r>
            <w:r w:rsidRPr="003452C5">
              <w:rPr>
                <w:color w:val="000000"/>
                <w:spacing w:val="1"/>
                <w:shd w:val="solid" w:color="000000" w:fill="000000"/>
                <w:fitText w:val="330" w:id="-694425598"/>
                <w14:textFill>
                  <w14:solidFill>
                    <w14:srgbClr w14:val="000000">
                      <w14:alpha w14:val="100000"/>
                    </w14:srgbClr>
                  </w14:solidFill>
                </w14:textFill>
              </w:rPr>
              <w:t>|</w:t>
            </w:r>
            <w:r w:rsidR="00F03FDF" w:rsidRPr="0080616F">
              <w:rPr>
                <w:b/>
                <w:bCs w:val="0"/>
                <w:vertAlign w:val="superscript"/>
              </w:rPr>
              <w:t>1</w:t>
            </w:r>
          </w:p>
        </w:tc>
        <w:tc>
          <w:tcPr>
            <w:tcW w:w="818" w:type="dxa"/>
            <w:vAlign w:val="center"/>
          </w:tcPr>
          <w:p w14:paraId="0C051767" w14:textId="3C390CA2" w:rsidR="00307391" w:rsidRPr="00C41ECA" w:rsidRDefault="003452C5" w:rsidP="00967D46">
            <w:pPr>
              <w:pStyle w:val="TableText0"/>
              <w:jc w:val="center"/>
            </w:pPr>
            <w:r w:rsidRPr="003452C5">
              <w:rPr>
                <w:color w:val="000000"/>
                <w:spacing w:val="53"/>
                <w:shd w:val="solid" w:color="000000" w:fill="000000"/>
                <w:fitText w:val="330" w:id="-694425597"/>
                <w14:textFill>
                  <w14:solidFill>
                    <w14:srgbClr w14:val="000000">
                      <w14:alpha w14:val="100000"/>
                    </w14:srgbClr>
                  </w14:solidFill>
                </w14:textFill>
              </w:rPr>
              <w:t>|||</w:t>
            </w:r>
            <w:r w:rsidRPr="003452C5">
              <w:rPr>
                <w:color w:val="000000"/>
                <w:spacing w:val="1"/>
                <w:shd w:val="solid" w:color="000000" w:fill="000000"/>
                <w:fitText w:val="330" w:id="-694425597"/>
                <w14:textFill>
                  <w14:solidFill>
                    <w14:srgbClr w14:val="000000">
                      <w14:alpha w14:val="100000"/>
                    </w14:srgbClr>
                  </w14:solidFill>
                </w14:textFill>
              </w:rPr>
              <w:t>|</w:t>
            </w:r>
            <w:r w:rsidR="00307391" w:rsidRPr="00C41ECA">
              <w:t>%</w:t>
            </w:r>
          </w:p>
        </w:tc>
      </w:tr>
      <w:tr w:rsidR="00307391" w:rsidRPr="00C41ECA" w14:paraId="1D23EC2B" w14:textId="77777777" w:rsidTr="35298142">
        <w:tc>
          <w:tcPr>
            <w:tcW w:w="0" w:type="auto"/>
            <w:gridSpan w:val="5"/>
          </w:tcPr>
          <w:p w14:paraId="7E1F9855" w14:textId="77777777" w:rsidR="00307391" w:rsidRPr="00C41ECA" w:rsidRDefault="00307391" w:rsidP="00967D46">
            <w:pPr>
              <w:pStyle w:val="TableText0"/>
            </w:pPr>
            <w:r w:rsidRPr="00C41ECA">
              <w:t>OS extrapolations</w:t>
            </w:r>
          </w:p>
        </w:tc>
      </w:tr>
      <w:tr w:rsidR="00307391" w:rsidRPr="00C41ECA" w14:paraId="7699A647" w14:textId="77777777" w:rsidTr="003452C5">
        <w:tc>
          <w:tcPr>
            <w:tcW w:w="4623" w:type="dxa"/>
          </w:tcPr>
          <w:p w14:paraId="59BE4126" w14:textId="3D2B15E7" w:rsidR="00307391" w:rsidRPr="00C41ECA" w:rsidRDefault="00A31FC7" w:rsidP="00AA68ED">
            <w:pPr>
              <w:pStyle w:val="TableText0"/>
              <w:numPr>
                <w:ilvl w:val="0"/>
                <w:numId w:val="5"/>
              </w:numPr>
            </w:pPr>
            <w:r w:rsidRPr="35298142">
              <w:t>Evaluation</w:t>
            </w:r>
            <w:r w:rsidR="00307391" w:rsidRPr="35298142">
              <w:t xml:space="preserve">’s OS modelling </w:t>
            </w:r>
            <w:proofErr w:type="spellStart"/>
            <w:r w:rsidR="00307391" w:rsidRPr="35298142">
              <w:t>approach</w:t>
            </w:r>
            <w:r w:rsidR="00307391" w:rsidRPr="35298142">
              <w:rPr>
                <w:vertAlign w:val="superscript"/>
              </w:rPr>
              <w:t>a</w:t>
            </w:r>
            <w:proofErr w:type="spellEnd"/>
            <w:r w:rsidR="00307391" w:rsidRPr="35298142">
              <w:rPr>
                <w:vertAlign w:val="superscript"/>
              </w:rPr>
              <w:t xml:space="preserve"> </w:t>
            </w:r>
            <w:r w:rsidR="00307391" w:rsidRPr="35298142">
              <w:rPr>
                <w:b/>
              </w:rPr>
              <w:t>#3</w:t>
            </w:r>
          </w:p>
        </w:tc>
        <w:tc>
          <w:tcPr>
            <w:tcW w:w="1221" w:type="dxa"/>
            <w:shd w:val="solid" w:color="000000" w:fill="000000"/>
            <w:vAlign w:val="center"/>
          </w:tcPr>
          <w:p w14:paraId="72D64214" w14:textId="732A4BC0" w:rsidR="00307391" w:rsidRPr="00C41ECA" w:rsidRDefault="003452C5" w:rsidP="00967D46">
            <w:pPr>
              <w:pStyle w:val="TableText0"/>
              <w:jc w:val="center"/>
            </w:pPr>
            <w:r w:rsidRPr="003452C5">
              <w:rPr>
                <w:color w:val="000000"/>
                <w:spacing w:val="53"/>
                <w:fitText w:val="330" w:id="-694425596"/>
                <w14:textFill>
                  <w14:solidFill>
                    <w14:srgbClr w14:val="000000">
                      <w14:alpha w14:val="100000"/>
                    </w14:srgbClr>
                  </w14:solidFill>
                </w14:textFill>
              </w:rPr>
              <w:t>|||</w:t>
            </w:r>
            <w:r w:rsidRPr="003452C5">
              <w:rPr>
                <w:color w:val="000000"/>
                <w:spacing w:val="1"/>
                <w:fitText w:val="330" w:id="-694425596"/>
                <w14:textFill>
                  <w14:solidFill>
                    <w14:srgbClr w14:val="000000">
                      <w14:alpha w14:val="100000"/>
                    </w14:srgbClr>
                  </w14:solidFill>
                </w14:textFill>
              </w:rPr>
              <w:t>|</w:t>
            </w:r>
          </w:p>
        </w:tc>
        <w:tc>
          <w:tcPr>
            <w:tcW w:w="1137" w:type="dxa"/>
            <w:vAlign w:val="center"/>
          </w:tcPr>
          <w:p w14:paraId="20B1F7BF" w14:textId="77777777" w:rsidR="00307391" w:rsidRPr="00C41ECA" w:rsidRDefault="00307391" w:rsidP="00967D46">
            <w:pPr>
              <w:pStyle w:val="TableText0"/>
              <w:jc w:val="center"/>
            </w:pPr>
            <w:r w:rsidRPr="00C41ECA">
              <w:t>0.97</w:t>
            </w:r>
          </w:p>
        </w:tc>
        <w:tc>
          <w:tcPr>
            <w:tcW w:w="1218" w:type="dxa"/>
            <w:vAlign w:val="center"/>
          </w:tcPr>
          <w:p w14:paraId="667A253D" w14:textId="7DFB46CF" w:rsidR="00307391" w:rsidRPr="00C41ECA" w:rsidRDefault="003452C5" w:rsidP="00967D46">
            <w:pPr>
              <w:pStyle w:val="TableText0"/>
              <w:jc w:val="center"/>
            </w:pPr>
            <w:r w:rsidRPr="003452C5">
              <w:rPr>
                <w:color w:val="000000"/>
                <w:spacing w:val="53"/>
                <w:shd w:val="solid" w:color="000000" w:fill="000000"/>
                <w:fitText w:val="330" w:id="-694425595"/>
                <w14:textFill>
                  <w14:solidFill>
                    <w14:srgbClr w14:val="000000">
                      <w14:alpha w14:val="100000"/>
                    </w14:srgbClr>
                  </w14:solidFill>
                </w14:textFill>
              </w:rPr>
              <w:t>|||</w:t>
            </w:r>
            <w:r w:rsidRPr="003452C5">
              <w:rPr>
                <w:color w:val="000000"/>
                <w:spacing w:val="1"/>
                <w:shd w:val="solid" w:color="000000" w:fill="000000"/>
                <w:fitText w:val="330" w:id="-694425595"/>
                <w14:textFill>
                  <w14:solidFill>
                    <w14:srgbClr w14:val="000000">
                      <w14:alpha w14:val="100000"/>
                    </w14:srgbClr>
                  </w14:solidFill>
                </w14:textFill>
              </w:rPr>
              <w:t>|</w:t>
            </w:r>
            <w:r w:rsidR="00F03FDF" w:rsidRPr="0080616F">
              <w:rPr>
                <w:b/>
                <w:bCs w:val="0"/>
                <w:vertAlign w:val="superscript"/>
              </w:rPr>
              <w:t>1</w:t>
            </w:r>
          </w:p>
        </w:tc>
        <w:tc>
          <w:tcPr>
            <w:tcW w:w="818" w:type="dxa"/>
            <w:vAlign w:val="center"/>
          </w:tcPr>
          <w:p w14:paraId="76F3809B" w14:textId="173D036B" w:rsidR="00307391" w:rsidRPr="00C41ECA" w:rsidRDefault="003452C5" w:rsidP="00967D46">
            <w:pPr>
              <w:pStyle w:val="TableText0"/>
              <w:jc w:val="center"/>
            </w:pPr>
            <w:r w:rsidRPr="003452C5">
              <w:rPr>
                <w:color w:val="000000"/>
                <w:spacing w:val="53"/>
                <w:shd w:val="solid" w:color="000000" w:fill="000000"/>
                <w:fitText w:val="330" w:id="-694425594"/>
                <w14:textFill>
                  <w14:solidFill>
                    <w14:srgbClr w14:val="000000">
                      <w14:alpha w14:val="100000"/>
                    </w14:srgbClr>
                  </w14:solidFill>
                </w14:textFill>
              </w:rPr>
              <w:t>|||</w:t>
            </w:r>
            <w:r w:rsidRPr="003452C5">
              <w:rPr>
                <w:color w:val="000000"/>
                <w:spacing w:val="1"/>
                <w:shd w:val="solid" w:color="000000" w:fill="000000"/>
                <w:fitText w:val="330" w:id="-694425594"/>
                <w14:textFill>
                  <w14:solidFill>
                    <w14:srgbClr w14:val="000000">
                      <w14:alpha w14:val="100000"/>
                    </w14:srgbClr>
                  </w14:solidFill>
                </w14:textFill>
              </w:rPr>
              <w:t>|</w:t>
            </w:r>
            <w:r w:rsidR="00307391" w:rsidRPr="00C41ECA">
              <w:t>%</w:t>
            </w:r>
          </w:p>
        </w:tc>
      </w:tr>
      <w:tr w:rsidR="00307391" w:rsidRPr="00C41ECA" w14:paraId="5BB6E632" w14:textId="77777777" w:rsidTr="35298142">
        <w:tc>
          <w:tcPr>
            <w:tcW w:w="0" w:type="auto"/>
            <w:gridSpan w:val="5"/>
          </w:tcPr>
          <w:p w14:paraId="7F8CE840" w14:textId="2CAAB703" w:rsidR="00307391" w:rsidRPr="00C41ECA" w:rsidRDefault="00307391" w:rsidP="00967D46">
            <w:pPr>
              <w:pStyle w:val="TableText0"/>
            </w:pPr>
            <w:r w:rsidRPr="00C41ECA">
              <w:t>Utility values (base case: linear regression of EQ-5D data by SARA score reported in Reetz et al.</w:t>
            </w:r>
            <w:r w:rsidR="004760EC" w:rsidRPr="00C41ECA">
              <w:fldChar w:fldCharType="begin">
                <w:fldData xml:space="preserve">PEVuZE5vdGU+PENpdGU+PEF1dGhvcj5SZWV0ejwvQXV0aG9yPjxZZWFyPjIwMjE8L1llYXI+PFJl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</w:fldData>
              </w:fldChar>
            </w:r>
            <w:r w:rsidR="00D35703" w:rsidRPr="00C41ECA">
              <w:instrText xml:space="preserve"> ADDIN EN.CITE </w:instrText>
            </w:r>
            <w:r w:rsidR="00D35703" w:rsidRPr="00C41ECA">
              <w:fldChar w:fldCharType="begin">
                <w:fldData xml:space="preserve">PEVuZE5vdGU+PENpdGU+PEF1dGhvcj5SZWV0ejwvQXV0aG9yPjxZZWFyPjIwMjE8L1llYXI+PFJl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</w:fldData>
              </w:fldChar>
            </w:r>
            <w:r w:rsidR="00D35703" w:rsidRPr="00C41ECA">
              <w:instrText xml:space="preserve"> ADDIN EN.CITE.DATA </w:instrText>
            </w:r>
            <w:r w:rsidR="00D35703" w:rsidRPr="00C41ECA">
              <w:fldChar w:fldCharType="end"/>
            </w:r>
            <w:r w:rsidR="004760EC" w:rsidRPr="00C41ECA">
              <w:fldChar w:fldCharType="separate"/>
            </w:r>
            <w:r w:rsidR="004760EC" w:rsidRPr="00C41ECA">
              <w:rPr>
                <w:noProof/>
                <w:vertAlign w:val="superscript"/>
              </w:rPr>
              <w:t>1</w:t>
            </w:r>
            <w:r w:rsidR="004760EC" w:rsidRPr="00C41ECA">
              <w:fldChar w:fldCharType="end"/>
            </w:r>
            <w:r w:rsidRPr="00C41ECA">
              <w:t>)</w:t>
            </w:r>
          </w:p>
        </w:tc>
      </w:tr>
      <w:tr w:rsidR="00307391" w:rsidRPr="00C41ECA" w14:paraId="4B32EB75" w14:textId="77777777" w:rsidTr="003452C5">
        <w:tc>
          <w:tcPr>
            <w:tcW w:w="4623" w:type="dxa"/>
          </w:tcPr>
          <w:p w14:paraId="12A9EB40" w14:textId="70A8F8A2" w:rsidR="00307391" w:rsidRPr="00C41ECA" w:rsidRDefault="00A31FC7" w:rsidP="00AA68ED">
            <w:pPr>
              <w:pStyle w:val="TableText0"/>
              <w:numPr>
                <w:ilvl w:val="0"/>
                <w:numId w:val="5"/>
              </w:numPr>
            </w:pPr>
            <w:r w:rsidRPr="35298142">
              <w:t>Evaluation</w:t>
            </w:r>
            <w:r w:rsidR="00307391" w:rsidRPr="35298142">
              <w:t xml:space="preserve"> alternative utility </w:t>
            </w:r>
            <w:proofErr w:type="spellStart"/>
            <w:r w:rsidR="00307391" w:rsidRPr="35298142">
              <w:t>regression</w:t>
            </w:r>
            <w:r w:rsidR="00307391" w:rsidRPr="35298142">
              <w:rPr>
                <w:vertAlign w:val="superscript"/>
              </w:rPr>
              <w:t>b</w:t>
            </w:r>
            <w:proofErr w:type="spellEnd"/>
            <w:r w:rsidR="00307391" w:rsidRPr="35298142">
              <w:rPr>
                <w:vertAlign w:val="superscript"/>
              </w:rPr>
              <w:t xml:space="preserve"> </w:t>
            </w:r>
            <w:r w:rsidR="00307391" w:rsidRPr="35298142">
              <w:rPr>
                <w:b/>
              </w:rPr>
              <w:t>#2</w:t>
            </w:r>
          </w:p>
        </w:tc>
        <w:tc>
          <w:tcPr>
            <w:tcW w:w="1221" w:type="dxa"/>
            <w:shd w:val="solid" w:color="000000" w:fill="000000"/>
            <w:vAlign w:val="center"/>
          </w:tcPr>
          <w:p w14:paraId="1BB2BCFC" w14:textId="17FF2083" w:rsidR="00307391" w:rsidRPr="00C41ECA" w:rsidRDefault="003452C5" w:rsidP="00967D46">
            <w:pPr>
              <w:pStyle w:val="TableText0"/>
              <w:jc w:val="center"/>
            </w:pPr>
            <w:r w:rsidRPr="003452C5">
              <w:rPr>
                <w:color w:val="000000"/>
                <w:spacing w:val="53"/>
                <w:fitText w:val="330" w:id="-694425593"/>
                <w14:textFill>
                  <w14:solidFill>
                    <w14:srgbClr w14:val="000000">
                      <w14:alpha w14:val="100000"/>
                    </w14:srgbClr>
                  </w14:solidFill>
                </w14:textFill>
              </w:rPr>
              <w:t>|||</w:t>
            </w:r>
            <w:r w:rsidRPr="003452C5">
              <w:rPr>
                <w:color w:val="000000"/>
                <w:spacing w:val="1"/>
                <w:fitText w:val="330" w:id="-694425593"/>
                <w14:textFill>
                  <w14:solidFill>
                    <w14:srgbClr w14:val="000000">
                      <w14:alpha w14:val="100000"/>
                    </w14:srgbClr>
                  </w14:solidFill>
                </w14:textFill>
              </w:rPr>
              <w:t>|</w:t>
            </w:r>
          </w:p>
        </w:tc>
        <w:tc>
          <w:tcPr>
            <w:tcW w:w="1137" w:type="dxa"/>
            <w:vAlign w:val="center"/>
          </w:tcPr>
          <w:p w14:paraId="3308D502" w14:textId="77777777" w:rsidR="00307391" w:rsidRPr="00C41ECA" w:rsidRDefault="00307391" w:rsidP="00967D46">
            <w:pPr>
              <w:pStyle w:val="TableText0"/>
              <w:jc w:val="center"/>
            </w:pPr>
            <w:r w:rsidRPr="00C41ECA">
              <w:t>0.93</w:t>
            </w:r>
          </w:p>
        </w:tc>
        <w:tc>
          <w:tcPr>
            <w:tcW w:w="1218" w:type="dxa"/>
            <w:vAlign w:val="center"/>
          </w:tcPr>
          <w:p w14:paraId="74E06FCF" w14:textId="2CDAB495" w:rsidR="00307391" w:rsidRPr="00C41ECA" w:rsidRDefault="003452C5" w:rsidP="00967D46">
            <w:pPr>
              <w:pStyle w:val="TableText0"/>
              <w:jc w:val="center"/>
            </w:pPr>
            <w:r w:rsidRPr="003452C5">
              <w:rPr>
                <w:color w:val="000000"/>
                <w:spacing w:val="53"/>
                <w:shd w:val="solid" w:color="000000" w:fill="000000"/>
                <w:fitText w:val="330" w:id="-694425592"/>
                <w14:textFill>
                  <w14:solidFill>
                    <w14:srgbClr w14:val="000000">
                      <w14:alpha w14:val="100000"/>
                    </w14:srgbClr>
                  </w14:solidFill>
                </w14:textFill>
              </w:rPr>
              <w:t>|||</w:t>
            </w:r>
            <w:r w:rsidRPr="003452C5">
              <w:rPr>
                <w:color w:val="000000"/>
                <w:spacing w:val="1"/>
                <w:shd w:val="solid" w:color="000000" w:fill="000000"/>
                <w:fitText w:val="330" w:id="-694425592"/>
                <w14:textFill>
                  <w14:solidFill>
                    <w14:srgbClr w14:val="000000">
                      <w14:alpha w14:val="100000"/>
                    </w14:srgbClr>
                  </w14:solidFill>
                </w14:textFill>
              </w:rPr>
              <w:t>|</w:t>
            </w:r>
            <w:r w:rsidR="00F03FDF" w:rsidRPr="0080616F">
              <w:rPr>
                <w:b/>
                <w:bCs w:val="0"/>
                <w:vertAlign w:val="superscript"/>
              </w:rPr>
              <w:t>1</w:t>
            </w:r>
          </w:p>
        </w:tc>
        <w:tc>
          <w:tcPr>
            <w:tcW w:w="818" w:type="dxa"/>
            <w:vAlign w:val="center"/>
          </w:tcPr>
          <w:p w14:paraId="612E6058" w14:textId="73D62FC0" w:rsidR="00307391" w:rsidRPr="00C41ECA" w:rsidRDefault="003452C5" w:rsidP="00967D46">
            <w:pPr>
              <w:pStyle w:val="TableText0"/>
              <w:jc w:val="center"/>
            </w:pPr>
            <w:r w:rsidRPr="003452C5">
              <w:rPr>
                <w:color w:val="000000"/>
                <w:spacing w:val="53"/>
                <w:shd w:val="solid" w:color="000000" w:fill="000000"/>
                <w:fitText w:val="330" w:id="-694425591"/>
                <w14:textFill>
                  <w14:solidFill>
                    <w14:srgbClr w14:val="000000">
                      <w14:alpha w14:val="100000"/>
                    </w14:srgbClr>
                  </w14:solidFill>
                </w14:textFill>
              </w:rPr>
              <w:t>|||</w:t>
            </w:r>
            <w:r w:rsidRPr="003452C5">
              <w:rPr>
                <w:color w:val="000000"/>
                <w:spacing w:val="1"/>
                <w:shd w:val="solid" w:color="000000" w:fill="000000"/>
                <w:fitText w:val="330" w:id="-694425591"/>
                <w14:textFill>
                  <w14:solidFill>
                    <w14:srgbClr w14:val="000000">
                      <w14:alpha w14:val="100000"/>
                    </w14:srgbClr>
                  </w14:solidFill>
                </w14:textFill>
              </w:rPr>
              <w:t>|</w:t>
            </w:r>
            <w:r w:rsidR="00307391" w:rsidRPr="00C41ECA">
              <w:t>%</w:t>
            </w:r>
          </w:p>
        </w:tc>
      </w:tr>
      <w:tr w:rsidR="00307391" w:rsidRPr="00C41ECA" w14:paraId="6DEA0CFE" w14:textId="77777777" w:rsidTr="35298142">
        <w:tc>
          <w:tcPr>
            <w:tcW w:w="0" w:type="auto"/>
            <w:gridSpan w:val="5"/>
          </w:tcPr>
          <w:p w14:paraId="7B7FB906" w14:textId="79B815C1" w:rsidR="00307391" w:rsidRPr="00C41ECA" w:rsidRDefault="00307391" w:rsidP="00967D46">
            <w:pPr>
              <w:pStyle w:val="TableText0"/>
            </w:pPr>
            <w:r w:rsidRPr="35298142">
              <w:t>Carer</w:t>
            </w:r>
            <w:r w:rsidR="00AA7C53" w:rsidRPr="35298142">
              <w:t>, walker, wheelchair, specialised mattress, electric bed and</w:t>
            </w:r>
            <w:r w:rsidR="00454512" w:rsidRPr="35298142">
              <w:t xml:space="preserve"> home modification </w:t>
            </w:r>
            <w:r w:rsidRPr="35298142">
              <w:t>costs (base case: included)</w:t>
            </w:r>
          </w:p>
        </w:tc>
      </w:tr>
      <w:tr w:rsidR="00AA7C53" w:rsidRPr="00C41ECA" w14:paraId="6F53314E" w14:textId="77777777" w:rsidTr="003452C5">
        <w:tc>
          <w:tcPr>
            <w:tcW w:w="4623" w:type="dxa"/>
          </w:tcPr>
          <w:p w14:paraId="4701692E" w14:textId="77777777" w:rsidR="00AA7C53" w:rsidRPr="00C41ECA" w:rsidRDefault="00AA7C53" w:rsidP="00AA68ED">
            <w:pPr>
              <w:pStyle w:val="TableText0"/>
              <w:numPr>
                <w:ilvl w:val="0"/>
                <w:numId w:val="5"/>
              </w:numPr>
            </w:pPr>
            <w:r w:rsidRPr="00C41ECA">
              <w:t xml:space="preserve">Exclude </w:t>
            </w:r>
            <w:r w:rsidRPr="00C41ECA">
              <w:rPr>
                <w:b/>
                <w:bCs w:val="0"/>
              </w:rPr>
              <w:t>#1</w:t>
            </w:r>
          </w:p>
        </w:tc>
        <w:tc>
          <w:tcPr>
            <w:tcW w:w="1221" w:type="dxa"/>
            <w:shd w:val="solid" w:color="000000" w:fill="000000"/>
            <w:vAlign w:val="center"/>
          </w:tcPr>
          <w:p w14:paraId="1C2CDBC3" w14:textId="6D17DD7C" w:rsidR="00AA7C53" w:rsidRPr="00C41ECA" w:rsidRDefault="003452C5" w:rsidP="00AA7C53">
            <w:pPr>
              <w:pStyle w:val="TableText0"/>
              <w:jc w:val="center"/>
            </w:pPr>
            <w:r w:rsidRPr="003452C5">
              <w:rPr>
                <w:color w:val="000000"/>
                <w:spacing w:val="53"/>
                <w:fitText w:val="330" w:id="-694425590"/>
                <w14:textFill>
                  <w14:solidFill>
                    <w14:srgbClr w14:val="000000">
                      <w14:alpha w14:val="100000"/>
                    </w14:srgbClr>
                  </w14:solidFill>
                </w14:textFill>
              </w:rPr>
              <w:t>|||</w:t>
            </w:r>
            <w:r w:rsidRPr="003452C5">
              <w:rPr>
                <w:color w:val="000000"/>
                <w:spacing w:val="1"/>
                <w:fitText w:val="330" w:id="-694425590"/>
                <w14:textFill>
                  <w14:solidFill>
                    <w14:srgbClr w14:val="000000">
                      <w14:alpha w14:val="100000"/>
                    </w14:srgbClr>
                  </w14:solidFill>
                </w14:textFill>
              </w:rPr>
              <w:t>|</w:t>
            </w:r>
          </w:p>
        </w:tc>
        <w:tc>
          <w:tcPr>
            <w:tcW w:w="1137" w:type="dxa"/>
            <w:vAlign w:val="center"/>
          </w:tcPr>
          <w:p w14:paraId="7FF77757" w14:textId="25130EC5" w:rsidR="00AA7C53" w:rsidRPr="00C41ECA" w:rsidRDefault="00AA7C53" w:rsidP="00AA7C53">
            <w:pPr>
              <w:pStyle w:val="TableText0"/>
              <w:jc w:val="center"/>
            </w:pPr>
            <w:r w:rsidRPr="00C41ECA">
              <w:t>1.16</w:t>
            </w:r>
          </w:p>
        </w:tc>
        <w:tc>
          <w:tcPr>
            <w:tcW w:w="1218" w:type="dxa"/>
            <w:vAlign w:val="center"/>
          </w:tcPr>
          <w:p w14:paraId="53AA4AF3" w14:textId="49A4C4CE" w:rsidR="00AA7C53" w:rsidRPr="00C41ECA" w:rsidRDefault="003452C5" w:rsidP="00AA7C53">
            <w:pPr>
              <w:pStyle w:val="TableText0"/>
              <w:jc w:val="center"/>
            </w:pPr>
            <w:r w:rsidRPr="003452C5">
              <w:rPr>
                <w:color w:val="000000"/>
                <w:spacing w:val="53"/>
                <w:shd w:val="solid" w:color="000000" w:fill="000000"/>
                <w:fitText w:val="330" w:id="-694425589"/>
                <w14:textFill>
                  <w14:solidFill>
                    <w14:srgbClr w14:val="000000">
                      <w14:alpha w14:val="100000"/>
                    </w14:srgbClr>
                  </w14:solidFill>
                </w14:textFill>
              </w:rPr>
              <w:t>|||</w:t>
            </w:r>
            <w:r w:rsidRPr="003452C5">
              <w:rPr>
                <w:color w:val="000000"/>
                <w:spacing w:val="1"/>
                <w:shd w:val="solid" w:color="000000" w:fill="000000"/>
                <w:fitText w:val="330" w:id="-694425589"/>
                <w14:textFill>
                  <w14:solidFill>
                    <w14:srgbClr w14:val="000000">
                      <w14:alpha w14:val="100000"/>
                    </w14:srgbClr>
                  </w14:solidFill>
                </w14:textFill>
              </w:rPr>
              <w:t>|</w:t>
            </w:r>
            <w:r w:rsidR="00F03FDF" w:rsidRPr="0080616F">
              <w:rPr>
                <w:b/>
                <w:bCs w:val="0"/>
                <w:vertAlign w:val="superscript"/>
              </w:rPr>
              <w:t>1</w:t>
            </w:r>
          </w:p>
        </w:tc>
        <w:tc>
          <w:tcPr>
            <w:tcW w:w="818" w:type="dxa"/>
            <w:vAlign w:val="center"/>
          </w:tcPr>
          <w:p w14:paraId="470A4057" w14:textId="09D885D5" w:rsidR="00AA7C53" w:rsidRPr="00C41ECA" w:rsidRDefault="003452C5" w:rsidP="00AA7C53">
            <w:pPr>
              <w:pStyle w:val="TableText0"/>
              <w:jc w:val="center"/>
            </w:pPr>
            <w:r w:rsidRPr="003452C5">
              <w:rPr>
                <w:color w:val="000000"/>
                <w:spacing w:val="53"/>
                <w:shd w:val="solid" w:color="000000" w:fill="000000"/>
                <w:fitText w:val="330" w:id="-694425588"/>
                <w14:textFill>
                  <w14:solidFill>
                    <w14:srgbClr w14:val="000000">
                      <w14:alpha w14:val="100000"/>
                    </w14:srgbClr>
                  </w14:solidFill>
                </w14:textFill>
              </w:rPr>
              <w:t>|||</w:t>
            </w:r>
            <w:r w:rsidRPr="003452C5">
              <w:rPr>
                <w:color w:val="000000"/>
                <w:spacing w:val="1"/>
                <w:shd w:val="solid" w:color="000000" w:fill="000000"/>
                <w:fitText w:val="330" w:id="-694425588"/>
                <w14:textFill>
                  <w14:solidFill>
                    <w14:srgbClr w14:val="000000">
                      <w14:alpha w14:val="100000"/>
                    </w14:srgbClr>
                  </w14:solidFill>
                </w14:textFill>
              </w:rPr>
              <w:t>|</w:t>
            </w:r>
            <w:r w:rsidR="00AA7C53" w:rsidRPr="00C41ECA">
              <w:t>%</w:t>
            </w:r>
          </w:p>
        </w:tc>
      </w:tr>
      <w:tr w:rsidR="00307391" w:rsidRPr="00C41ECA" w14:paraId="47BEA787" w14:textId="77777777" w:rsidTr="35298142">
        <w:tc>
          <w:tcPr>
            <w:tcW w:w="8199" w:type="dxa"/>
            <w:gridSpan w:val="4"/>
          </w:tcPr>
          <w:p w14:paraId="2491240A" w14:textId="2126643D" w:rsidR="00307391" w:rsidRPr="00C41ECA" w:rsidRDefault="00307391" w:rsidP="00C83CBF">
            <w:pPr>
              <w:pStyle w:val="In-tableHeading"/>
            </w:pPr>
            <w:r w:rsidRPr="00C41ECA">
              <w:t>Multivariate analyses</w:t>
            </w:r>
          </w:p>
        </w:tc>
        <w:tc>
          <w:tcPr>
            <w:tcW w:w="818" w:type="dxa"/>
          </w:tcPr>
          <w:p w14:paraId="6F205DE2" w14:textId="77777777" w:rsidR="00307391" w:rsidRPr="00C41ECA" w:rsidRDefault="00307391" w:rsidP="00C83CBF">
            <w:pPr>
              <w:pStyle w:val="In-tableHeading"/>
            </w:pPr>
          </w:p>
        </w:tc>
      </w:tr>
      <w:tr w:rsidR="00AA7C53" w:rsidRPr="00C41ECA" w14:paraId="7956DA6C" w14:textId="77777777" w:rsidTr="003452C5">
        <w:tc>
          <w:tcPr>
            <w:tcW w:w="4623" w:type="dxa"/>
          </w:tcPr>
          <w:p w14:paraId="1BCF2E9F" w14:textId="77777777" w:rsidR="00AA7C53" w:rsidRPr="00C41ECA" w:rsidRDefault="00AA7C53" w:rsidP="00AA7C53">
            <w:pPr>
              <w:pStyle w:val="TableText0"/>
            </w:pPr>
            <w:r w:rsidRPr="00C41ECA">
              <w:rPr>
                <w:b/>
                <w:bCs w:val="0"/>
              </w:rPr>
              <w:t xml:space="preserve">#1 </w:t>
            </w:r>
            <w:r w:rsidRPr="00C41ECA">
              <w:t>and</w:t>
            </w:r>
            <w:r w:rsidRPr="00C41ECA">
              <w:rPr>
                <w:b/>
                <w:bCs w:val="0"/>
              </w:rPr>
              <w:t xml:space="preserve"> #2</w:t>
            </w:r>
          </w:p>
        </w:tc>
        <w:tc>
          <w:tcPr>
            <w:tcW w:w="1221" w:type="dxa"/>
            <w:tcBorders>
              <w:bottom w:val="single" w:sz="4" w:space="0" w:color="auto"/>
            </w:tcBorders>
            <w:shd w:val="solid" w:color="000000" w:fill="000000"/>
          </w:tcPr>
          <w:p w14:paraId="763C5D87" w14:textId="405CD19D" w:rsidR="00AA7C53" w:rsidRPr="003B720E" w:rsidRDefault="003452C5" w:rsidP="00AA7C53">
            <w:pPr>
              <w:pStyle w:val="TableText0"/>
              <w:jc w:val="center"/>
              <w:rPr>
                <w:highlight w:val="darkGray"/>
              </w:rPr>
            </w:pPr>
            <w:r w:rsidRPr="003452C5">
              <w:rPr>
                <w:color w:val="000000"/>
                <w:spacing w:val="53"/>
                <w:fitText w:val="330" w:id="-694425587"/>
                <w14:textFill>
                  <w14:solidFill>
                    <w14:srgbClr w14:val="000000">
                      <w14:alpha w14:val="100000"/>
                    </w14:srgbClr>
                  </w14:solidFill>
                </w14:textFill>
              </w:rPr>
              <w:t>|||</w:t>
            </w:r>
            <w:r w:rsidRPr="003452C5">
              <w:rPr>
                <w:color w:val="000000"/>
                <w:spacing w:val="1"/>
                <w:fitText w:val="330" w:id="-694425587"/>
                <w14:textFill>
                  <w14:solidFill>
                    <w14:srgbClr w14:val="000000">
                      <w14:alpha w14:val="100000"/>
                    </w14:srgbClr>
                  </w14:solidFill>
                </w14:textFill>
              </w:rPr>
              <w:t>|</w:t>
            </w:r>
          </w:p>
        </w:tc>
        <w:tc>
          <w:tcPr>
            <w:tcW w:w="1137" w:type="dxa"/>
          </w:tcPr>
          <w:p w14:paraId="04DD0719" w14:textId="3A272C2A" w:rsidR="00AA7C53" w:rsidRPr="00C41ECA" w:rsidRDefault="00AA7C53" w:rsidP="00AA7C53">
            <w:pPr>
              <w:pStyle w:val="TableText0"/>
              <w:jc w:val="center"/>
            </w:pPr>
            <w:r w:rsidRPr="00C41ECA">
              <w:t>0.93</w:t>
            </w:r>
          </w:p>
        </w:tc>
        <w:tc>
          <w:tcPr>
            <w:tcW w:w="1218" w:type="dxa"/>
          </w:tcPr>
          <w:p w14:paraId="2E65F1B8" w14:textId="4DAF448B" w:rsidR="00AA7C53" w:rsidRPr="00873F07" w:rsidRDefault="003452C5" w:rsidP="00AA7C53">
            <w:pPr>
              <w:pStyle w:val="TableText0"/>
              <w:jc w:val="center"/>
              <w:rPr>
                <w:highlight w:val="darkGray"/>
              </w:rPr>
            </w:pPr>
            <w:r w:rsidRPr="003452C5">
              <w:rPr>
                <w:color w:val="000000"/>
                <w:spacing w:val="53"/>
                <w:shd w:val="solid" w:color="000000" w:fill="000000"/>
                <w:fitText w:val="330" w:id="-694425586"/>
                <w14:textFill>
                  <w14:solidFill>
                    <w14:srgbClr w14:val="000000">
                      <w14:alpha w14:val="100000"/>
                    </w14:srgbClr>
                  </w14:solidFill>
                </w14:textFill>
              </w:rPr>
              <w:t>|||</w:t>
            </w:r>
            <w:r w:rsidRPr="003452C5">
              <w:rPr>
                <w:color w:val="000000"/>
                <w:spacing w:val="1"/>
                <w:shd w:val="solid" w:color="000000" w:fill="000000"/>
                <w:fitText w:val="330" w:id="-694425586"/>
                <w14:textFill>
                  <w14:solidFill>
                    <w14:srgbClr w14:val="000000">
                      <w14:alpha w14:val="100000"/>
                    </w14:srgbClr>
                  </w14:solidFill>
                </w14:textFill>
              </w:rPr>
              <w:t>|</w:t>
            </w:r>
            <w:r w:rsidR="00F03FDF" w:rsidRPr="0080616F">
              <w:rPr>
                <w:b/>
                <w:bCs w:val="0"/>
                <w:vertAlign w:val="superscript"/>
              </w:rPr>
              <w:t>1</w:t>
            </w:r>
          </w:p>
        </w:tc>
        <w:tc>
          <w:tcPr>
            <w:tcW w:w="818" w:type="dxa"/>
          </w:tcPr>
          <w:p w14:paraId="17F6FD0F" w14:textId="3B55FABC" w:rsidR="00AA7C53" w:rsidRPr="00C41ECA" w:rsidRDefault="003452C5" w:rsidP="00AA7C53">
            <w:pPr>
              <w:pStyle w:val="TableText0"/>
              <w:jc w:val="center"/>
            </w:pPr>
            <w:r w:rsidRPr="003452C5">
              <w:rPr>
                <w:color w:val="000000"/>
                <w:spacing w:val="53"/>
                <w:shd w:val="solid" w:color="000000" w:fill="000000"/>
                <w:fitText w:val="330" w:id="-694425585"/>
                <w14:textFill>
                  <w14:solidFill>
                    <w14:srgbClr w14:val="000000">
                      <w14:alpha w14:val="100000"/>
                    </w14:srgbClr>
                  </w14:solidFill>
                </w14:textFill>
              </w:rPr>
              <w:t>|||</w:t>
            </w:r>
            <w:r w:rsidRPr="003452C5">
              <w:rPr>
                <w:color w:val="000000"/>
                <w:spacing w:val="1"/>
                <w:shd w:val="solid" w:color="000000" w:fill="000000"/>
                <w:fitText w:val="330" w:id="-694425585"/>
                <w14:textFill>
                  <w14:solidFill>
                    <w14:srgbClr w14:val="000000">
                      <w14:alpha w14:val="100000"/>
                    </w14:srgbClr>
                  </w14:solidFill>
                </w14:textFill>
              </w:rPr>
              <w:t>|</w:t>
            </w:r>
            <w:r w:rsidR="00AA7C53" w:rsidRPr="00C41ECA">
              <w:t>%</w:t>
            </w:r>
          </w:p>
        </w:tc>
      </w:tr>
      <w:tr w:rsidR="00AA7C53" w:rsidRPr="00C41ECA" w14:paraId="25C2BE0A" w14:textId="77777777" w:rsidTr="003452C5">
        <w:tc>
          <w:tcPr>
            <w:tcW w:w="4623" w:type="dxa"/>
          </w:tcPr>
          <w:p w14:paraId="1406675C" w14:textId="77777777" w:rsidR="00AA7C53" w:rsidRPr="00C41ECA" w:rsidRDefault="00AA7C53" w:rsidP="00AA7C53">
            <w:pPr>
              <w:pStyle w:val="TableText0"/>
            </w:pPr>
            <w:r w:rsidRPr="00C41ECA">
              <w:rPr>
                <w:b/>
                <w:bCs w:val="0"/>
              </w:rPr>
              <w:t xml:space="preserve">#1, #2 </w:t>
            </w:r>
            <w:r w:rsidRPr="00C41ECA">
              <w:t>and</w:t>
            </w:r>
            <w:r w:rsidRPr="00C41ECA">
              <w:rPr>
                <w:b/>
                <w:bCs w:val="0"/>
              </w:rPr>
              <w:t xml:space="preserve"> #3</w:t>
            </w:r>
          </w:p>
        </w:tc>
        <w:tc>
          <w:tcPr>
            <w:tcW w:w="1221" w:type="dxa"/>
            <w:tcBorders>
              <w:bottom w:val="single" w:sz="4" w:space="0" w:color="auto"/>
            </w:tcBorders>
            <w:shd w:val="solid" w:color="000000" w:fill="000000"/>
          </w:tcPr>
          <w:p w14:paraId="54B7ED4B" w14:textId="011A4921" w:rsidR="00AA7C53" w:rsidRPr="003B720E" w:rsidRDefault="003452C5" w:rsidP="00AA7C53">
            <w:pPr>
              <w:pStyle w:val="TableText0"/>
              <w:jc w:val="center"/>
              <w:rPr>
                <w:highlight w:val="darkGray"/>
              </w:rPr>
            </w:pPr>
            <w:r w:rsidRPr="003452C5">
              <w:rPr>
                <w:color w:val="000000"/>
                <w:spacing w:val="53"/>
                <w:fitText w:val="330" w:id="-694425584"/>
                <w14:textFill>
                  <w14:solidFill>
                    <w14:srgbClr w14:val="000000">
                      <w14:alpha w14:val="100000"/>
                    </w14:srgbClr>
                  </w14:solidFill>
                </w14:textFill>
              </w:rPr>
              <w:t>|||</w:t>
            </w:r>
            <w:r w:rsidRPr="003452C5">
              <w:rPr>
                <w:color w:val="000000"/>
                <w:spacing w:val="1"/>
                <w:fitText w:val="330" w:id="-694425584"/>
                <w14:textFill>
                  <w14:solidFill>
                    <w14:srgbClr w14:val="000000">
                      <w14:alpha w14:val="100000"/>
                    </w14:srgbClr>
                  </w14:solidFill>
                </w14:textFill>
              </w:rPr>
              <w:t>|</w:t>
            </w:r>
          </w:p>
        </w:tc>
        <w:tc>
          <w:tcPr>
            <w:tcW w:w="1137" w:type="dxa"/>
          </w:tcPr>
          <w:p w14:paraId="2F172AEB" w14:textId="3202B2D5" w:rsidR="00AA7C53" w:rsidRPr="00C41ECA" w:rsidRDefault="00AA7C53" w:rsidP="00AA7C53">
            <w:pPr>
              <w:pStyle w:val="TableText0"/>
              <w:jc w:val="center"/>
            </w:pPr>
            <w:r w:rsidRPr="00C41ECA">
              <w:t>0.80</w:t>
            </w:r>
          </w:p>
        </w:tc>
        <w:tc>
          <w:tcPr>
            <w:tcW w:w="1218" w:type="dxa"/>
          </w:tcPr>
          <w:p w14:paraId="26D63697" w14:textId="04AD8D0A" w:rsidR="00AA7C53" w:rsidRPr="00873F07" w:rsidRDefault="003452C5" w:rsidP="00AA7C53">
            <w:pPr>
              <w:pStyle w:val="TableText0"/>
              <w:jc w:val="center"/>
              <w:rPr>
                <w:highlight w:val="darkGray"/>
              </w:rPr>
            </w:pPr>
            <w:r w:rsidRPr="003452C5">
              <w:rPr>
                <w:color w:val="000000"/>
                <w:spacing w:val="53"/>
                <w:shd w:val="solid" w:color="000000" w:fill="000000"/>
                <w:fitText w:val="330" w:id="-694425600"/>
                <w14:textFill>
                  <w14:solidFill>
                    <w14:srgbClr w14:val="000000">
                      <w14:alpha w14:val="100000"/>
                    </w14:srgbClr>
                  </w14:solidFill>
                </w14:textFill>
              </w:rPr>
              <w:t>|||</w:t>
            </w:r>
            <w:r w:rsidRPr="003452C5">
              <w:rPr>
                <w:color w:val="000000"/>
                <w:spacing w:val="1"/>
                <w:shd w:val="solid" w:color="000000" w:fill="000000"/>
                <w:fitText w:val="330" w:id="-694425600"/>
                <w14:textFill>
                  <w14:solidFill>
                    <w14:srgbClr w14:val="000000">
                      <w14:alpha w14:val="100000"/>
                    </w14:srgbClr>
                  </w14:solidFill>
                </w14:textFill>
              </w:rPr>
              <w:t>|</w:t>
            </w:r>
            <w:r w:rsidR="00F03FDF" w:rsidRPr="0080616F">
              <w:rPr>
                <w:b/>
                <w:bCs w:val="0"/>
                <w:vertAlign w:val="superscript"/>
              </w:rPr>
              <w:t>1</w:t>
            </w:r>
          </w:p>
        </w:tc>
        <w:tc>
          <w:tcPr>
            <w:tcW w:w="818" w:type="dxa"/>
          </w:tcPr>
          <w:p w14:paraId="02F901B2" w14:textId="08156355" w:rsidR="00AA7C53" w:rsidRPr="00C41ECA" w:rsidRDefault="003452C5" w:rsidP="00AA7C53">
            <w:pPr>
              <w:pStyle w:val="TableText0"/>
              <w:jc w:val="center"/>
            </w:pPr>
            <w:r w:rsidRPr="003452C5">
              <w:rPr>
                <w:color w:val="000000"/>
                <w:spacing w:val="53"/>
                <w:shd w:val="solid" w:color="000000" w:fill="000000"/>
                <w:fitText w:val="330" w:id="-694425599"/>
                <w14:textFill>
                  <w14:solidFill>
                    <w14:srgbClr w14:val="000000">
                      <w14:alpha w14:val="100000"/>
                    </w14:srgbClr>
                  </w14:solidFill>
                </w14:textFill>
              </w:rPr>
              <w:t>|||</w:t>
            </w:r>
            <w:r w:rsidRPr="003452C5">
              <w:rPr>
                <w:color w:val="000000"/>
                <w:spacing w:val="1"/>
                <w:shd w:val="solid" w:color="000000" w:fill="000000"/>
                <w:fitText w:val="330" w:id="-694425599"/>
                <w14:textFill>
                  <w14:solidFill>
                    <w14:srgbClr w14:val="000000">
                      <w14:alpha w14:val="100000"/>
                    </w14:srgbClr>
                  </w14:solidFill>
                </w14:textFill>
              </w:rPr>
              <w:t>|</w:t>
            </w:r>
            <w:r w:rsidR="00AA7C53" w:rsidRPr="00C41ECA">
              <w:t>%</w:t>
            </w:r>
          </w:p>
        </w:tc>
      </w:tr>
      <w:tr w:rsidR="00AA7C53" w:rsidRPr="00C41ECA" w14:paraId="4119C8B6" w14:textId="77777777" w:rsidTr="003452C5">
        <w:tc>
          <w:tcPr>
            <w:tcW w:w="4623" w:type="dxa"/>
          </w:tcPr>
          <w:p w14:paraId="3B015E33" w14:textId="77777777" w:rsidR="00AA7C53" w:rsidRPr="00C41ECA" w:rsidRDefault="00AA7C53" w:rsidP="00AA7C53">
            <w:pPr>
              <w:pStyle w:val="TableText0"/>
            </w:pPr>
            <w:r w:rsidRPr="00C41ECA">
              <w:rPr>
                <w:b/>
                <w:bCs w:val="0"/>
              </w:rPr>
              <w:t xml:space="preserve">#1, #2, #3 </w:t>
            </w:r>
            <w:r w:rsidRPr="00C41ECA">
              <w:t>and</w:t>
            </w:r>
            <w:r w:rsidRPr="00C41ECA">
              <w:rPr>
                <w:b/>
                <w:bCs w:val="0"/>
              </w:rPr>
              <w:t xml:space="preserve"> #4</w:t>
            </w:r>
          </w:p>
        </w:tc>
        <w:tc>
          <w:tcPr>
            <w:tcW w:w="1221" w:type="dxa"/>
            <w:tcBorders>
              <w:bottom w:val="single" w:sz="4" w:space="0" w:color="auto"/>
            </w:tcBorders>
            <w:shd w:val="solid" w:color="000000" w:fill="000000"/>
          </w:tcPr>
          <w:p w14:paraId="3E87AFD5" w14:textId="4784E37F" w:rsidR="00AA7C53" w:rsidRPr="003B720E" w:rsidRDefault="003452C5" w:rsidP="00AA7C53">
            <w:pPr>
              <w:pStyle w:val="TableText0"/>
              <w:jc w:val="center"/>
              <w:rPr>
                <w:highlight w:val="darkGray"/>
              </w:rPr>
            </w:pPr>
            <w:r w:rsidRPr="003452C5">
              <w:rPr>
                <w:color w:val="000000"/>
                <w:spacing w:val="53"/>
                <w:fitText w:val="330" w:id="-694425598"/>
                <w14:textFill>
                  <w14:solidFill>
                    <w14:srgbClr w14:val="000000">
                      <w14:alpha w14:val="100000"/>
                    </w14:srgbClr>
                  </w14:solidFill>
                </w14:textFill>
              </w:rPr>
              <w:t>|||</w:t>
            </w:r>
            <w:r w:rsidRPr="003452C5">
              <w:rPr>
                <w:color w:val="000000"/>
                <w:spacing w:val="1"/>
                <w:fitText w:val="330" w:id="-694425598"/>
                <w14:textFill>
                  <w14:solidFill>
                    <w14:srgbClr w14:val="000000">
                      <w14:alpha w14:val="100000"/>
                    </w14:srgbClr>
                  </w14:solidFill>
                </w14:textFill>
              </w:rPr>
              <w:t>|</w:t>
            </w:r>
          </w:p>
        </w:tc>
        <w:tc>
          <w:tcPr>
            <w:tcW w:w="1137" w:type="dxa"/>
          </w:tcPr>
          <w:p w14:paraId="76714808" w14:textId="38058087" w:rsidR="00AA7C53" w:rsidRPr="00C41ECA" w:rsidRDefault="00AA7C53" w:rsidP="00AA7C53">
            <w:pPr>
              <w:pStyle w:val="TableText0"/>
              <w:jc w:val="center"/>
            </w:pPr>
            <w:r w:rsidRPr="00C41ECA">
              <w:t>0.79</w:t>
            </w:r>
          </w:p>
        </w:tc>
        <w:tc>
          <w:tcPr>
            <w:tcW w:w="1218" w:type="dxa"/>
          </w:tcPr>
          <w:p w14:paraId="72E549F2" w14:textId="2B104625" w:rsidR="00AA7C53" w:rsidRPr="00873F07" w:rsidRDefault="003452C5" w:rsidP="00AA7C53">
            <w:pPr>
              <w:pStyle w:val="TableText0"/>
              <w:jc w:val="center"/>
              <w:rPr>
                <w:highlight w:val="darkGray"/>
              </w:rPr>
            </w:pPr>
            <w:r w:rsidRPr="003452C5">
              <w:rPr>
                <w:color w:val="000000"/>
                <w:spacing w:val="53"/>
                <w:shd w:val="solid" w:color="000000" w:fill="000000"/>
                <w:fitText w:val="330" w:id="-694425597"/>
                <w14:textFill>
                  <w14:solidFill>
                    <w14:srgbClr w14:val="000000">
                      <w14:alpha w14:val="100000"/>
                    </w14:srgbClr>
                  </w14:solidFill>
                </w14:textFill>
              </w:rPr>
              <w:t>|||</w:t>
            </w:r>
            <w:r w:rsidRPr="003452C5">
              <w:rPr>
                <w:color w:val="000000"/>
                <w:spacing w:val="1"/>
                <w:shd w:val="solid" w:color="000000" w:fill="000000"/>
                <w:fitText w:val="330" w:id="-694425597"/>
                <w14:textFill>
                  <w14:solidFill>
                    <w14:srgbClr w14:val="000000">
                      <w14:alpha w14:val="100000"/>
                    </w14:srgbClr>
                  </w14:solidFill>
                </w14:textFill>
              </w:rPr>
              <w:t>|</w:t>
            </w:r>
            <w:r w:rsidR="00F03FDF" w:rsidRPr="0080616F">
              <w:rPr>
                <w:b/>
                <w:bCs w:val="0"/>
                <w:vertAlign w:val="superscript"/>
              </w:rPr>
              <w:t>1</w:t>
            </w:r>
          </w:p>
        </w:tc>
        <w:tc>
          <w:tcPr>
            <w:tcW w:w="818" w:type="dxa"/>
          </w:tcPr>
          <w:p w14:paraId="6152D09C" w14:textId="71FCA12D" w:rsidR="00AA7C53" w:rsidRPr="00C41ECA" w:rsidRDefault="003452C5" w:rsidP="00AA7C53">
            <w:pPr>
              <w:pStyle w:val="TableText0"/>
              <w:jc w:val="center"/>
            </w:pPr>
            <w:r w:rsidRPr="003452C5">
              <w:rPr>
                <w:color w:val="000000"/>
                <w:spacing w:val="53"/>
                <w:shd w:val="solid" w:color="000000" w:fill="000000"/>
                <w:fitText w:val="330" w:id="-694425596"/>
                <w14:textFill>
                  <w14:solidFill>
                    <w14:srgbClr w14:val="000000">
                      <w14:alpha w14:val="100000"/>
                    </w14:srgbClr>
                  </w14:solidFill>
                </w14:textFill>
              </w:rPr>
              <w:t>|||</w:t>
            </w:r>
            <w:r w:rsidRPr="003452C5">
              <w:rPr>
                <w:color w:val="000000"/>
                <w:spacing w:val="1"/>
                <w:shd w:val="solid" w:color="000000" w:fill="000000"/>
                <w:fitText w:val="330" w:id="-694425596"/>
                <w14:textFill>
                  <w14:solidFill>
                    <w14:srgbClr w14:val="000000">
                      <w14:alpha w14:val="100000"/>
                    </w14:srgbClr>
                  </w14:solidFill>
                </w14:textFill>
              </w:rPr>
              <w:t>|</w:t>
            </w:r>
            <w:r w:rsidR="00AA7C53" w:rsidRPr="00C41ECA">
              <w:t>%</w:t>
            </w:r>
          </w:p>
        </w:tc>
      </w:tr>
      <w:tr w:rsidR="00F2244E" w:rsidRPr="00C41ECA" w14:paraId="77E7B610" w14:textId="77777777" w:rsidTr="003452C5">
        <w:tc>
          <w:tcPr>
            <w:tcW w:w="4623" w:type="dxa"/>
          </w:tcPr>
          <w:p w14:paraId="1D69AE43" w14:textId="22AF1B24" w:rsidR="00F2244E" w:rsidRPr="00C41ECA" w:rsidRDefault="00F2244E" w:rsidP="00F2244E">
            <w:pPr>
              <w:pStyle w:val="TableText0"/>
              <w:rPr>
                <w:b/>
                <w:bCs w:val="0"/>
              </w:rPr>
            </w:pPr>
            <w:r w:rsidRPr="00C41ECA">
              <w:rPr>
                <w:b/>
                <w:bCs w:val="0"/>
              </w:rPr>
              <w:t xml:space="preserve">#1, #2, #3, #4 </w:t>
            </w:r>
            <w:r w:rsidRPr="00C41ECA">
              <w:t>and</w:t>
            </w:r>
            <w:r w:rsidRPr="00C41ECA">
              <w:rPr>
                <w:b/>
                <w:bCs w:val="0"/>
              </w:rPr>
              <w:t xml:space="preserve"> #5</w:t>
            </w:r>
          </w:p>
        </w:tc>
        <w:tc>
          <w:tcPr>
            <w:tcW w:w="1221" w:type="dxa"/>
            <w:shd w:val="solid" w:color="000000" w:fill="000000"/>
          </w:tcPr>
          <w:p w14:paraId="7A4F1036" w14:textId="3C5D482F" w:rsidR="00F2244E" w:rsidRPr="003B720E" w:rsidRDefault="003452C5" w:rsidP="00F2244E">
            <w:pPr>
              <w:pStyle w:val="TableText0"/>
              <w:jc w:val="center"/>
              <w:rPr>
                <w:highlight w:val="darkGray"/>
              </w:rPr>
            </w:pPr>
            <w:r w:rsidRPr="003452C5">
              <w:rPr>
                <w:color w:val="000000"/>
                <w:spacing w:val="53"/>
                <w:fitText w:val="330" w:id="-694425595"/>
                <w14:textFill>
                  <w14:solidFill>
                    <w14:srgbClr w14:val="000000">
                      <w14:alpha w14:val="100000"/>
                    </w14:srgbClr>
                  </w14:solidFill>
                </w14:textFill>
              </w:rPr>
              <w:t>|||</w:t>
            </w:r>
            <w:r w:rsidRPr="003452C5">
              <w:rPr>
                <w:color w:val="000000"/>
                <w:spacing w:val="1"/>
                <w:fitText w:val="330" w:id="-694425595"/>
                <w14:textFill>
                  <w14:solidFill>
                    <w14:srgbClr w14:val="000000">
                      <w14:alpha w14:val="100000"/>
                    </w14:srgbClr>
                  </w14:solidFill>
                </w14:textFill>
              </w:rPr>
              <w:t>|</w:t>
            </w:r>
          </w:p>
        </w:tc>
        <w:tc>
          <w:tcPr>
            <w:tcW w:w="1137" w:type="dxa"/>
          </w:tcPr>
          <w:p w14:paraId="462DD995" w14:textId="2E088AA1" w:rsidR="00F2244E" w:rsidRPr="00C41ECA" w:rsidRDefault="00F2244E" w:rsidP="00F2244E">
            <w:pPr>
              <w:pStyle w:val="TableText0"/>
              <w:jc w:val="center"/>
            </w:pPr>
            <w:r w:rsidRPr="00C41ECA">
              <w:t>0.58</w:t>
            </w:r>
          </w:p>
        </w:tc>
        <w:tc>
          <w:tcPr>
            <w:tcW w:w="1218" w:type="dxa"/>
          </w:tcPr>
          <w:p w14:paraId="68010D9B" w14:textId="391752D8" w:rsidR="00F2244E" w:rsidRPr="00873F07" w:rsidRDefault="003452C5" w:rsidP="00F2244E">
            <w:pPr>
              <w:pStyle w:val="TableText0"/>
              <w:jc w:val="center"/>
              <w:rPr>
                <w:highlight w:val="darkGray"/>
              </w:rPr>
            </w:pPr>
            <w:r w:rsidRPr="003452C5">
              <w:rPr>
                <w:color w:val="000000"/>
                <w:spacing w:val="53"/>
                <w:shd w:val="solid" w:color="000000" w:fill="000000"/>
                <w:fitText w:val="330" w:id="-694425594"/>
                <w14:textFill>
                  <w14:solidFill>
                    <w14:srgbClr w14:val="000000">
                      <w14:alpha w14:val="100000"/>
                    </w14:srgbClr>
                  </w14:solidFill>
                </w14:textFill>
              </w:rPr>
              <w:t>|||</w:t>
            </w:r>
            <w:r w:rsidRPr="003452C5">
              <w:rPr>
                <w:color w:val="000000"/>
                <w:spacing w:val="1"/>
                <w:shd w:val="solid" w:color="000000" w:fill="000000"/>
                <w:fitText w:val="330" w:id="-694425594"/>
                <w14:textFill>
                  <w14:solidFill>
                    <w14:srgbClr w14:val="000000">
                      <w14:alpha w14:val="100000"/>
                    </w14:srgbClr>
                  </w14:solidFill>
                </w14:textFill>
              </w:rPr>
              <w:t>|</w:t>
            </w:r>
            <w:r w:rsidR="00F03FDF" w:rsidRPr="0080616F">
              <w:rPr>
                <w:b/>
                <w:bCs w:val="0"/>
                <w:vertAlign w:val="superscript"/>
              </w:rPr>
              <w:t>1</w:t>
            </w:r>
          </w:p>
        </w:tc>
        <w:tc>
          <w:tcPr>
            <w:tcW w:w="818" w:type="dxa"/>
          </w:tcPr>
          <w:p w14:paraId="0B73E368" w14:textId="57F68273" w:rsidR="00F2244E" w:rsidRPr="00C41ECA" w:rsidRDefault="003452C5" w:rsidP="00F2244E">
            <w:pPr>
              <w:pStyle w:val="TableText0"/>
              <w:jc w:val="center"/>
            </w:pPr>
            <w:r>
              <w:rPr>
                <w:color w:val="000000"/>
                <w:spacing w:val="52"/>
                <w:shd w:val="solid" w:color="000000" w:fill="000000"/>
                <w:fitText w:val="330" w:id="-694425593"/>
                <w14:textFill>
                  <w14:solidFill>
                    <w14:srgbClr w14:val="000000">
                      <w14:alpha w14:val="100000"/>
                    </w14:srgbClr>
                  </w14:solidFill>
                </w14:textFill>
              </w:rPr>
              <w:t>|||</w:t>
            </w:r>
            <w:r>
              <w:rPr>
                <w:color w:val="000000"/>
                <w:spacing w:val="2"/>
                <w:shd w:val="solid" w:color="000000" w:fill="000000"/>
                <w:fitText w:val="330" w:id="-694425593"/>
                <w14:textFill>
                  <w14:solidFill>
                    <w14:srgbClr w14:val="000000">
                      <w14:alpha w14:val="100000"/>
                    </w14:srgbClr>
                  </w14:solidFill>
                </w14:textFill>
              </w:rPr>
              <w:t>|</w:t>
            </w:r>
            <w:r w:rsidR="00F2244E" w:rsidRPr="00C41ECA">
              <w:t>%</w:t>
            </w:r>
          </w:p>
        </w:tc>
      </w:tr>
    </w:tbl>
    <w:p w14:paraId="1535D85E" w14:textId="77777777" w:rsidR="00307391" w:rsidRPr="00C41ECA" w:rsidRDefault="00307391" w:rsidP="00307391">
      <w:pPr>
        <w:pStyle w:val="TableFigureFooter"/>
      </w:pPr>
      <w:r w:rsidRPr="00C41ECA">
        <w:t>Source: Constructed during the evaluation from the “Attachment 10 - Cost utility analysis (CUA) workbook (Section 3)” attachment.</w:t>
      </w:r>
    </w:p>
    <w:p w14:paraId="4DBA575A" w14:textId="4B40EEC6" w:rsidR="00307391" w:rsidRPr="00C41ECA" w:rsidRDefault="00307391" w:rsidP="00307391">
      <w:pPr>
        <w:pStyle w:val="TableFigureFooter"/>
      </w:pPr>
      <w:r w:rsidRPr="35298142">
        <w:t>EQ-5D=</w:t>
      </w:r>
      <w:proofErr w:type="spellStart"/>
      <w:r w:rsidRPr="35298142">
        <w:t>EuroQol</w:t>
      </w:r>
      <w:proofErr w:type="spellEnd"/>
      <w:r w:rsidRPr="35298142">
        <w:t xml:space="preserve"> 5 dimensions; ICER=incremental cost-effectiveness ratio; OS=overall survival; QALY=qualify-adjusted life year; SARA=Scale for the Assessment and Rating of Ataxia.</w:t>
      </w:r>
    </w:p>
    <w:p w14:paraId="61A927CA" w14:textId="64766FD3" w:rsidR="00307391" w:rsidRPr="00C41ECA" w:rsidRDefault="00307391" w:rsidP="00307391">
      <w:pPr>
        <w:pStyle w:val="TableFigureFooter"/>
      </w:pPr>
      <w:r w:rsidRPr="35298142">
        <w:rPr>
          <w:vertAlign w:val="superscript"/>
        </w:rPr>
        <w:t xml:space="preserve">a </w:t>
      </w:r>
      <w:r w:rsidRPr="35298142">
        <w:t>An alternative approach to model mortality was explored by the evaluation which involved assuming patients who had a disability score of 1 as having a mortality risk in line with the Australian general population and applying a HR of 2.01 who every worsening disability score.</w:t>
      </w:r>
    </w:p>
    <w:p w14:paraId="2AF74C37" w14:textId="3376B410" w:rsidR="00FB1F42" w:rsidRDefault="00307391" w:rsidP="00FB1F42">
      <w:pPr>
        <w:pStyle w:val="TableFigureFooter"/>
      </w:pPr>
      <w:r w:rsidRPr="35298142">
        <w:rPr>
          <w:vertAlign w:val="superscript"/>
        </w:rPr>
        <w:t xml:space="preserve">b </w:t>
      </w:r>
      <w:r w:rsidRPr="35298142">
        <w:t>An alternative utility regression was explored by including EQ-5D data by SARA scores for ambulatory and non-ambulatory patients reported in Reetz et al.</w:t>
      </w:r>
      <w:r>
        <w:fldChar w:fldCharType="begin"/>
      </w:r>
      <w:r>
        <w:instrText xml:space="preserve"> NOTEREF _Ref185333482 \f \h  \* MERGEFORMAT </w:instrText>
      </w:r>
      <w:r>
        <w:fldChar w:fldCharType="separate"/>
      </w:r>
      <w:r w:rsidR="003A4643" w:rsidRPr="003A4643">
        <w:rPr>
          <w:rStyle w:val="FootnoteReference"/>
        </w:rPr>
        <w:t>11</w:t>
      </w:r>
      <w:r>
        <w:fldChar w:fldCharType="end"/>
      </w:r>
      <w:r w:rsidR="00FB1F42">
        <w:t xml:space="preserve"> </w:t>
      </w:r>
    </w:p>
    <w:p w14:paraId="37E78D48" w14:textId="1C8B66E6" w:rsidR="00FB1F42" w:rsidRPr="001D69A8" w:rsidRDefault="00FB1F42" w:rsidP="00FB1F42">
      <w:pPr>
        <w:pStyle w:val="TableFigureFooter"/>
        <w:rPr>
          <w:i/>
          <w:iCs/>
        </w:rPr>
      </w:pPr>
      <w:r w:rsidRPr="001D69A8">
        <w:rPr>
          <w:i/>
          <w:iCs/>
        </w:rPr>
        <w:t>The redacted values correspond to the following ranges:</w:t>
      </w:r>
    </w:p>
    <w:p w14:paraId="6B32A72F" w14:textId="4923E6BC" w:rsidR="004E34C9" w:rsidRPr="001D69A8" w:rsidRDefault="00FB1F42" w:rsidP="00FB1F42">
      <w:pPr>
        <w:pStyle w:val="TableFigureFooter"/>
        <w:rPr>
          <w:i/>
          <w:iCs/>
        </w:rPr>
      </w:pPr>
      <w:r w:rsidRPr="001D69A8">
        <w:rPr>
          <w:i/>
          <w:iCs/>
          <w:vertAlign w:val="superscript"/>
        </w:rPr>
        <w:t>1</w:t>
      </w:r>
      <w:r w:rsidRPr="001D69A8">
        <w:rPr>
          <w:i/>
          <w:iCs/>
        </w:rPr>
        <w:t xml:space="preserve"> &gt; $1,055,000</w:t>
      </w:r>
    </w:p>
    <w:p w14:paraId="6694C55F" w14:textId="0A35D1BE" w:rsidR="00454512" w:rsidRPr="00C41ECA" w:rsidRDefault="00454512" w:rsidP="00454512">
      <w:pPr>
        <w:pStyle w:val="3-BodyText"/>
      </w:pPr>
      <w:r w:rsidRPr="35298142">
        <w:t xml:space="preserve">Given that the submission indicated that a special pricing arrangement would be implemented at the time of PBS listing, the </w:t>
      </w:r>
      <w:r w:rsidR="00667F1C" w:rsidRPr="35298142">
        <w:t>e</w:t>
      </w:r>
      <w:r w:rsidR="00A31FC7" w:rsidRPr="35298142">
        <w:t>valuation</w:t>
      </w:r>
      <w:r w:rsidRPr="35298142">
        <w:t xml:space="preserve"> performed additional sensitivity analyses varying the cost of the </w:t>
      </w:r>
      <w:proofErr w:type="spellStart"/>
      <w:r w:rsidRPr="35298142">
        <w:t>omaveloxolone</w:t>
      </w:r>
      <w:proofErr w:type="spellEnd"/>
      <w:r w:rsidRPr="35298142">
        <w:t xml:space="preserve"> with the base case and </w:t>
      </w:r>
      <w:r w:rsidR="00A31FC7" w:rsidRPr="35298142">
        <w:t>Evaluation</w:t>
      </w:r>
      <w:r w:rsidRPr="35298142">
        <w:t xml:space="preserve">’s multivariate analysis. The results are presented in </w:t>
      </w:r>
      <w:r>
        <w:fldChar w:fldCharType="begin"/>
      </w:r>
      <w:r>
        <w:instrText xml:space="preserve"> REF _Ref185337680 \h  \* MERGEFORMAT </w:instrText>
      </w:r>
      <w:r>
        <w:fldChar w:fldCharType="separate"/>
      </w:r>
      <w:r w:rsidR="003A4643" w:rsidRPr="35298142">
        <w:t xml:space="preserve">Figure </w:t>
      </w:r>
      <w:r w:rsidR="003A4643">
        <w:rPr>
          <w:noProof/>
        </w:rPr>
        <w:t>8</w:t>
      </w:r>
      <w:r>
        <w:fldChar w:fldCharType="end"/>
      </w:r>
      <w:r w:rsidRPr="35298142">
        <w:t xml:space="preserve">. </w:t>
      </w:r>
      <w:r w:rsidR="00691E81" w:rsidRPr="00424A49">
        <w:t xml:space="preserve">The ESC noted </w:t>
      </w:r>
      <w:r w:rsidR="00EA7516" w:rsidRPr="00424A49">
        <w:t xml:space="preserve">the </w:t>
      </w:r>
      <w:r w:rsidR="005435E3" w:rsidRPr="00424A49">
        <w:t xml:space="preserve">impact of varying the </w:t>
      </w:r>
      <w:r w:rsidR="002C178F" w:rsidRPr="00424A49">
        <w:t xml:space="preserve">assumed </w:t>
      </w:r>
      <w:r w:rsidR="005435E3" w:rsidRPr="00424A49">
        <w:t xml:space="preserve">price of </w:t>
      </w:r>
      <w:proofErr w:type="spellStart"/>
      <w:r w:rsidR="005435E3" w:rsidRPr="00424A49">
        <w:t>omaveloxolone</w:t>
      </w:r>
      <w:proofErr w:type="spellEnd"/>
      <w:r w:rsidR="005435E3" w:rsidRPr="00424A49">
        <w:t xml:space="preserve"> on the ICER</w:t>
      </w:r>
      <w:r w:rsidR="004C5149" w:rsidRPr="00424A49">
        <w:t xml:space="preserve"> was large</w:t>
      </w:r>
      <w:r w:rsidR="00E32E5B" w:rsidRPr="00424A49">
        <w:t>, however it was unclear how informative these analyses were, as no effective price was proposed in the submission</w:t>
      </w:r>
      <w:r w:rsidR="00667F1C" w:rsidRPr="00424A49">
        <w:t>.</w:t>
      </w:r>
      <w:r w:rsidR="00667F1C" w:rsidRPr="35298142">
        <w:rPr>
          <w:i/>
          <w:iCs/>
        </w:rPr>
        <w:t xml:space="preserve"> </w:t>
      </w:r>
    </w:p>
    <w:p w14:paraId="1AB57FEB" w14:textId="240BFA66" w:rsidR="00D67F93" w:rsidRDefault="00D67F93" w:rsidP="00AC7D7A">
      <w:pPr>
        <w:pStyle w:val="Caption"/>
      </w:pPr>
      <w:bookmarkStart w:id="59" w:name="_Ref185337680"/>
      <w:r w:rsidRPr="35298142">
        <w:t xml:space="preserve">Figure </w:t>
      </w:r>
      <w:r w:rsidRPr="35298142">
        <w:fldChar w:fldCharType="begin"/>
      </w:r>
      <w:r>
        <w:instrText xml:space="preserve"> SEQ Figure \* ARABIC </w:instrText>
      </w:r>
      <w:r w:rsidRPr="35298142">
        <w:fldChar w:fldCharType="separate"/>
      </w:r>
      <w:r w:rsidR="003A4643">
        <w:rPr>
          <w:noProof/>
        </w:rPr>
        <w:t>8</w:t>
      </w:r>
      <w:r w:rsidRPr="35298142">
        <w:rPr>
          <w:noProof/>
        </w:rPr>
        <w:fldChar w:fldCharType="end"/>
      </w:r>
      <w:bookmarkEnd w:id="59"/>
      <w:r w:rsidRPr="35298142">
        <w:t xml:space="preserve">: The effect of varying price of </w:t>
      </w:r>
      <w:proofErr w:type="spellStart"/>
      <w:r w:rsidRPr="35298142">
        <w:t>omaveloxolone</w:t>
      </w:r>
      <w:proofErr w:type="spellEnd"/>
      <w:r w:rsidRPr="35298142">
        <w:t xml:space="preserve"> on the ICER with the base case and </w:t>
      </w:r>
      <w:r w:rsidR="00A31FC7" w:rsidRPr="35298142">
        <w:t>Evaluation</w:t>
      </w:r>
      <w:r w:rsidRPr="35298142">
        <w:t>’s MV analysis</w:t>
      </w:r>
    </w:p>
    <w:p w14:paraId="5C0C2944" w14:textId="77777777" w:rsidR="0096532D" w:rsidRDefault="0096532D" w:rsidP="00AC7D7A">
      <w:pPr>
        <w:keepNext/>
        <w:keepLines/>
      </w:pPr>
    </w:p>
    <w:p w14:paraId="07D2C585" w14:textId="49624DCC" w:rsidR="0096532D" w:rsidRPr="0096532D" w:rsidRDefault="00C37769" w:rsidP="00AC7D7A">
      <w:pPr>
        <w:keepNext/>
        <w:keepLines/>
      </w:pPr>
      <w:r>
        <w:rPr>
          <w:noProof/>
        </w:rPr>
        <w:drawing>
          <wp:inline distT="0" distB="0" distL="0" distR="0" wp14:anchorId="5B4F67CB" wp14:editId="362C3BDB">
            <wp:extent cx="5621854" cy="3568065"/>
            <wp:effectExtent l="0" t="0" r="0" b="0"/>
            <wp:docPr id="680342044" name="Picture 1" descr="Figure 8: The effect of varying price of omaveloxolone on the ICER with the base case and Evaluation’s MV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42044" name="Picture 1" descr="Figure 8: The effect of varying price of omaveloxolone on the ICER with the base case and Evaluation’s MV analysis"/>
                    <pic:cNvPicPr/>
                  </pic:nvPicPr>
                  <pic:blipFill rotWithShape="1">
                    <a:blip r:embed="rId18"/>
                    <a:srcRect l="1035" t="1181" r="869" b="1128"/>
                    <a:stretch/>
                  </pic:blipFill>
                  <pic:spPr bwMode="auto">
                    <a:xfrm>
                      <a:off x="0" y="0"/>
                      <a:ext cx="5623029" cy="3568811"/>
                    </a:xfrm>
                    <a:prstGeom prst="rect">
                      <a:avLst/>
                    </a:prstGeom>
                    <a:ln>
                      <a:noFill/>
                    </a:ln>
                    <a:extLst>
                      <a:ext uri="{53640926-AAD7-44D8-BBD7-CCE9431645EC}">
                        <a14:shadowObscured xmlns:a14="http://schemas.microsoft.com/office/drawing/2010/main"/>
                      </a:ext>
                    </a:extLst>
                  </pic:spPr>
                </pic:pic>
              </a:graphicData>
            </a:graphic>
          </wp:inline>
        </w:drawing>
      </w:r>
    </w:p>
    <w:p w14:paraId="1B3601E2" w14:textId="792F8F70" w:rsidR="00454512" w:rsidRPr="00C41ECA" w:rsidRDefault="00454512" w:rsidP="00AC7D7A">
      <w:pPr>
        <w:keepNext/>
        <w:keepLines/>
      </w:pPr>
    </w:p>
    <w:p w14:paraId="25F6A17F" w14:textId="77777777" w:rsidR="00D67F93" w:rsidRPr="00C41ECA" w:rsidRDefault="00D67F93" w:rsidP="00AC7D7A">
      <w:pPr>
        <w:pStyle w:val="TableFigureFooter"/>
        <w:keepNext/>
      </w:pPr>
      <w:r w:rsidRPr="00C41ECA">
        <w:t>Source: Constructed during the evaluation from the “Attachment 10 - Cost utility analysis (CUA) workbook (Section 3)” attachment.</w:t>
      </w:r>
    </w:p>
    <w:p w14:paraId="019E570A" w14:textId="70AD3FBF" w:rsidR="00D67F93" w:rsidRPr="00C41ECA" w:rsidRDefault="00D67F93" w:rsidP="00AC7D7A">
      <w:pPr>
        <w:pStyle w:val="TableFigureFooter"/>
        <w:keepNext/>
      </w:pPr>
      <w:r w:rsidRPr="00C41ECA">
        <w:t>DPMQ=dispensed price for maximum quantity; ICER=incremental cost-effectiveness ratio; MV=multivariate.</w:t>
      </w:r>
    </w:p>
    <w:p w14:paraId="7C13FDA5" w14:textId="1968AB0B" w:rsidR="00D67F93" w:rsidRPr="00C41ECA" w:rsidRDefault="00D67F93" w:rsidP="00AC7D7A">
      <w:pPr>
        <w:pStyle w:val="TableFigureFooter"/>
        <w:keepNext/>
      </w:pPr>
      <w:r w:rsidRPr="35298142">
        <w:rPr>
          <w:vertAlign w:val="superscript"/>
        </w:rPr>
        <w:t>*</w:t>
      </w:r>
      <w:r w:rsidRPr="35298142">
        <w:t xml:space="preserve"> </w:t>
      </w:r>
      <w:r w:rsidR="00A31FC7" w:rsidRPr="35298142">
        <w:t>Evaluation</w:t>
      </w:r>
      <w:r w:rsidR="00AA7C53" w:rsidRPr="35298142">
        <w:t>’s multivariate analysis, excluding carer, walker, wheelchair, specialised mattress, electric bed and home improvement costs, including alternative modelling approaches for health utilities and mortality</w:t>
      </w:r>
      <w:r w:rsidR="00637D11" w:rsidRPr="35298142">
        <w:t xml:space="preserve">, </w:t>
      </w:r>
      <w:r w:rsidR="00AA7C53" w:rsidRPr="35298142">
        <w:t>reducing the time horizon to 40 years</w:t>
      </w:r>
      <w:r w:rsidR="00637D11" w:rsidRPr="35298142">
        <w:t xml:space="preserve"> and assuming linear treatment waning from year 4 to Year 18. </w:t>
      </w:r>
    </w:p>
    <w:p w14:paraId="7CA327AB" w14:textId="48146EE8" w:rsidR="00440A3B" w:rsidRPr="006C0D41" w:rsidRDefault="00440A3B" w:rsidP="00440A3B">
      <w:pPr>
        <w:pStyle w:val="3-BodyText"/>
      </w:pPr>
      <w:bookmarkStart w:id="60" w:name="_Ref104805102"/>
      <w:bookmarkStart w:id="61" w:name="_Toc22897650"/>
      <w:r w:rsidRPr="006C0D41">
        <w:t xml:space="preserve">The ESC considered that the PBAC would not be in a position to consider the cost-effectiveness of </w:t>
      </w:r>
      <w:proofErr w:type="spellStart"/>
      <w:r w:rsidRPr="006C0D41">
        <w:t>omaveloxolone</w:t>
      </w:r>
      <w:proofErr w:type="spellEnd"/>
      <w:r w:rsidRPr="006C0D41">
        <w:t xml:space="preserve"> as the proposed effective price was not included in the submission. The ESC noted only the proposed published price was provided with the submission and use of this price in the economic model resulted in (i) an ICER substantially outside the range usually considered cost-effective by the PBAC, (ii) the ICER being driven by the </w:t>
      </w:r>
      <w:proofErr w:type="spellStart"/>
      <w:r w:rsidRPr="006C0D41">
        <w:t>omaveloxolone</w:t>
      </w:r>
      <w:proofErr w:type="spellEnd"/>
      <w:r w:rsidRPr="006C0D41">
        <w:t xml:space="preserve"> price (for which the proposed value was unknown) and (iii) the sensitivity analyses being difficult to interpret due to the artificially high </w:t>
      </w:r>
      <w:proofErr w:type="spellStart"/>
      <w:r w:rsidRPr="006C0D41">
        <w:t>omaveloxolone</w:t>
      </w:r>
      <w:proofErr w:type="spellEnd"/>
      <w:r w:rsidRPr="006C0D41">
        <w:t xml:space="preserve"> price masking the impact </w:t>
      </w:r>
      <w:r w:rsidR="00DC3B33" w:rsidRPr="006C0D41">
        <w:t xml:space="preserve">on the ICER </w:t>
      </w:r>
      <w:r w:rsidR="00475965" w:rsidRPr="006C0D41">
        <w:t>when</w:t>
      </w:r>
      <w:r w:rsidR="00DC3B33" w:rsidRPr="006C0D41">
        <w:t xml:space="preserve"> </w:t>
      </w:r>
      <w:r w:rsidRPr="006C0D41">
        <w:t xml:space="preserve">changing other inputs. The ESC further noted, in the context of FA being a rare disease, that without an estimate of the ICER, the PBAC </w:t>
      </w:r>
      <w:r w:rsidR="00ED1749">
        <w:t>would</w:t>
      </w:r>
      <w:r w:rsidR="00ED1749" w:rsidRPr="006C0D41">
        <w:t xml:space="preserve"> </w:t>
      </w:r>
      <w:r w:rsidRPr="006C0D41">
        <w:t xml:space="preserve">be unable to assess the level of uncertainty that may be reasonable with respect to the economic model structure and inputs, and ultimately the uncertainty in the ICER that may be acceptable. </w:t>
      </w:r>
      <w:r w:rsidR="001A6E65">
        <w:t xml:space="preserve">The </w:t>
      </w:r>
      <w:r w:rsidR="003550C8">
        <w:t>p</w:t>
      </w:r>
      <w:r w:rsidR="001A6E65">
        <w:t xml:space="preserve">re-PBAC </w:t>
      </w:r>
      <w:r w:rsidR="003550C8">
        <w:t>r</w:t>
      </w:r>
      <w:r w:rsidR="001A6E65">
        <w:t xml:space="preserve">esponse </w:t>
      </w:r>
      <w:r w:rsidR="0062015E">
        <w:t>stated</w:t>
      </w:r>
      <w:r w:rsidR="001A6E65">
        <w:t xml:space="preserve"> that n</w:t>
      </w:r>
      <w:r w:rsidR="001A6E65" w:rsidRPr="001A6E65">
        <w:t xml:space="preserve">otwithstanding ESC’s concerns regarding the PBAC’s ability to assess the level of uncertainty of the economic model, it is the case that price is just one of many considerations the PBAC are required to </w:t>
      </w:r>
      <w:r w:rsidR="004C6BCF">
        <w:t>decide</w:t>
      </w:r>
      <w:r w:rsidR="008C2731">
        <w:t xml:space="preserve"> on</w:t>
      </w:r>
      <w:r w:rsidR="00D24464">
        <w:t xml:space="preserve">. </w:t>
      </w:r>
      <w:r w:rsidR="00D24464" w:rsidRPr="004662E9">
        <w:t xml:space="preserve">The pre-PBAC </w:t>
      </w:r>
      <w:r w:rsidR="005D770A" w:rsidRPr="004662E9">
        <w:t xml:space="preserve">acknowledged that </w:t>
      </w:r>
      <w:r w:rsidR="003F6B45" w:rsidRPr="004662E9">
        <w:t xml:space="preserve">a PBAC recommendation at a base case ICER of </w:t>
      </w:r>
      <w:r w:rsidR="00AE5007" w:rsidRPr="004662E9">
        <w:t>&gt; $1,055,000</w:t>
      </w:r>
      <w:r w:rsidR="00540D09" w:rsidRPr="004662E9">
        <w:t xml:space="preserve"> </w:t>
      </w:r>
      <w:r w:rsidR="006D7399" w:rsidRPr="004662E9">
        <w:t>m</w:t>
      </w:r>
      <w:r w:rsidR="000320A8" w:rsidRPr="004662E9">
        <w:t xml:space="preserve">illion </w:t>
      </w:r>
      <w:r w:rsidR="003F6B45" w:rsidRPr="004662E9">
        <w:t xml:space="preserve"> per QALY gained was unli</w:t>
      </w:r>
      <w:r w:rsidR="002278E7" w:rsidRPr="004662E9">
        <w:t xml:space="preserve">kely </w:t>
      </w:r>
      <w:r w:rsidR="003452C5" w:rsidRPr="00E119B7">
        <w:rPr>
          <w:color w:val="000000"/>
          <w:w w:val="60"/>
          <w:shd w:val="solid" w:color="000000" w:fill="000000"/>
          <w:fitText w:val="470" w:id="-694425592"/>
          <w14:textFill>
            <w14:solidFill>
              <w14:srgbClr w14:val="000000">
                <w14:alpha w14:val="100000"/>
              </w14:srgbClr>
            </w14:solidFill>
          </w14:textFill>
        </w:rPr>
        <w:t>|||  ||</w:t>
      </w:r>
      <w:r w:rsidR="003452C5" w:rsidRPr="00E119B7">
        <w:rPr>
          <w:color w:val="000000"/>
          <w:spacing w:val="6"/>
          <w:w w:val="60"/>
          <w:shd w:val="solid" w:color="000000" w:fill="000000"/>
          <w:fitText w:val="470" w:id="-694425592"/>
          <w14:textFill>
            <w14:solidFill>
              <w14:srgbClr w14:val="000000">
                <w14:alpha w14:val="100000"/>
              </w14:srgbClr>
            </w14:solidFill>
          </w14:textFill>
        </w:rPr>
        <w:t>|</w:t>
      </w:r>
      <w:r w:rsidR="001A6E65" w:rsidRPr="001A6E65">
        <w:t>.</w:t>
      </w:r>
      <w:r w:rsidR="003C0113">
        <w:t xml:space="preserve"> </w:t>
      </w:r>
    </w:p>
    <w:p w14:paraId="72914FE8" w14:textId="77777777" w:rsidR="00667F1C" w:rsidRPr="0098262F" w:rsidRDefault="00667F1C" w:rsidP="00667F1C">
      <w:pPr>
        <w:pStyle w:val="4-SubsectionHeading"/>
      </w:pPr>
      <w:r w:rsidRPr="0098262F">
        <w:t>Dru</w:t>
      </w:r>
      <w:r>
        <w:t>g/</w:t>
      </w:r>
      <w:r w:rsidRPr="0098262F">
        <w:t>cost/patien</w:t>
      </w:r>
      <w:r>
        <w:t>t/year</w:t>
      </w:r>
    </w:p>
    <w:p w14:paraId="12159D31" w14:textId="7EDC5749" w:rsidR="00D2091E" w:rsidRPr="00C41ECA" w:rsidRDefault="00D2091E" w:rsidP="00D2091E">
      <w:pPr>
        <w:pStyle w:val="3-BodyText"/>
      </w:pPr>
      <w:r w:rsidRPr="35298142">
        <w:t xml:space="preserve">The </w:t>
      </w:r>
      <w:r w:rsidR="00434E2D" w:rsidRPr="35298142">
        <w:t xml:space="preserve">published </w:t>
      </w:r>
      <w:proofErr w:type="spellStart"/>
      <w:r w:rsidRPr="35298142">
        <w:t>omaveloxolone</w:t>
      </w:r>
      <w:proofErr w:type="spellEnd"/>
      <w:r w:rsidRPr="35298142">
        <w:t xml:space="preserve"> acquisition cost per patient </w:t>
      </w:r>
      <w:r w:rsidR="007D18C7">
        <w:t>is</w:t>
      </w:r>
      <w:r w:rsidR="007D18C7" w:rsidRPr="35298142">
        <w:t xml:space="preserve"> </w:t>
      </w:r>
      <w:r w:rsidRPr="35298142">
        <w:t xml:space="preserve">reported in </w:t>
      </w:r>
      <w:r>
        <w:fldChar w:fldCharType="begin"/>
      </w:r>
      <w:r>
        <w:instrText xml:space="preserve"> REF _Ref185338426 \h  \* MERGEFORMAT </w:instrText>
      </w:r>
      <w:r>
        <w:fldChar w:fldCharType="separate"/>
      </w:r>
      <w:r w:rsidR="003A4643" w:rsidRPr="35298142">
        <w:t xml:space="preserve">Table </w:t>
      </w:r>
      <w:r w:rsidR="003A4643">
        <w:rPr>
          <w:noProof/>
        </w:rPr>
        <w:t>21</w:t>
      </w:r>
      <w:r>
        <w:fldChar w:fldCharType="end"/>
      </w:r>
      <w:r w:rsidRPr="35298142">
        <w:t>. The</w:t>
      </w:r>
      <w:r w:rsidR="007D18C7">
        <w:t xml:space="preserve"> costs per year </w:t>
      </w:r>
      <w:r w:rsidRPr="35298142">
        <w:t xml:space="preserve">were broadly consistent across the trial (noting its short duration), economic and financial sections of the submission. No other medicines were included in the economics or financial analyses. </w:t>
      </w:r>
    </w:p>
    <w:p w14:paraId="623C1A32" w14:textId="49379658" w:rsidR="00D2091E" w:rsidRPr="00C41ECA" w:rsidRDefault="00D2091E" w:rsidP="35298142">
      <w:pPr>
        <w:pStyle w:val="Caption"/>
        <w:rPr>
          <w:rStyle w:val="CommentReference"/>
          <w:b/>
        </w:rPr>
      </w:pPr>
      <w:bookmarkStart w:id="62" w:name="_Ref185338426"/>
      <w:bookmarkStart w:id="63" w:name="_Hlk107307804"/>
      <w:bookmarkEnd w:id="60"/>
      <w:r w:rsidRPr="35298142">
        <w:t xml:space="preserve">Table </w:t>
      </w:r>
      <w:r w:rsidR="00B717AF">
        <w:fldChar w:fldCharType="begin"/>
      </w:r>
      <w:r w:rsidR="00B717AF">
        <w:instrText xml:space="preserve"> SEQ Table \* ARABIC </w:instrText>
      </w:r>
      <w:r w:rsidR="00B717AF">
        <w:fldChar w:fldCharType="separate"/>
      </w:r>
      <w:r w:rsidR="003A4643">
        <w:rPr>
          <w:noProof/>
        </w:rPr>
        <w:t>21</w:t>
      </w:r>
      <w:r w:rsidR="00B717AF">
        <w:rPr>
          <w:noProof/>
        </w:rPr>
        <w:fldChar w:fldCharType="end"/>
      </w:r>
      <w:bookmarkEnd w:id="62"/>
      <w:r w:rsidRPr="35298142">
        <w:t xml:space="preserve">: </w:t>
      </w:r>
      <w:proofErr w:type="spellStart"/>
      <w:r w:rsidRPr="35298142">
        <w:rPr>
          <w:rStyle w:val="CommentReference"/>
          <w:b/>
        </w:rPr>
        <w:t>Omaveloxolone</w:t>
      </w:r>
      <w:proofErr w:type="spellEnd"/>
      <w:r w:rsidRPr="35298142">
        <w:rPr>
          <w:rStyle w:val="CommentReference"/>
          <w:b/>
        </w:rPr>
        <w:t xml:space="preserve"> cost per patient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1: Omaveloxolone cost per patient"/>
      </w:tblPr>
      <w:tblGrid>
        <w:gridCol w:w="2529"/>
        <w:gridCol w:w="2427"/>
        <w:gridCol w:w="1895"/>
        <w:gridCol w:w="2166"/>
      </w:tblGrid>
      <w:tr w:rsidR="00D2091E" w:rsidRPr="00C41ECA" w14:paraId="14AF8459" w14:textId="77777777" w:rsidTr="35298142">
        <w:trPr>
          <w:cantSplit/>
          <w:tblHeader/>
          <w:jc w:val="center"/>
        </w:trPr>
        <w:tc>
          <w:tcPr>
            <w:tcW w:w="1402" w:type="pct"/>
            <w:vAlign w:val="center"/>
          </w:tcPr>
          <w:p w14:paraId="36C5CF40" w14:textId="77777777" w:rsidR="00D2091E" w:rsidRPr="00C41ECA" w:rsidRDefault="00D2091E" w:rsidP="00C83CBF">
            <w:pPr>
              <w:pStyle w:val="In-tableHeading"/>
            </w:pPr>
          </w:p>
        </w:tc>
        <w:tc>
          <w:tcPr>
            <w:tcW w:w="1346" w:type="pct"/>
            <w:vAlign w:val="center"/>
          </w:tcPr>
          <w:p w14:paraId="5DAC90FB" w14:textId="77777777" w:rsidR="00D2091E" w:rsidRPr="00C41ECA" w:rsidRDefault="00D2091E" w:rsidP="004E34C9">
            <w:pPr>
              <w:pStyle w:val="In-tableHeading"/>
              <w:jc w:val="center"/>
            </w:pPr>
            <w:proofErr w:type="spellStart"/>
            <w:r w:rsidRPr="00C41ECA">
              <w:t>MOXIe</w:t>
            </w:r>
            <w:proofErr w:type="spellEnd"/>
            <w:r w:rsidRPr="00C41ECA">
              <w:t xml:space="preserve"> Part 2</w:t>
            </w:r>
          </w:p>
        </w:tc>
        <w:tc>
          <w:tcPr>
            <w:tcW w:w="1051" w:type="pct"/>
            <w:vAlign w:val="center"/>
          </w:tcPr>
          <w:p w14:paraId="4042D901" w14:textId="77777777" w:rsidR="00D2091E" w:rsidRPr="00C41ECA" w:rsidRDefault="00D2091E" w:rsidP="004E34C9">
            <w:pPr>
              <w:pStyle w:val="In-tableHeading"/>
              <w:jc w:val="center"/>
            </w:pPr>
            <w:r w:rsidRPr="00C41ECA">
              <w:t>Economic Model</w:t>
            </w:r>
          </w:p>
        </w:tc>
        <w:tc>
          <w:tcPr>
            <w:tcW w:w="1201" w:type="pct"/>
            <w:vAlign w:val="center"/>
          </w:tcPr>
          <w:p w14:paraId="5F8BE3D0" w14:textId="77777777" w:rsidR="00D2091E" w:rsidRPr="00C41ECA" w:rsidRDefault="00D2091E" w:rsidP="004E34C9">
            <w:pPr>
              <w:pStyle w:val="In-tableHeading"/>
              <w:jc w:val="center"/>
            </w:pPr>
            <w:r w:rsidRPr="00C41ECA">
              <w:t>Financial Estimates</w:t>
            </w:r>
          </w:p>
        </w:tc>
      </w:tr>
      <w:tr w:rsidR="00D2091E" w:rsidRPr="00C41ECA" w14:paraId="12877872" w14:textId="77777777" w:rsidTr="35298142">
        <w:trPr>
          <w:cantSplit/>
          <w:jc w:val="center"/>
        </w:trPr>
        <w:tc>
          <w:tcPr>
            <w:tcW w:w="1402" w:type="pct"/>
            <w:vAlign w:val="center"/>
          </w:tcPr>
          <w:p w14:paraId="2C74FF62" w14:textId="77777777" w:rsidR="00D2091E" w:rsidRPr="00C41ECA" w:rsidRDefault="00D2091E" w:rsidP="00967D46">
            <w:pPr>
              <w:pStyle w:val="TableText0"/>
            </w:pPr>
            <w:r w:rsidRPr="00C41ECA">
              <w:t>Mean dose (daily, mg)</w:t>
            </w:r>
          </w:p>
        </w:tc>
        <w:tc>
          <w:tcPr>
            <w:tcW w:w="1346" w:type="pct"/>
            <w:vAlign w:val="center"/>
          </w:tcPr>
          <w:p w14:paraId="1F761D28" w14:textId="77777777" w:rsidR="00D2091E" w:rsidRPr="00C41ECA" w:rsidRDefault="00D2091E" w:rsidP="00967D46">
            <w:pPr>
              <w:pStyle w:val="TableText0"/>
              <w:jc w:val="center"/>
            </w:pPr>
            <w:r w:rsidRPr="00C41ECA">
              <w:t>129</w:t>
            </w:r>
            <w:r w:rsidRPr="00C41ECA">
              <w:rPr>
                <w:vertAlign w:val="superscript"/>
              </w:rPr>
              <w:t>a</w:t>
            </w:r>
          </w:p>
        </w:tc>
        <w:tc>
          <w:tcPr>
            <w:tcW w:w="1051" w:type="pct"/>
            <w:vAlign w:val="center"/>
          </w:tcPr>
          <w:p w14:paraId="1149571C" w14:textId="77777777" w:rsidR="00D2091E" w:rsidRPr="00C41ECA" w:rsidRDefault="00D2091E" w:rsidP="00967D46">
            <w:pPr>
              <w:pStyle w:val="TableText0"/>
              <w:jc w:val="center"/>
              <w:rPr>
                <w:vertAlign w:val="superscript"/>
              </w:rPr>
            </w:pPr>
            <w:r w:rsidRPr="00C41ECA">
              <w:t>130</w:t>
            </w:r>
            <w:r w:rsidRPr="00C41ECA">
              <w:rPr>
                <w:vertAlign w:val="superscript"/>
              </w:rPr>
              <w:t>b</w:t>
            </w:r>
          </w:p>
        </w:tc>
        <w:tc>
          <w:tcPr>
            <w:tcW w:w="1201" w:type="pct"/>
            <w:vAlign w:val="center"/>
          </w:tcPr>
          <w:p w14:paraId="459F7CE7" w14:textId="77777777" w:rsidR="00D2091E" w:rsidRPr="00C41ECA" w:rsidRDefault="00D2091E" w:rsidP="00967D46">
            <w:pPr>
              <w:pStyle w:val="TableText0"/>
              <w:jc w:val="center"/>
            </w:pPr>
            <w:r w:rsidRPr="00C41ECA">
              <w:t>129</w:t>
            </w:r>
            <w:r w:rsidRPr="00C41ECA">
              <w:rPr>
                <w:vertAlign w:val="superscript"/>
              </w:rPr>
              <w:t>a</w:t>
            </w:r>
          </w:p>
        </w:tc>
      </w:tr>
      <w:tr w:rsidR="00D2091E" w:rsidRPr="00C41ECA" w14:paraId="7D883929" w14:textId="77777777" w:rsidTr="35298142">
        <w:trPr>
          <w:cantSplit/>
          <w:jc w:val="center"/>
        </w:trPr>
        <w:tc>
          <w:tcPr>
            <w:tcW w:w="1402" w:type="pct"/>
            <w:vAlign w:val="center"/>
          </w:tcPr>
          <w:p w14:paraId="72246EAD" w14:textId="77777777" w:rsidR="00D2091E" w:rsidRPr="00C41ECA" w:rsidRDefault="00D2091E" w:rsidP="00967D46">
            <w:pPr>
              <w:pStyle w:val="TableText0"/>
            </w:pPr>
            <w:r w:rsidRPr="00C41ECA">
              <w:t>Mean duration</w:t>
            </w:r>
          </w:p>
        </w:tc>
        <w:tc>
          <w:tcPr>
            <w:tcW w:w="1346" w:type="pct"/>
            <w:vAlign w:val="center"/>
          </w:tcPr>
          <w:p w14:paraId="7AB6C4B3" w14:textId="77777777" w:rsidR="00D2091E" w:rsidRPr="00C41ECA" w:rsidRDefault="00D2091E" w:rsidP="00967D46">
            <w:pPr>
              <w:pStyle w:val="TableText0"/>
              <w:jc w:val="center"/>
            </w:pPr>
            <w:r w:rsidRPr="00C41ECA">
              <w:t xml:space="preserve">43 weeks </w:t>
            </w:r>
          </w:p>
          <w:p w14:paraId="50A50FEC" w14:textId="77777777" w:rsidR="00D2091E" w:rsidRPr="00C41ECA" w:rsidRDefault="00D2091E" w:rsidP="00967D46">
            <w:pPr>
              <w:pStyle w:val="TableText0"/>
              <w:jc w:val="center"/>
            </w:pPr>
            <w:r w:rsidRPr="00C41ECA">
              <w:t>(trial duration was 48 weeks)</w:t>
            </w:r>
          </w:p>
        </w:tc>
        <w:tc>
          <w:tcPr>
            <w:tcW w:w="1051" w:type="pct"/>
            <w:vAlign w:val="center"/>
          </w:tcPr>
          <w:p w14:paraId="6760A52D" w14:textId="77777777" w:rsidR="00D2091E" w:rsidRPr="00C41ECA" w:rsidRDefault="00D2091E" w:rsidP="00967D46">
            <w:pPr>
              <w:pStyle w:val="TableText0"/>
              <w:jc w:val="center"/>
            </w:pPr>
            <w:r w:rsidRPr="00C41ECA">
              <w:t>14 years</w:t>
            </w:r>
          </w:p>
        </w:tc>
        <w:tc>
          <w:tcPr>
            <w:tcW w:w="1201" w:type="pct"/>
            <w:vAlign w:val="center"/>
          </w:tcPr>
          <w:p w14:paraId="01ADA464" w14:textId="77777777" w:rsidR="00D2091E" w:rsidRPr="00C41ECA" w:rsidRDefault="00D2091E" w:rsidP="35298142">
            <w:pPr>
              <w:pStyle w:val="TableText0"/>
              <w:jc w:val="center"/>
              <w:rPr>
                <w:vertAlign w:val="superscript"/>
              </w:rPr>
            </w:pPr>
            <w:r w:rsidRPr="35298142">
              <w:t xml:space="preserve">Indefinitely for those on treatment for 2+ </w:t>
            </w:r>
            <w:proofErr w:type="spellStart"/>
            <w:r w:rsidRPr="35298142">
              <w:t>years.</w:t>
            </w:r>
            <w:r w:rsidRPr="35298142">
              <w:rPr>
                <w:vertAlign w:val="superscript"/>
              </w:rPr>
              <w:t>c</w:t>
            </w:r>
            <w:proofErr w:type="spellEnd"/>
          </w:p>
        </w:tc>
      </w:tr>
      <w:tr w:rsidR="00D2091E" w:rsidRPr="00C41ECA" w14:paraId="47B2AE4A" w14:textId="77777777" w:rsidTr="35298142">
        <w:trPr>
          <w:cantSplit/>
          <w:jc w:val="center"/>
        </w:trPr>
        <w:tc>
          <w:tcPr>
            <w:tcW w:w="1402" w:type="pct"/>
            <w:vAlign w:val="center"/>
          </w:tcPr>
          <w:p w14:paraId="6E05D9DF" w14:textId="77777777" w:rsidR="00D2091E" w:rsidRPr="00C41ECA" w:rsidRDefault="00D2091E" w:rsidP="00967D46">
            <w:pPr>
              <w:pStyle w:val="TableText0"/>
            </w:pPr>
            <w:r w:rsidRPr="00C41ECA">
              <w:t>Cost/patient/month</w:t>
            </w:r>
          </w:p>
        </w:tc>
        <w:tc>
          <w:tcPr>
            <w:tcW w:w="1346" w:type="pct"/>
          </w:tcPr>
          <w:p w14:paraId="71843A38" w14:textId="527A85B5" w:rsidR="00D2091E" w:rsidRPr="00C41ECA" w:rsidRDefault="00D2091E" w:rsidP="00967D46">
            <w:pPr>
              <w:pStyle w:val="TableText0"/>
              <w:jc w:val="center"/>
            </w:pPr>
            <w:r w:rsidRPr="00C41ECA">
              <w:t>$</w:t>
            </w:r>
            <w:r w:rsidR="003452C5" w:rsidRPr="003452C5">
              <w:rPr>
                <w:color w:val="000000"/>
                <w:spacing w:val="53"/>
                <w:shd w:val="solid" w:color="000000" w:fill="000000"/>
                <w:fitText w:val="330" w:id="-694425591"/>
                <w14:textFill>
                  <w14:solidFill>
                    <w14:srgbClr w14:val="000000">
                      <w14:alpha w14:val="100000"/>
                    </w14:srgbClr>
                  </w14:solidFill>
                </w14:textFill>
              </w:rPr>
              <w:t>|||</w:t>
            </w:r>
            <w:r w:rsidR="003452C5" w:rsidRPr="003452C5">
              <w:rPr>
                <w:color w:val="000000"/>
                <w:spacing w:val="1"/>
                <w:shd w:val="solid" w:color="000000" w:fill="000000"/>
                <w:fitText w:val="330" w:id="-694425591"/>
                <w14:textFill>
                  <w14:solidFill>
                    <w14:srgbClr w14:val="000000">
                      <w14:alpha w14:val="100000"/>
                    </w14:srgbClr>
                  </w14:solidFill>
                </w14:textFill>
              </w:rPr>
              <w:t>|</w:t>
            </w:r>
          </w:p>
        </w:tc>
        <w:tc>
          <w:tcPr>
            <w:tcW w:w="1051" w:type="pct"/>
            <w:vAlign w:val="center"/>
          </w:tcPr>
          <w:p w14:paraId="78BA5A12" w14:textId="3617B1BB" w:rsidR="00D2091E" w:rsidRPr="00C41ECA" w:rsidRDefault="00D2091E" w:rsidP="00967D46">
            <w:pPr>
              <w:pStyle w:val="TableText0"/>
              <w:jc w:val="center"/>
            </w:pPr>
            <w:r w:rsidRPr="00C41ECA">
              <w:t>$</w:t>
            </w:r>
            <w:r w:rsidR="003452C5" w:rsidRPr="003452C5">
              <w:rPr>
                <w:color w:val="000000"/>
                <w:spacing w:val="49"/>
                <w:shd w:val="solid" w:color="000000" w:fill="000000"/>
                <w:fitText w:val="320" w:id="-694425590"/>
                <w14:textFill>
                  <w14:solidFill>
                    <w14:srgbClr w14:val="000000">
                      <w14:alpha w14:val="100000"/>
                    </w14:srgbClr>
                  </w14:solidFill>
                </w14:textFill>
              </w:rPr>
              <w:t>|||</w:t>
            </w:r>
            <w:r w:rsidR="003452C5" w:rsidRPr="003452C5">
              <w:rPr>
                <w:color w:val="000000"/>
                <w:spacing w:val="3"/>
                <w:shd w:val="solid" w:color="000000" w:fill="000000"/>
                <w:fitText w:val="320" w:id="-694425590"/>
                <w14:textFill>
                  <w14:solidFill>
                    <w14:srgbClr w14:val="000000">
                      <w14:alpha w14:val="100000"/>
                    </w14:srgbClr>
                  </w14:solidFill>
                </w14:textFill>
              </w:rPr>
              <w:t>|</w:t>
            </w:r>
          </w:p>
        </w:tc>
        <w:tc>
          <w:tcPr>
            <w:tcW w:w="1201" w:type="pct"/>
            <w:vAlign w:val="center"/>
          </w:tcPr>
          <w:p w14:paraId="201E5BC1" w14:textId="3DCF9EBA" w:rsidR="00D2091E" w:rsidRPr="00C41ECA" w:rsidRDefault="00D2091E" w:rsidP="00967D46">
            <w:pPr>
              <w:pStyle w:val="TableText0"/>
              <w:jc w:val="center"/>
            </w:pPr>
            <w:r w:rsidRPr="00C41ECA">
              <w:t>$</w:t>
            </w:r>
            <w:r w:rsidR="003452C5" w:rsidRPr="003452C5">
              <w:rPr>
                <w:color w:val="000000"/>
                <w:spacing w:val="53"/>
                <w:shd w:val="solid" w:color="000000" w:fill="000000"/>
                <w:fitText w:val="330" w:id="-694425589"/>
                <w14:textFill>
                  <w14:solidFill>
                    <w14:srgbClr w14:val="000000">
                      <w14:alpha w14:val="100000"/>
                    </w14:srgbClr>
                  </w14:solidFill>
                </w14:textFill>
              </w:rPr>
              <w:t>|||</w:t>
            </w:r>
            <w:r w:rsidR="003452C5" w:rsidRPr="003452C5">
              <w:rPr>
                <w:color w:val="000000"/>
                <w:spacing w:val="1"/>
                <w:shd w:val="solid" w:color="000000" w:fill="000000"/>
                <w:fitText w:val="330" w:id="-694425589"/>
                <w14:textFill>
                  <w14:solidFill>
                    <w14:srgbClr w14:val="000000">
                      <w14:alpha w14:val="100000"/>
                    </w14:srgbClr>
                  </w14:solidFill>
                </w14:textFill>
              </w:rPr>
              <w:t>|</w:t>
            </w:r>
          </w:p>
        </w:tc>
      </w:tr>
      <w:tr w:rsidR="00D2091E" w:rsidRPr="00C41ECA" w14:paraId="56076F2C" w14:textId="77777777" w:rsidTr="35298142">
        <w:trPr>
          <w:cantSplit/>
          <w:jc w:val="center"/>
        </w:trPr>
        <w:tc>
          <w:tcPr>
            <w:tcW w:w="1402" w:type="pct"/>
            <w:vAlign w:val="center"/>
          </w:tcPr>
          <w:p w14:paraId="2CD5290C" w14:textId="77777777" w:rsidR="00D2091E" w:rsidRPr="00C41ECA" w:rsidRDefault="00D2091E" w:rsidP="00967D46">
            <w:pPr>
              <w:pStyle w:val="TableText0"/>
            </w:pPr>
            <w:r w:rsidRPr="00C41ECA">
              <w:t>Cost/patient/year</w:t>
            </w:r>
          </w:p>
        </w:tc>
        <w:tc>
          <w:tcPr>
            <w:tcW w:w="1346" w:type="pct"/>
          </w:tcPr>
          <w:p w14:paraId="089474E0" w14:textId="098E6E85" w:rsidR="00D2091E" w:rsidRPr="00BE244A" w:rsidRDefault="00D2091E" w:rsidP="00967D46">
            <w:pPr>
              <w:pStyle w:val="TableText0"/>
              <w:jc w:val="center"/>
            </w:pPr>
            <w:r w:rsidRPr="00BE244A">
              <w:t>$</w:t>
            </w:r>
            <w:r w:rsidR="003452C5" w:rsidRPr="003452C5">
              <w:rPr>
                <w:color w:val="000000"/>
                <w:spacing w:val="53"/>
                <w:shd w:val="solid" w:color="000000" w:fill="000000"/>
                <w:fitText w:val="330" w:id="-694425588"/>
                <w14:textFill>
                  <w14:solidFill>
                    <w14:srgbClr w14:val="000000">
                      <w14:alpha w14:val="100000"/>
                    </w14:srgbClr>
                  </w14:solidFill>
                </w14:textFill>
              </w:rPr>
              <w:t>|||</w:t>
            </w:r>
            <w:r w:rsidR="003452C5" w:rsidRPr="003452C5">
              <w:rPr>
                <w:color w:val="000000"/>
                <w:spacing w:val="1"/>
                <w:shd w:val="solid" w:color="000000" w:fill="000000"/>
                <w:fitText w:val="330" w:id="-694425588"/>
                <w14:textFill>
                  <w14:solidFill>
                    <w14:srgbClr w14:val="000000">
                      <w14:alpha w14:val="100000"/>
                    </w14:srgbClr>
                  </w14:solidFill>
                </w14:textFill>
              </w:rPr>
              <w:t>|</w:t>
            </w:r>
          </w:p>
        </w:tc>
        <w:tc>
          <w:tcPr>
            <w:tcW w:w="1051" w:type="pct"/>
            <w:vAlign w:val="center"/>
          </w:tcPr>
          <w:p w14:paraId="42545BBD" w14:textId="165C6AAF" w:rsidR="00D2091E" w:rsidRPr="00BE244A" w:rsidRDefault="00D2091E" w:rsidP="00967D46">
            <w:pPr>
              <w:pStyle w:val="TableText0"/>
              <w:jc w:val="center"/>
            </w:pPr>
            <w:r w:rsidRPr="00BE244A">
              <w:t>$</w:t>
            </w:r>
            <w:r w:rsidR="003452C5" w:rsidRPr="003452C5">
              <w:rPr>
                <w:color w:val="000000"/>
                <w:spacing w:val="49"/>
                <w:shd w:val="solid" w:color="000000" w:fill="000000"/>
                <w:fitText w:val="320" w:id="-694425587"/>
                <w14:textFill>
                  <w14:solidFill>
                    <w14:srgbClr w14:val="000000">
                      <w14:alpha w14:val="100000"/>
                    </w14:srgbClr>
                  </w14:solidFill>
                </w14:textFill>
              </w:rPr>
              <w:t>|||</w:t>
            </w:r>
            <w:r w:rsidR="003452C5" w:rsidRPr="003452C5">
              <w:rPr>
                <w:color w:val="000000"/>
                <w:spacing w:val="3"/>
                <w:shd w:val="solid" w:color="000000" w:fill="000000"/>
                <w:fitText w:val="320" w:id="-694425587"/>
                <w14:textFill>
                  <w14:solidFill>
                    <w14:srgbClr w14:val="000000">
                      <w14:alpha w14:val="100000"/>
                    </w14:srgbClr>
                  </w14:solidFill>
                </w14:textFill>
              </w:rPr>
              <w:t>|</w:t>
            </w:r>
          </w:p>
        </w:tc>
        <w:tc>
          <w:tcPr>
            <w:tcW w:w="1201" w:type="pct"/>
            <w:vAlign w:val="center"/>
          </w:tcPr>
          <w:p w14:paraId="39503B80" w14:textId="1C65AEF4" w:rsidR="00D2091E" w:rsidRPr="00BE244A" w:rsidRDefault="00D2091E" w:rsidP="00967D46">
            <w:pPr>
              <w:pStyle w:val="TableText0"/>
              <w:jc w:val="center"/>
            </w:pPr>
            <w:r w:rsidRPr="00BE244A">
              <w:t>$</w:t>
            </w:r>
            <w:r w:rsidR="003452C5" w:rsidRPr="003452C5">
              <w:rPr>
                <w:color w:val="000000"/>
                <w:spacing w:val="53"/>
                <w:shd w:val="solid" w:color="000000" w:fill="000000"/>
                <w:fitText w:val="330" w:id="-694425586"/>
                <w14:textFill>
                  <w14:solidFill>
                    <w14:srgbClr w14:val="000000">
                      <w14:alpha w14:val="100000"/>
                    </w14:srgbClr>
                  </w14:solidFill>
                </w14:textFill>
              </w:rPr>
              <w:t>|||</w:t>
            </w:r>
            <w:r w:rsidR="003452C5" w:rsidRPr="003452C5">
              <w:rPr>
                <w:color w:val="000000"/>
                <w:spacing w:val="1"/>
                <w:shd w:val="solid" w:color="000000" w:fill="000000"/>
                <w:fitText w:val="330" w:id="-694425586"/>
                <w14:textFill>
                  <w14:solidFill>
                    <w14:srgbClr w14:val="000000">
                      <w14:alpha w14:val="100000"/>
                    </w14:srgbClr>
                  </w14:solidFill>
                </w14:textFill>
              </w:rPr>
              <w:t>|</w:t>
            </w:r>
          </w:p>
        </w:tc>
      </w:tr>
    </w:tbl>
    <w:p w14:paraId="7640C45F" w14:textId="77777777" w:rsidR="00D2091E" w:rsidRPr="00C41ECA" w:rsidRDefault="00D2091E" w:rsidP="00D2091E">
      <w:pPr>
        <w:pStyle w:val="TableFigureFooter"/>
        <w:keepNext/>
      </w:pPr>
      <w:r w:rsidRPr="00C41ECA">
        <w:t>Source: Constructed during the evaluation from the “Attachment 10 - Cost utility analysis (CUA) workbook (Section 3)” attachment provided with the submission.</w:t>
      </w:r>
    </w:p>
    <w:p w14:paraId="2DBA651A" w14:textId="2FEFF3A4" w:rsidR="00D2091E" w:rsidRPr="00C41ECA" w:rsidRDefault="00D2091E" w:rsidP="00D2091E">
      <w:pPr>
        <w:pStyle w:val="TableFigureFooter"/>
        <w:keepNext/>
      </w:pPr>
      <w:r w:rsidRPr="00C41ECA">
        <w:t>PI=product information; RD</w:t>
      </w:r>
      <w:r w:rsidR="004E633B" w:rsidRPr="00C41ECA">
        <w:t>I</w:t>
      </w:r>
      <w:r w:rsidRPr="00C41ECA">
        <w:t xml:space="preserve">=relative dose intensity. </w:t>
      </w:r>
    </w:p>
    <w:p w14:paraId="62C56232" w14:textId="77777777" w:rsidR="00D2091E" w:rsidRPr="00C41ECA" w:rsidRDefault="00D2091E" w:rsidP="00D2091E">
      <w:pPr>
        <w:pStyle w:val="TableFigureFooter"/>
        <w:keepNext/>
      </w:pPr>
      <w:r w:rsidRPr="00C41ECA">
        <w:rPr>
          <w:vertAlign w:val="superscript"/>
        </w:rPr>
        <w:t xml:space="preserve">a </w:t>
      </w:r>
      <w:r w:rsidRPr="00C41ECA">
        <w:t>Mean dose based on the PI dose (150 mg daily) × RDI reported in the trial, 86%.</w:t>
      </w:r>
    </w:p>
    <w:p w14:paraId="49550A81" w14:textId="77777777" w:rsidR="00D2091E" w:rsidRPr="00C41ECA" w:rsidRDefault="00D2091E" w:rsidP="00D2091E">
      <w:pPr>
        <w:pStyle w:val="TableFigureFooter"/>
        <w:keepNext/>
      </w:pPr>
      <w:r w:rsidRPr="35298142">
        <w:rPr>
          <w:vertAlign w:val="superscript"/>
        </w:rPr>
        <w:t xml:space="preserve">b </w:t>
      </w:r>
      <w:r w:rsidRPr="35298142">
        <w:t>In the economic analysis, the submission applied an RDI of 87%, it is unclear where this was sourced from.</w:t>
      </w:r>
    </w:p>
    <w:p w14:paraId="5E80D7BE" w14:textId="77777777" w:rsidR="00D2091E" w:rsidRPr="00C41ECA" w:rsidRDefault="00D2091E" w:rsidP="00D2091E">
      <w:pPr>
        <w:pStyle w:val="TableFigureFooter"/>
        <w:keepNext/>
      </w:pPr>
      <w:r w:rsidRPr="00C41ECA">
        <w:rPr>
          <w:vertAlign w:val="superscript"/>
        </w:rPr>
        <w:t xml:space="preserve">c </w:t>
      </w:r>
      <w:r w:rsidRPr="00C41ECA">
        <w:t xml:space="preserve">A treatment discontinuation rate of </w:t>
      </w:r>
      <w:r w:rsidRPr="00F55B2C">
        <w:t>14</w:t>
      </w:r>
      <w:r w:rsidRPr="00C41ECA">
        <w:t xml:space="preserve">% was applied for patients in their first year of treatment, for patients in the second or above year of treatment no discontinuation rate was applied. </w:t>
      </w:r>
    </w:p>
    <w:p w14:paraId="0FE18EE9" w14:textId="77777777" w:rsidR="00D2091E" w:rsidRPr="0098262F" w:rsidRDefault="00D2091E" w:rsidP="00D2091E">
      <w:pPr>
        <w:pStyle w:val="4-SubsectionHeading"/>
      </w:pPr>
      <w:bookmarkStart w:id="64" w:name="_Toc22897647"/>
      <w:bookmarkStart w:id="65" w:name="_Toc107927633"/>
      <w:bookmarkStart w:id="66" w:name="_Toc188438064"/>
      <w:bookmarkEnd w:id="63"/>
      <w:r w:rsidRPr="0098262F">
        <w:t>Estimated PBS usage &amp; financial implications</w:t>
      </w:r>
      <w:bookmarkEnd w:id="64"/>
      <w:bookmarkEnd w:id="65"/>
      <w:bookmarkEnd w:id="66"/>
    </w:p>
    <w:p w14:paraId="013D792D" w14:textId="27B9CEE7" w:rsidR="00D919F0" w:rsidRPr="0098262F" w:rsidRDefault="00D919F0" w:rsidP="00D919F0">
      <w:pPr>
        <w:pStyle w:val="3-BodyText"/>
      </w:pPr>
      <w:bookmarkStart w:id="67" w:name="_Toc22897648"/>
      <w:bookmarkStart w:id="68" w:name="_Toc107927634"/>
      <w:bookmarkStart w:id="69" w:name="_Toc188438065"/>
      <w:r w:rsidRPr="0098262F">
        <w:t>This submission w</w:t>
      </w:r>
      <w:r w:rsidR="00F1014E">
        <w:t>as</w:t>
      </w:r>
      <w:r w:rsidRPr="0098262F">
        <w:t xml:space="preserve"> considered by DUSC</w:t>
      </w:r>
      <w:r>
        <w:t xml:space="preserve">. An epidemiological approach was used to estimate the financial impact of listing </w:t>
      </w:r>
      <w:proofErr w:type="spellStart"/>
      <w:r>
        <w:t>omaveloxolone</w:t>
      </w:r>
      <w:proofErr w:type="spellEnd"/>
      <w:r>
        <w:t xml:space="preserve"> on the PBS. The key components of the financial analyses are presented in </w:t>
      </w:r>
      <w:r>
        <w:fldChar w:fldCharType="begin"/>
      </w:r>
      <w:r>
        <w:instrText xml:space="preserve"> REF _Ref104805262 \h </w:instrText>
      </w:r>
      <w:r>
        <w:fldChar w:fldCharType="separate"/>
      </w:r>
      <w:r w:rsidR="003A4643" w:rsidRPr="0098262F">
        <w:t xml:space="preserve">Table </w:t>
      </w:r>
      <w:r w:rsidR="003A4643">
        <w:rPr>
          <w:noProof/>
        </w:rPr>
        <w:t>22</w:t>
      </w:r>
      <w:r>
        <w:fldChar w:fldCharType="end"/>
      </w:r>
      <w:r>
        <w:t xml:space="preserve">. </w:t>
      </w:r>
    </w:p>
    <w:p w14:paraId="2E5E7283" w14:textId="184C2C5B" w:rsidR="00D919F0" w:rsidRPr="0098262F" w:rsidRDefault="00D919F0" w:rsidP="00D919F0">
      <w:pPr>
        <w:pStyle w:val="Caption"/>
        <w:rPr>
          <w:rStyle w:val="CommentReference"/>
          <w:b/>
          <w:szCs w:val="24"/>
        </w:rPr>
      </w:pPr>
      <w:bookmarkStart w:id="70" w:name="_Ref104805262"/>
      <w:r w:rsidRPr="0098262F">
        <w:t xml:space="preserve">Table </w:t>
      </w:r>
      <w:r w:rsidR="00525946">
        <w:fldChar w:fldCharType="begin"/>
      </w:r>
      <w:r w:rsidR="00525946">
        <w:instrText xml:space="preserve"> SEQ Table \* ARABIC </w:instrText>
      </w:r>
      <w:r w:rsidR="00525946">
        <w:fldChar w:fldCharType="separate"/>
      </w:r>
      <w:r w:rsidR="003A4643">
        <w:rPr>
          <w:noProof/>
        </w:rPr>
        <w:t>22</w:t>
      </w:r>
      <w:r w:rsidR="00525946">
        <w:rPr>
          <w:noProof/>
        </w:rPr>
        <w:fldChar w:fldCharType="end"/>
      </w:r>
      <w:bookmarkEnd w:id="70"/>
      <w:r w:rsidRPr="0098262F">
        <w:t>:</w:t>
      </w:r>
      <w:r w:rsidRPr="0098262F">
        <w:rPr>
          <w:rStyle w:val="CommentReference"/>
          <w:b/>
          <w:szCs w:val="24"/>
        </w:rPr>
        <w:t xml:space="preserve"> Data sources and parameter values applied in the utilisation and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2: Data sources and parameter values applied in the utilisation and financial estimates"/>
      </w:tblPr>
      <w:tblGrid>
        <w:gridCol w:w="1356"/>
        <w:gridCol w:w="3459"/>
        <w:gridCol w:w="4202"/>
      </w:tblGrid>
      <w:tr w:rsidR="00D919F0" w:rsidRPr="0098262F" w14:paraId="2BE5319F" w14:textId="77777777">
        <w:trPr>
          <w:tblHeader/>
        </w:trPr>
        <w:tc>
          <w:tcPr>
            <w:tcW w:w="1356" w:type="dxa"/>
            <w:vAlign w:val="center"/>
          </w:tcPr>
          <w:p w14:paraId="785BEA26" w14:textId="77777777" w:rsidR="00D919F0" w:rsidRPr="0098262F" w:rsidRDefault="00D919F0">
            <w:pPr>
              <w:pStyle w:val="In-tableHeading"/>
              <w:jc w:val="center"/>
            </w:pPr>
            <w:r w:rsidRPr="0098262F">
              <w:t>Data</w:t>
            </w:r>
          </w:p>
        </w:tc>
        <w:tc>
          <w:tcPr>
            <w:tcW w:w="3459" w:type="dxa"/>
            <w:vAlign w:val="center"/>
          </w:tcPr>
          <w:p w14:paraId="7932A1FC" w14:textId="77777777" w:rsidR="00D919F0" w:rsidRPr="0098262F" w:rsidRDefault="00D919F0">
            <w:pPr>
              <w:pStyle w:val="In-tableHeading"/>
              <w:jc w:val="center"/>
            </w:pPr>
            <w:r>
              <w:t xml:space="preserve">Value and </w:t>
            </w:r>
            <w:r w:rsidRPr="0098262F">
              <w:t>Source</w:t>
            </w:r>
          </w:p>
        </w:tc>
        <w:tc>
          <w:tcPr>
            <w:tcW w:w="4202" w:type="dxa"/>
            <w:vAlign w:val="center"/>
          </w:tcPr>
          <w:p w14:paraId="267D319E" w14:textId="77777777" w:rsidR="00D919F0" w:rsidRPr="0098262F" w:rsidRDefault="00D919F0">
            <w:pPr>
              <w:pStyle w:val="In-tableHeading"/>
              <w:jc w:val="center"/>
            </w:pPr>
            <w:r w:rsidRPr="0098262F">
              <w:t>Comment</w:t>
            </w:r>
          </w:p>
        </w:tc>
      </w:tr>
      <w:tr w:rsidR="00D919F0" w:rsidRPr="0098262F" w14:paraId="2384A049" w14:textId="77777777">
        <w:tc>
          <w:tcPr>
            <w:tcW w:w="0" w:type="auto"/>
            <w:gridSpan w:val="3"/>
            <w:vAlign w:val="center"/>
          </w:tcPr>
          <w:p w14:paraId="12AD7595" w14:textId="77777777" w:rsidR="00D919F0" w:rsidRPr="0098262F" w:rsidRDefault="00D919F0">
            <w:pPr>
              <w:pStyle w:val="In-tableHeading"/>
            </w:pPr>
            <w:r w:rsidRPr="0098262F">
              <w:t>Eligible population</w:t>
            </w:r>
          </w:p>
        </w:tc>
      </w:tr>
      <w:tr w:rsidR="00D919F0" w:rsidRPr="0098262F" w14:paraId="09E80AD9" w14:textId="77777777">
        <w:tc>
          <w:tcPr>
            <w:tcW w:w="1356" w:type="dxa"/>
            <w:vAlign w:val="center"/>
          </w:tcPr>
          <w:p w14:paraId="3205CB1D" w14:textId="77777777" w:rsidR="00D919F0" w:rsidRPr="0098262F" w:rsidRDefault="00D919F0">
            <w:pPr>
              <w:pStyle w:val="TableText0"/>
            </w:pPr>
            <w:r>
              <w:t>FA prevalence</w:t>
            </w:r>
          </w:p>
        </w:tc>
        <w:tc>
          <w:tcPr>
            <w:tcW w:w="3459" w:type="dxa"/>
            <w:vAlign w:val="center"/>
          </w:tcPr>
          <w:p w14:paraId="234DF306" w14:textId="77777777" w:rsidR="00D919F0" w:rsidRPr="0098262F" w:rsidRDefault="00D919F0">
            <w:pPr>
              <w:pStyle w:val="TableText0"/>
            </w:pPr>
            <w:r>
              <w:t xml:space="preserve">1 in 43,458. Average of prevalence rates reported in Spain, Portugal, UK, Greece and Italy. </w:t>
            </w:r>
          </w:p>
        </w:tc>
        <w:tc>
          <w:tcPr>
            <w:tcW w:w="4202" w:type="dxa"/>
            <w:vAlign w:val="center"/>
          </w:tcPr>
          <w:p w14:paraId="0070FEB5" w14:textId="7F6F45C7" w:rsidR="00D919F0" w:rsidRPr="00525946" w:rsidRDefault="00D919F0">
            <w:pPr>
              <w:pStyle w:val="TableText0"/>
            </w:pPr>
            <w:r w:rsidRPr="00525946">
              <w:t xml:space="preserve">The prevalence rate in the Australian setting is uncertain. The </w:t>
            </w:r>
            <w:r w:rsidR="00F72FAA">
              <w:t xml:space="preserve">use of the </w:t>
            </w:r>
            <w:r w:rsidR="003C1728">
              <w:t>FARA</w:t>
            </w:r>
            <w:r w:rsidR="003C1728" w:rsidRPr="00525946">
              <w:t xml:space="preserve"> </w:t>
            </w:r>
            <w:r w:rsidRPr="00525946">
              <w:t xml:space="preserve">prevalence estimate (1 in 30,000) had a substantial impact on the financial </w:t>
            </w:r>
            <w:proofErr w:type="spellStart"/>
            <w:r w:rsidRPr="00525946">
              <w:t>estimates</w:t>
            </w:r>
            <w:r w:rsidRPr="00525946">
              <w:rPr>
                <w:vertAlign w:val="superscript"/>
              </w:rPr>
              <w:t>a</w:t>
            </w:r>
            <w:proofErr w:type="spellEnd"/>
            <w:r w:rsidR="00B67957">
              <w:t xml:space="preserve">. </w:t>
            </w:r>
            <w:r w:rsidR="001E4F83" w:rsidRPr="000C24A8">
              <w:t xml:space="preserve">The </w:t>
            </w:r>
            <w:r w:rsidR="00EF3EAC" w:rsidRPr="000C24A8">
              <w:t>DUSC considered th</w:t>
            </w:r>
            <w:r w:rsidR="003C1728">
              <w:t xml:space="preserve">e prevalence rate applied </w:t>
            </w:r>
            <w:r w:rsidR="00EF3EAC" w:rsidRPr="000C24A8">
              <w:t>may be reasonable in the absence of an alternative estimate</w:t>
            </w:r>
            <w:r w:rsidR="00B67957">
              <w:t>,</w:t>
            </w:r>
            <w:r w:rsidR="00EF3EAC" w:rsidRPr="000C24A8">
              <w:t xml:space="preserve"> but </w:t>
            </w:r>
            <w:r w:rsidR="003C1728">
              <w:t xml:space="preserve">it </w:t>
            </w:r>
            <w:r w:rsidR="00EF3EAC" w:rsidRPr="000C24A8">
              <w:t>is highly uncertain.</w:t>
            </w:r>
          </w:p>
        </w:tc>
      </w:tr>
      <w:tr w:rsidR="00D919F0" w:rsidRPr="0098262F" w14:paraId="0C6E9C34" w14:textId="77777777">
        <w:tc>
          <w:tcPr>
            <w:tcW w:w="1356" w:type="dxa"/>
            <w:vAlign w:val="center"/>
          </w:tcPr>
          <w:p w14:paraId="25F4D6F0" w14:textId="77777777" w:rsidR="00D919F0" w:rsidRPr="0098262F" w:rsidRDefault="00D919F0">
            <w:pPr>
              <w:pStyle w:val="TableText0"/>
            </w:pPr>
            <w:r>
              <w:t>Proportion of FA patients aged over 16 years</w:t>
            </w:r>
          </w:p>
        </w:tc>
        <w:tc>
          <w:tcPr>
            <w:tcW w:w="3459" w:type="dxa"/>
            <w:vAlign w:val="center"/>
          </w:tcPr>
          <w:p w14:paraId="3CE68BB1" w14:textId="77777777" w:rsidR="00D919F0" w:rsidRPr="0098262F" w:rsidRDefault="00D919F0">
            <w:pPr>
              <w:pStyle w:val="TableText0"/>
            </w:pPr>
            <w:r>
              <w:t>75%. Proportion of patients aged over 16 years in the Australian FACOMS registry.</w:t>
            </w:r>
          </w:p>
        </w:tc>
        <w:tc>
          <w:tcPr>
            <w:tcW w:w="4202" w:type="dxa"/>
            <w:vAlign w:val="center"/>
          </w:tcPr>
          <w:p w14:paraId="7389E6F8" w14:textId="69F4B125" w:rsidR="00D919F0" w:rsidRPr="00525946" w:rsidRDefault="00C71A70">
            <w:pPr>
              <w:pStyle w:val="TableText0"/>
            </w:pPr>
            <w:r w:rsidRPr="000C24A8">
              <w:t xml:space="preserve">The </w:t>
            </w:r>
            <w:r w:rsidR="0063295A" w:rsidRPr="000C24A8">
              <w:t xml:space="preserve">DUSC noted that the FACOMS registry is not population-based and therefore may </w:t>
            </w:r>
            <w:r w:rsidR="00165215">
              <w:t xml:space="preserve">not be </w:t>
            </w:r>
            <w:r w:rsidR="0063295A" w:rsidRPr="000C24A8">
              <w:t>representative of the Australian population with FA.</w:t>
            </w:r>
          </w:p>
        </w:tc>
      </w:tr>
      <w:tr w:rsidR="00D919F0" w:rsidRPr="0098262F" w14:paraId="6CC3DD5E" w14:textId="77777777">
        <w:tc>
          <w:tcPr>
            <w:tcW w:w="1356" w:type="dxa"/>
            <w:vAlign w:val="center"/>
          </w:tcPr>
          <w:p w14:paraId="0A6B1DC8" w14:textId="77777777" w:rsidR="00D919F0" w:rsidRDefault="00D919F0">
            <w:pPr>
              <w:pStyle w:val="TableText0"/>
            </w:pPr>
            <w:r>
              <w:t>Treatment naïve patients</w:t>
            </w:r>
          </w:p>
        </w:tc>
        <w:tc>
          <w:tcPr>
            <w:tcW w:w="3459" w:type="dxa"/>
            <w:vAlign w:val="center"/>
          </w:tcPr>
          <w:p w14:paraId="4A623F8C" w14:textId="77777777" w:rsidR="00D919F0" w:rsidRDefault="00D919F0">
            <w:pPr>
              <w:pStyle w:val="TableText0"/>
            </w:pPr>
            <w:r>
              <w:t>Prevalent patients who have not been treated due to not taking up treatment in previous years.</w:t>
            </w:r>
          </w:p>
        </w:tc>
        <w:tc>
          <w:tcPr>
            <w:tcW w:w="4202" w:type="dxa"/>
            <w:vAlign w:val="center"/>
          </w:tcPr>
          <w:p w14:paraId="362CB90C" w14:textId="77777777" w:rsidR="00D919F0" w:rsidRPr="00525946" w:rsidRDefault="00D919F0">
            <w:pPr>
              <w:pStyle w:val="TableText0"/>
            </w:pPr>
            <w:r w:rsidRPr="00525946">
              <w:t xml:space="preserve">No incident patients were included in the financial estimates. </w:t>
            </w:r>
          </w:p>
        </w:tc>
      </w:tr>
      <w:tr w:rsidR="00D919F0" w:rsidRPr="0098262F" w14:paraId="5C774DD2" w14:textId="77777777">
        <w:tc>
          <w:tcPr>
            <w:tcW w:w="0" w:type="auto"/>
            <w:gridSpan w:val="3"/>
            <w:vAlign w:val="center"/>
          </w:tcPr>
          <w:p w14:paraId="31106173" w14:textId="77777777" w:rsidR="00D919F0" w:rsidRPr="00E20C43" w:rsidRDefault="00D919F0">
            <w:pPr>
              <w:pStyle w:val="TableText0"/>
              <w:rPr>
                <w:b/>
                <w:bCs w:val="0"/>
              </w:rPr>
            </w:pPr>
            <w:r w:rsidRPr="00E20C43">
              <w:rPr>
                <w:b/>
                <w:bCs w:val="0"/>
              </w:rPr>
              <w:t>Treatment utilisation</w:t>
            </w:r>
          </w:p>
        </w:tc>
      </w:tr>
      <w:tr w:rsidR="00D919F0" w:rsidRPr="0098262F" w14:paraId="6A867C12" w14:textId="77777777">
        <w:tc>
          <w:tcPr>
            <w:tcW w:w="1356" w:type="dxa"/>
            <w:vAlign w:val="center"/>
          </w:tcPr>
          <w:p w14:paraId="67F15158" w14:textId="77777777" w:rsidR="00D919F0" w:rsidRPr="0098262F" w:rsidRDefault="00D919F0">
            <w:pPr>
              <w:pStyle w:val="TableText0"/>
            </w:pPr>
            <w:r w:rsidRPr="0098262F">
              <w:t>Uptake rate</w:t>
            </w:r>
          </w:p>
        </w:tc>
        <w:tc>
          <w:tcPr>
            <w:tcW w:w="3459" w:type="dxa"/>
            <w:vAlign w:val="center"/>
          </w:tcPr>
          <w:p w14:paraId="2FCA97ED" w14:textId="67FC0610" w:rsidR="00D919F0" w:rsidRPr="0098262F" w:rsidRDefault="003452C5">
            <w:pPr>
              <w:pStyle w:val="TableText0"/>
            </w:pPr>
            <w:r w:rsidRPr="003452C5">
              <w:rPr>
                <w:color w:val="000000"/>
                <w:spacing w:val="53"/>
                <w:shd w:val="solid" w:color="000000" w:fill="000000"/>
                <w:fitText w:val="330" w:id="-694425585"/>
                <w14:textFill>
                  <w14:solidFill>
                    <w14:srgbClr w14:val="000000">
                      <w14:alpha w14:val="100000"/>
                    </w14:srgbClr>
                  </w14:solidFill>
                </w14:textFill>
              </w:rPr>
              <w:t>|||</w:t>
            </w:r>
            <w:r w:rsidRPr="003452C5">
              <w:rPr>
                <w:color w:val="000000"/>
                <w:spacing w:val="1"/>
                <w:shd w:val="solid" w:color="000000" w:fill="000000"/>
                <w:fitText w:val="330" w:id="-694425585"/>
                <w14:textFill>
                  <w14:solidFill>
                    <w14:srgbClr w14:val="000000">
                      <w14:alpha w14:val="100000"/>
                    </w14:srgbClr>
                  </w14:solidFill>
                </w14:textFill>
              </w:rPr>
              <w:t>|</w:t>
            </w:r>
            <w:r w:rsidR="00D919F0">
              <w:t xml:space="preserve">% in Year 1 increasing to </w:t>
            </w:r>
            <w:r w:rsidRPr="003452C5">
              <w:rPr>
                <w:color w:val="000000"/>
                <w:spacing w:val="53"/>
                <w:shd w:val="solid" w:color="000000" w:fill="000000"/>
                <w:fitText w:val="330" w:id="-694425584"/>
                <w14:textFill>
                  <w14:solidFill>
                    <w14:srgbClr w14:val="000000">
                      <w14:alpha w14:val="100000"/>
                    </w14:srgbClr>
                  </w14:solidFill>
                </w14:textFill>
              </w:rPr>
              <w:t>|||</w:t>
            </w:r>
            <w:r w:rsidRPr="003452C5">
              <w:rPr>
                <w:color w:val="000000"/>
                <w:spacing w:val="1"/>
                <w:shd w:val="solid" w:color="000000" w:fill="000000"/>
                <w:fitText w:val="330" w:id="-694425584"/>
                <w14:textFill>
                  <w14:solidFill>
                    <w14:srgbClr w14:val="000000">
                      <w14:alpha w14:val="100000"/>
                    </w14:srgbClr>
                  </w14:solidFill>
                </w14:textFill>
              </w:rPr>
              <w:t>|</w:t>
            </w:r>
            <w:r w:rsidR="00D919F0">
              <w:t>% in Year 6. Assumption based on uptake in other submission that address high unmet clinical need.</w:t>
            </w:r>
          </w:p>
        </w:tc>
        <w:tc>
          <w:tcPr>
            <w:tcW w:w="4202" w:type="dxa"/>
            <w:vAlign w:val="center"/>
          </w:tcPr>
          <w:p w14:paraId="0A333BB6" w14:textId="524007DA" w:rsidR="00D919F0" w:rsidRPr="00525946" w:rsidRDefault="00885C47">
            <w:pPr>
              <w:pStyle w:val="TableText0"/>
            </w:pPr>
            <w:r>
              <w:t>-</w:t>
            </w:r>
          </w:p>
        </w:tc>
      </w:tr>
      <w:tr w:rsidR="00D919F0" w:rsidRPr="0098262F" w14:paraId="67C65D65" w14:textId="77777777">
        <w:tc>
          <w:tcPr>
            <w:tcW w:w="1356" w:type="dxa"/>
            <w:vAlign w:val="center"/>
          </w:tcPr>
          <w:p w14:paraId="4452BF44" w14:textId="77777777" w:rsidR="00D919F0" w:rsidRPr="0098262F" w:rsidRDefault="00D919F0">
            <w:pPr>
              <w:pStyle w:val="TableText0"/>
            </w:pPr>
            <w:r>
              <w:t>Treatment continuation rate</w:t>
            </w:r>
          </w:p>
        </w:tc>
        <w:tc>
          <w:tcPr>
            <w:tcW w:w="3459" w:type="dxa"/>
            <w:vAlign w:val="center"/>
          </w:tcPr>
          <w:p w14:paraId="35806FCA" w14:textId="57FB184C" w:rsidR="00D919F0" w:rsidRPr="0098262F" w:rsidRDefault="003452C5">
            <w:pPr>
              <w:pStyle w:val="TableText0"/>
            </w:pPr>
            <w:r w:rsidRPr="003452C5">
              <w:rPr>
                <w:color w:val="000000"/>
                <w:spacing w:val="53"/>
                <w:shd w:val="solid" w:color="000000" w:fill="000000"/>
                <w:fitText w:val="330" w:id="-694425600"/>
                <w14:textFill>
                  <w14:solidFill>
                    <w14:srgbClr w14:val="000000">
                      <w14:alpha w14:val="100000"/>
                    </w14:srgbClr>
                  </w14:solidFill>
                </w14:textFill>
              </w:rPr>
              <w:t>|||</w:t>
            </w:r>
            <w:r w:rsidRPr="003452C5">
              <w:rPr>
                <w:color w:val="000000"/>
                <w:spacing w:val="1"/>
                <w:shd w:val="solid" w:color="000000" w:fill="000000"/>
                <w:fitText w:val="330" w:id="-694425600"/>
                <w14:textFill>
                  <w14:solidFill>
                    <w14:srgbClr w14:val="000000">
                      <w14:alpha w14:val="100000"/>
                    </w14:srgbClr>
                  </w14:solidFill>
                </w14:textFill>
              </w:rPr>
              <w:t>|</w:t>
            </w:r>
            <w:r w:rsidR="00D919F0">
              <w:t xml:space="preserve">% for patients in their first year of treatment, </w:t>
            </w:r>
            <w:r w:rsidRPr="003452C5">
              <w:rPr>
                <w:color w:val="000000"/>
                <w:spacing w:val="53"/>
                <w:shd w:val="solid" w:color="000000" w:fill="000000"/>
                <w:fitText w:val="330" w:id="-694425599"/>
                <w14:textFill>
                  <w14:solidFill>
                    <w14:srgbClr w14:val="000000">
                      <w14:alpha w14:val="100000"/>
                    </w14:srgbClr>
                  </w14:solidFill>
                </w14:textFill>
              </w:rPr>
              <w:t>|||</w:t>
            </w:r>
            <w:r w:rsidRPr="003452C5">
              <w:rPr>
                <w:color w:val="000000"/>
                <w:spacing w:val="1"/>
                <w:shd w:val="solid" w:color="000000" w:fill="000000"/>
                <w:fitText w:val="330" w:id="-694425599"/>
                <w14:textFill>
                  <w14:solidFill>
                    <w14:srgbClr w14:val="000000">
                      <w14:alpha w14:val="100000"/>
                    </w14:srgbClr>
                  </w14:solidFill>
                </w14:textFill>
              </w:rPr>
              <w:t>|</w:t>
            </w:r>
            <w:r w:rsidR="00D919F0">
              <w:t>% for patients in subsequent years.</w:t>
            </w:r>
          </w:p>
          <w:p w14:paraId="1B4D7B4A" w14:textId="77777777" w:rsidR="00D919F0" w:rsidRPr="0098262F" w:rsidRDefault="00D919F0">
            <w:pPr>
              <w:pStyle w:val="TableText0"/>
            </w:pPr>
            <w:r>
              <w:t xml:space="preserve">Discontinuation rate observed in the </w:t>
            </w:r>
            <w:proofErr w:type="spellStart"/>
            <w:r>
              <w:t>MOXIe</w:t>
            </w:r>
            <w:proofErr w:type="spellEnd"/>
            <w:r>
              <w:t xml:space="preserve"> Part 2 clinical trial (which lasted 48 weeks).</w:t>
            </w:r>
          </w:p>
        </w:tc>
        <w:tc>
          <w:tcPr>
            <w:tcW w:w="4202" w:type="dxa"/>
            <w:vAlign w:val="center"/>
          </w:tcPr>
          <w:p w14:paraId="067F96BC" w14:textId="7484A7B0" w:rsidR="00D919F0" w:rsidRPr="00525946" w:rsidRDefault="00D919F0">
            <w:pPr>
              <w:pStyle w:val="TableText0"/>
            </w:pPr>
            <w:r w:rsidRPr="00525946">
              <w:t xml:space="preserve">The assumption of </w:t>
            </w:r>
            <w:r w:rsidRPr="00017016">
              <w:t>0</w:t>
            </w:r>
            <w:r w:rsidRPr="00525946">
              <w:t xml:space="preserve">% discontinuation rate for patients in Year 2+ of treatment was inconsistent with the economic model (which applied a 5.6% discontinuation rate from the </w:t>
            </w:r>
            <w:proofErr w:type="spellStart"/>
            <w:r w:rsidRPr="00525946">
              <w:t>MOXIe</w:t>
            </w:r>
            <w:proofErr w:type="spellEnd"/>
            <w:r w:rsidRPr="00525946">
              <w:t xml:space="preserve"> extension trial). </w:t>
            </w:r>
            <w:r w:rsidR="00C71A70" w:rsidRPr="00D23731">
              <w:t xml:space="preserve">The </w:t>
            </w:r>
            <w:r w:rsidR="00AC0F93" w:rsidRPr="00D23731">
              <w:t xml:space="preserve">DUSC </w:t>
            </w:r>
            <w:r w:rsidR="00885C47">
              <w:t xml:space="preserve">considered </w:t>
            </w:r>
            <w:r w:rsidR="00AC0F93" w:rsidRPr="00D23731">
              <w:t xml:space="preserve">that the treatment continuation rate </w:t>
            </w:r>
            <w:r w:rsidR="00885C47">
              <w:t>should be consistent across the</w:t>
            </w:r>
            <w:r w:rsidR="00AC0F93" w:rsidRPr="00D23731">
              <w:t xml:space="preserve"> financial estimates and the economic model.</w:t>
            </w:r>
            <w:r w:rsidRPr="00525946">
              <w:t xml:space="preserve"> </w:t>
            </w:r>
          </w:p>
        </w:tc>
      </w:tr>
      <w:tr w:rsidR="00D919F0" w:rsidRPr="0098262F" w14:paraId="339D5294" w14:textId="77777777">
        <w:tc>
          <w:tcPr>
            <w:tcW w:w="1356" w:type="dxa"/>
            <w:vAlign w:val="center"/>
          </w:tcPr>
          <w:p w14:paraId="3FF9E740" w14:textId="77777777" w:rsidR="00D919F0" w:rsidRDefault="00D919F0">
            <w:pPr>
              <w:pStyle w:val="TableText0"/>
            </w:pPr>
            <w:r>
              <w:t>Scripts per year per patient</w:t>
            </w:r>
          </w:p>
        </w:tc>
        <w:tc>
          <w:tcPr>
            <w:tcW w:w="3459" w:type="dxa"/>
            <w:vAlign w:val="center"/>
          </w:tcPr>
          <w:p w14:paraId="712949E1" w14:textId="7D7A2ADB" w:rsidR="00D919F0" w:rsidRDefault="00D919F0">
            <w:pPr>
              <w:pStyle w:val="TableText0"/>
            </w:pPr>
            <w:r>
              <w:t xml:space="preserve">10.5. Assuming a dosage of 150 mg per day × 87% </w:t>
            </w:r>
            <w:proofErr w:type="spellStart"/>
            <w:r>
              <w:t>RDI</w:t>
            </w:r>
            <w:r w:rsidR="003D4DBC">
              <w:rPr>
                <w:vertAlign w:val="superscript"/>
              </w:rPr>
              <w:t>b</w:t>
            </w:r>
            <w:proofErr w:type="spellEnd"/>
            <w:r>
              <w:t xml:space="preserve"> Each script contains 90 × 50mg capsules. </w:t>
            </w:r>
          </w:p>
        </w:tc>
        <w:tc>
          <w:tcPr>
            <w:tcW w:w="4202" w:type="dxa"/>
            <w:vAlign w:val="center"/>
          </w:tcPr>
          <w:p w14:paraId="58042F74" w14:textId="52CB0CA4" w:rsidR="00D919F0" w:rsidRPr="00525946" w:rsidRDefault="00885C47">
            <w:pPr>
              <w:pStyle w:val="TableText0"/>
            </w:pPr>
            <w:r>
              <w:t>-</w:t>
            </w:r>
            <w:r w:rsidR="00D919F0" w:rsidRPr="00525946">
              <w:t xml:space="preserve"> </w:t>
            </w:r>
          </w:p>
        </w:tc>
      </w:tr>
      <w:tr w:rsidR="00D919F0" w:rsidRPr="0098262F" w14:paraId="011FB9B4" w14:textId="77777777">
        <w:tc>
          <w:tcPr>
            <w:tcW w:w="0" w:type="auto"/>
            <w:gridSpan w:val="3"/>
            <w:vAlign w:val="center"/>
          </w:tcPr>
          <w:p w14:paraId="3575BEA6" w14:textId="77777777" w:rsidR="00D919F0" w:rsidRPr="00525946" w:rsidRDefault="00D919F0">
            <w:pPr>
              <w:pStyle w:val="TableText0"/>
              <w:rPr>
                <w:b/>
                <w:bCs w:val="0"/>
              </w:rPr>
            </w:pPr>
            <w:r w:rsidRPr="00525946">
              <w:rPr>
                <w:b/>
                <w:bCs w:val="0"/>
              </w:rPr>
              <w:t>Costs</w:t>
            </w:r>
          </w:p>
        </w:tc>
      </w:tr>
      <w:tr w:rsidR="00D919F0" w:rsidRPr="0098262F" w14:paraId="285E8263" w14:textId="77777777">
        <w:tc>
          <w:tcPr>
            <w:tcW w:w="1356" w:type="dxa"/>
            <w:vAlign w:val="center"/>
          </w:tcPr>
          <w:p w14:paraId="3923E83C" w14:textId="77777777" w:rsidR="00D919F0" w:rsidRPr="0098262F" w:rsidRDefault="00D919F0">
            <w:pPr>
              <w:pStyle w:val="TableText0"/>
            </w:pPr>
            <w:proofErr w:type="spellStart"/>
            <w:r>
              <w:t>Omaveloxolone</w:t>
            </w:r>
            <w:proofErr w:type="spellEnd"/>
          </w:p>
        </w:tc>
        <w:tc>
          <w:tcPr>
            <w:tcW w:w="3459" w:type="dxa"/>
            <w:vAlign w:val="center"/>
          </w:tcPr>
          <w:p w14:paraId="31912854" w14:textId="241610DD" w:rsidR="00D919F0" w:rsidRPr="0098262F" w:rsidRDefault="00D919F0">
            <w:pPr>
              <w:pStyle w:val="TableText0"/>
            </w:pPr>
            <w:r w:rsidRPr="0098262F">
              <w:t>$</w:t>
            </w:r>
            <w:r w:rsidR="003452C5" w:rsidRPr="003452C5">
              <w:rPr>
                <w:color w:val="000000"/>
                <w:spacing w:val="53"/>
                <w:shd w:val="solid" w:color="000000" w:fill="000000"/>
                <w:fitText w:val="330" w:id="-694425598"/>
                <w14:textFill>
                  <w14:solidFill>
                    <w14:srgbClr w14:val="000000">
                      <w14:alpha w14:val="100000"/>
                    </w14:srgbClr>
                  </w14:solidFill>
                </w14:textFill>
              </w:rPr>
              <w:t>|||</w:t>
            </w:r>
            <w:r w:rsidR="003452C5" w:rsidRPr="003452C5">
              <w:rPr>
                <w:color w:val="000000"/>
                <w:spacing w:val="1"/>
                <w:shd w:val="solid" w:color="000000" w:fill="000000"/>
                <w:fitText w:val="330" w:id="-694425598"/>
                <w14:textFill>
                  <w14:solidFill>
                    <w14:srgbClr w14:val="000000">
                      <w14:alpha w14:val="100000"/>
                    </w14:srgbClr>
                  </w14:solidFill>
                </w14:textFill>
              </w:rPr>
              <w:t>|</w:t>
            </w:r>
            <w:r>
              <w:t>. Proposed AEMP of $</w:t>
            </w:r>
            <w:r w:rsidR="003452C5" w:rsidRPr="003452C5">
              <w:rPr>
                <w:color w:val="000000"/>
                <w:spacing w:val="53"/>
                <w:shd w:val="solid" w:color="000000" w:fill="000000"/>
                <w:fitText w:val="330" w:id="-694425597"/>
                <w14:textFill>
                  <w14:solidFill>
                    <w14:srgbClr w14:val="000000">
                      <w14:alpha w14:val="100000"/>
                    </w14:srgbClr>
                  </w14:solidFill>
                </w14:textFill>
              </w:rPr>
              <w:t>|||</w:t>
            </w:r>
            <w:r w:rsidR="003452C5" w:rsidRPr="003452C5">
              <w:rPr>
                <w:color w:val="000000"/>
                <w:spacing w:val="1"/>
                <w:shd w:val="solid" w:color="000000" w:fill="000000"/>
                <w:fitText w:val="330" w:id="-694425597"/>
                <w14:textFill>
                  <w14:solidFill>
                    <w14:srgbClr w14:val="000000">
                      <w14:alpha w14:val="100000"/>
                    </w14:srgbClr>
                  </w14:solidFill>
                </w14:textFill>
              </w:rPr>
              <w:t>|</w:t>
            </w:r>
            <w:r>
              <w:t xml:space="preserve"> with Section 85 dispensing fees. </w:t>
            </w:r>
          </w:p>
        </w:tc>
        <w:tc>
          <w:tcPr>
            <w:tcW w:w="4202" w:type="dxa"/>
            <w:vAlign w:val="center"/>
          </w:tcPr>
          <w:p w14:paraId="28C4FE5A" w14:textId="52B0DDCC" w:rsidR="00D919F0" w:rsidRPr="00525946" w:rsidRDefault="00885C47">
            <w:pPr>
              <w:pStyle w:val="TableText0"/>
            </w:pPr>
            <w:r>
              <w:t>-</w:t>
            </w:r>
            <w:r w:rsidR="00D919F0" w:rsidRPr="00525946">
              <w:t xml:space="preserve"> </w:t>
            </w:r>
          </w:p>
        </w:tc>
      </w:tr>
      <w:tr w:rsidR="00D919F0" w:rsidRPr="0098262F" w14:paraId="4AE79DC5" w14:textId="77777777">
        <w:tc>
          <w:tcPr>
            <w:tcW w:w="1356" w:type="dxa"/>
            <w:vAlign w:val="center"/>
          </w:tcPr>
          <w:p w14:paraId="4CBCD293" w14:textId="77777777" w:rsidR="00D919F0" w:rsidRPr="0098262F" w:rsidRDefault="00D919F0">
            <w:pPr>
              <w:pStyle w:val="TableText0"/>
            </w:pPr>
            <w:r w:rsidRPr="0098262F">
              <w:t>Patient copayment</w:t>
            </w:r>
          </w:p>
        </w:tc>
        <w:tc>
          <w:tcPr>
            <w:tcW w:w="3459" w:type="dxa"/>
            <w:vAlign w:val="center"/>
          </w:tcPr>
          <w:p w14:paraId="02E73D9A" w14:textId="6639BC5D" w:rsidR="00D919F0" w:rsidRPr="0098262F" w:rsidRDefault="00D919F0">
            <w:pPr>
              <w:pStyle w:val="TableText0"/>
            </w:pPr>
            <w:r w:rsidRPr="0098262F">
              <w:t>$</w:t>
            </w:r>
            <w:r>
              <w:t xml:space="preserve">14.40. Weighted PBS copayment (by beneficiary type) of PBS items </w:t>
            </w:r>
            <w:proofErr w:type="spellStart"/>
            <w:r w:rsidRPr="00DB5279">
              <w:t>elexacaftor</w:t>
            </w:r>
            <w:proofErr w:type="spellEnd"/>
            <w:r w:rsidRPr="00DB5279">
              <w:t>/tezacaftor/ivacaftor</w:t>
            </w:r>
            <w:r>
              <w:t xml:space="preserve"> for cystic </w:t>
            </w:r>
            <w:proofErr w:type="spellStart"/>
            <w:r>
              <w:t>fibrosis.</w:t>
            </w:r>
            <w:r w:rsidR="003D4DBC">
              <w:rPr>
                <w:vertAlign w:val="superscript"/>
              </w:rPr>
              <w:t>c</w:t>
            </w:r>
            <w:proofErr w:type="spellEnd"/>
            <w:r>
              <w:t xml:space="preserve"> Assuming no RPBS scripts.  </w:t>
            </w:r>
          </w:p>
        </w:tc>
        <w:tc>
          <w:tcPr>
            <w:tcW w:w="4202" w:type="dxa"/>
            <w:vAlign w:val="center"/>
          </w:tcPr>
          <w:p w14:paraId="7C32FB82" w14:textId="4FFC3325" w:rsidR="00D919F0" w:rsidRPr="00525946" w:rsidRDefault="00885C47">
            <w:pPr>
              <w:pStyle w:val="TableText0"/>
            </w:pPr>
            <w:r>
              <w:t>-</w:t>
            </w:r>
          </w:p>
        </w:tc>
      </w:tr>
      <w:tr w:rsidR="00D919F0" w:rsidRPr="0098262F" w14:paraId="696B0598" w14:textId="77777777">
        <w:tc>
          <w:tcPr>
            <w:tcW w:w="1356" w:type="dxa"/>
            <w:vAlign w:val="center"/>
          </w:tcPr>
          <w:p w14:paraId="329C5C91" w14:textId="77777777" w:rsidR="00D919F0" w:rsidRPr="0098262F" w:rsidRDefault="00D919F0">
            <w:pPr>
              <w:pStyle w:val="TableText0"/>
            </w:pPr>
            <w:r>
              <w:t>Monitoring costs</w:t>
            </w:r>
          </w:p>
        </w:tc>
        <w:tc>
          <w:tcPr>
            <w:tcW w:w="3459" w:type="dxa"/>
            <w:vAlign w:val="center"/>
          </w:tcPr>
          <w:p w14:paraId="339803E3" w14:textId="77777777" w:rsidR="00D919F0" w:rsidRDefault="00D919F0">
            <w:pPr>
              <w:pStyle w:val="TableText0"/>
            </w:pPr>
            <w:r>
              <w:t>$14.16 (MBS item 66512). As per the PI, for monitoring of lipids, liver and cardiac function. Three times in the first year of treatment, annually thereafter.</w:t>
            </w:r>
          </w:p>
        </w:tc>
        <w:tc>
          <w:tcPr>
            <w:tcW w:w="4202" w:type="dxa"/>
            <w:vAlign w:val="center"/>
          </w:tcPr>
          <w:p w14:paraId="69D9F3CE" w14:textId="6E67CBC5" w:rsidR="00D919F0" w:rsidRPr="00525946" w:rsidRDefault="00D919F0">
            <w:pPr>
              <w:pStyle w:val="TableText0"/>
            </w:pPr>
            <w:r w:rsidRPr="00525946">
              <w:t>The submission did not include costs for BNP monitoring</w:t>
            </w:r>
            <w:r w:rsidR="00596F84">
              <w:t xml:space="preserve">, despite </w:t>
            </w:r>
            <w:r w:rsidRPr="00525946">
              <w:t>the draft PI indicat</w:t>
            </w:r>
            <w:r w:rsidR="00596F84">
              <w:t>ing</w:t>
            </w:r>
            <w:r w:rsidRPr="00525946">
              <w:t xml:space="preserve"> that BNP monitoring should be performed prior to and on treatment with </w:t>
            </w:r>
            <w:proofErr w:type="spellStart"/>
            <w:r w:rsidRPr="00525946">
              <w:t>omaveloxolone</w:t>
            </w:r>
            <w:proofErr w:type="spellEnd"/>
            <w:r w:rsidRPr="00525946">
              <w:t xml:space="preserve">. It is unclear if current MBS item numbers for BNP monitoring (66585, 66586, 66830 and 66829) could be used for </w:t>
            </w:r>
            <w:proofErr w:type="spellStart"/>
            <w:r w:rsidRPr="00525946">
              <w:t>omaveloxolone</w:t>
            </w:r>
            <w:proofErr w:type="spellEnd"/>
            <w:r w:rsidRPr="00525946">
              <w:t xml:space="preserve"> patients. </w:t>
            </w:r>
          </w:p>
        </w:tc>
      </w:tr>
    </w:tbl>
    <w:p w14:paraId="49C2774D" w14:textId="77777777" w:rsidR="00D919F0" w:rsidRDefault="00D919F0" w:rsidP="00D919F0">
      <w:pPr>
        <w:pStyle w:val="TableFigureFooter"/>
        <w:keepNext/>
        <w:jc w:val="both"/>
      </w:pPr>
      <w:r>
        <w:t xml:space="preserve">Source: </w:t>
      </w:r>
      <w:r w:rsidRPr="00525946">
        <w:t>Constructed during the evaluation from the</w:t>
      </w:r>
      <w:r w:rsidRPr="00F73CFD">
        <w:rPr>
          <w:i/>
          <w:iCs/>
        </w:rPr>
        <w:t xml:space="preserve"> </w:t>
      </w:r>
      <w:r w:rsidRPr="00F73CFD">
        <w:t>“</w:t>
      </w:r>
      <w:r w:rsidRPr="00755322">
        <w:t>Attachment 12 - Utilisation and cost model (Section 4)</w:t>
      </w:r>
      <w:r w:rsidRPr="00F73CFD">
        <w:t>” attachment provided with the submission</w:t>
      </w:r>
      <w:r>
        <w:t>.</w:t>
      </w:r>
    </w:p>
    <w:p w14:paraId="4467B211" w14:textId="085F879D" w:rsidR="00D919F0" w:rsidRDefault="00D919F0" w:rsidP="00D919F0">
      <w:pPr>
        <w:pStyle w:val="TableFigureFooter"/>
        <w:keepNext/>
        <w:jc w:val="both"/>
      </w:pPr>
      <w:r>
        <w:t>ABS=Australian Bureau of Statistics; AEMP=approved ex-manufacturer price; FA=F</w:t>
      </w:r>
      <w:r w:rsidRPr="00E26615">
        <w:t xml:space="preserve">riedreich's </w:t>
      </w:r>
      <w:r>
        <w:t>A</w:t>
      </w:r>
      <w:r w:rsidRPr="00E26615">
        <w:t>taxia</w:t>
      </w:r>
      <w:r>
        <w:t>; FACOMS=</w:t>
      </w:r>
      <w:r w:rsidRPr="006C54F9">
        <w:t>Friedreich's Ataxia Clinical Outcome Measures Study</w:t>
      </w:r>
      <w:r>
        <w:t xml:space="preserve">; </w:t>
      </w:r>
      <w:proofErr w:type="spellStart"/>
      <w:r>
        <w:t>fara</w:t>
      </w:r>
      <w:proofErr w:type="spellEnd"/>
      <w:r>
        <w:t>=F</w:t>
      </w:r>
      <w:r w:rsidRPr="00E26615">
        <w:t xml:space="preserve">riedreich's </w:t>
      </w:r>
      <w:r>
        <w:t>A</w:t>
      </w:r>
      <w:r w:rsidRPr="00E26615">
        <w:t>taxia</w:t>
      </w:r>
      <w:r>
        <w:t xml:space="preserve"> Research Association; MBS=Medicare Benefits Schedule; PBAC=Pharmaceutical Benefits Advisory Committee; PI=product information; PSD=Public Summary Document; RDI = relative dose intensity; </w:t>
      </w:r>
      <w:r w:rsidRPr="00C7789D">
        <w:t>RPBS=Repatriation Pharmaceutical Benefits Scheme</w:t>
      </w:r>
      <w:r>
        <w:t xml:space="preserve">; UK=United Kingdom. </w:t>
      </w:r>
    </w:p>
    <w:p w14:paraId="592721FF" w14:textId="77777777" w:rsidR="00D919F0" w:rsidRDefault="00D919F0" w:rsidP="00D919F0">
      <w:pPr>
        <w:pStyle w:val="TableFigureFooter"/>
        <w:keepNext/>
        <w:jc w:val="both"/>
      </w:pPr>
      <w:proofErr w:type="spellStart"/>
      <w:r w:rsidRPr="00E20C43">
        <w:rPr>
          <w:vertAlign w:val="superscript"/>
        </w:rPr>
        <w:t>a</w:t>
      </w:r>
      <w:proofErr w:type="spellEnd"/>
      <w:r w:rsidRPr="00E20C43">
        <w:rPr>
          <w:vertAlign w:val="superscript"/>
        </w:rPr>
        <w:t xml:space="preserve"> </w:t>
      </w:r>
      <w:r w:rsidRPr="00E20C43">
        <w:t xml:space="preserve">The source behind the </w:t>
      </w:r>
      <w:proofErr w:type="spellStart"/>
      <w:r w:rsidRPr="00E20C43">
        <w:t>fara</w:t>
      </w:r>
      <w:proofErr w:type="spellEnd"/>
      <w:r w:rsidRPr="00E20C43">
        <w:t xml:space="preserve"> estimate is unclear.</w:t>
      </w:r>
    </w:p>
    <w:p w14:paraId="155259C7" w14:textId="516D0A8B" w:rsidR="00D919F0" w:rsidRPr="00B157F7" w:rsidRDefault="003D4DBC" w:rsidP="00D919F0">
      <w:pPr>
        <w:pStyle w:val="TableFigureFooter"/>
        <w:keepNext/>
        <w:jc w:val="both"/>
      </w:pPr>
      <w:r>
        <w:rPr>
          <w:vertAlign w:val="superscript"/>
        </w:rPr>
        <w:t>b</w:t>
      </w:r>
      <w:r w:rsidR="00D919F0">
        <w:rPr>
          <w:vertAlign w:val="superscript"/>
        </w:rPr>
        <w:t xml:space="preserve"> </w:t>
      </w:r>
      <w:r w:rsidR="00D919F0">
        <w:t xml:space="preserve">RDI sourced from the </w:t>
      </w:r>
      <w:proofErr w:type="spellStart"/>
      <w:r w:rsidR="00D919F0">
        <w:t>MOXIe</w:t>
      </w:r>
      <w:proofErr w:type="spellEnd"/>
      <w:r w:rsidR="00D919F0">
        <w:t xml:space="preserve"> Part 2 clinical trial. The submission stated the RDI was due to temporary treatment discontinuations or dose de-escalation.</w:t>
      </w:r>
    </w:p>
    <w:p w14:paraId="134ADC58" w14:textId="72860E14" w:rsidR="00D919F0" w:rsidRDefault="003D4DBC" w:rsidP="00D919F0">
      <w:pPr>
        <w:pStyle w:val="TableFigureFooter"/>
        <w:keepNext/>
        <w:jc w:val="both"/>
      </w:pPr>
      <w:r>
        <w:rPr>
          <w:vertAlign w:val="superscript"/>
        </w:rPr>
        <w:t>c</w:t>
      </w:r>
      <w:r w:rsidR="00D919F0">
        <w:rPr>
          <w:vertAlign w:val="superscript"/>
        </w:rPr>
        <w:t xml:space="preserve"> </w:t>
      </w:r>
      <w:r w:rsidR="00D919F0">
        <w:t xml:space="preserve">PBS items </w:t>
      </w:r>
      <w:r w:rsidR="00D919F0" w:rsidRPr="00E60626">
        <w:t>13266F, 13276R, 12936W and 12938Y</w:t>
      </w:r>
      <w:r w:rsidR="00D919F0">
        <w:t>. Weighted 30% general services ($31.60), 1% general safety net services ($7.70), 63% concessional ordinary services ($7.70) and 6% concessional free services ($0.00).</w:t>
      </w:r>
    </w:p>
    <w:p w14:paraId="39F3E686" w14:textId="69D848E0" w:rsidR="00D919F0" w:rsidRPr="00351B68" w:rsidRDefault="00D919F0" w:rsidP="00D919F0">
      <w:pPr>
        <w:pStyle w:val="3-BodyText"/>
        <w:rPr>
          <w:i/>
          <w:iCs/>
        </w:rPr>
      </w:pPr>
      <w:r>
        <w:t xml:space="preserve">The estimated number of patients treated with </w:t>
      </w:r>
      <w:proofErr w:type="spellStart"/>
      <w:r>
        <w:t>omaveloxolone</w:t>
      </w:r>
      <w:proofErr w:type="spellEnd"/>
      <w:r>
        <w:t xml:space="preserve"> and the net cost to the PBS per year are presented in </w:t>
      </w:r>
      <w:r>
        <w:fldChar w:fldCharType="begin"/>
      </w:r>
      <w:r>
        <w:instrText xml:space="preserve"> REF _Ref187680233 \h </w:instrText>
      </w:r>
      <w:r>
        <w:fldChar w:fldCharType="separate"/>
      </w:r>
      <w:r w:rsidR="003A4643">
        <w:t xml:space="preserve">Table </w:t>
      </w:r>
      <w:r w:rsidR="003A4643">
        <w:rPr>
          <w:noProof/>
        </w:rPr>
        <w:t>23</w:t>
      </w:r>
      <w:r>
        <w:fldChar w:fldCharType="end"/>
      </w:r>
      <w:r>
        <w:t xml:space="preserve">. </w:t>
      </w:r>
      <w:bookmarkStart w:id="71" w:name="_Ref185341522"/>
    </w:p>
    <w:p w14:paraId="5CDF7241" w14:textId="346FA098" w:rsidR="00D919F0" w:rsidRPr="00D2091E" w:rsidRDefault="00D919F0" w:rsidP="00D919F0">
      <w:pPr>
        <w:pStyle w:val="TableFigureHeading"/>
        <w:rPr>
          <w:i/>
          <w:iCs/>
        </w:rPr>
      </w:pPr>
      <w:bookmarkStart w:id="72" w:name="_Ref187680233"/>
      <w:r>
        <w:t xml:space="preserve">Table </w:t>
      </w:r>
      <w:r>
        <w:fldChar w:fldCharType="begin"/>
      </w:r>
      <w:r>
        <w:instrText xml:space="preserve"> SEQ Table \* ARABIC </w:instrText>
      </w:r>
      <w:r>
        <w:fldChar w:fldCharType="separate"/>
      </w:r>
      <w:r w:rsidR="003A4643">
        <w:rPr>
          <w:noProof/>
        </w:rPr>
        <w:t>23</w:t>
      </w:r>
      <w:r>
        <w:rPr>
          <w:noProof/>
        </w:rPr>
        <w:fldChar w:fldCharType="end"/>
      </w:r>
      <w:bookmarkEnd w:id="71"/>
      <w:bookmarkEnd w:id="72"/>
      <w:r w:rsidRPr="0098262F">
        <w:t xml:space="preserve">: Estimation of </w:t>
      </w:r>
      <w:r>
        <w:t>use and financial implications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3: Estimation of use and financial implications"/>
      </w:tblPr>
      <w:tblGrid>
        <w:gridCol w:w="1999"/>
        <w:gridCol w:w="1159"/>
        <w:gridCol w:w="1159"/>
        <w:gridCol w:w="1159"/>
        <w:gridCol w:w="1159"/>
        <w:gridCol w:w="1159"/>
        <w:gridCol w:w="1162"/>
      </w:tblGrid>
      <w:tr w:rsidR="00141284" w:rsidRPr="00A31494" w14:paraId="7815FD52" w14:textId="77777777" w:rsidTr="00C85D12">
        <w:trPr>
          <w:tblHeader/>
        </w:trPr>
        <w:tc>
          <w:tcPr>
            <w:tcW w:w="1116" w:type="pct"/>
            <w:vAlign w:val="center"/>
          </w:tcPr>
          <w:p w14:paraId="20D5966F" w14:textId="77777777" w:rsidR="00141284" w:rsidRPr="00A31494" w:rsidRDefault="00141284" w:rsidP="00C85D12">
            <w:pPr>
              <w:pStyle w:val="Tabletext"/>
            </w:pPr>
          </w:p>
        </w:tc>
        <w:tc>
          <w:tcPr>
            <w:tcW w:w="647" w:type="pct"/>
            <w:vAlign w:val="center"/>
          </w:tcPr>
          <w:p w14:paraId="3CF8EE06" w14:textId="77777777" w:rsidR="00141284" w:rsidRPr="003D1848" w:rsidRDefault="00141284" w:rsidP="00C85D12">
            <w:pPr>
              <w:pStyle w:val="Tabletext"/>
              <w:jc w:val="center"/>
              <w:rPr>
                <w:b/>
                <w:bCs/>
              </w:rPr>
            </w:pPr>
            <w:r w:rsidRPr="003D1848">
              <w:rPr>
                <w:b/>
                <w:bCs/>
              </w:rPr>
              <w:t>Year 1</w:t>
            </w:r>
          </w:p>
        </w:tc>
        <w:tc>
          <w:tcPr>
            <w:tcW w:w="647" w:type="pct"/>
            <w:vAlign w:val="center"/>
          </w:tcPr>
          <w:p w14:paraId="34D043E2" w14:textId="77777777" w:rsidR="00141284" w:rsidRPr="003D1848" w:rsidRDefault="00141284" w:rsidP="00C85D12">
            <w:pPr>
              <w:pStyle w:val="Tabletext"/>
              <w:jc w:val="center"/>
              <w:rPr>
                <w:b/>
                <w:bCs/>
              </w:rPr>
            </w:pPr>
            <w:r w:rsidRPr="003D1848">
              <w:rPr>
                <w:b/>
                <w:bCs/>
              </w:rPr>
              <w:t>Year 2</w:t>
            </w:r>
          </w:p>
        </w:tc>
        <w:tc>
          <w:tcPr>
            <w:tcW w:w="647" w:type="pct"/>
            <w:vAlign w:val="center"/>
          </w:tcPr>
          <w:p w14:paraId="34C8F790" w14:textId="77777777" w:rsidR="00141284" w:rsidRPr="003D1848" w:rsidRDefault="00141284" w:rsidP="00C85D12">
            <w:pPr>
              <w:pStyle w:val="Tabletext"/>
              <w:jc w:val="center"/>
              <w:rPr>
                <w:b/>
                <w:bCs/>
              </w:rPr>
            </w:pPr>
            <w:r w:rsidRPr="003D1848">
              <w:rPr>
                <w:b/>
                <w:bCs/>
              </w:rPr>
              <w:t>Year 3</w:t>
            </w:r>
          </w:p>
        </w:tc>
        <w:tc>
          <w:tcPr>
            <w:tcW w:w="647" w:type="pct"/>
            <w:vAlign w:val="center"/>
          </w:tcPr>
          <w:p w14:paraId="1CCE2D93" w14:textId="77777777" w:rsidR="00141284" w:rsidRPr="003D1848" w:rsidRDefault="00141284" w:rsidP="00C85D12">
            <w:pPr>
              <w:pStyle w:val="Tabletext"/>
              <w:jc w:val="center"/>
              <w:rPr>
                <w:b/>
                <w:bCs/>
              </w:rPr>
            </w:pPr>
            <w:r w:rsidRPr="003D1848">
              <w:rPr>
                <w:b/>
                <w:bCs/>
              </w:rPr>
              <w:t>Year 4</w:t>
            </w:r>
          </w:p>
        </w:tc>
        <w:tc>
          <w:tcPr>
            <w:tcW w:w="647" w:type="pct"/>
            <w:vAlign w:val="center"/>
          </w:tcPr>
          <w:p w14:paraId="2CB72736" w14:textId="77777777" w:rsidR="00141284" w:rsidRPr="003D1848" w:rsidRDefault="00141284" w:rsidP="00C85D12">
            <w:pPr>
              <w:pStyle w:val="Tabletext"/>
              <w:jc w:val="center"/>
              <w:rPr>
                <w:b/>
                <w:bCs/>
              </w:rPr>
            </w:pPr>
            <w:r w:rsidRPr="003D1848">
              <w:rPr>
                <w:b/>
                <w:bCs/>
              </w:rPr>
              <w:t>Year 5</w:t>
            </w:r>
          </w:p>
        </w:tc>
        <w:tc>
          <w:tcPr>
            <w:tcW w:w="649" w:type="pct"/>
            <w:vAlign w:val="center"/>
          </w:tcPr>
          <w:p w14:paraId="09680F0C" w14:textId="77777777" w:rsidR="00141284" w:rsidRPr="003D1848" w:rsidRDefault="00141284" w:rsidP="00C85D12">
            <w:pPr>
              <w:pStyle w:val="Tabletext"/>
              <w:jc w:val="center"/>
              <w:rPr>
                <w:b/>
                <w:bCs/>
              </w:rPr>
            </w:pPr>
            <w:r w:rsidRPr="003D1848">
              <w:rPr>
                <w:b/>
                <w:bCs/>
              </w:rPr>
              <w:t>Year 6</w:t>
            </w:r>
          </w:p>
        </w:tc>
      </w:tr>
      <w:tr w:rsidR="00141284" w:rsidRPr="00A31494" w14:paraId="7D841DBD" w14:textId="77777777" w:rsidTr="00C85D12">
        <w:tc>
          <w:tcPr>
            <w:tcW w:w="5000" w:type="pct"/>
            <w:gridSpan w:val="7"/>
            <w:vAlign w:val="center"/>
          </w:tcPr>
          <w:p w14:paraId="7EA43B4E" w14:textId="77777777" w:rsidR="00141284" w:rsidRPr="003D1848" w:rsidRDefault="00141284" w:rsidP="00C85D12">
            <w:pPr>
              <w:pStyle w:val="Tabletext"/>
              <w:rPr>
                <w:b/>
                <w:bCs/>
              </w:rPr>
            </w:pPr>
            <w:r w:rsidRPr="003D1848">
              <w:rPr>
                <w:b/>
                <w:bCs/>
              </w:rPr>
              <w:t>Estimated extent of use</w:t>
            </w:r>
          </w:p>
        </w:tc>
      </w:tr>
      <w:tr w:rsidR="00141284" w:rsidRPr="00A31494" w14:paraId="0327EC26" w14:textId="77777777" w:rsidTr="00C85D12">
        <w:tc>
          <w:tcPr>
            <w:tcW w:w="1116" w:type="pct"/>
            <w:vAlign w:val="center"/>
          </w:tcPr>
          <w:p w14:paraId="5075C5FC" w14:textId="77777777" w:rsidR="00141284" w:rsidRPr="00A31494" w:rsidRDefault="00141284" w:rsidP="00C85D12">
            <w:pPr>
              <w:pStyle w:val="Tabletext"/>
            </w:pPr>
            <w:r w:rsidRPr="00A31494">
              <w:t>Number of patients treated</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924CB" w14:textId="77D90CBD"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96"/>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96"/>
                <w14:textFill>
                  <w14:solidFill>
                    <w14:srgbClr w14:val="000000">
                      <w14:alpha w14:val="100000"/>
                    </w14:srgbClr>
                  </w14:solidFill>
                </w14:textFill>
              </w:rPr>
              <w:t>|</w:t>
            </w:r>
            <w:r w:rsidR="003160BA" w:rsidRPr="003160BA">
              <w:rPr>
                <w:rFonts w:eastAsiaTheme="majorEastAsia" w:cstheme="majorBidi"/>
                <w:bCs/>
                <w:vertAlign w:val="superscript"/>
              </w:rPr>
              <w:t>1</w:t>
            </w:r>
          </w:p>
        </w:tc>
        <w:tc>
          <w:tcPr>
            <w:tcW w:w="647" w:type="pct"/>
            <w:tcBorders>
              <w:top w:val="nil"/>
              <w:left w:val="nil"/>
              <w:bottom w:val="single" w:sz="4" w:space="0" w:color="auto"/>
              <w:right w:val="single" w:sz="4" w:space="0" w:color="auto"/>
            </w:tcBorders>
            <w:shd w:val="clear" w:color="auto" w:fill="FFFFFF" w:themeFill="background1"/>
            <w:vAlign w:val="center"/>
          </w:tcPr>
          <w:p w14:paraId="18456E31" w14:textId="5A71C949"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95"/>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95"/>
                <w14:textFill>
                  <w14:solidFill>
                    <w14:srgbClr w14:val="000000">
                      <w14:alpha w14:val="100000"/>
                    </w14:srgbClr>
                  </w14:solidFill>
                </w14:textFill>
              </w:rPr>
              <w:t>|</w:t>
            </w:r>
            <w:r w:rsidR="003160BA" w:rsidRPr="003160BA">
              <w:rPr>
                <w:rFonts w:eastAsiaTheme="majorEastAsia" w:cstheme="majorBidi"/>
                <w:bCs/>
                <w:vertAlign w:val="superscript"/>
              </w:rPr>
              <w:t>1</w:t>
            </w:r>
          </w:p>
        </w:tc>
        <w:tc>
          <w:tcPr>
            <w:tcW w:w="647" w:type="pct"/>
            <w:tcBorders>
              <w:top w:val="nil"/>
              <w:left w:val="nil"/>
              <w:bottom w:val="single" w:sz="4" w:space="0" w:color="auto"/>
              <w:right w:val="single" w:sz="4" w:space="0" w:color="auto"/>
            </w:tcBorders>
            <w:shd w:val="clear" w:color="auto" w:fill="FFFFFF" w:themeFill="background1"/>
            <w:vAlign w:val="center"/>
          </w:tcPr>
          <w:p w14:paraId="3AA11D9A" w14:textId="26B637FC"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94"/>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94"/>
                <w14:textFill>
                  <w14:solidFill>
                    <w14:srgbClr w14:val="000000">
                      <w14:alpha w14:val="100000"/>
                    </w14:srgbClr>
                  </w14:solidFill>
                </w14:textFill>
              </w:rPr>
              <w:t>|</w:t>
            </w:r>
            <w:r w:rsidR="003160BA" w:rsidRPr="003160BA">
              <w:rPr>
                <w:rFonts w:eastAsiaTheme="majorEastAsia" w:cstheme="majorBidi"/>
                <w:bCs/>
                <w:vertAlign w:val="superscript"/>
              </w:rPr>
              <w:t>1</w:t>
            </w:r>
          </w:p>
        </w:tc>
        <w:tc>
          <w:tcPr>
            <w:tcW w:w="647" w:type="pct"/>
            <w:tcBorders>
              <w:top w:val="nil"/>
              <w:left w:val="nil"/>
              <w:bottom w:val="single" w:sz="4" w:space="0" w:color="auto"/>
              <w:right w:val="single" w:sz="4" w:space="0" w:color="auto"/>
            </w:tcBorders>
            <w:shd w:val="clear" w:color="auto" w:fill="FFFFFF" w:themeFill="background1"/>
            <w:vAlign w:val="center"/>
          </w:tcPr>
          <w:p w14:paraId="51F96194" w14:textId="459A9251"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93"/>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93"/>
                <w14:textFill>
                  <w14:solidFill>
                    <w14:srgbClr w14:val="000000">
                      <w14:alpha w14:val="100000"/>
                    </w14:srgbClr>
                  </w14:solidFill>
                </w14:textFill>
              </w:rPr>
              <w:t>|</w:t>
            </w:r>
            <w:r w:rsidR="003160BA" w:rsidRPr="003160BA">
              <w:rPr>
                <w:rFonts w:eastAsiaTheme="majorEastAsia" w:cstheme="majorBidi"/>
                <w:bCs/>
                <w:vertAlign w:val="superscript"/>
              </w:rPr>
              <w:t>1</w:t>
            </w:r>
          </w:p>
        </w:tc>
        <w:tc>
          <w:tcPr>
            <w:tcW w:w="647" w:type="pct"/>
            <w:tcBorders>
              <w:top w:val="nil"/>
              <w:left w:val="nil"/>
              <w:bottom w:val="single" w:sz="4" w:space="0" w:color="auto"/>
              <w:right w:val="single" w:sz="4" w:space="0" w:color="auto"/>
            </w:tcBorders>
            <w:shd w:val="clear" w:color="auto" w:fill="FFFFFF" w:themeFill="background1"/>
            <w:vAlign w:val="center"/>
          </w:tcPr>
          <w:p w14:paraId="6721534A" w14:textId="7D1F9875"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92"/>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92"/>
                <w14:textFill>
                  <w14:solidFill>
                    <w14:srgbClr w14:val="000000">
                      <w14:alpha w14:val="100000"/>
                    </w14:srgbClr>
                  </w14:solidFill>
                </w14:textFill>
              </w:rPr>
              <w:t>|</w:t>
            </w:r>
            <w:r w:rsidR="003160BA" w:rsidRPr="003160BA">
              <w:rPr>
                <w:rFonts w:eastAsiaTheme="majorEastAsia" w:cstheme="majorBidi"/>
                <w:bCs/>
                <w:vertAlign w:val="superscript"/>
              </w:rPr>
              <w:t>1</w:t>
            </w:r>
          </w:p>
        </w:tc>
        <w:tc>
          <w:tcPr>
            <w:tcW w:w="649" w:type="pct"/>
            <w:tcBorders>
              <w:top w:val="nil"/>
              <w:left w:val="nil"/>
              <w:bottom w:val="single" w:sz="4" w:space="0" w:color="auto"/>
              <w:right w:val="single" w:sz="4" w:space="0" w:color="auto"/>
            </w:tcBorders>
            <w:shd w:val="clear" w:color="auto" w:fill="FFFFFF" w:themeFill="background1"/>
            <w:vAlign w:val="center"/>
          </w:tcPr>
          <w:p w14:paraId="048526A3" w14:textId="3CCEB125"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91"/>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91"/>
                <w14:textFill>
                  <w14:solidFill>
                    <w14:srgbClr w14:val="000000">
                      <w14:alpha w14:val="100000"/>
                    </w14:srgbClr>
                  </w14:solidFill>
                </w14:textFill>
              </w:rPr>
              <w:t>|</w:t>
            </w:r>
            <w:r w:rsidR="003160BA" w:rsidRPr="003160BA">
              <w:rPr>
                <w:rFonts w:eastAsiaTheme="majorEastAsia" w:cstheme="majorBidi"/>
                <w:bCs/>
                <w:vertAlign w:val="superscript"/>
              </w:rPr>
              <w:t>1</w:t>
            </w:r>
          </w:p>
        </w:tc>
      </w:tr>
      <w:tr w:rsidR="00141284" w:rsidRPr="00A31494" w14:paraId="1C67B0A3" w14:textId="77777777" w:rsidTr="00C85D12">
        <w:tc>
          <w:tcPr>
            <w:tcW w:w="1116" w:type="pct"/>
            <w:vAlign w:val="center"/>
          </w:tcPr>
          <w:p w14:paraId="2D9B125F" w14:textId="77777777" w:rsidR="00141284" w:rsidRPr="00A31494" w:rsidRDefault="00141284" w:rsidP="00C85D12">
            <w:pPr>
              <w:pStyle w:val="Tabletext"/>
            </w:pPr>
            <w:r w:rsidRPr="00A31494">
              <w:t xml:space="preserve">Number of scripts </w:t>
            </w:r>
            <w:proofErr w:type="spellStart"/>
            <w:r w:rsidRPr="00A31494">
              <w:t>dispensed</w:t>
            </w:r>
            <w:r w:rsidRPr="003D1848">
              <w:rPr>
                <w:vertAlign w:val="superscript"/>
              </w:rPr>
              <w:t>a</w:t>
            </w:r>
            <w:proofErr w:type="spellEnd"/>
          </w:p>
        </w:tc>
        <w:tc>
          <w:tcPr>
            <w:tcW w:w="647" w:type="pct"/>
            <w:vAlign w:val="center"/>
          </w:tcPr>
          <w:p w14:paraId="311C9291" w14:textId="1C098158"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90"/>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90"/>
                <w14:textFill>
                  <w14:solidFill>
                    <w14:srgbClr w14:val="000000">
                      <w14:alpha w14:val="100000"/>
                    </w14:srgbClr>
                  </w14:solidFill>
                </w14:textFill>
              </w:rPr>
              <w:t>|</w:t>
            </w:r>
            <w:r w:rsidR="003160BA" w:rsidRPr="003160BA">
              <w:rPr>
                <w:rFonts w:eastAsiaTheme="majorEastAsia" w:cstheme="majorBidi"/>
                <w:bCs/>
                <w:vertAlign w:val="superscript"/>
              </w:rPr>
              <w:t>2</w:t>
            </w:r>
          </w:p>
        </w:tc>
        <w:tc>
          <w:tcPr>
            <w:tcW w:w="647" w:type="pct"/>
            <w:vAlign w:val="center"/>
          </w:tcPr>
          <w:p w14:paraId="302F9D2B" w14:textId="465B1F25"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89"/>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89"/>
                <w14:textFill>
                  <w14:solidFill>
                    <w14:srgbClr w14:val="000000">
                      <w14:alpha w14:val="100000"/>
                    </w14:srgbClr>
                  </w14:solidFill>
                </w14:textFill>
              </w:rPr>
              <w:t>|</w:t>
            </w:r>
            <w:r w:rsidR="003160BA" w:rsidRPr="003160BA">
              <w:rPr>
                <w:rFonts w:eastAsiaTheme="majorEastAsia" w:cstheme="majorBidi"/>
                <w:bCs/>
                <w:vertAlign w:val="superscript"/>
              </w:rPr>
              <w:t>2</w:t>
            </w:r>
          </w:p>
        </w:tc>
        <w:tc>
          <w:tcPr>
            <w:tcW w:w="647" w:type="pct"/>
            <w:vAlign w:val="center"/>
          </w:tcPr>
          <w:p w14:paraId="2DAD41F4" w14:textId="5BA8A7BD"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88"/>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88"/>
                <w14:textFill>
                  <w14:solidFill>
                    <w14:srgbClr w14:val="000000">
                      <w14:alpha w14:val="100000"/>
                    </w14:srgbClr>
                  </w14:solidFill>
                </w14:textFill>
              </w:rPr>
              <w:t>|</w:t>
            </w:r>
            <w:r w:rsidR="003160BA" w:rsidRPr="003160BA">
              <w:rPr>
                <w:rFonts w:eastAsiaTheme="majorEastAsia" w:cstheme="majorBidi"/>
                <w:bCs/>
                <w:vertAlign w:val="superscript"/>
              </w:rPr>
              <w:t>2</w:t>
            </w:r>
          </w:p>
        </w:tc>
        <w:tc>
          <w:tcPr>
            <w:tcW w:w="647" w:type="pct"/>
            <w:vAlign w:val="center"/>
          </w:tcPr>
          <w:p w14:paraId="6AC8047B" w14:textId="759260B0"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87"/>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87"/>
                <w14:textFill>
                  <w14:solidFill>
                    <w14:srgbClr w14:val="000000">
                      <w14:alpha w14:val="100000"/>
                    </w14:srgbClr>
                  </w14:solidFill>
                </w14:textFill>
              </w:rPr>
              <w:t>|</w:t>
            </w:r>
            <w:r w:rsidR="003160BA" w:rsidRPr="003160BA">
              <w:rPr>
                <w:rFonts w:eastAsiaTheme="majorEastAsia" w:cstheme="majorBidi"/>
                <w:bCs/>
                <w:vertAlign w:val="superscript"/>
              </w:rPr>
              <w:t>2</w:t>
            </w:r>
          </w:p>
        </w:tc>
        <w:tc>
          <w:tcPr>
            <w:tcW w:w="647" w:type="pct"/>
            <w:vAlign w:val="center"/>
          </w:tcPr>
          <w:p w14:paraId="1660D088" w14:textId="1579AF7E"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86"/>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86"/>
                <w14:textFill>
                  <w14:solidFill>
                    <w14:srgbClr w14:val="000000">
                      <w14:alpha w14:val="100000"/>
                    </w14:srgbClr>
                  </w14:solidFill>
                </w14:textFill>
              </w:rPr>
              <w:t>|</w:t>
            </w:r>
            <w:r w:rsidR="003160BA" w:rsidRPr="003160BA">
              <w:rPr>
                <w:rFonts w:eastAsiaTheme="majorEastAsia" w:cstheme="majorBidi"/>
                <w:bCs/>
                <w:vertAlign w:val="superscript"/>
              </w:rPr>
              <w:t>2</w:t>
            </w:r>
          </w:p>
        </w:tc>
        <w:tc>
          <w:tcPr>
            <w:tcW w:w="649" w:type="pct"/>
            <w:vAlign w:val="center"/>
          </w:tcPr>
          <w:p w14:paraId="1B2CAFF9" w14:textId="02830463" w:rsidR="00141284" w:rsidRPr="007A5194" w:rsidRDefault="003452C5" w:rsidP="00C85D12">
            <w:pPr>
              <w:pStyle w:val="Tabletext"/>
              <w:jc w:val="center"/>
              <w:rPr>
                <w:highlight w:val="darkGray"/>
              </w:rPr>
            </w:pPr>
            <w:r w:rsidRPr="003452C5">
              <w:rPr>
                <w:rFonts w:eastAsiaTheme="majorEastAsia" w:cstheme="majorBidi"/>
                <w:bCs/>
                <w:color w:val="000000"/>
                <w:spacing w:val="53"/>
                <w:shd w:val="solid" w:color="000000" w:fill="000000"/>
                <w:fitText w:val="330" w:id="-694425585"/>
                <w14:textFill>
                  <w14:solidFill>
                    <w14:srgbClr w14:val="000000">
                      <w14:alpha w14:val="100000"/>
                    </w14:srgbClr>
                  </w14:solidFill>
                </w14:textFill>
              </w:rPr>
              <w:t>|||</w:t>
            </w:r>
            <w:r w:rsidRPr="003452C5">
              <w:rPr>
                <w:rFonts w:eastAsiaTheme="majorEastAsia" w:cstheme="majorBidi"/>
                <w:bCs/>
                <w:color w:val="000000"/>
                <w:spacing w:val="1"/>
                <w:shd w:val="solid" w:color="000000" w:fill="000000"/>
                <w:fitText w:val="330" w:id="-694425585"/>
                <w14:textFill>
                  <w14:solidFill>
                    <w14:srgbClr w14:val="000000">
                      <w14:alpha w14:val="100000"/>
                    </w14:srgbClr>
                  </w14:solidFill>
                </w14:textFill>
              </w:rPr>
              <w:t>|</w:t>
            </w:r>
            <w:r w:rsidR="003160BA" w:rsidRPr="003160BA">
              <w:rPr>
                <w:rFonts w:eastAsiaTheme="majorEastAsia" w:cstheme="majorBidi"/>
                <w:bCs/>
                <w:vertAlign w:val="superscript"/>
              </w:rPr>
              <w:t>2</w:t>
            </w:r>
          </w:p>
        </w:tc>
      </w:tr>
      <w:tr w:rsidR="00141284" w:rsidRPr="00A31494" w14:paraId="25416207" w14:textId="77777777" w:rsidTr="00C85D12">
        <w:tc>
          <w:tcPr>
            <w:tcW w:w="5000" w:type="pct"/>
            <w:gridSpan w:val="7"/>
            <w:vAlign w:val="center"/>
          </w:tcPr>
          <w:p w14:paraId="50F01423" w14:textId="77777777" w:rsidR="00141284" w:rsidRPr="003D1848" w:rsidRDefault="00141284" w:rsidP="00C85D12">
            <w:pPr>
              <w:pStyle w:val="Tabletext"/>
              <w:rPr>
                <w:b/>
                <w:bCs/>
              </w:rPr>
            </w:pPr>
            <w:r w:rsidRPr="003D1848">
              <w:rPr>
                <w:b/>
                <w:bCs/>
              </w:rPr>
              <w:t xml:space="preserve">Estimated financial implications of </w:t>
            </w:r>
            <w:proofErr w:type="spellStart"/>
            <w:r w:rsidRPr="00D51125">
              <w:rPr>
                <w:b/>
                <w:bCs/>
              </w:rPr>
              <w:t>omaveloxolone</w:t>
            </w:r>
            <w:proofErr w:type="spellEnd"/>
            <w:r>
              <w:rPr>
                <w:b/>
                <w:bCs/>
              </w:rPr>
              <w:t xml:space="preserve"> (proposed published price)</w:t>
            </w:r>
          </w:p>
        </w:tc>
      </w:tr>
      <w:tr w:rsidR="00141284" w:rsidRPr="00A31494" w14:paraId="128D2D47" w14:textId="77777777" w:rsidTr="00C85D12">
        <w:tc>
          <w:tcPr>
            <w:tcW w:w="1116" w:type="pct"/>
            <w:vAlign w:val="center"/>
          </w:tcPr>
          <w:p w14:paraId="585A5BD1" w14:textId="77777777" w:rsidR="00141284" w:rsidRPr="00A31494" w:rsidRDefault="00141284" w:rsidP="00C85D12">
            <w:pPr>
              <w:pStyle w:val="Tabletext"/>
            </w:pPr>
            <w:r w:rsidRPr="00A31494">
              <w:t>Cost to PBS/RPBS</w:t>
            </w:r>
          </w:p>
        </w:tc>
        <w:tc>
          <w:tcPr>
            <w:tcW w:w="647" w:type="pct"/>
            <w:tcBorders>
              <w:top w:val="nil"/>
              <w:left w:val="nil"/>
              <w:bottom w:val="single" w:sz="4" w:space="0" w:color="auto"/>
              <w:right w:val="single" w:sz="4" w:space="0" w:color="auto"/>
            </w:tcBorders>
            <w:vAlign w:val="center"/>
          </w:tcPr>
          <w:p w14:paraId="1D814063" w14:textId="7A76A73B" w:rsidR="00141284" w:rsidRPr="007A5194" w:rsidRDefault="003452C5" w:rsidP="00C85D12">
            <w:pPr>
              <w:pStyle w:val="Tabletext"/>
              <w:jc w:val="center"/>
              <w:rPr>
                <w:highlight w:val="darkGray"/>
              </w:rPr>
            </w:pPr>
            <w:r w:rsidRPr="003452C5">
              <w:rPr>
                <w:color w:val="000000"/>
                <w:spacing w:val="53"/>
                <w:shd w:val="solid" w:color="000000" w:fill="000000"/>
                <w:fitText w:val="330" w:id="-694425584"/>
                <w14:textFill>
                  <w14:solidFill>
                    <w14:srgbClr w14:val="000000">
                      <w14:alpha w14:val="100000"/>
                    </w14:srgbClr>
                  </w14:solidFill>
                </w14:textFill>
              </w:rPr>
              <w:t>|||</w:t>
            </w:r>
            <w:r w:rsidRPr="003452C5">
              <w:rPr>
                <w:color w:val="000000"/>
                <w:spacing w:val="1"/>
                <w:shd w:val="solid" w:color="000000" w:fill="000000"/>
                <w:fitText w:val="330" w:id="-694425584"/>
                <w14:textFill>
                  <w14:solidFill>
                    <w14:srgbClr w14:val="000000">
                      <w14:alpha w14:val="100000"/>
                    </w14:srgbClr>
                  </w14:solidFill>
                </w14:textFill>
              </w:rPr>
              <w:t>|</w:t>
            </w:r>
            <w:r w:rsidR="003160BA" w:rsidRPr="003160BA">
              <w:rPr>
                <w:vertAlign w:val="superscript"/>
              </w:rPr>
              <w:t>3</w:t>
            </w:r>
          </w:p>
        </w:tc>
        <w:tc>
          <w:tcPr>
            <w:tcW w:w="647" w:type="pct"/>
            <w:tcBorders>
              <w:top w:val="nil"/>
              <w:left w:val="nil"/>
              <w:bottom w:val="single" w:sz="4" w:space="0" w:color="auto"/>
              <w:right w:val="single" w:sz="4" w:space="0" w:color="auto"/>
            </w:tcBorders>
            <w:vAlign w:val="center"/>
          </w:tcPr>
          <w:p w14:paraId="028FD92E" w14:textId="60DBDA24" w:rsidR="00141284" w:rsidRPr="007A5194" w:rsidRDefault="003452C5" w:rsidP="00C85D12">
            <w:pPr>
              <w:pStyle w:val="Tabletext"/>
              <w:jc w:val="center"/>
              <w:rPr>
                <w:highlight w:val="darkGray"/>
              </w:rPr>
            </w:pPr>
            <w:r w:rsidRPr="003452C5">
              <w:rPr>
                <w:color w:val="000000"/>
                <w:spacing w:val="53"/>
                <w:shd w:val="solid" w:color="000000" w:fill="000000"/>
                <w:fitText w:val="330" w:id="-694425600"/>
                <w14:textFill>
                  <w14:solidFill>
                    <w14:srgbClr w14:val="000000">
                      <w14:alpha w14:val="100000"/>
                    </w14:srgbClr>
                  </w14:solidFill>
                </w14:textFill>
              </w:rPr>
              <w:t>|||</w:t>
            </w:r>
            <w:r w:rsidRPr="003452C5">
              <w:rPr>
                <w:color w:val="000000"/>
                <w:spacing w:val="1"/>
                <w:shd w:val="solid" w:color="000000" w:fill="000000"/>
                <w:fitText w:val="330" w:id="-694425600"/>
                <w14:textFill>
                  <w14:solidFill>
                    <w14:srgbClr w14:val="000000">
                      <w14:alpha w14:val="100000"/>
                    </w14:srgbClr>
                  </w14:solidFill>
                </w14:textFill>
              </w:rPr>
              <w:t>|</w:t>
            </w:r>
            <w:r w:rsidR="007F3B88" w:rsidRPr="003160BA">
              <w:rPr>
                <w:vertAlign w:val="superscript"/>
              </w:rPr>
              <w:t>3</w:t>
            </w:r>
          </w:p>
        </w:tc>
        <w:tc>
          <w:tcPr>
            <w:tcW w:w="647" w:type="pct"/>
            <w:tcBorders>
              <w:top w:val="nil"/>
              <w:left w:val="nil"/>
              <w:bottom w:val="single" w:sz="4" w:space="0" w:color="auto"/>
              <w:right w:val="single" w:sz="4" w:space="0" w:color="auto"/>
            </w:tcBorders>
            <w:vAlign w:val="center"/>
          </w:tcPr>
          <w:p w14:paraId="638B6A90" w14:textId="2C0BC2B2" w:rsidR="00141284" w:rsidRPr="007A5194" w:rsidRDefault="003452C5" w:rsidP="00C85D12">
            <w:pPr>
              <w:pStyle w:val="Tabletext"/>
              <w:jc w:val="center"/>
              <w:rPr>
                <w:highlight w:val="darkGray"/>
              </w:rPr>
            </w:pPr>
            <w:r w:rsidRPr="003452C5">
              <w:rPr>
                <w:color w:val="000000"/>
                <w:spacing w:val="53"/>
                <w:shd w:val="solid" w:color="000000" w:fill="000000"/>
                <w:fitText w:val="330" w:id="-694425599"/>
                <w14:textFill>
                  <w14:solidFill>
                    <w14:srgbClr w14:val="000000">
                      <w14:alpha w14:val="100000"/>
                    </w14:srgbClr>
                  </w14:solidFill>
                </w14:textFill>
              </w:rPr>
              <w:t>|||</w:t>
            </w:r>
            <w:r w:rsidRPr="003452C5">
              <w:rPr>
                <w:color w:val="000000"/>
                <w:spacing w:val="1"/>
                <w:shd w:val="solid" w:color="000000" w:fill="000000"/>
                <w:fitText w:val="330" w:id="-694425599"/>
                <w14:textFill>
                  <w14:solidFill>
                    <w14:srgbClr w14:val="000000">
                      <w14:alpha w14:val="100000"/>
                    </w14:srgbClr>
                  </w14:solidFill>
                </w14:textFill>
              </w:rPr>
              <w:t>|</w:t>
            </w:r>
            <w:r w:rsidR="007F3B88" w:rsidRPr="003160BA">
              <w:rPr>
                <w:vertAlign w:val="superscript"/>
              </w:rPr>
              <w:t>3</w:t>
            </w:r>
          </w:p>
        </w:tc>
        <w:tc>
          <w:tcPr>
            <w:tcW w:w="647" w:type="pct"/>
            <w:tcBorders>
              <w:top w:val="nil"/>
              <w:left w:val="nil"/>
              <w:bottom w:val="single" w:sz="4" w:space="0" w:color="auto"/>
              <w:right w:val="single" w:sz="4" w:space="0" w:color="auto"/>
            </w:tcBorders>
            <w:vAlign w:val="center"/>
          </w:tcPr>
          <w:p w14:paraId="768400A3" w14:textId="68CAAB65" w:rsidR="00141284" w:rsidRPr="007A5194" w:rsidRDefault="003452C5" w:rsidP="00C85D12">
            <w:pPr>
              <w:pStyle w:val="Tabletext"/>
              <w:jc w:val="center"/>
              <w:rPr>
                <w:highlight w:val="darkGray"/>
              </w:rPr>
            </w:pPr>
            <w:r w:rsidRPr="003452C5">
              <w:rPr>
                <w:color w:val="000000"/>
                <w:spacing w:val="53"/>
                <w:shd w:val="solid" w:color="000000" w:fill="000000"/>
                <w:fitText w:val="330" w:id="-694425598"/>
                <w14:textFill>
                  <w14:solidFill>
                    <w14:srgbClr w14:val="000000">
                      <w14:alpha w14:val="100000"/>
                    </w14:srgbClr>
                  </w14:solidFill>
                </w14:textFill>
              </w:rPr>
              <w:t>|||</w:t>
            </w:r>
            <w:r w:rsidRPr="003452C5">
              <w:rPr>
                <w:color w:val="000000"/>
                <w:spacing w:val="1"/>
                <w:shd w:val="solid" w:color="000000" w:fill="000000"/>
                <w:fitText w:val="330" w:id="-694425598"/>
                <w14:textFill>
                  <w14:solidFill>
                    <w14:srgbClr w14:val="000000">
                      <w14:alpha w14:val="100000"/>
                    </w14:srgbClr>
                  </w14:solidFill>
                </w14:textFill>
              </w:rPr>
              <w:t>|</w:t>
            </w:r>
            <w:r w:rsidR="007F3B88" w:rsidRPr="003160BA">
              <w:rPr>
                <w:vertAlign w:val="superscript"/>
              </w:rPr>
              <w:t>3</w:t>
            </w:r>
          </w:p>
        </w:tc>
        <w:tc>
          <w:tcPr>
            <w:tcW w:w="647" w:type="pct"/>
            <w:tcBorders>
              <w:top w:val="nil"/>
              <w:left w:val="nil"/>
              <w:bottom w:val="single" w:sz="4" w:space="0" w:color="auto"/>
              <w:right w:val="single" w:sz="4" w:space="0" w:color="auto"/>
            </w:tcBorders>
            <w:vAlign w:val="center"/>
          </w:tcPr>
          <w:p w14:paraId="41195464" w14:textId="563E7D55" w:rsidR="00141284" w:rsidRPr="007A5194" w:rsidRDefault="003452C5" w:rsidP="00C85D12">
            <w:pPr>
              <w:pStyle w:val="Tabletext"/>
              <w:jc w:val="center"/>
              <w:rPr>
                <w:highlight w:val="darkGray"/>
              </w:rPr>
            </w:pPr>
            <w:r w:rsidRPr="003452C5">
              <w:rPr>
                <w:color w:val="000000"/>
                <w:spacing w:val="53"/>
                <w:shd w:val="solid" w:color="000000" w:fill="000000"/>
                <w:fitText w:val="330" w:id="-694425597"/>
                <w14:textFill>
                  <w14:solidFill>
                    <w14:srgbClr w14:val="000000">
                      <w14:alpha w14:val="100000"/>
                    </w14:srgbClr>
                  </w14:solidFill>
                </w14:textFill>
              </w:rPr>
              <w:t>|||</w:t>
            </w:r>
            <w:r w:rsidRPr="003452C5">
              <w:rPr>
                <w:color w:val="000000"/>
                <w:spacing w:val="1"/>
                <w:shd w:val="solid" w:color="000000" w:fill="000000"/>
                <w:fitText w:val="330" w:id="-694425597"/>
                <w14:textFill>
                  <w14:solidFill>
                    <w14:srgbClr w14:val="000000">
                      <w14:alpha w14:val="100000"/>
                    </w14:srgbClr>
                  </w14:solidFill>
                </w14:textFill>
              </w:rPr>
              <w:t>|</w:t>
            </w:r>
            <w:r w:rsidR="007F3B88" w:rsidRPr="003160BA">
              <w:rPr>
                <w:vertAlign w:val="superscript"/>
              </w:rPr>
              <w:t>3</w:t>
            </w:r>
          </w:p>
        </w:tc>
        <w:tc>
          <w:tcPr>
            <w:tcW w:w="649" w:type="pct"/>
            <w:tcBorders>
              <w:top w:val="nil"/>
              <w:left w:val="nil"/>
              <w:bottom w:val="single" w:sz="4" w:space="0" w:color="auto"/>
              <w:right w:val="single" w:sz="4" w:space="0" w:color="auto"/>
            </w:tcBorders>
            <w:vAlign w:val="center"/>
          </w:tcPr>
          <w:p w14:paraId="03C75ED1" w14:textId="1ED260B5" w:rsidR="00141284" w:rsidRPr="007A5194" w:rsidRDefault="003452C5" w:rsidP="00C85D12">
            <w:pPr>
              <w:pStyle w:val="Tabletext"/>
              <w:jc w:val="center"/>
              <w:rPr>
                <w:highlight w:val="darkGray"/>
              </w:rPr>
            </w:pPr>
            <w:r w:rsidRPr="003452C5">
              <w:rPr>
                <w:color w:val="000000"/>
                <w:spacing w:val="53"/>
                <w:shd w:val="solid" w:color="000000" w:fill="000000"/>
                <w:fitText w:val="330" w:id="-694425596"/>
                <w14:textFill>
                  <w14:solidFill>
                    <w14:srgbClr w14:val="000000">
                      <w14:alpha w14:val="100000"/>
                    </w14:srgbClr>
                  </w14:solidFill>
                </w14:textFill>
              </w:rPr>
              <w:t>|||</w:t>
            </w:r>
            <w:r w:rsidRPr="003452C5">
              <w:rPr>
                <w:color w:val="000000"/>
                <w:spacing w:val="1"/>
                <w:shd w:val="solid" w:color="000000" w:fill="000000"/>
                <w:fitText w:val="330" w:id="-694425596"/>
                <w14:textFill>
                  <w14:solidFill>
                    <w14:srgbClr w14:val="000000">
                      <w14:alpha w14:val="100000"/>
                    </w14:srgbClr>
                  </w14:solidFill>
                </w14:textFill>
              </w:rPr>
              <w:t>|</w:t>
            </w:r>
            <w:r w:rsidR="007F3B88" w:rsidRPr="003160BA">
              <w:rPr>
                <w:vertAlign w:val="superscript"/>
              </w:rPr>
              <w:t>3</w:t>
            </w:r>
          </w:p>
        </w:tc>
      </w:tr>
      <w:tr w:rsidR="00141284" w:rsidRPr="00A31494" w14:paraId="287B5052" w14:textId="77777777" w:rsidTr="00C85D12">
        <w:tc>
          <w:tcPr>
            <w:tcW w:w="1116" w:type="pct"/>
            <w:vAlign w:val="center"/>
          </w:tcPr>
          <w:p w14:paraId="4D0EBCDB" w14:textId="77777777" w:rsidR="00141284" w:rsidRPr="00A31494" w:rsidRDefault="00141284" w:rsidP="00C85D12">
            <w:pPr>
              <w:pStyle w:val="Tabletext"/>
            </w:pPr>
            <w:r w:rsidRPr="00A31494">
              <w:t>Copayments</w:t>
            </w:r>
          </w:p>
        </w:tc>
        <w:tc>
          <w:tcPr>
            <w:tcW w:w="647" w:type="pct"/>
            <w:tcBorders>
              <w:top w:val="nil"/>
              <w:left w:val="nil"/>
              <w:bottom w:val="single" w:sz="4" w:space="0" w:color="auto"/>
              <w:right w:val="single" w:sz="4" w:space="0" w:color="auto"/>
            </w:tcBorders>
            <w:vAlign w:val="center"/>
          </w:tcPr>
          <w:p w14:paraId="49700303" w14:textId="4B043E78" w:rsidR="00141284" w:rsidRPr="007A5194" w:rsidRDefault="003452C5" w:rsidP="00C85D12">
            <w:pPr>
              <w:pStyle w:val="Tabletext"/>
              <w:jc w:val="center"/>
              <w:rPr>
                <w:highlight w:val="darkGray"/>
              </w:rPr>
            </w:pPr>
            <w:r w:rsidRPr="003452C5">
              <w:rPr>
                <w:color w:val="000000"/>
                <w:spacing w:val="53"/>
                <w:shd w:val="solid" w:color="000000" w:fill="000000"/>
                <w:fitText w:val="330" w:id="-694425595"/>
                <w14:textFill>
                  <w14:solidFill>
                    <w14:srgbClr w14:val="000000">
                      <w14:alpha w14:val="100000"/>
                    </w14:srgbClr>
                  </w14:solidFill>
                </w14:textFill>
              </w:rPr>
              <w:t>|||</w:t>
            </w:r>
            <w:r w:rsidRPr="003452C5">
              <w:rPr>
                <w:color w:val="000000"/>
                <w:spacing w:val="1"/>
                <w:shd w:val="solid" w:color="000000" w:fill="000000"/>
                <w:fitText w:val="330" w:id="-694425595"/>
                <w14:textFill>
                  <w14:solidFill>
                    <w14:srgbClr w14:val="000000">
                      <w14:alpha w14:val="100000"/>
                    </w14:srgbClr>
                  </w14:solidFill>
                </w14:textFill>
              </w:rPr>
              <w:t>|</w:t>
            </w:r>
            <w:r w:rsidR="005C2B05" w:rsidRPr="005C2B05">
              <w:rPr>
                <w:vertAlign w:val="superscript"/>
              </w:rPr>
              <w:t>4</w:t>
            </w:r>
          </w:p>
        </w:tc>
        <w:tc>
          <w:tcPr>
            <w:tcW w:w="647" w:type="pct"/>
            <w:tcBorders>
              <w:top w:val="nil"/>
              <w:left w:val="nil"/>
              <w:bottom w:val="single" w:sz="4" w:space="0" w:color="auto"/>
              <w:right w:val="single" w:sz="4" w:space="0" w:color="auto"/>
            </w:tcBorders>
            <w:vAlign w:val="center"/>
          </w:tcPr>
          <w:p w14:paraId="693061AE" w14:textId="0FDAC2BC" w:rsidR="00141284" w:rsidRPr="007A5194" w:rsidRDefault="003452C5" w:rsidP="00C85D12">
            <w:pPr>
              <w:pStyle w:val="Tabletext"/>
              <w:jc w:val="center"/>
              <w:rPr>
                <w:highlight w:val="darkGray"/>
              </w:rPr>
            </w:pPr>
            <w:r w:rsidRPr="003452C5">
              <w:rPr>
                <w:color w:val="000000"/>
                <w:spacing w:val="53"/>
                <w:shd w:val="solid" w:color="000000" w:fill="000000"/>
                <w:fitText w:val="330" w:id="-694425594"/>
                <w14:textFill>
                  <w14:solidFill>
                    <w14:srgbClr w14:val="000000">
                      <w14:alpha w14:val="100000"/>
                    </w14:srgbClr>
                  </w14:solidFill>
                </w14:textFill>
              </w:rPr>
              <w:t>|||</w:t>
            </w:r>
            <w:r w:rsidRPr="003452C5">
              <w:rPr>
                <w:color w:val="000000"/>
                <w:spacing w:val="1"/>
                <w:shd w:val="solid" w:color="000000" w:fill="000000"/>
                <w:fitText w:val="330" w:id="-694425594"/>
                <w14:textFill>
                  <w14:solidFill>
                    <w14:srgbClr w14:val="000000">
                      <w14:alpha w14:val="100000"/>
                    </w14:srgbClr>
                  </w14:solidFill>
                </w14:textFill>
              </w:rPr>
              <w:t>|</w:t>
            </w:r>
            <w:r w:rsidR="005C2B05" w:rsidRPr="005C2B05">
              <w:rPr>
                <w:vertAlign w:val="superscript"/>
              </w:rPr>
              <w:t>4</w:t>
            </w:r>
          </w:p>
        </w:tc>
        <w:tc>
          <w:tcPr>
            <w:tcW w:w="647" w:type="pct"/>
            <w:tcBorders>
              <w:top w:val="nil"/>
              <w:left w:val="nil"/>
              <w:bottom w:val="single" w:sz="4" w:space="0" w:color="auto"/>
              <w:right w:val="single" w:sz="4" w:space="0" w:color="auto"/>
            </w:tcBorders>
            <w:vAlign w:val="center"/>
          </w:tcPr>
          <w:p w14:paraId="00203704" w14:textId="7DD984B3" w:rsidR="00141284" w:rsidRPr="007A5194" w:rsidRDefault="003452C5" w:rsidP="00C85D12">
            <w:pPr>
              <w:pStyle w:val="Tabletext"/>
              <w:jc w:val="center"/>
              <w:rPr>
                <w:highlight w:val="darkGray"/>
              </w:rPr>
            </w:pPr>
            <w:r w:rsidRPr="003452C5">
              <w:rPr>
                <w:color w:val="000000"/>
                <w:spacing w:val="53"/>
                <w:shd w:val="solid" w:color="000000" w:fill="000000"/>
                <w:fitText w:val="330" w:id="-694425593"/>
                <w14:textFill>
                  <w14:solidFill>
                    <w14:srgbClr w14:val="000000">
                      <w14:alpha w14:val="100000"/>
                    </w14:srgbClr>
                  </w14:solidFill>
                </w14:textFill>
              </w:rPr>
              <w:t>|||</w:t>
            </w:r>
            <w:r w:rsidRPr="003452C5">
              <w:rPr>
                <w:color w:val="000000"/>
                <w:spacing w:val="1"/>
                <w:shd w:val="solid" w:color="000000" w:fill="000000"/>
                <w:fitText w:val="330" w:id="-694425593"/>
                <w14:textFill>
                  <w14:solidFill>
                    <w14:srgbClr w14:val="000000">
                      <w14:alpha w14:val="100000"/>
                    </w14:srgbClr>
                  </w14:solidFill>
                </w14:textFill>
              </w:rPr>
              <w:t>|</w:t>
            </w:r>
            <w:r w:rsidR="005C2B05" w:rsidRPr="005C2B05">
              <w:rPr>
                <w:vertAlign w:val="superscript"/>
              </w:rPr>
              <w:t>4</w:t>
            </w:r>
          </w:p>
        </w:tc>
        <w:tc>
          <w:tcPr>
            <w:tcW w:w="647" w:type="pct"/>
            <w:tcBorders>
              <w:top w:val="nil"/>
              <w:left w:val="nil"/>
              <w:bottom w:val="single" w:sz="4" w:space="0" w:color="auto"/>
              <w:right w:val="single" w:sz="4" w:space="0" w:color="auto"/>
            </w:tcBorders>
            <w:vAlign w:val="center"/>
          </w:tcPr>
          <w:p w14:paraId="6EEB5005" w14:textId="7B460F65" w:rsidR="00141284" w:rsidRPr="007A5194" w:rsidRDefault="003452C5" w:rsidP="00C85D12">
            <w:pPr>
              <w:pStyle w:val="Tabletext"/>
              <w:jc w:val="center"/>
              <w:rPr>
                <w:highlight w:val="darkGray"/>
              </w:rPr>
            </w:pPr>
            <w:r w:rsidRPr="003452C5">
              <w:rPr>
                <w:color w:val="000000"/>
                <w:spacing w:val="53"/>
                <w:shd w:val="solid" w:color="000000" w:fill="000000"/>
                <w:fitText w:val="330" w:id="-694425344"/>
                <w14:textFill>
                  <w14:solidFill>
                    <w14:srgbClr w14:val="000000">
                      <w14:alpha w14:val="100000"/>
                    </w14:srgbClr>
                  </w14:solidFill>
                </w14:textFill>
              </w:rPr>
              <w:t>|||</w:t>
            </w:r>
            <w:r w:rsidRPr="003452C5">
              <w:rPr>
                <w:color w:val="000000"/>
                <w:spacing w:val="1"/>
                <w:shd w:val="solid" w:color="000000" w:fill="000000"/>
                <w:fitText w:val="330" w:id="-694425344"/>
                <w14:textFill>
                  <w14:solidFill>
                    <w14:srgbClr w14:val="000000">
                      <w14:alpha w14:val="100000"/>
                    </w14:srgbClr>
                  </w14:solidFill>
                </w14:textFill>
              </w:rPr>
              <w:t>|</w:t>
            </w:r>
            <w:r w:rsidR="005C2B05" w:rsidRPr="005C2B05">
              <w:rPr>
                <w:vertAlign w:val="superscript"/>
              </w:rPr>
              <w:t>4</w:t>
            </w:r>
          </w:p>
        </w:tc>
        <w:tc>
          <w:tcPr>
            <w:tcW w:w="647" w:type="pct"/>
            <w:tcBorders>
              <w:top w:val="nil"/>
              <w:left w:val="nil"/>
              <w:bottom w:val="single" w:sz="4" w:space="0" w:color="auto"/>
              <w:right w:val="single" w:sz="4" w:space="0" w:color="auto"/>
            </w:tcBorders>
            <w:vAlign w:val="center"/>
          </w:tcPr>
          <w:p w14:paraId="5469B92B" w14:textId="4081D261" w:rsidR="00141284" w:rsidRPr="007A5194" w:rsidRDefault="003452C5" w:rsidP="00C85D12">
            <w:pPr>
              <w:pStyle w:val="Tabletext"/>
              <w:jc w:val="center"/>
              <w:rPr>
                <w:highlight w:val="darkGray"/>
              </w:rPr>
            </w:pPr>
            <w:r w:rsidRPr="003452C5">
              <w:rPr>
                <w:color w:val="000000"/>
                <w:spacing w:val="53"/>
                <w:shd w:val="solid" w:color="000000" w:fill="000000"/>
                <w:fitText w:val="330" w:id="-694425343"/>
                <w14:textFill>
                  <w14:solidFill>
                    <w14:srgbClr w14:val="000000">
                      <w14:alpha w14:val="100000"/>
                    </w14:srgbClr>
                  </w14:solidFill>
                </w14:textFill>
              </w:rPr>
              <w:t>|||</w:t>
            </w:r>
            <w:r w:rsidRPr="003452C5">
              <w:rPr>
                <w:color w:val="000000"/>
                <w:spacing w:val="1"/>
                <w:shd w:val="solid" w:color="000000" w:fill="000000"/>
                <w:fitText w:val="330" w:id="-694425343"/>
                <w14:textFill>
                  <w14:solidFill>
                    <w14:srgbClr w14:val="000000">
                      <w14:alpha w14:val="100000"/>
                    </w14:srgbClr>
                  </w14:solidFill>
                </w14:textFill>
              </w:rPr>
              <w:t>|</w:t>
            </w:r>
            <w:r w:rsidR="005C2B05" w:rsidRPr="005C2B05">
              <w:rPr>
                <w:vertAlign w:val="superscript"/>
              </w:rPr>
              <w:t>4</w:t>
            </w:r>
          </w:p>
        </w:tc>
        <w:tc>
          <w:tcPr>
            <w:tcW w:w="649" w:type="pct"/>
            <w:tcBorders>
              <w:top w:val="nil"/>
              <w:left w:val="nil"/>
              <w:bottom w:val="single" w:sz="4" w:space="0" w:color="auto"/>
              <w:right w:val="single" w:sz="4" w:space="0" w:color="auto"/>
            </w:tcBorders>
            <w:vAlign w:val="center"/>
          </w:tcPr>
          <w:p w14:paraId="76F17751" w14:textId="3CE3541D" w:rsidR="00141284" w:rsidRPr="007A5194" w:rsidRDefault="003452C5" w:rsidP="00C85D12">
            <w:pPr>
              <w:pStyle w:val="Tabletext"/>
              <w:jc w:val="center"/>
              <w:rPr>
                <w:highlight w:val="darkGray"/>
              </w:rPr>
            </w:pPr>
            <w:r w:rsidRPr="003452C5">
              <w:rPr>
                <w:color w:val="000000"/>
                <w:spacing w:val="53"/>
                <w:shd w:val="solid" w:color="000000" w:fill="000000"/>
                <w:fitText w:val="330" w:id="-694425342"/>
                <w14:textFill>
                  <w14:solidFill>
                    <w14:srgbClr w14:val="000000">
                      <w14:alpha w14:val="100000"/>
                    </w14:srgbClr>
                  </w14:solidFill>
                </w14:textFill>
              </w:rPr>
              <w:t>|||</w:t>
            </w:r>
            <w:r w:rsidRPr="003452C5">
              <w:rPr>
                <w:color w:val="000000"/>
                <w:spacing w:val="1"/>
                <w:shd w:val="solid" w:color="000000" w:fill="000000"/>
                <w:fitText w:val="330" w:id="-694425342"/>
                <w14:textFill>
                  <w14:solidFill>
                    <w14:srgbClr w14:val="000000">
                      <w14:alpha w14:val="100000"/>
                    </w14:srgbClr>
                  </w14:solidFill>
                </w14:textFill>
              </w:rPr>
              <w:t>|</w:t>
            </w:r>
            <w:r w:rsidR="005C2B05" w:rsidRPr="005C2B05">
              <w:rPr>
                <w:vertAlign w:val="superscript"/>
              </w:rPr>
              <w:t>4</w:t>
            </w:r>
          </w:p>
        </w:tc>
      </w:tr>
      <w:tr w:rsidR="00141284" w:rsidRPr="00A31494" w14:paraId="3322AC5E" w14:textId="77777777" w:rsidTr="00C85D12">
        <w:tc>
          <w:tcPr>
            <w:tcW w:w="1116" w:type="pct"/>
            <w:vAlign w:val="center"/>
          </w:tcPr>
          <w:p w14:paraId="1DC510DD" w14:textId="77777777" w:rsidR="00141284" w:rsidRPr="00A31494" w:rsidRDefault="00141284" w:rsidP="00C85D12">
            <w:pPr>
              <w:pStyle w:val="Tabletext"/>
            </w:pPr>
            <w:r w:rsidRPr="00A31494">
              <w:t>Cost to PBS/RPBS less copayments</w:t>
            </w:r>
          </w:p>
        </w:tc>
        <w:tc>
          <w:tcPr>
            <w:tcW w:w="647" w:type="pct"/>
            <w:vAlign w:val="center"/>
          </w:tcPr>
          <w:p w14:paraId="2C24B52B" w14:textId="68A9191E" w:rsidR="00141284" w:rsidRPr="007A5194" w:rsidRDefault="003452C5" w:rsidP="00C85D12">
            <w:pPr>
              <w:pStyle w:val="Tabletext"/>
              <w:jc w:val="center"/>
              <w:rPr>
                <w:highlight w:val="darkGray"/>
              </w:rPr>
            </w:pPr>
            <w:r w:rsidRPr="003452C5">
              <w:rPr>
                <w:color w:val="000000"/>
                <w:spacing w:val="53"/>
                <w:shd w:val="solid" w:color="000000" w:fill="000000"/>
                <w:fitText w:val="330" w:id="-694425341"/>
                <w14:textFill>
                  <w14:solidFill>
                    <w14:srgbClr w14:val="000000">
                      <w14:alpha w14:val="100000"/>
                    </w14:srgbClr>
                  </w14:solidFill>
                </w14:textFill>
              </w:rPr>
              <w:t>|||</w:t>
            </w:r>
            <w:r w:rsidRPr="003452C5">
              <w:rPr>
                <w:color w:val="000000"/>
                <w:spacing w:val="1"/>
                <w:shd w:val="solid" w:color="000000" w:fill="000000"/>
                <w:fitText w:val="330" w:id="-694425341"/>
                <w14:textFill>
                  <w14:solidFill>
                    <w14:srgbClr w14:val="000000">
                      <w14:alpha w14:val="100000"/>
                    </w14:srgbClr>
                  </w14:solidFill>
                </w14:textFill>
              </w:rPr>
              <w:t>|</w:t>
            </w:r>
            <w:r w:rsidR="00A85557" w:rsidRPr="003160BA">
              <w:rPr>
                <w:vertAlign w:val="superscript"/>
              </w:rPr>
              <w:t>3</w:t>
            </w:r>
          </w:p>
        </w:tc>
        <w:tc>
          <w:tcPr>
            <w:tcW w:w="647" w:type="pct"/>
            <w:vAlign w:val="center"/>
          </w:tcPr>
          <w:p w14:paraId="17470605" w14:textId="7BB94DA4" w:rsidR="00141284" w:rsidRPr="007A5194" w:rsidRDefault="003452C5" w:rsidP="00C85D12">
            <w:pPr>
              <w:pStyle w:val="Tabletext"/>
              <w:jc w:val="center"/>
              <w:rPr>
                <w:highlight w:val="darkGray"/>
              </w:rPr>
            </w:pPr>
            <w:r w:rsidRPr="003452C5">
              <w:rPr>
                <w:color w:val="000000"/>
                <w:spacing w:val="53"/>
                <w:shd w:val="solid" w:color="000000" w:fill="000000"/>
                <w:fitText w:val="330" w:id="-694425340"/>
                <w14:textFill>
                  <w14:solidFill>
                    <w14:srgbClr w14:val="000000">
                      <w14:alpha w14:val="100000"/>
                    </w14:srgbClr>
                  </w14:solidFill>
                </w14:textFill>
              </w:rPr>
              <w:t>|||</w:t>
            </w:r>
            <w:r w:rsidRPr="003452C5">
              <w:rPr>
                <w:color w:val="000000"/>
                <w:spacing w:val="1"/>
                <w:shd w:val="solid" w:color="000000" w:fill="000000"/>
                <w:fitText w:val="330" w:id="-694425340"/>
                <w14:textFill>
                  <w14:solidFill>
                    <w14:srgbClr w14:val="000000">
                      <w14:alpha w14:val="100000"/>
                    </w14:srgbClr>
                  </w14:solidFill>
                </w14:textFill>
              </w:rPr>
              <w:t>|</w:t>
            </w:r>
            <w:r w:rsidR="00A85557" w:rsidRPr="003160BA">
              <w:rPr>
                <w:vertAlign w:val="superscript"/>
              </w:rPr>
              <w:t>3</w:t>
            </w:r>
          </w:p>
        </w:tc>
        <w:tc>
          <w:tcPr>
            <w:tcW w:w="647" w:type="pct"/>
            <w:vAlign w:val="center"/>
          </w:tcPr>
          <w:p w14:paraId="1ABEA7AA" w14:textId="3A6FCD04" w:rsidR="00141284" w:rsidRPr="007A5194" w:rsidRDefault="003452C5" w:rsidP="00C85D12">
            <w:pPr>
              <w:pStyle w:val="Tabletext"/>
              <w:jc w:val="center"/>
              <w:rPr>
                <w:highlight w:val="darkGray"/>
              </w:rPr>
            </w:pPr>
            <w:r w:rsidRPr="003452C5">
              <w:rPr>
                <w:color w:val="000000"/>
                <w:spacing w:val="53"/>
                <w:shd w:val="solid" w:color="000000" w:fill="000000"/>
                <w:fitText w:val="330" w:id="-694425339"/>
                <w14:textFill>
                  <w14:solidFill>
                    <w14:srgbClr w14:val="000000">
                      <w14:alpha w14:val="100000"/>
                    </w14:srgbClr>
                  </w14:solidFill>
                </w14:textFill>
              </w:rPr>
              <w:t>|||</w:t>
            </w:r>
            <w:r w:rsidRPr="003452C5">
              <w:rPr>
                <w:color w:val="000000"/>
                <w:spacing w:val="1"/>
                <w:shd w:val="solid" w:color="000000" w:fill="000000"/>
                <w:fitText w:val="330" w:id="-694425339"/>
                <w14:textFill>
                  <w14:solidFill>
                    <w14:srgbClr w14:val="000000">
                      <w14:alpha w14:val="100000"/>
                    </w14:srgbClr>
                  </w14:solidFill>
                </w14:textFill>
              </w:rPr>
              <w:t>|</w:t>
            </w:r>
            <w:r w:rsidR="00A85557" w:rsidRPr="003160BA">
              <w:rPr>
                <w:vertAlign w:val="superscript"/>
              </w:rPr>
              <w:t>3</w:t>
            </w:r>
          </w:p>
        </w:tc>
        <w:tc>
          <w:tcPr>
            <w:tcW w:w="647" w:type="pct"/>
            <w:vAlign w:val="center"/>
          </w:tcPr>
          <w:p w14:paraId="1F32E0ED" w14:textId="2E3FF721" w:rsidR="00141284" w:rsidRPr="007A5194" w:rsidRDefault="003452C5" w:rsidP="00C85D12">
            <w:pPr>
              <w:pStyle w:val="Tabletext"/>
              <w:jc w:val="center"/>
              <w:rPr>
                <w:highlight w:val="darkGray"/>
              </w:rPr>
            </w:pPr>
            <w:r w:rsidRPr="003452C5">
              <w:rPr>
                <w:color w:val="000000"/>
                <w:spacing w:val="53"/>
                <w:shd w:val="solid" w:color="000000" w:fill="000000"/>
                <w:fitText w:val="330" w:id="-694425338"/>
                <w14:textFill>
                  <w14:solidFill>
                    <w14:srgbClr w14:val="000000">
                      <w14:alpha w14:val="100000"/>
                    </w14:srgbClr>
                  </w14:solidFill>
                </w14:textFill>
              </w:rPr>
              <w:t>|||</w:t>
            </w:r>
            <w:r w:rsidRPr="003452C5">
              <w:rPr>
                <w:color w:val="000000"/>
                <w:spacing w:val="1"/>
                <w:shd w:val="solid" w:color="000000" w:fill="000000"/>
                <w:fitText w:val="330" w:id="-694425338"/>
                <w14:textFill>
                  <w14:solidFill>
                    <w14:srgbClr w14:val="000000">
                      <w14:alpha w14:val="100000"/>
                    </w14:srgbClr>
                  </w14:solidFill>
                </w14:textFill>
              </w:rPr>
              <w:t>|</w:t>
            </w:r>
            <w:r w:rsidR="00A85557" w:rsidRPr="003160BA">
              <w:rPr>
                <w:vertAlign w:val="superscript"/>
              </w:rPr>
              <w:t>3</w:t>
            </w:r>
          </w:p>
        </w:tc>
        <w:tc>
          <w:tcPr>
            <w:tcW w:w="647" w:type="pct"/>
            <w:vAlign w:val="center"/>
          </w:tcPr>
          <w:p w14:paraId="7DEBB877" w14:textId="49D997C4" w:rsidR="00141284" w:rsidRPr="007A5194" w:rsidRDefault="003452C5" w:rsidP="00C85D12">
            <w:pPr>
              <w:pStyle w:val="Tabletext"/>
              <w:jc w:val="center"/>
              <w:rPr>
                <w:highlight w:val="darkGray"/>
              </w:rPr>
            </w:pPr>
            <w:r w:rsidRPr="003452C5">
              <w:rPr>
                <w:color w:val="000000"/>
                <w:spacing w:val="53"/>
                <w:shd w:val="solid" w:color="000000" w:fill="000000"/>
                <w:fitText w:val="330" w:id="-694425337"/>
                <w14:textFill>
                  <w14:solidFill>
                    <w14:srgbClr w14:val="000000">
                      <w14:alpha w14:val="100000"/>
                    </w14:srgbClr>
                  </w14:solidFill>
                </w14:textFill>
              </w:rPr>
              <w:t>|||</w:t>
            </w:r>
            <w:r w:rsidRPr="003452C5">
              <w:rPr>
                <w:color w:val="000000"/>
                <w:spacing w:val="1"/>
                <w:shd w:val="solid" w:color="000000" w:fill="000000"/>
                <w:fitText w:val="330" w:id="-694425337"/>
                <w14:textFill>
                  <w14:solidFill>
                    <w14:srgbClr w14:val="000000">
                      <w14:alpha w14:val="100000"/>
                    </w14:srgbClr>
                  </w14:solidFill>
                </w14:textFill>
              </w:rPr>
              <w:t>|</w:t>
            </w:r>
            <w:r w:rsidR="00A85557" w:rsidRPr="003160BA">
              <w:rPr>
                <w:vertAlign w:val="superscript"/>
              </w:rPr>
              <w:t>3</w:t>
            </w:r>
          </w:p>
        </w:tc>
        <w:tc>
          <w:tcPr>
            <w:tcW w:w="649" w:type="pct"/>
            <w:vAlign w:val="center"/>
          </w:tcPr>
          <w:p w14:paraId="57109B4D" w14:textId="74EFE8A4" w:rsidR="00141284" w:rsidRPr="007A5194" w:rsidRDefault="003452C5" w:rsidP="00C85D12">
            <w:pPr>
              <w:pStyle w:val="Tabletext"/>
              <w:jc w:val="center"/>
              <w:rPr>
                <w:highlight w:val="darkGray"/>
              </w:rPr>
            </w:pPr>
            <w:r w:rsidRPr="003452C5">
              <w:rPr>
                <w:color w:val="000000"/>
                <w:spacing w:val="53"/>
                <w:shd w:val="solid" w:color="000000" w:fill="000000"/>
                <w:fitText w:val="330" w:id="-694425336"/>
                <w14:textFill>
                  <w14:solidFill>
                    <w14:srgbClr w14:val="000000">
                      <w14:alpha w14:val="100000"/>
                    </w14:srgbClr>
                  </w14:solidFill>
                </w14:textFill>
              </w:rPr>
              <w:t>|||</w:t>
            </w:r>
            <w:r w:rsidRPr="003452C5">
              <w:rPr>
                <w:color w:val="000000"/>
                <w:spacing w:val="1"/>
                <w:shd w:val="solid" w:color="000000" w:fill="000000"/>
                <w:fitText w:val="330" w:id="-694425336"/>
                <w14:textFill>
                  <w14:solidFill>
                    <w14:srgbClr w14:val="000000">
                      <w14:alpha w14:val="100000"/>
                    </w14:srgbClr>
                  </w14:solidFill>
                </w14:textFill>
              </w:rPr>
              <w:t>|</w:t>
            </w:r>
            <w:r w:rsidR="00A85557" w:rsidRPr="003160BA">
              <w:rPr>
                <w:vertAlign w:val="superscript"/>
              </w:rPr>
              <w:t>3</w:t>
            </w:r>
          </w:p>
        </w:tc>
      </w:tr>
      <w:tr w:rsidR="00141284" w:rsidRPr="00A31494" w14:paraId="079EEF98" w14:textId="77777777" w:rsidTr="00C85D12">
        <w:tc>
          <w:tcPr>
            <w:tcW w:w="5000" w:type="pct"/>
            <w:gridSpan w:val="7"/>
            <w:vAlign w:val="center"/>
          </w:tcPr>
          <w:p w14:paraId="543B725B" w14:textId="77777777" w:rsidR="00141284" w:rsidRPr="003D1848" w:rsidRDefault="00141284" w:rsidP="00C85D12">
            <w:pPr>
              <w:pStyle w:val="Tabletext"/>
              <w:rPr>
                <w:b/>
                <w:bCs/>
              </w:rPr>
            </w:pPr>
            <w:r w:rsidRPr="003D1848">
              <w:rPr>
                <w:b/>
                <w:bCs/>
              </w:rPr>
              <w:t>Net financial implications</w:t>
            </w:r>
          </w:p>
        </w:tc>
      </w:tr>
      <w:tr w:rsidR="00141284" w:rsidRPr="00A31494" w14:paraId="3E406E87" w14:textId="77777777" w:rsidTr="00C85D12">
        <w:tc>
          <w:tcPr>
            <w:tcW w:w="1116" w:type="pct"/>
            <w:vAlign w:val="center"/>
          </w:tcPr>
          <w:p w14:paraId="775A4839" w14:textId="77777777" w:rsidR="00141284" w:rsidRPr="00A31494" w:rsidRDefault="00141284" w:rsidP="00C85D12">
            <w:pPr>
              <w:pStyle w:val="Tabletext"/>
            </w:pPr>
            <w:r w:rsidRPr="00A31494">
              <w:t>Net cost to PBS/RPBS</w:t>
            </w:r>
          </w:p>
        </w:tc>
        <w:tc>
          <w:tcPr>
            <w:tcW w:w="647" w:type="pct"/>
            <w:vAlign w:val="center"/>
          </w:tcPr>
          <w:p w14:paraId="5D91A0C6" w14:textId="41D79941" w:rsidR="00141284" w:rsidRPr="007A5194" w:rsidRDefault="003452C5" w:rsidP="00C85D12">
            <w:pPr>
              <w:pStyle w:val="Tabletext"/>
              <w:jc w:val="center"/>
              <w:rPr>
                <w:highlight w:val="darkGray"/>
              </w:rPr>
            </w:pPr>
            <w:r w:rsidRPr="003452C5">
              <w:rPr>
                <w:color w:val="000000"/>
                <w:spacing w:val="53"/>
                <w:shd w:val="solid" w:color="000000" w:fill="000000"/>
                <w:fitText w:val="330" w:id="-694425335"/>
                <w14:textFill>
                  <w14:solidFill>
                    <w14:srgbClr w14:val="000000">
                      <w14:alpha w14:val="100000"/>
                    </w14:srgbClr>
                  </w14:solidFill>
                </w14:textFill>
              </w:rPr>
              <w:t>|||</w:t>
            </w:r>
            <w:r w:rsidRPr="003452C5">
              <w:rPr>
                <w:color w:val="000000"/>
                <w:spacing w:val="1"/>
                <w:shd w:val="solid" w:color="000000" w:fill="000000"/>
                <w:fitText w:val="330" w:id="-694425335"/>
                <w14:textFill>
                  <w14:solidFill>
                    <w14:srgbClr w14:val="000000">
                      <w14:alpha w14:val="100000"/>
                    </w14:srgbClr>
                  </w14:solidFill>
                </w14:textFill>
              </w:rPr>
              <w:t>|</w:t>
            </w:r>
            <w:r w:rsidR="00A85557" w:rsidRPr="003160BA">
              <w:rPr>
                <w:vertAlign w:val="superscript"/>
              </w:rPr>
              <w:t>3</w:t>
            </w:r>
          </w:p>
        </w:tc>
        <w:tc>
          <w:tcPr>
            <w:tcW w:w="647" w:type="pct"/>
            <w:vAlign w:val="center"/>
          </w:tcPr>
          <w:p w14:paraId="36D1C5B0" w14:textId="5DE81543" w:rsidR="00141284" w:rsidRPr="007A5194" w:rsidRDefault="003452C5" w:rsidP="00C85D12">
            <w:pPr>
              <w:pStyle w:val="Tabletext"/>
              <w:jc w:val="center"/>
              <w:rPr>
                <w:highlight w:val="darkGray"/>
              </w:rPr>
            </w:pPr>
            <w:r w:rsidRPr="003452C5">
              <w:rPr>
                <w:color w:val="000000"/>
                <w:spacing w:val="53"/>
                <w:shd w:val="solid" w:color="000000" w:fill="000000"/>
                <w:fitText w:val="330" w:id="-694425334"/>
                <w14:textFill>
                  <w14:solidFill>
                    <w14:srgbClr w14:val="000000">
                      <w14:alpha w14:val="100000"/>
                    </w14:srgbClr>
                  </w14:solidFill>
                </w14:textFill>
              </w:rPr>
              <w:t>|||</w:t>
            </w:r>
            <w:r w:rsidRPr="003452C5">
              <w:rPr>
                <w:color w:val="000000"/>
                <w:spacing w:val="1"/>
                <w:shd w:val="solid" w:color="000000" w:fill="000000"/>
                <w:fitText w:val="330" w:id="-694425334"/>
                <w14:textFill>
                  <w14:solidFill>
                    <w14:srgbClr w14:val="000000">
                      <w14:alpha w14:val="100000"/>
                    </w14:srgbClr>
                  </w14:solidFill>
                </w14:textFill>
              </w:rPr>
              <w:t>|</w:t>
            </w:r>
            <w:r w:rsidR="00A85557" w:rsidRPr="003160BA">
              <w:rPr>
                <w:vertAlign w:val="superscript"/>
              </w:rPr>
              <w:t>3</w:t>
            </w:r>
          </w:p>
        </w:tc>
        <w:tc>
          <w:tcPr>
            <w:tcW w:w="647" w:type="pct"/>
            <w:vAlign w:val="center"/>
          </w:tcPr>
          <w:p w14:paraId="2899D126" w14:textId="11EBD061" w:rsidR="00141284" w:rsidRPr="007A5194" w:rsidRDefault="003452C5" w:rsidP="00C85D12">
            <w:pPr>
              <w:pStyle w:val="Tabletext"/>
              <w:jc w:val="center"/>
              <w:rPr>
                <w:highlight w:val="darkGray"/>
              </w:rPr>
            </w:pPr>
            <w:r w:rsidRPr="003452C5">
              <w:rPr>
                <w:color w:val="000000"/>
                <w:spacing w:val="53"/>
                <w:shd w:val="solid" w:color="000000" w:fill="000000"/>
                <w:fitText w:val="330" w:id="-694425333"/>
                <w14:textFill>
                  <w14:solidFill>
                    <w14:srgbClr w14:val="000000">
                      <w14:alpha w14:val="100000"/>
                    </w14:srgbClr>
                  </w14:solidFill>
                </w14:textFill>
              </w:rPr>
              <w:t>|||</w:t>
            </w:r>
            <w:r w:rsidRPr="003452C5">
              <w:rPr>
                <w:color w:val="000000"/>
                <w:spacing w:val="1"/>
                <w:shd w:val="solid" w:color="000000" w:fill="000000"/>
                <w:fitText w:val="330" w:id="-694425333"/>
                <w14:textFill>
                  <w14:solidFill>
                    <w14:srgbClr w14:val="000000">
                      <w14:alpha w14:val="100000"/>
                    </w14:srgbClr>
                  </w14:solidFill>
                </w14:textFill>
              </w:rPr>
              <w:t>|</w:t>
            </w:r>
            <w:r w:rsidR="00A85557" w:rsidRPr="003160BA">
              <w:rPr>
                <w:vertAlign w:val="superscript"/>
              </w:rPr>
              <w:t>3</w:t>
            </w:r>
          </w:p>
        </w:tc>
        <w:tc>
          <w:tcPr>
            <w:tcW w:w="647" w:type="pct"/>
            <w:vAlign w:val="center"/>
          </w:tcPr>
          <w:p w14:paraId="2FF95AF9" w14:textId="0C6E20A2" w:rsidR="00141284" w:rsidRPr="007A5194" w:rsidRDefault="003452C5" w:rsidP="00C85D12">
            <w:pPr>
              <w:pStyle w:val="Tabletext"/>
              <w:jc w:val="center"/>
              <w:rPr>
                <w:highlight w:val="darkGray"/>
              </w:rPr>
            </w:pPr>
            <w:r w:rsidRPr="003452C5">
              <w:rPr>
                <w:color w:val="000000"/>
                <w:spacing w:val="53"/>
                <w:shd w:val="solid" w:color="000000" w:fill="000000"/>
                <w:fitText w:val="330" w:id="-694425332"/>
                <w14:textFill>
                  <w14:solidFill>
                    <w14:srgbClr w14:val="000000">
                      <w14:alpha w14:val="100000"/>
                    </w14:srgbClr>
                  </w14:solidFill>
                </w14:textFill>
              </w:rPr>
              <w:t>|||</w:t>
            </w:r>
            <w:r w:rsidRPr="003452C5">
              <w:rPr>
                <w:color w:val="000000"/>
                <w:spacing w:val="1"/>
                <w:shd w:val="solid" w:color="000000" w:fill="000000"/>
                <w:fitText w:val="330" w:id="-694425332"/>
                <w14:textFill>
                  <w14:solidFill>
                    <w14:srgbClr w14:val="000000">
                      <w14:alpha w14:val="100000"/>
                    </w14:srgbClr>
                  </w14:solidFill>
                </w14:textFill>
              </w:rPr>
              <w:t>|</w:t>
            </w:r>
            <w:r w:rsidR="00A85557" w:rsidRPr="003160BA">
              <w:rPr>
                <w:vertAlign w:val="superscript"/>
              </w:rPr>
              <w:t>3</w:t>
            </w:r>
          </w:p>
        </w:tc>
        <w:tc>
          <w:tcPr>
            <w:tcW w:w="647" w:type="pct"/>
            <w:vAlign w:val="center"/>
          </w:tcPr>
          <w:p w14:paraId="0C23D6D4" w14:textId="44BD4C14" w:rsidR="00141284" w:rsidRPr="007A5194" w:rsidRDefault="003452C5" w:rsidP="00C85D12">
            <w:pPr>
              <w:pStyle w:val="Tabletext"/>
              <w:jc w:val="center"/>
              <w:rPr>
                <w:highlight w:val="darkGray"/>
              </w:rPr>
            </w:pPr>
            <w:r w:rsidRPr="003452C5">
              <w:rPr>
                <w:color w:val="000000"/>
                <w:spacing w:val="53"/>
                <w:shd w:val="solid" w:color="000000" w:fill="000000"/>
                <w:fitText w:val="330" w:id="-694425331"/>
                <w14:textFill>
                  <w14:solidFill>
                    <w14:srgbClr w14:val="000000">
                      <w14:alpha w14:val="100000"/>
                    </w14:srgbClr>
                  </w14:solidFill>
                </w14:textFill>
              </w:rPr>
              <w:t>|||</w:t>
            </w:r>
            <w:r w:rsidRPr="003452C5">
              <w:rPr>
                <w:color w:val="000000"/>
                <w:spacing w:val="1"/>
                <w:shd w:val="solid" w:color="000000" w:fill="000000"/>
                <w:fitText w:val="330" w:id="-694425331"/>
                <w14:textFill>
                  <w14:solidFill>
                    <w14:srgbClr w14:val="000000">
                      <w14:alpha w14:val="100000"/>
                    </w14:srgbClr>
                  </w14:solidFill>
                </w14:textFill>
              </w:rPr>
              <w:t>|</w:t>
            </w:r>
            <w:r w:rsidR="00A85557" w:rsidRPr="003160BA">
              <w:rPr>
                <w:vertAlign w:val="superscript"/>
              </w:rPr>
              <w:t>3</w:t>
            </w:r>
          </w:p>
        </w:tc>
        <w:tc>
          <w:tcPr>
            <w:tcW w:w="649" w:type="pct"/>
            <w:vAlign w:val="center"/>
          </w:tcPr>
          <w:p w14:paraId="55F54AB9" w14:textId="4C68ACF4" w:rsidR="00141284" w:rsidRPr="007A5194" w:rsidRDefault="003452C5" w:rsidP="00C85D12">
            <w:pPr>
              <w:pStyle w:val="Tabletext"/>
              <w:jc w:val="center"/>
              <w:rPr>
                <w:highlight w:val="darkGray"/>
              </w:rPr>
            </w:pPr>
            <w:r w:rsidRPr="003452C5">
              <w:rPr>
                <w:color w:val="000000"/>
                <w:spacing w:val="53"/>
                <w:shd w:val="solid" w:color="000000" w:fill="000000"/>
                <w:fitText w:val="330" w:id="-694425330"/>
                <w14:textFill>
                  <w14:solidFill>
                    <w14:srgbClr w14:val="000000">
                      <w14:alpha w14:val="100000"/>
                    </w14:srgbClr>
                  </w14:solidFill>
                </w14:textFill>
              </w:rPr>
              <w:t>|||</w:t>
            </w:r>
            <w:r w:rsidRPr="003452C5">
              <w:rPr>
                <w:color w:val="000000"/>
                <w:spacing w:val="1"/>
                <w:shd w:val="solid" w:color="000000" w:fill="000000"/>
                <w:fitText w:val="330" w:id="-694425330"/>
                <w14:textFill>
                  <w14:solidFill>
                    <w14:srgbClr w14:val="000000">
                      <w14:alpha w14:val="100000"/>
                    </w14:srgbClr>
                  </w14:solidFill>
                </w14:textFill>
              </w:rPr>
              <w:t>|</w:t>
            </w:r>
            <w:r w:rsidR="00A85557" w:rsidRPr="003160BA">
              <w:rPr>
                <w:vertAlign w:val="superscript"/>
              </w:rPr>
              <w:t>3</w:t>
            </w:r>
          </w:p>
        </w:tc>
      </w:tr>
      <w:tr w:rsidR="00141284" w:rsidRPr="00A31494" w14:paraId="54F0688F" w14:textId="77777777" w:rsidTr="00C85D12">
        <w:tc>
          <w:tcPr>
            <w:tcW w:w="1116" w:type="pct"/>
            <w:vAlign w:val="center"/>
          </w:tcPr>
          <w:p w14:paraId="48DD0A48" w14:textId="77777777" w:rsidR="00141284" w:rsidRPr="00A31494" w:rsidRDefault="00141284" w:rsidP="00C85D12">
            <w:pPr>
              <w:pStyle w:val="Tabletext"/>
            </w:pPr>
            <w:r w:rsidRPr="00A31494">
              <w:t xml:space="preserve">Net cost to </w:t>
            </w:r>
            <w:r>
              <w:t>MBS</w:t>
            </w:r>
          </w:p>
        </w:tc>
        <w:tc>
          <w:tcPr>
            <w:tcW w:w="647" w:type="pct"/>
            <w:vAlign w:val="center"/>
          </w:tcPr>
          <w:p w14:paraId="62E052CE" w14:textId="29752C4D" w:rsidR="00141284" w:rsidRPr="007A5194" w:rsidRDefault="003452C5" w:rsidP="00C85D12">
            <w:pPr>
              <w:pStyle w:val="Tabletext"/>
              <w:jc w:val="center"/>
              <w:rPr>
                <w:highlight w:val="darkGray"/>
              </w:rPr>
            </w:pPr>
            <w:r w:rsidRPr="003452C5">
              <w:rPr>
                <w:color w:val="000000"/>
                <w:spacing w:val="53"/>
                <w:shd w:val="solid" w:color="000000" w:fill="000000"/>
                <w:fitText w:val="330" w:id="-694425329"/>
                <w14:textFill>
                  <w14:solidFill>
                    <w14:srgbClr w14:val="000000">
                      <w14:alpha w14:val="100000"/>
                    </w14:srgbClr>
                  </w14:solidFill>
                </w14:textFill>
              </w:rPr>
              <w:t>|||</w:t>
            </w:r>
            <w:r w:rsidRPr="003452C5">
              <w:rPr>
                <w:color w:val="000000"/>
                <w:spacing w:val="1"/>
                <w:shd w:val="solid" w:color="000000" w:fill="000000"/>
                <w:fitText w:val="330" w:id="-694425329"/>
                <w14:textFill>
                  <w14:solidFill>
                    <w14:srgbClr w14:val="000000">
                      <w14:alpha w14:val="100000"/>
                    </w14:srgbClr>
                  </w14:solidFill>
                </w14:textFill>
              </w:rPr>
              <w:t>|</w:t>
            </w:r>
            <w:r w:rsidR="00BA2513" w:rsidRPr="00BA2513">
              <w:rPr>
                <w:vertAlign w:val="superscript"/>
              </w:rPr>
              <w:t>5</w:t>
            </w:r>
          </w:p>
        </w:tc>
        <w:tc>
          <w:tcPr>
            <w:tcW w:w="647" w:type="pct"/>
            <w:vAlign w:val="center"/>
          </w:tcPr>
          <w:p w14:paraId="52D5A331" w14:textId="47C9B2CB" w:rsidR="00141284" w:rsidRPr="007A5194" w:rsidRDefault="003452C5" w:rsidP="00C85D12">
            <w:pPr>
              <w:pStyle w:val="Tabletext"/>
              <w:jc w:val="center"/>
              <w:rPr>
                <w:highlight w:val="darkGray"/>
              </w:rPr>
            </w:pPr>
            <w:r w:rsidRPr="003452C5">
              <w:rPr>
                <w:color w:val="000000"/>
                <w:spacing w:val="53"/>
                <w:shd w:val="solid" w:color="000000" w:fill="000000"/>
                <w:fitText w:val="330" w:id="-694425328"/>
                <w14:textFill>
                  <w14:solidFill>
                    <w14:srgbClr w14:val="000000">
                      <w14:alpha w14:val="100000"/>
                    </w14:srgbClr>
                  </w14:solidFill>
                </w14:textFill>
              </w:rPr>
              <w:t>|||</w:t>
            </w:r>
            <w:r w:rsidRPr="003452C5">
              <w:rPr>
                <w:color w:val="000000"/>
                <w:spacing w:val="1"/>
                <w:shd w:val="solid" w:color="000000" w:fill="000000"/>
                <w:fitText w:val="330" w:id="-694425328"/>
                <w14:textFill>
                  <w14:solidFill>
                    <w14:srgbClr w14:val="000000">
                      <w14:alpha w14:val="100000"/>
                    </w14:srgbClr>
                  </w14:solidFill>
                </w14:textFill>
              </w:rPr>
              <w:t>|</w:t>
            </w:r>
            <w:r w:rsidR="00BA2513" w:rsidRPr="00BA2513">
              <w:rPr>
                <w:vertAlign w:val="superscript"/>
              </w:rPr>
              <w:t>5</w:t>
            </w:r>
          </w:p>
        </w:tc>
        <w:tc>
          <w:tcPr>
            <w:tcW w:w="647" w:type="pct"/>
            <w:vAlign w:val="center"/>
          </w:tcPr>
          <w:p w14:paraId="68E28064" w14:textId="3DBC3130" w:rsidR="00141284" w:rsidRPr="007A5194" w:rsidRDefault="003452C5" w:rsidP="00C85D12">
            <w:pPr>
              <w:pStyle w:val="Tabletext"/>
              <w:jc w:val="center"/>
              <w:rPr>
                <w:highlight w:val="darkGray"/>
              </w:rPr>
            </w:pPr>
            <w:r w:rsidRPr="003452C5">
              <w:rPr>
                <w:color w:val="000000"/>
                <w:spacing w:val="53"/>
                <w:shd w:val="solid" w:color="000000" w:fill="000000"/>
                <w:fitText w:val="330" w:id="-694425344"/>
                <w14:textFill>
                  <w14:solidFill>
                    <w14:srgbClr w14:val="000000">
                      <w14:alpha w14:val="100000"/>
                    </w14:srgbClr>
                  </w14:solidFill>
                </w14:textFill>
              </w:rPr>
              <w:t>|||</w:t>
            </w:r>
            <w:r w:rsidRPr="003452C5">
              <w:rPr>
                <w:color w:val="000000"/>
                <w:spacing w:val="1"/>
                <w:shd w:val="solid" w:color="000000" w:fill="000000"/>
                <w:fitText w:val="330" w:id="-694425344"/>
                <w14:textFill>
                  <w14:solidFill>
                    <w14:srgbClr w14:val="000000">
                      <w14:alpha w14:val="100000"/>
                    </w14:srgbClr>
                  </w14:solidFill>
                </w14:textFill>
              </w:rPr>
              <w:t>|</w:t>
            </w:r>
            <w:r w:rsidR="00BA2513" w:rsidRPr="00BA2513">
              <w:rPr>
                <w:vertAlign w:val="superscript"/>
              </w:rPr>
              <w:t>5</w:t>
            </w:r>
          </w:p>
        </w:tc>
        <w:tc>
          <w:tcPr>
            <w:tcW w:w="647" w:type="pct"/>
            <w:vAlign w:val="center"/>
          </w:tcPr>
          <w:p w14:paraId="54646441" w14:textId="114877FC" w:rsidR="00141284" w:rsidRPr="007A5194" w:rsidRDefault="003452C5" w:rsidP="00C85D12">
            <w:pPr>
              <w:pStyle w:val="Tabletext"/>
              <w:jc w:val="center"/>
              <w:rPr>
                <w:highlight w:val="darkGray"/>
              </w:rPr>
            </w:pPr>
            <w:r w:rsidRPr="003452C5">
              <w:rPr>
                <w:color w:val="000000"/>
                <w:spacing w:val="53"/>
                <w:shd w:val="solid" w:color="000000" w:fill="000000"/>
                <w:fitText w:val="330" w:id="-694425343"/>
                <w14:textFill>
                  <w14:solidFill>
                    <w14:srgbClr w14:val="000000">
                      <w14:alpha w14:val="100000"/>
                    </w14:srgbClr>
                  </w14:solidFill>
                </w14:textFill>
              </w:rPr>
              <w:t>|||</w:t>
            </w:r>
            <w:r w:rsidRPr="003452C5">
              <w:rPr>
                <w:color w:val="000000"/>
                <w:spacing w:val="1"/>
                <w:shd w:val="solid" w:color="000000" w:fill="000000"/>
                <w:fitText w:val="330" w:id="-694425343"/>
                <w14:textFill>
                  <w14:solidFill>
                    <w14:srgbClr w14:val="000000">
                      <w14:alpha w14:val="100000"/>
                    </w14:srgbClr>
                  </w14:solidFill>
                </w14:textFill>
              </w:rPr>
              <w:t>|</w:t>
            </w:r>
            <w:r w:rsidR="00BA2513" w:rsidRPr="00BA2513">
              <w:rPr>
                <w:vertAlign w:val="superscript"/>
              </w:rPr>
              <w:t>5</w:t>
            </w:r>
          </w:p>
        </w:tc>
        <w:tc>
          <w:tcPr>
            <w:tcW w:w="647" w:type="pct"/>
            <w:vAlign w:val="center"/>
          </w:tcPr>
          <w:p w14:paraId="2A66E8FB" w14:textId="1A2D715E" w:rsidR="00141284" w:rsidRPr="007A5194" w:rsidRDefault="003452C5" w:rsidP="00C85D12">
            <w:pPr>
              <w:pStyle w:val="Tabletext"/>
              <w:jc w:val="center"/>
              <w:rPr>
                <w:highlight w:val="darkGray"/>
              </w:rPr>
            </w:pPr>
            <w:r w:rsidRPr="003452C5">
              <w:rPr>
                <w:color w:val="000000"/>
                <w:spacing w:val="53"/>
                <w:shd w:val="solid" w:color="000000" w:fill="000000"/>
                <w:fitText w:val="330" w:id="-694425342"/>
                <w14:textFill>
                  <w14:solidFill>
                    <w14:srgbClr w14:val="000000">
                      <w14:alpha w14:val="100000"/>
                    </w14:srgbClr>
                  </w14:solidFill>
                </w14:textFill>
              </w:rPr>
              <w:t>|||</w:t>
            </w:r>
            <w:r w:rsidRPr="003452C5">
              <w:rPr>
                <w:color w:val="000000"/>
                <w:spacing w:val="1"/>
                <w:shd w:val="solid" w:color="000000" w:fill="000000"/>
                <w:fitText w:val="330" w:id="-694425342"/>
                <w14:textFill>
                  <w14:solidFill>
                    <w14:srgbClr w14:val="000000">
                      <w14:alpha w14:val="100000"/>
                    </w14:srgbClr>
                  </w14:solidFill>
                </w14:textFill>
              </w:rPr>
              <w:t>|</w:t>
            </w:r>
            <w:r w:rsidR="00BA2513" w:rsidRPr="00BA2513">
              <w:rPr>
                <w:vertAlign w:val="superscript"/>
              </w:rPr>
              <w:t>5</w:t>
            </w:r>
          </w:p>
        </w:tc>
        <w:tc>
          <w:tcPr>
            <w:tcW w:w="649" w:type="pct"/>
            <w:vAlign w:val="center"/>
          </w:tcPr>
          <w:p w14:paraId="4904B714" w14:textId="6A414360" w:rsidR="00141284" w:rsidRPr="007A5194" w:rsidRDefault="003452C5" w:rsidP="00C85D12">
            <w:pPr>
              <w:pStyle w:val="Tabletext"/>
              <w:jc w:val="center"/>
              <w:rPr>
                <w:highlight w:val="darkGray"/>
              </w:rPr>
            </w:pPr>
            <w:r w:rsidRPr="003452C5">
              <w:rPr>
                <w:color w:val="000000"/>
                <w:spacing w:val="53"/>
                <w:shd w:val="solid" w:color="000000" w:fill="000000"/>
                <w:fitText w:val="330" w:id="-694425341"/>
                <w14:textFill>
                  <w14:solidFill>
                    <w14:srgbClr w14:val="000000">
                      <w14:alpha w14:val="100000"/>
                    </w14:srgbClr>
                  </w14:solidFill>
                </w14:textFill>
              </w:rPr>
              <w:t>|||</w:t>
            </w:r>
            <w:r w:rsidRPr="003452C5">
              <w:rPr>
                <w:color w:val="000000"/>
                <w:spacing w:val="1"/>
                <w:shd w:val="solid" w:color="000000" w:fill="000000"/>
                <w:fitText w:val="330" w:id="-694425341"/>
                <w14:textFill>
                  <w14:solidFill>
                    <w14:srgbClr w14:val="000000">
                      <w14:alpha w14:val="100000"/>
                    </w14:srgbClr>
                  </w14:solidFill>
                </w14:textFill>
              </w:rPr>
              <w:t>|</w:t>
            </w:r>
            <w:r w:rsidR="00BA2513" w:rsidRPr="00BA2513">
              <w:rPr>
                <w:vertAlign w:val="superscript"/>
              </w:rPr>
              <w:t>5</w:t>
            </w:r>
          </w:p>
        </w:tc>
      </w:tr>
      <w:tr w:rsidR="00141284" w:rsidRPr="00A31494" w14:paraId="1D9A8037" w14:textId="77777777" w:rsidTr="00C85D12">
        <w:tc>
          <w:tcPr>
            <w:tcW w:w="1116" w:type="pct"/>
            <w:vAlign w:val="center"/>
          </w:tcPr>
          <w:p w14:paraId="25E81E2D" w14:textId="77777777" w:rsidR="00141284" w:rsidRPr="00112439" w:rsidRDefault="00141284" w:rsidP="00C85D12">
            <w:pPr>
              <w:pStyle w:val="Tabletext"/>
              <w:rPr>
                <w:b/>
                <w:bCs/>
              </w:rPr>
            </w:pPr>
            <w:r w:rsidRPr="00112439">
              <w:rPr>
                <w:b/>
                <w:bCs/>
              </w:rPr>
              <w:t>Net cost to Australian Government</w:t>
            </w:r>
          </w:p>
        </w:tc>
        <w:tc>
          <w:tcPr>
            <w:tcW w:w="647" w:type="pct"/>
            <w:vAlign w:val="center"/>
          </w:tcPr>
          <w:p w14:paraId="54DA7139" w14:textId="58C23B5E" w:rsidR="00141284" w:rsidRPr="007A5194" w:rsidRDefault="003452C5" w:rsidP="00C85D12">
            <w:pPr>
              <w:pStyle w:val="Tabletext"/>
              <w:jc w:val="center"/>
              <w:rPr>
                <w:highlight w:val="darkGray"/>
              </w:rPr>
            </w:pPr>
            <w:r w:rsidRPr="003452C5">
              <w:rPr>
                <w:b/>
                <w:color w:val="000000"/>
                <w:spacing w:val="58"/>
                <w:shd w:val="solid" w:color="000000" w:fill="000000"/>
                <w:fitText w:val="360" w:id="-694425340"/>
                <w14:textFill>
                  <w14:solidFill>
                    <w14:srgbClr w14:val="000000">
                      <w14:alpha w14:val="100000"/>
                    </w14:srgbClr>
                  </w14:solidFill>
                </w14:textFill>
              </w:rPr>
              <w:t>|||</w:t>
            </w:r>
            <w:r w:rsidRPr="003452C5">
              <w:rPr>
                <w:b/>
                <w:color w:val="000000"/>
                <w:spacing w:val="3"/>
                <w:shd w:val="solid" w:color="000000" w:fill="000000"/>
                <w:fitText w:val="360" w:id="-694425340"/>
                <w14:textFill>
                  <w14:solidFill>
                    <w14:srgbClr w14:val="000000">
                      <w14:alpha w14:val="100000"/>
                    </w14:srgbClr>
                  </w14:solidFill>
                </w14:textFill>
              </w:rPr>
              <w:t>|</w:t>
            </w:r>
            <w:r w:rsidR="00A85557" w:rsidRPr="003160BA">
              <w:rPr>
                <w:vertAlign w:val="superscript"/>
              </w:rPr>
              <w:t>3</w:t>
            </w:r>
          </w:p>
        </w:tc>
        <w:tc>
          <w:tcPr>
            <w:tcW w:w="647" w:type="pct"/>
            <w:vAlign w:val="center"/>
          </w:tcPr>
          <w:p w14:paraId="5B367F7B" w14:textId="019DF14A" w:rsidR="00141284" w:rsidRPr="007A5194" w:rsidRDefault="003452C5" w:rsidP="00C85D12">
            <w:pPr>
              <w:pStyle w:val="Tabletext"/>
              <w:jc w:val="center"/>
              <w:rPr>
                <w:highlight w:val="darkGray"/>
              </w:rPr>
            </w:pPr>
            <w:r w:rsidRPr="003452C5">
              <w:rPr>
                <w:b/>
                <w:color w:val="000000"/>
                <w:spacing w:val="58"/>
                <w:shd w:val="solid" w:color="000000" w:fill="000000"/>
                <w:fitText w:val="360" w:id="-694425339"/>
                <w14:textFill>
                  <w14:solidFill>
                    <w14:srgbClr w14:val="000000">
                      <w14:alpha w14:val="100000"/>
                    </w14:srgbClr>
                  </w14:solidFill>
                </w14:textFill>
              </w:rPr>
              <w:t>|||</w:t>
            </w:r>
            <w:r w:rsidRPr="003452C5">
              <w:rPr>
                <w:b/>
                <w:color w:val="000000"/>
                <w:spacing w:val="3"/>
                <w:shd w:val="solid" w:color="000000" w:fill="000000"/>
                <w:fitText w:val="360" w:id="-694425339"/>
                <w14:textFill>
                  <w14:solidFill>
                    <w14:srgbClr w14:val="000000">
                      <w14:alpha w14:val="100000"/>
                    </w14:srgbClr>
                  </w14:solidFill>
                </w14:textFill>
              </w:rPr>
              <w:t>|</w:t>
            </w:r>
            <w:r w:rsidR="00A85557" w:rsidRPr="003160BA">
              <w:rPr>
                <w:vertAlign w:val="superscript"/>
              </w:rPr>
              <w:t>3</w:t>
            </w:r>
          </w:p>
        </w:tc>
        <w:tc>
          <w:tcPr>
            <w:tcW w:w="647" w:type="pct"/>
            <w:vAlign w:val="center"/>
          </w:tcPr>
          <w:p w14:paraId="54C5817A" w14:textId="13631F1A" w:rsidR="00141284" w:rsidRPr="007A5194" w:rsidRDefault="003452C5" w:rsidP="00C85D12">
            <w:pPr>
              <w:pStyle w:val="Tabletext"/>
              <w:jc w:val="center"/>
              <w:rPr>
                <w:highlight w:val="darkGray"/>
              </w:rPr>
            </w:pPr>
            <w:r w:rsidRPr="003452C5">
              <w:rPr>
                <w:b/>
                <w:color w:val="000000"/>
                <w:spacing w:val="58"/>
                <w:shd w:val="solid" w:color="000000" w:fill="000000"/>
                <w:fitText w:val="360" w:id="-694425338"/>
                <w14:textFill>
                  <w14:solidFill>
                    <w14:srgbClr w14:val="000000">
                      <w14:alpha w14:val="100000"/>
                    </w14:srgbClr>
                  </w14:solidFill>
                </w14:textFill>
              </w:rPr>
              <w:t>|||</w:t>
            </w:r>
            <w:r w:rsidRPr="003452C5">
              <w:rPr>
                <w:b/>
                <w:color w:val="000000"/>
                <w:spacing w:val="3"/>
                <w:shd w:val="solid" w:color="000000" w:fill="000000"/>
                <w:fitText w:val="360" w:id="-694425338"/>
                <w14:textFill>
                  <w14:solidFill>
                    <w14:srgbClr w14:val="000000">
                      <w14:alpha w14:val="100000"/>
                    </w14:srgbClr>
                  </w14:solidFill>
                </w14:textFill>
              </w:rPr>
              <w:t>|</w:t>
            </w:r>
            <w:r w:rsidR="00A85557" w:rsidRPr="003160BA">
              <w:rPr>
                <w:vertAlign w:val="superscript"/>
              </w:rPr>
              <w:t>3</w:t>
            </w:r>
          </w:p>
        </w:tc>
        <w:tc>
          <w:tcPr>
            <w:tcW w:w="647" w:type="pct"/>
            <w:vAlign w:val="center"/>
          </w:tcPr>
          <w:p w14:paraId="3804FF76" w14:textId="750F365B" w:rsidR="00141284" w:rsidRPr="007A5194" w:rsidRDefault="003452C5" w:rsidP="00C85D12">
            <w:pPr>
              <w:pStyle w:val="Tabletext"/>
              <w:jc w:val="center"/>
              <w:rPr>
                <w:highlight w:val="darkGray"/>
              </w:rPr>
            </w:pPr>
            <w:r w:rsidRPr="003452C5">
              <w:rPr>
                <w:b/>
                <w:color w:val="000000"/>
                <w:spacing w:val="58"/>
                <w:shd w:val="solid" w:color="000000" w:fill="000000"/>
                <w:fitText w:val="360" w:id="-694425337"/>
                <w14:textFill>
                  <w14:solidFill>
                    <w14:srgbClr w14:val="000000">
                      <w14:alpha w14:val="100000"/>
                    </w14:srgbClr>
                  </w14:solidFill>
                </w14:textFill>
              </w:rPr>
              <w:t>|||</w:t>
            </w:r>
            <w:r w:rsidRPr="003452C5">
              <w:rPr>
                <w:b/>
                <w:color w:val="000000"/>
                <w:spacing w:val="3"/>
                <w:shd w:val="solid" w:color="000000" w:fill="000000"/>
                <w:fitText w:val="360" w:id="-694425337"/>
                <w14:textFill>
                  <w14:solidFill>
                    <w14:srgbClr w14:val="000000">
                      <w14:alpha w14:val="100000"/>
                    </w14:srgbClr>
                  </w14:solidFill>
                </w14:textFill>
              </w:rPr>
              <w:t>|</w:t>
            </w:r>
            <w:r w:rsidR="00A85557" w:rsidRPr="003160BA">
              <w:rPr>
                <w:vertAlign w:val="superscript"/>
              </w:rPr>
              <w:t>3</w:t>
            </w:r>
          </w:p>
        </w:tc>
        <w:tc>
          <w:tcPr>
            <w:tcW w:w="647" w:type="pct"/>
            <w:vAlign w:val="center"/>
          </w:tcPr>
          <w:p w14:paraId="32C9190D" w14:textId="65BDDA6D" w:rsidR="00141284" w:rsidRPr="007A5194" w:rsidRDefault="003452C5" w:rsidP="00C85D12">
            <w:pPr>
              <w:pStyle w:val="Tabletext"/>
              <w:jc w:val="center"/>
              <w:rPr>
                <w:highlight w:val="darkGray"/>
              </w:rPr>
            </w:pPr>
            <w:r w:rsidRPr="003452C5">
              <w:rPr>
                <w:b/>
                <w:color w:val="000000"/>
                <w:spacing w:val="58"/>
                <w:shd w:val="solid" w:color="000000" w:fill="000000"/>
                <w:fitText w:val="360" w:id="-694425336"/>
                <w14:textFill>
                  <w14:solidFill>
                    <w14:srgbClr w14:val="000000">
                      <w14:alpha w14:val="100000"/>
                    </w14:srgbClr>
                  </w14:solidFill>
                </w14:textFill>
              </w:rPr>
              <w:t>|||</w:t>
            </w:r>
            <w:r w:rsidRPr="003452C5">
              <w:rPr>
                <w:b/>
                <w:color w:val="000000"/>
                <w:spacing w:val="3"/>
                <w:shd w:val="solid" w:color="000000" w:fill="000000"/>
                <w:fitText w:val="360" w:id="-694425336"/>
                <w14:textFill>
                  <w14:solidFill>
                    <w14:srgbClr w14:val="000000">
                      <w14:alpha w14:val="100000"/>
                    </w14:srgbClr>
                  </w14:solidFill>
                </w14:textFill>
              </w:rPr>
              <w:t>|</w:t>
            </w:r>
            <w:r w:rsidR="00A85557" w:rsidRPr="003160BA">
              <w:rPr>
                <w:vertAlign w:val="superscript"/>
              </w:rPr>
              <w:t>3</w:t>
            </w:r>
          </w:p>
        </w:tc>
        <w:tc>
          <w:tcPr>
            <w:tcW w:w="649" w:type="pct"/>
            <w:vAlign w:val="center"/>
          </w:tcPr>
          <w:p w14:paraId="67D2D0A0" w14:textId="0C703CC4" w:rsidR="00141284" w:rsidRPr="007A5194" w:rsidRDefault="003452C5" w:rsidP="00C85D12">
            <w:pPr>
              <w:pStyle w:val="Tabletext"/>
              <w:jc w:val="center"/>
              <w:rPr>
                <w:highlight w:val="darkGray"/>
              </w:rPr>
            </w:pPr>
            <w:r>
              <w:rPr>
                <w:b/>
                <w:color w:val="000000"/>
                <w:spacing w:val="58"/>
                <w:shd w:val="solid" w:color="000000" w:fill="000000"/>
                <w:fitText w:val="360" w:id="-694425335"/>
                <w14:textFill>
                  <w14:solidFill>
                    <w14:srgbClr w14:val="000000">
                      <w14:alpha w14:val="100000"/>
                    </w14:srgbClr>
                  </w14:solidFill>
                </w14:textFill>
              </w:rPr>
              <w:t>|||</w:t>
            </w:r>
            <w:r>
              <w:rPr>
                <w:b/>
                <w:color w:val="000000"/>
                <w:spacing w:val="2"/>
                <w:shd w:val="solid" w:color="000000" w:fill="000000"/>
                <w:fitText w:val="360" w:id="-694425335"/>
                <w14:textFill>
                  <w14:solidFill>
                    <w14:srgbClr w14:val="000000">
                      <w14:alpha w14:val="100000"/>
                    </w14:srgbClr>
                  </w14:solidFill>
                </w14:textFill>
              </w:rPr>
              <w:t>|</w:t>
            </w:r>
            <w:r w:rsidR="00A85557" w:rsidRPr="003160BA">
              <w:rPr>
                <w:vertAlign w:val="superscript"/>
              </w:rPr>
              <w:t>3</w:t>
            </w:r>
          </w:p>
        </w:tc>
      </w:tr>
    </w:tbl>
    <w:p w14:paraId="5EC56CB9" w14:textId="53E23D92" w:rsidR="009A4A8F" w:rsidRDefault="009A4A8F" w:rsidP="009A4A8F">
      <w:pPr>
        <w:pStyle w:val="TableFooter"/>
      </w:pPr>
      <w:r>
        <w:t>Source: Table 4.8 of the submission</w:t>
      </w:r>
    </w:p>
    <w:p w14:paraId="2006E9C7" w14:textId="77777777" w:rsidR="005D3783" w:rsidRDefault="00141284" w:rsidP="005D3783">
      <w:pPr>
        <w:pStyle w:val="TableFooter"/>
      </w:pPr>
      <w:r w:rsidRPr="004D222C">
        <w:rPr>
          <w:vertAlign w:val="superscript"/>
        </w:rPr>
        <w:t xml:space="preserve">a </w:t>
      </w:r>
      <w:r w:rsidRPr="00ED1446">
        <w:t xml:space="preserve">Assuming </w:t>
      </w:r>
      <w:r>
        <w:t>10.5 scripts</w:t>
      </w:r>
      <w:r w:rsidRPr="00ED1446">
        <w:t xml:space="preserve"> per</w:t>
      </w:r>
      <w:r>
        <w:t xml:space="preserve"> patient per</w:t>
      </w:r>
      <w:r w:rsidRPr="00ED1446">
        <w:t xml:space="preserve"> year as estimated by the submission.</w:t>
      </w:r>
      <w:r w:rsidR="005D3783" w:rsidRPr="005D3783">
        <w:t xml:space="preserve"> </w:t>
      </w:r>
    </w:p>
    <w:p w14:paraId="5923FF0B" w14:textId="73D7272D" w:rsidR="005D3783" w:rsidRPr="001D69A8" w:rsidRDefault="005D3783" w:rsidP="005D3783">
      <w:pPr>
        <w:pStyle w:val="TableFooter"/>
        <w:rPr>
          <w:i/>
          <w:iCs/>
        </w:rPr>
      </w:pPr>
      <w:r w:rsidRPr="001D69A8">
        <w:rPr>
          <w:i/>
          <w:iCs/>
        </w:rPr>
        <w:t>The redacted values correspond to the following ranges:</w:t>
      </w:r>
    </w:p>
    <w:p w14:paraId="3536E697" w14:textId="77777777" w:rsidR="00360227" w:rsidRPr="001D69A8" w:rsidRDefault="005D3783" w:rsidP="00360227">
      <w:pPr>
        <w:pStyle w:val="TableFooter"/>
        <w:rPr>
          <w:i/>
          <w:iCs/>
        </w:rPr>
      </w:pPr>
      <w:r w:rsidRPr="001D69A8">
        <w:rPr>
          <w:i/>
          <w:iCs/>
          <w:vertAlign w:val="superscript"/>
        </w:rPr>
        <w:t>1</w:t>
      </w:r>
      <w:r w:rsidR="00360227" w:rsidRPr="001D69A8">
        <w:rPr>
          <w:i/>
          <w:iCs/>
        </w:rPr>
        <w:t>&lt; 500</w:t>
      </w:r>
    </w:p>
    <w:p w14:paraId="071E6798" w14:textId="77777777" w:rsidR="00A85557" w:rsidRPr="001D69A8" w:rsidRDefault="00360227" w:rsidP="00360227">
      <w:pPr>
        <w:pStyle w:val="TableFooter"/>
        <w:rPr>
          <w:i/>
          <w:iCs/>
        </w:rPr>
      </w:pPr>
      <w:r w:rsidRPr="001D69A8">
        <w:rPr>
          <w:i/>
          <w:iCs/>
          <w:vertAlign w:val="superscript"/>
        </w:rPr>
        <w:t>2</w:t>
      </w:r>
      <w:r w:rsidRPr="001D69A8">
        <w:rPr>
          <w:i/>
          <w:iCs/>
        </w:rPr>
        <w:t xml:space="preserve"> 500 to &lt; 5,000</w:t>
      </w:r>
      <w:r w:rsidR="005D3783" w:rsidRPr="001D69A8">
        <w:rPr>
          <w:i/>
          <w:iCs/>
        </w:rPr>
        <w:t xml:space="preserve"> </w:t>
      </w:r>
    </w:p>
    <w:p w14:paraId="2B81FD9F" w14:textId="77777777" w:rsidR="00BA2513" w:rsidRPr="001D69A8" w:rsidRDefault="00A85557" w:rsidP="00BA2513">
      <w:pPr>
        <w:pStyle w:val="TableFooter"/>
        <w:rPr>
          <w:i/>
          <w:iCs/>
        </w:rPr>
      </w:pPr>
      <w:r w:rsidRPr="001D69A8">
        <w:rPr>
          <w:i/>
          <w:iCs/>
          <w:vertAlign w:val="superscript"/>
        </w:rPr>
        <w:t>3</w:t>
      </w:r>
      <w:r w:rsidRPr="001D69A8">
        <w:rPr>
          <w:i/>
          <w:iCs/>
        </w:rPr>
        <w:t xml:space="preserve"> $100 million to &lt; $200 million</w:t>
      </w:r>
      <w:r w:rsidR="00E92AAC" w:rsidRPr="001D69A8">
        <w:rPr>
          <w:i/>
          <w:iCs/>
        </w:rPr>
        <w:t xml:space="preserve"> </w:t>
      </w:r>
    </w:p>
    <w:p w14:paraId="21998F53" w14:textId="392715F4" w:rsidR="00BA2513" w:rsidRPr="001D69A8" w:rsidRDefault="00E92AAC" w:rsidP="00BA2513">
      <w:pPr>
        <w:pStyle w:val="TableFooter"/>
        <w:rPr>
          <w:i/>
          <w:iCs/>
        </w:rPr>
      </w:pPr>
      <w:r w:rsidRPr="001D69A8" w:rsidDel="00B2123E">
        <w:rPr>
          <w:i/>
          <w:iCs/>
          <w:vertAlign w:val="superscript"/>
        </w:rPr>
        <w:t>4</w:t>
      </w:r>
      <w:r w:rsidRPr="001D69A8" w:rsidDel="00B2123E">
        <w:rPr>
          <w:i/>
          <w:iCs/>
        </w:rPr>
        <w:t xml:space="preserve"> </w:t>
      </w:r>
      <w:r w:rsidR="00BA2513" w:rsidRPr="001D69A8" w:rsidDel="00B2123E">
        <w:rPr>
          <w:i/>
          <w:iCs/>
        </w:rPr>
        <w:t>net cost saving</w:t>
      </w:r>
    </w:p>
    <w:p w14:paraId="40ADCF33" w14:textId="4DDCB949" w:rsidR="00360227" w:rsidRPr="001D69A8" w:rsidRDefault="00BA2513" w:rsidP="00BA2513">
      <w:pPr>
        <w:pStyle w:val="TableFooter"/>
        <w:rPr>
          <w:i/>
          <w:iCs/>
        </w:rPr>
      </w:pPr>
      <w:r w:rsidRPr="001D69A8">
        <w:rPr>
          <w:i/>
          <w:iCs/>
          <w:vertAlign w:val="superscript"/>
        </w:rPr>
        <w:t>5</w:t>
      </w:r>
      <w:r w:rsidRPr="001D69A8">
        <w:rPr>
          <w:i/>
          <w:iCs/>
        </w:rPr>
        <w:t xml:space="preserve"> $0 to &lt; $10 million</w:t>
      </w:r>
    </w:p>
    <w:p w14:paraId="64134D6F" w14:textId="59665C7C" w:rsidR="00603DE0" w:rsidRPr="00763C01" w:rsidRDefault="00603DE0" w:rsidP="00603DE0">
      <w:pPr>
        <w:pStyle w:val="3-BodyText"/>
      </w:pPr>
      <w:r w:rsidRPr="0098262F">
        <w:t xml:space="preserve">The total cost to the PBS of listing </w:t>
      </w:r>
      <w:proofErr w:type="spellStart"/>
      <w:r>
        <w:t>omaveloxolone</w:t>
      </w:r>
      <w:proofErr w:type="spellEnd"/>
      <w:r w:rsidRPr="0098262F">
        <w:t xml:space="preserve"> was estimated to be $</w:t>
      </w:r>
      <w:r w:rsidR="00F00517" w:rsidRPr="00F00517">
        <w:t xml:space="preserve">100 million to &lt; $200 million </w:t>
      </w:r>
      <w:r w:rsidRPr="0098262F">
        <w:t xml:space="preserve">in Year 6, and a total of </w:t>
      </w:r>
      <w:r>
        <w:t>$</w:t>
      </w:r>
      <w:r w:rsidR="00D7587D" w:rsidRPr="00D7587D">
        <w:t>900 million to &lt; $1 billion</w:t>
      </w:r>
      <w:r w:rsidR="00D7587D" w:rsidRPr="00D7587D" w:rsidDel="00D7587D">
        <w:t xml:space="preserve"> </w:t>
      </w:r>
      <w:r>
        <w:t>over</w:t>
      </w:r>
      <w:r w:rsidRPr="0098262F">
        <w:t xml:space="preserve"> the first 6 years of listing</w:t>
      </w:r>
      <w:r w:rsidRPr="00D73904">
        <w:t xml:space="preserve">. The submission expected that the listing of </w:t>
      </w:r>
      <w:proofErr w:type="spellStart"/>
      <w:r w:rsidRPr="00D73904">
        <w:t>omaveloxolone</w:t>
      </w:r>
      <w:proofErr w:type="spellEnd"/>
      <w:r w:rsidRPr="00D73904">
        <w:t xml:space="preserve"> would not change the extent of use of other medicines.</w:t>
      </w:r>
    </w:p>
    <w:p w14:paraId="525BCB79" w14:textId="516041EB" w:rsidR="00D919F0" w:rsidRPr="00A16E8E" w:rsidRDefault="00D919F0" w:rsidP="00D919F0">
      <w:pPr>
        <w:pStyle w:val="3-BodyText"/>
        <w:rPr>
          <w:color w:val="0066FF"/>
        </w:rPr>
      </w:pPr>
      <w:r>
        <w:t xml:space="preserve">The submission estimated the prevalent population each year without explicitly estimating new incident patients. </w:t>
      </w:r>
      <w:r w:rsidRPr="001A6236">
        <w:t xml:space="preserve">This </w:t>
      </w:r>
      <w:r w:rsidR="00141284">
        <w:t xml:space="preserve">evaluation considered that this </w:t>
      </w:r>
      <w:r w:rsidRPr="001A6236">
        <w:t>may be reasonable given the low prevalence rate.</w:t>
      </w:r>
      <w:r w:rsidRPr="0087229D">
        <w:rPr>
          <w:i/>
          <w:iCs/>
        </w:rPr>
        <w:t xml:space="preserve"> </w:t>
      </w:r>
    </w:p>
    <w:p w14:paraId="2699D061" w14:textId="161381F7" w:rsidR="00D919F0" w:rsidRPr="00C62EA9" w:rsidRDefault="00D919F0" w:rsidP="00D919F0">
      <w:pPr>
        <w:pStyle w:val="3-BodyText"/>
      </w:pPr>
      <w:bookmarkStart w:id="73" w:name="_Ref195106740"/>
      <w:r w:rsidRPr="004E0E1C">
        <w:t xml:space="preserve">The </w:t>
      </w:r>
      <w:r w:rsidR="001A6236" w:rsidRPr="004E0E1C">
        <w:t xml:space="preserve">DUSC considered the </w:t>
      </w:r>
      <w:r w:rsidRPr="004E0E1C">
        <w:t xml:space="preserve">main area of financial uncertainty was the </w:t>
      </w:r>
      <w:r w:rsidR="00D21F4B">
        <w:t xml:space="preserve">prevalence rate </w:t>
      </w:r>
      <w:r w:rsidRPr="004E0E1C">
        <w:t>of FA in Australia.</w:t>
      </w:r>
      <w:r>
        <w:t xml:space="preserve"> The </w:t>
      </w:r>
      <w:r w:rsidR="00976A53">
        <w:t xml:space="preserve">PSCR argued the </w:t>
      </w:r>
      <w:r>
        <w:t>submission conducted a systematic review which reported FA prevalence rates across different countries and regions (as no Australian prevalence rate data were identified).</w:t>
      </w:r>
      <w:bookmarkStart w:id="74" w:name="_Ref185508732"/>
      <w:r>
        <w:rPr>
          <w:rStyle w:val="FootnoteReference"/>
        </w:rPr>
        <w:footnoteReference w:id="14"/>
      </w:r>
      <w:bookmarkEnd w:id="74"/>
      <w:r>
        <w:t xml:space="preserve"> The average of the prevalence estimates (1 in 43,458) from Western Europe countries, including Spain, Portugal, the United Kingdom, Greece, and Italy, was then applied to Australian Bureau of Statistics (ABS) population projections (medium series). </w:t>
      </w:r>
      <w:r w:rsidR="003B203A">
        <w:t xml:space="preserve">The </w:t>
      </w:r>
      <w:r w:rsidR="003B203A" w:rsidRPr="008B0577">
        <w:t xml:space="preserve">DUSC noted </w:t>
      </w:r>
      <w:r w:rsidR="003B203A">
        <w:t xml:space="preserve">the </w:t>
      </w:r>
      <w:r w:rsidR="003B203A" w:rsidRPr="008B0577">
        <w:t xml:space="preserve">applicability of this prevalence estimate to the Australian setting </w:t>
      </w:r>
      <w:r w:rsidR="00141284">
        <w:t>was</w:t>
      </w:r>
      <w:r w:rsidR="003B203A" w:rsidRPr="008B0577">
        <w:t xml:space="preserve"> uncertain</w:t>
      </w:r>
      <w:r w:rsidR="00E04726">
        <w:t>, n</w:t>
      </w:r>
      <w:r w:rsidRPr="008B0577">
        <w:t xml:space="preserve">oting that the majority of studies which reported FA prevalence were relatively outdated </w:t>
      </w:r>
      <w:r w:rsidR="00717F15" w:rsidRPr="008B0577">
        <w:t>(ranging from 1981 to 2014)</w:t>
      </w:r>
      <w:r w:rsidR="00717F15">
        <w:t xml:space="preserve"> </w:t>
      </w:r>
      <w:r w:rsidRPr="008B0577">
        <w:t>or conducted in regions where demographics were not necessarily applicable to Australia</w:t>
      </w:r>
      <w:r w:rsidR="00E04726">
        <w:t xml:space="preserve">. The evaluation </w:t>
      </w:r>
      <w:r w:rsidR="009B184A">
        <w:t xml:space="preserve">noted that the </w:t>
      </w:r>
      <w:r w:rsidRPr="008B0577">
        <w:t xml:space="preserve">best alternative estimate may come from the Friedreich Ataxia Research Association </w:t>
      </w:r>
      <w:r w:rsidR="00193111">
        <w:t xml:space="preserve">which </w:t>
      </w:r>
      <w:r w:rsidRPr="008B0577">
        <w:t>estimated that 1 in 30,000 people in Australia and New Zealand suffer from FA.</w:t>
      </w:r>
      <w:r w:rsidRPr="008B0577">
        <w:fldChar w:fldCharType="begin"/>
      </w:r>
      <w:r w:rsidRPr="008B0577">
        <w:instrText xml:space="preserve"> NOTEREF _Ref187670780 \f \h </w:instrText>
      </w:r>
      <w:r w:rsidR="008B0577">
        <w:instrText xml:space="preserve"> \* MERGEFORMAT </w:instrText>
      </w:r>
      <w:r w:rsidRPr="008B0577">
        <w:fldChar w:fldCharType="separate"/>
      </w:r>
      <w:r w:rsidR="003A4643">
        <w:rPr>
          <w:b/>
          <w:bCs/>
          <w:lang w:val="en-US"/>
        </w:rPr>
        <w:t>Error! Bookmark not defined.</w:t>
      </w:r>
      <w:r w:rsidRPr="008B0577">
        <w:fldChar w:fldCharType="end"/>
      </w:r>
      <w:r w:rsidRPr="008B0577">
        <w:t xml:space="preserve"> Applying this prevalence value had a substantial effect on the financial estimates. </w:t>
      </w:r>
      <w:r w:rsidR="009B184A" w:rsidRPr="00BA353E">
        <w:t>However, the</w:t>
      </w:r>
      <w:r w:rsidR="009B184A">
        <w:rPr>
          <w:i/>
          <w:iCs/>
        </w:rPr>
        <w:t xml:space="preserve"> </w:t>
      </w:r>
      <w:r w:rsidR="0008150C" w:rsidRPr="008B0577">
        <w:t>DUSC</w:t>
      </w:r>
      <w:r w:rsidR="00043F14">
        <w:t xml:space="preserve">, noting that the FA Research Associated </w:t>
      </w:r>
      <w:r w:rsidR="00A86E07">
        <w:t>estimate does not reference a source,</w:t>
      </w:r>
      <w:r w:rsidR="0008150C" w:rsidRPr="008B0577">
        <w:t xml:space="preserve"> considered that</w:t>
      </w:r>
      <w:r w:rsidR="00BA353E">
        <w:t>,</w:t>
      </w:r>
      <w:r w:rsidR="0008150C" w:rsidRPr="008B0577">
        <w:t xml:space="preserve"> in the absence of further information regarding how th</w:t>
      </w:r>
      <w:r w:rsidR="00A86E07">
        <w:t>is</w:t>
      </w:r>
      <w:r w:rsidR="0008150C" w:rsidRPr="008B0577">
        <w:t xml:space="preserve"> estimate w</w:t>
      </w:r>
      <w:r w:rsidR="00A86E07">
        <w:t>as</w:t>
      </w:r>
      <w:r w:rsidR="0008150C" w:rsidRPr="008B0577">
        <w:t xml:space="preserve"> derived</w:t>
      </w:r>
      <w:r w:rsidR="00BA353E">
        <w:t>,</w:t>
      </w:r>
      <w:r w:rsidR="0008150C" w:rsidRPr="008B0577">
        <w:t xml:space="preserve"> it was unreliable for decision making.</w:t>
      </w:r>
      <w:r w:rsidR="00765B3E">
        <w:t xml:space="preserve"> </w:t>
      </w:r>
      <w:r w:rsidR="00A86E07">
        <w:t xml:space="preserve">Overall, the DUSC considered that, given the lack of alternative options, using the estimate derived in the submission </w:t>
      </w:r>
      <w:r w:rsidR="00497DA4">
        <w:t xml:space="preserve">may be reasonable, </w:t>
      </w:r>
      <w:r w:rsidR="007E1ECD">
        <w:t>albeit</w:t>
      </w:r>
      <w:r w:rsidR="00497DA4">
        <w:t xml:space="preserve"> highly uncertain.</w:t>
      </w:r>
      <w:r w:rsidR="00A73E7A" w:rsidRPr="00A73E7A">
        <w:t xml:space="preserve"> </w:t>
      </w:r>
      <w:r w:rsidR="00A73E7A" w:rsidRPr="008B0577">
        <w:t xml:space="preserve">The </w:t>
      </w:r>
      <w:r w:rsidR="0051340E">
        <w:t xml:space="preserve">submission stated that a </w:t>
      </w:r>
      <w:r w:rsidR="00A73E7A" w:rsidRPr="008B0577">
        <w:t xml:space="preserve">risk-sharing arrangement </w:t>
      </w:r>
      <w:r w:rsidR="0051340E">
        <w:t>would</w:t>
      </w:r>
      <w:r w:rsidR="00A73E7A" w:rsidRPr="008B0577">
        <w:t xml:space="preserve"> address the uncertainty regarding the number of patients eligible for treatment (see paragraph </w:t>
      </w:r>
      <w:r w:rsidR="00A73E7A" w:rsidRPr="008B0577">
        <w:fldChar w:fldCharType="begin"/>
      </w:r>
      <w:r w:rsidR="00A73E7A" w:rsidRPr="008B0577">
        <w:instrText xml:space="preserve"> REF _Ref185510676 \r \h </w:instrText>
      </w:r>
      <w:r w:rsidR="00A73E7A">
        <w:instrText xml:space="preserve"> \* MERGEFORMAT </w:instrText>
      </w:r>
      <w:r w:rsidR="00A73E7A" w:rsidRPr="008B0577">
        <w:fldChar w:fldCharType="separate"/>
      </w:r>
      <w:r w:rsidR="003A4643">
        <w:t>6.85</w:t>
      </w:r>
      <w:r w:rsidR="00A73E7A" w:rsidRPr="008B0577">
        <w:fldChar w:fldCharType="end"/>
      </w:r>
      <w:r w:rsidR="00A73E7A" w:rsidRPr="008B0577">
        <w:t>).</w:t>
      </w:r>
      <w:bookmarkEnd w:id="73"/>
    </w:p>
    <w:p w14:paraId="75DBE789" w14:textId="575CB36F" w:rsidR="00D919F0" w:rsidRPr="00D23731" w:rsidRDefault="005671AC" w:rsidP="00110C08">
      <w:pPr>
        <w:pStyle w:val="3-BodyText"/>
      </w:pPr>
      <w:bookmarkStart w:id="75" w:name="_Ref195106747"/>
      <w:r>
        <w:t xml:space="preserve">The </w:t>
      </w:r>
      <w:r w:rsidRPr="005671AC">
        <w:t>DUSC noted that the proportion of patients aged over 16 years in the Australian FACOMS registry (75%) was used to estimate the eligible population</w:t>
      </w:r>
      <w:r w:rsidR="00E87184">
        <w:t xml:space="preserve"> for</w:t>
      </w:r>
      <w:r w:rsidRPr="005671AC">
        <w:t xml:space="preserve"> </w:t>
      </w:r>
      <w:proofErr w:type="spellStart"/>
      <w:r w:rsidRPr="005671AC">
        <w:t>omaveloxolone</w:t>
      </w:r>
      <w:proofErr w:type="spellEnd"/>
      <w:r w:rsidRPr="005671AC">
        <w:t xml:space="preserve">. </w:t>
      </w:r>
      <w:r w:rsidR="00E87184">
        <w:t xml:space="preserve">The </w:t>
      </w:r>
      <w:r w:rsidRPr="005671AC">
        <w:t xml:space="preserve">DUSC noted that the FACOMS registry is not population-based and </w:t>
      </w:r>
      <w:r w:rsidR="0056756B">
        <w:t xml:space="preserve">therefore </w:t>
      </w:r>
      <w:r w:rsidRPr="005671AC">
        <w:t xml:space="preserve">may </w:t>
      </w:r>
      <w:r w:rsidR="0056756B">
        <w:t xml:space="preserve">not </w:t>
      </w:r>
      <w:r w:rsidRPr="005671AC">
        <w:t xml:space="preserve">be representative of the Australian population with FA. </w:t>
      </w:r>
      <w:r w:rsidR="00E87184">
        <w:t xml:space="preserve">The </w:t>
      </w:r>
      <w:r w:rsidRPr="005671AC">
        <w:t xml:space="preserve">DUSC </w:t>
      </w:r>
      <w:r w:rsidR="005E191E">
        <w:t xml:space="preserve">further </w:t>
      </w:r>
      <w:r w:rsidRPr="005671AC">
        <w:t>noted that this assumption had not been tested in a sensitivity analysis.</w:t>
      </w:r>
      <w:r w:rsidR="00E87184">
        <w:t xml:space="preserve"> The </w:t>
      </w:r>
      <w:r w:rsidR="005E191E">
        <w:t>p</w:t>
      </w:r>
      <w:r w:rsidR="00E87184">
        <w:t xml:space="preserve">re-PBAC </w:t>
      </w:r>
      <w:r w:rsidR="005E191E">
        <w:t>r</w:t>
      </w:r>
      <w:r w:rsidR="00E87184">
        <w:t>esponse</w:t>
      </w:r>
      <w:r w:rsidR="005E191E">
        <w:t xml:space="preserve"> stated that the </w:t>
      </w:r>
      <w:r w:rsidRPr="005671AC">
        <w:t>Australian FACOMS registry was integrated to estimate the proportion of patients aged ≥16 years</w:t>
      </w:r>
      <w:r w:rsidR="00E7005B">
        <w:t xml:space="preserve"> and</w:t>
      </w:r>
      <w:r w:rsidR="00D47A65">
        <w:t>, while it is not population</w:t>
      </w:r>
      <w:r w:rsidR="004B1D5A">
        <w:t>-based,</w:t>
      </w:r>
      <w:r w:rsidR="00E7005B">
        <w:t xml:space="preserve"> </w:t>
      </w:r>
      <w:r w:rsidR="004B1D5A">
        <w:t xml:space="preserve">it </w:t>
      </w:r>
      <w:r w:rsidRPr="005671AC">
        <w:t>is the most accurate Australian estimate available with regards to the proportion of patients aged ≥16 years.</w:t>
      </w:r>
      <w:bookmarkEnd w:id="75"/>
      <w:r w:rsidR="00E7005B">
        <w:t xml:space="preserve"> </w:t>
      </w:r>
      <w:r w:rsidR="00D919F0" w:rsidRPr="00D23731">
        <w:t xml:space="preserve">  </w:t>
      </w:r>
    </w:p>
    <w:p w14:paraId="6A7C73ED" w14:textId="20881EE6" w:rsidR="00D2091E" w:rsidRPr="0098262F" w:rsidRDefault="00D2091E" w:rsidP="00D919F0">
      <w:pPr>
        <w:pStyle w:val="4-SubsectionHeading"/>
      </w:pPr>
      <w:r w:rsidRPr="0098262F">
        <w:t>Quality Use of Medicines</w:t>
      </w:r>
      <w:bookmarkEnd w:id="67"/>
      <w:bookmarkEnd w:id="68"/>
      <w:bookmarkEnd w:id="69"/>
    </w:p>
    <w:p w14:paraId="43783785" w14:textId="41CC9501" w:rsidR="00D2091E" w:rsidRDefault="00D2091E" w:rsidP="00C87D07">
      <w:pPr>
        <w:pStyle w:val="3-BodyText"/>
      </w:pPr>
      <w:bookmarkStart w:id="76" w:name="_Toc22897649"/>
      <w:bookmarkStart w:id="77" w:name="_Toc107927635"/>
      <w:r>
        <w:t xml:space="preserve">The </w:t>
      </w:r>
      <w:r w:rsidR="00D64A9E">
        <w:t xml:space="preserve">DUSC </w:t>
      </w:r>
      <w:r w:rsidR="007F5CDE">
        <w:t xml:space="preserve">considered that the </w:t>
      </w:r>
      <w:r>
        <w:t xml:space="preserve">submission </w:t>
      </w:r>
      <w:r w:rsidR="00CF4D72">
        <w:t xml:space="preserve">reasonably </w:t>
      </w:r>
      <w:r>
        <w:t>outlined the following quality use of medicine practices</w:t>
      </w:r>
      <w:r w:rsidR="007F5CDE">
        <w:t>:</w:t>
      </w:r>
    </w:p>
    <w:p w14:paraId="75F6BCC9" w14:textId="77777777" w:rsidR="00D2091E" w:rsidRDefault="00D2091E" w:rsidP="007F5CDE">
      <w:pPr>
        <w:pStyle w:val="ListParagraph"/>
        <w:numPr>
          <w:ilvl w:val="0"/>
          <w:numId w:val="5"/>
        </w:numPr>
        <w:spacing w:after="60"/>
        <w:ind w:left="1080"/>
      </w:pPr>
      <w:r>
        <w:t>Regular treatment monitoring with serology tests;</w:t>
      </w:r>
    </w:p>
    <w:p w14:paraId="15B55233" w14:textId="77777777" w:rsidR="00D2091E" w:rsidRDefault="00D2091E" w:rsidP="007F5CDE">
      <w:pPr>
        <w:pStyle w:val="ListParagraph"/>
        <w:numPr>
          <w:ilvl w:val="0"/>
          <w:numId w:val="5"/>
        </w:numPr>
        <w:spacing w:after="60"/>
        <w:ind w:left="1080"/>
      </w:pPr>
      <w:r>
        <w:t>Dose adjustments based on monitoring tests;</w:t>
      </w:r>
    </w:p>
    <w:p w14:paraId="681F26A6" w14:textId="77777777" w:rsidR="00D2091E" w:rsidRDefault="00D2091E" w:rsidP="007F5CDE">
      <w:pPr>
        <w:pStyle w:val="ListParagraph"/>
        <w:spacing w:after="60"/>
        <w:ind w:left="1080"/>
      </w:pPr>
      <w:r w:rsidRPr="35298142">
        <w:t xml:space="preserve">Genetic diagnosis required for access to </w:t>
      </w:r>
      <w:proofErr w:type="spellStart"/>
      <w:r w:rsidRPr="35298142">
        <w:t>omaveloxolone</w:t>
      </w:r>
      <w:proofErr w:type="spellEnd"/>
      <w:r w:rsidRPr="35298142">
        <w:t xml:space="preserve"> on the PBS;</w:t>
      </w:r>
    </w:p>
    <w:p w14:paraId="0E1A8A05" w14:textId="77777777" w:rsidR="00D2091E" w:rsidRDefault="00D2091E" w:rsidP="007F5CDE">
      <w:pPr>
        <w:pStyle w:val="ListParagraph"/>
        <w:numPr>
          <w:ilvl w:val="0"/>
          <w:numId w:val="5"/>
        </w:numPr>
        <w:spacing w:after="60"/>
        <w:ind w:left="1080"/>
      </w:pPr>
      <w:r>
        <w:t>Routine pharmacovigilance activities and;</w:t>
      </w:r>
    </w:p>
    <w:p w14:paraId="2B2DA1E2" w14:textId="77777777" w:rsidR="00D2091E" w:rsidRDefault="00D2091E" w:rsidP="007F5CDE">
      <w:pPr>
        <w:pStyle w:val="ListParagraph"/>
        <w:spacing w:after="60"/>
        <w:ind w:left="1080"/>
      </w:pPr>
      <w:r w:rsidRPr="35298142">
        <w:t xml:space="preserve">A long-term post market safety study which started in 2024.  </w:t>
      </w:r>
    </w:p>
    <w:p w14:paraId="10A81A32" w14:textId="77777777" w:rsidR="00D2091E" w:rsidRPr="0098262F" w:rsidRDefault="00D2091E" w:rsidP="00D2091E">
      <w:pPr>
        <w:pStyle w:val="4-SubsectionHeading"/>
      </w:pPr>
      <w:bookmarkStart w:id="78" w:name="_Toc188438066"/>
      <w:r w:rsidRPr="0098262F">
        <w:t>Financial Management – Risk Sharing Arrangements</w:t>
      </w:r>
      <w:bookmarkEnd w:id="76"/>
      <w:bookmarkEnd w:id="77"/>
      <w:bookmarkEnd w:id="78"/>
    </w:p>
    <w:p w14:paraId="511430B8" w14:textId="2ADC00B5" w:rsidR="003D59BF" w:rsidRDefault="00D2091E" w:rsidP="006C0D41">
      <w:pPr>
        <w:pStyle w:val="3-BodyText"/>
      </w:pPr>
      <w:bookmarkStart w:id="79" w:name="_Ref185510676"/>
      <w:r w:rsidRPr="35298142">
        <w:t>The submission stated that the sponsor expects to engage in a R</w:t>
      </w:r>
      <w:r w:rsidR="007F61DB">
        <w:t xml:space="preserve">isk </w:t>
      </w:r>
      <w:r w:rsidRPr="35298142">
        <w:t>S</w:t>
      </w:r>
      <w:r w:rsidR="007F61DB">
        <w:t xml:space="preserve">haring </w:t>
      </w:r>
      <w:r w:rsidRPr="35298142">
        <w:t>A</w:t>
      </w:r>
      <w:r w:rsidR="007F61DB">
        <w:t>rrangement</w:t>
      </w:r>
      <w:r w:rsidRPr="35298142">
        <w:t xml:space="preserve"> to share the risk regarding the number of patients eligible for </w:t>
      </w:r>
      <w:proofErr w:type="spellStart"/>
      <w:r w:rsidRPr="35298142">
        <w:t>omaveloxolone</w:t>
      </w:r>
      <w:proofErr w:type="spellEnd"/>
      <w:r w:rsidRPr="35298142">
        <w:t xml:space="preserve"> treatment. No specific details were provided in the submission.</w:t>
      </w:r>
      <w:bookmarkEnd w:id="79"/>
      <w:r w:rsidR="005605AE" w:rsidRPr="35298142">
        <w:t xml:space="preserve"> </w:t>
      </w:r>
      <w:bookmarkEnd w:id="61"/>
    </w:p>
    <w:p w14:paraId="1681B61B" w14:textId="77777777" w:rsidR="00E31624" w:rsidRDefault="003D59BF" w:rsidP="00D45897">
      <w:pPr>
        <w:pStyle w:val="3-BodyText"/>
        <w:numPr>
          <w:ilvl w:val="0"/>
          <w:numId w:val="0"/>
        </w:numPr>
        <w:ind w:left="720"/>
        <w:rPr>
          <w:i/>
        </w:rPr>
      </w:pPr>
      <w:r w:rsidRPr="00C33D30">
        <w:rPr>
          <w:i/>
        </w:rPr>
        <w:t>For more detail on PBAC’s view, see section 7 PBAC outcome.</w:t>
      </w:r>
    </w:p>
    <w:p w14:paraId="0933E7EE" w14:textId="77777777" w:rsidR="00E31624" w:rsidRPr="0090150D" w:rsidRDefault="00E31624" w:rsidP="00E31624">
      <w:pPr>
        <w:pStyle w:val="2-SectionHeading"/>
        <w:numPr>
          <w:ilvl w:val="0"/>
          <w:numId w:val="1"/>
        </w:numPr>
      </w:pPr>
      <w:bookmarkStart w:id="80" w:name="_Hlk76381249"/>
      <w:bookmarkStart w:id="81" w:name="_Hlk76377955"/>
      <w:r w:rsidRPr="0090150D">
        <w:t>PBAC Outcome</w:t>
      </w:r>
    </w:p>
    <w:p w14:paraId="0309DE9F" w14:textId="43C0505C" w:rsidR="0045494B" w:rsidRPr="0045494B" w:rsidRDefault="0045494B" w:rsidP="0045494B">
      <w:pPr>
        <w:pStyle w:val="3-BodyText"/>
      </w:pPr>
      <w:bookmarkStart w:id="82" w:name="_Hlk111543188"/>
      <w:r w:rsidRPr="0045494B">
        <w:rPr>
          <w:rStyle w:val="cf01"/>
          <w:rFonts w:asciiTheme="minorHAnsi" w:hAnsiTheme="minorHAnsi" w:cstheme="minorBidi"/>
          <w:sz w:val="24"/>
          <w:szCs w:val="22"/>
        </w:rPr>
        <w:t xml:space="preserve">The PBAC did not recommend </w:t>
      </w:r>
      <w:proofErr w:type="spellStart"/>
      <w:r w:rsidRPr="0045494B">
        <w:rPr>
          <w:rStyle w:val="cf01"/>
          <w:rFonts w:asciiTheme="minorHAnsi" w:hAnsiTheme="minorHAnsi" w:cstheme="minorBidi"/>
          <w:sz w:val="24"/>
          <w:szCs w:val="22"/>
        </w:rPr>
        <w:t>omaveloxolone</w:t>
      </w:r>
      <w:proofErr w:type="spellEnd"/>
      <w:r w:rsidRPr="0045494B">
        <w:rPr>
          <w:rStyle w:val="cf01"/>
          <w:rFonts w:asciiTheme="minorHAnsi" w:hAnsiTheme="minorHAnsi" w:cstheme="minorBidi"/>
          <w:sz w:val="24"/>
          <w:szCs w:val="22"/>
        </w:rPr>
        <w:t xml:space="preserve"> for treatment of Friedreich’s ataxia (FA) in adults and adolescents aged 16 years and older. The PBAC noted the high clinical need for treatments for this condition</w:t>
      </w:r>
      <w:r w:rsidR="00470660">
        <w:rPr>
          <w:rStyle w:val="cf01"/>
          <w:rFonts w:asciiTheme="minorHAnsi" w:hAnsiTheme="minorHAnsi" w:cstheme="minorBidi"/>
          <w:sz w:val="24"/>
          <w:szCs w:val="22"/>
        </w:rPr>
        <w:t xml:space="preserve"> but</w:t>
      </w:r>
      <w:r w:rsidRPr="0045494B">
        <w:rPr>
          <w:rStyle w:val="cf01"/>
          <w:rFonts w:asciiTheme="minorHAnsi" w:hAnsiTheme="minorHAnsi" w:cstheme="minorBidi"/>
          <w:sz w:val="24"/>
          <w:szCs w:val="22"/>
        </w:rPr>
        <w:t xml:space="preserve"> considered that </w:t>
      </w:r>
      <w:r w:rsidR="00470660">
        <w:rPr>
          <w:rStyle w:val="cf01"/>
          <w:rFonts w:asciiTheme="minorHAnsi" w:hAnsiTheme="minorHAnsi" w:cstheme="minorBidi"/>
          <w:sz w:val="24"/>
          <w:szCs w:val="22"/>
        </w:rPr>
        <w:t xml:space="preserve">the data presented did not convincingly support the </w:t>
      </w:r>
      <w:r w:rsidR="000B1469">
        <w:rPr>
          <w:rStyle w:val="cf01"/>
          <w:rFonts w:asciiTheme="minorHAnsi" w:hAnsiTheme="minorHAnsi" w:cstheme="minorBidi"/>
          <w:sz w:val="24"/>
          <w:szCs w:val="22"/>
        </w:rPr>
        <w:t xml:space="preserve">claims that </w:t>
      </w:r>
      <w:proofErr w:type="spellStart"/>
      <w:r w:rsidRPr="0045494B">
        <w:rPr>
          <w:rStyle w:val="cf01"/>
          <w:rFonts w:asciiTheme="minorHAnsi" w:hAnsiTheme="minorHAnsi" w:cstheme="minorBidi"/>
          <w:sz w:val="24"/>
          <w:szCs w:val="22"/>
        </w:rPr>
        <w:t>omaveloxolone</w:t>
      </w:r>
      <w:proofErr w:type="spellEnd"/>
      <w:r w:rsidRPr="0045494B">
        <w:rPr>
          <w:rStyle w:val="cf01"/>
          <w:rFonts w:asciiTheme="minorHAnsi" w:hAnsiTheme="minorHAnsi" w:cstheme="minorBidi"/>
          <w:sz w:val="24"/>
          <w:szCs w:val="22"/>
        </w:rPr>
        <w:t xml:space="preserve"> </w:t>
      </w:r>
      <w:r w:rsidR="000B1469">
        <w:rPr>
          <w:rStyle w:val="cf01"/>
          <w:rFonts w:asciiTheme="minorHAnsi" w:hAnsiTheme="minorHAnsi" w:cstheme="minorBidi"/>
          <w:sz w:val="24"/>
          <w:szCs w:val="22"/>
        </w:rPr>
        <w:t xml:space="preserve">was superior </w:t>
      </w:r>
      <w:r w:rsidR="004B0FE2">
        <w:rPr>
          <w:rStyle w:val="cf01"/>
          <w:rFonts w:asciiTheme="minorHAnsi" w:hAnsiTheme="minorHAnsi" w:cstheme="minorBidi"/>
          <w:sz w:val="24"/>
          <w:szCs w:val="22"/>
        </w:rPr>
        <w:t>in terms of effectiveness</w:t>
      </w:r>
      <w:r w:rsidR="004E2C19">
        <w:rPr>
          <w:rStyle w:val="cf01"/>
          <w:rFonts w:asciiTheme="minorHAnsi" w:hAnsiTheme="minorHAnsi" w:cstheme="minorBidi"/>
          <w:sz w:val="24"/>
          <w:szCs w:val="22"/>
        </w:rPr>
        <w:t xml:space="preserve"> compared to </w:t>
      </w:r>
      <w:r w:rsidRPr="0045494B">
        <w:rPr>
          <w:rStyle w:val="cf01"/>
          <w:rFonts w:asciiTheme="minorHAnsi" w:hAnsiTheme="minorHAnsi" w:cstheme="minorBidi"/>
          <w:sz w:val="24"/>
          <w:szCs w:val="22"/>
        </w:rPr>
        <w:t xml:space="preserve">best supportive care (BSC). </w:t>
      </w:r>
      <w:r w:rsidR="004E2C19">
        <w:rPr>
          <w:rStyle w:val="cf01"/>
          <w:rFonts w:asciiTheme="minorHAnsi" w:hAnsiTheme="minorHAnsi" w:cstheme="minorBidi"/>
          <w:sz w:val="24"/>
          <w:szCs w:val="22"/>
        </w:rPr>
        <w:t>Further</w:t>
      </w:r>
      <w:r w:rsidRPr="0045494B">
        <w:rPr>
          <w:rStyle w:val="cf01"/>
          <w:rFonts w:asciiTheme="minorHAnsi" w:hAnsiTheme="minorHAnsi" w:cstheme="minorBidi"/>
          <w:sz w:val="24"/>
          <w:szCs w:val="22"/>
        </w:rPr>
        <w:t xml:space="preserve">, the PBAC advised that </w:t>
      </w:r>
      <w:proofErr w:type="spellStart"/>
      <w:r w:rsidRPr="0045494B">
        <w:rPr>
          <w:rStyle w:val="cf01"/>
          <w:rFonts w:asciiTheme="minorHAnsi" w:hAnsiTheme="minorHAnsi" w:cstheme="minorBidi"/>
          <w:sz w:val="24"/>
          <w:szCs w:val="22"/>
        </w:rPr>
        <w:t>omaveloxolone</w:t>
      </w:r>
      <w:proofErr w:type="spellEnd"/>
      <w:r w:rsidRPr="0045494B">
        <w:rPr>
          <w:rStyle w:val="cf01"/>
          <w:rFonts w:asciiTheme="minorHAnsi" w:hAnsiTheme="minorHAnsi" w:cstheme="minorBidi"/>
          <w:sz w:val="24"/>
          <w:szCs w:val="22"/>
        </w:rPr>
        <w:t xml:space="preserve"> was not cost-effective with an incremental cost-effectiveness ratio (ICER) of </w:t>
      </w:r>
      <w:r w:rsidR="00456A02">
        <w:rPr>
          <w:rStyle w:val="cf01"/>
          <w:rFonts w:asciiTheme="minorHAnsi" w:hAnsiTheme="minorHAnsi" w:cstheme="minorBidi"/>
          <w:sz w:val="24"/>
          <w:szCs w:val="22"/>
        </w:rPr>
        <w:t xml:space="preserve"> </w:t>
      </w:r>
      <w:r w:rsidR="00877802" w:rsidRPr="00877802">
        <w:rPr>
          <w:rStyle w:val="cf01"/>
          <w:rFonts w:asciiTheme="minorHAnsi" w:hAnsiTheme="minorHAnsi" w:cstheme="minorBidi"/>
          <w:sz w:val="24"/>
          <w:szCs w:val="22"/>
        </w:rPr>
        <w:t>&gt; $1,055,000</w:t>
      </w:r>
      <w:r w:rsidR="00691A87">
        <w:rPr>
          <w:rStyle w:val="cf01"/>
          <w:rFonts w:asciiTheme="minorHAnsi" w:hAnsiTheme="minorHAnsi" w:cstheme="minorBidi"/>
          <w:sz w:val="24"/>
          <w:szCs w:val="22"/>
        </w:rPr>
        <w:t xml:space="preserve"> </w:t>
      </w:r>
      <w:r w:rsidR="00EA4700" w:rsidRPr="00EA4700">
        <w:rPr>
          <w:rStyle w:val="cf01"/>
          <w:rFonts w:asciiTheme="minorHAnsi" w:hAnsiTheme="minorHAnsi" w:cstheme="minorBidi"/>
          <w:sz w:val="24"/>
          <w:szCs w:val="22"/>
        </w:rPr>
        <w:t>million</w:t>
      </w:r>
      <w:r w:rsidR="00EA4700">
        <w:rPr>
          <w:rStyle w:val="cf01"/>
          <w:rFonts w:asciiTheme="minorHAnsi" w:hAnsiTheme="minorHAnsi" w:cstheme="minorBidi"/>
          <w:sz w:val="24"/>
          <w:szCs w:val="22"/>
        </w:rPr>
        <w:t xml:space="preserve"> </w:t>
      </w:r>
      <w:r w:rsidRPr="0045494B">
        <w:rPr>
          <w:rStyle w:val="cf01"/>
          <w:rFonts w:asciiTheme="minorHAnsi" w:hAnsiTheme="minorHAnsi" w:cstheme="minorBidi"/>
          <w:sz w:val="24"/>
          <w:szCs w:val="22"/>
        </w:rPr>
        <w:t xml:space="preserve">per quality adjusted life year (QALY) gained. The PBAC noted that this was based on the proposed published price, and although the submission indicated the effective price would be lower, it was not provided by the sponsor. The PBAC considered that financial impact estimate of listing </w:t>
      </w:r>
      <w:proofErr w:type="spellStart"/>
      <w:r w:rsidRPr="0045494B">
        <w:rPr>
          <w:rStyle w:val="cf01"/>
          <w:rFonts w:asciiTheme="minorHAnsi" w:hAnsiTheme="minorHAnsi" w:cstheme="minorBidi"/>
          <w:sz w:val="24"/>
          <w:szCs w:val="22"/>
        </w:rPr>
        <w:t>omaveloxolone</w:t>
      </w:r>
      <w:proofErr w:type="spellEnd"/>
      <w:r w:rsidRPr="0045494B">
        <w:rPr>
          <w:rStyle w:val="cf01"/>
          <w:rFonts w:asciiTheme="minorHAnsi" w:hAnsiTheme="minorHAnsi" w:cstheme="minorBidi"/>
          <w:sz w:val="24"/>
          <w:szCs w:val="22"/>
        </w:rPr>
        <w:t xml:space="preserve"> on the PBS was very high (approximately</w:t>
      </w:r>
      <w:r w:rsidR="00965AF8">
        <w:rPr>
          <w:rStyle w:val="cf01"/>
          <w:rFonts w:asciiTheme="minorHAnsi" w:hAnsiTheme="minorHAnsi" w:cstheme="minorBidi"/>
          <w:sz w:val="24"/>
          <w:szCs w:val="22"/>
        </w:rPr>
        <w:t xml:space="preserve"> </w:t>
      </w:r>
      <w:r w:rsidR="00EE0544" w:rsidRPr="00EE0544">
        <w:rPr>
          <w:rStyle w:val="cf01"/>
          <w:rFonts w:asciiTheme="minorHAnsi" w:hAnsiTheme="minorHAnsi" w:cstheme="minorBidi"/>
          <w:sz w:val="24"/>
          <w:szCs w:val="22"/>
        </w:rPr>
        <w:t>$900 million to &lt; $1 billion</w:t>
      </w:r>
      <w:r w:rsidR="00EE0544">
        <w:rPr>
          <w:rStyle w:val="cf01"/>
          <w:rFonts w:asciiTheme="minorHAnsi" w:hAnsiTheme="minorHAnsi" w:cstheme="minorBidi"/>
          <w:sz w:val="24"/>
          <w:szCs w:val="22"/>
        </w:rPr>
        <w:t xml:space="preserve"> </w:t>
      </w:r>
      <w:r w:rsidRPr="0045494B">
        <w:rPr>
          <w:rStyle w:val="cf01"/>
          <w:rFonts w:asciiTheme="minorHAnsi" w:hAnsiTheme="minorHAnsi" w:cstheme="minorBidi"/>
          <w:sz w:val="24"/>
          <w:szCs w:val="22"/>
        </w:rPr>
        <w:t xml:space="preserve">  over 6 years), although this was also based on the proposed published price.</w:t>
      </w:r>
    </w:p>
    <w:bookmarkEnd w:id="82"/>
    <w:p w14:paraId="1E1E8A4F" w14:textId="51F5EDCA" w:rsidR="00E31624" w:rsidRPr="00DB6313" w:rsidRDefault="00DB6313" w:rsidP="00DB6313">
      <w:pPr>
        <w:pStyle w:val="3-BodyText"/>
        <w:rPr>
          <w:rFonts w:eastAsia="Times New Roman" w:cstheme="minorHAnsi"/>
          <w:szCs w:val="24"/>
          <w:lang w:val="en-GB"/>
        </w:rPr>
      </w:pPr>
      <w:r w:rsidRPr="00DB6313">
        <w:rPr>
          <w:rFonts w:eastAsia="Times New Roman" w:cstheme="minorHAnsi"/>
          <w:szCs w:val="24"/>
          <w:lang w:val="en-GB"/>
        </w:rPr>
        <w:t xml:space="preserve">The primary reason for this outcome was </w:t>
      </w:r>
      <w:r w:rsidR="00997652">
        <w:rPr>
          <w:rFonts w:eastAsia="Times New Roman" w:cstheme="minorHAnsi"/>
          <w:szCs w:val="24"/>
          <w:lang w:val="en-GB"/>
        </w:rPr>
        <w:t>the economic evaluation</w:t>
      </w:r>
      <w:r w:rsidRPr="00DB6313">
        <w:rPr>
          <w:rFonts w:eastAsia="Times New Roman" w:cstheme="minorHAnsi"/>
          <w:szCs w:val="24"/>
          <w:lang w:val="en-GB"/>
        </w:rPr>
        <w:t>.</w:t>
      </w:r>
    </w:p>
    <w:p w14:paraId="7153927A" w14:textId="0C75198A" w:rsidR="00D152A7" w:rsidRDefault="00D152A7" w:rsidP="00D152A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consumer input which </w:t>
      </w:r>
      <w:r w:rsidR="00A66E6B">
        <w:rPr>
          <w:rFonts w:asciiTheme="minorHAnsi" w:hAnsiTheme="minorHAnsi"/>
          <w:snapToGrid w:val="0"/>
          <w:lang w:val="en-GB"/>
        </w:rPr>
        <w:t xml:space="preserve">strongly </w:t>
      </w:r>
      <w:r>
        <w:rPr>
          <w:rFonts w:asciiTheme="minorHAnsi" w:hAnsiTheme="minorHAnsi"/>
          <w:snapToGrid w:val="0"/>
          <w:lang w:val="en-GB"/>
        </w:rPr>
        <w:t>support</w:t>
      </w:r>
      <w:r w:rsidR="00A66E6B">
        <w:rPr>
          <w:rFonts w:asciiTheme="minorHAnsi" w:hAnsiTheme="minorHAnsi"/>
          <w:snapToGrid w:val="0"/>
          <w:lang w:val="en-GB"/>
        </w:rPr>
        <w:t>ed</w:t>
      </w:r>
      <w:r>
        <w:rPr>
          <w:rFonts w:asciiTheme="minorHAnsi" w:hAnsiTheme="minorHAnsi"/>
          <w:snapToGrid w:val="0"/>
          <w:lang w:val="en-GB"/>
        </w:rPr>
        <w:t xml:space="preserve"> the submission. The PBAC noted </w:t>
      </w:r>
      <w:r w:rsidR="00991624">
        <w:rPr>
          <w:rFonts w:asciiTheme="minorHAnsi" w:hAnsiTheme="minorHAnsi"/>
          <w:snapToGrid w:val="0"/>
          <w:lang w:val="en-GB"/>
        </w:rPr>
        <w:t xml:space="preserve">that </w:t>
      </w:r>
      <w:r w:rsidR="000B7691">
        <w:rPr>
          <w:rFonts w:asciiTheme="minorHAnsi" w:hAnsiTheme="minorHAnsi"/>
          <w:snapToGrid w:val="0"/>
          <w:lang w:val="en-GB"/>
        </w:rPr>
        <w:t>the input</w:t>
      </w:r>
      <w:r w:rsidR="00225D08">
        <w:rPr>
          <w:rFonts w:asciiTheme="minorHAnsi" w:hAnsiTheme="minorHAnsi"/>
          <w:snapToGrid w:val="0"/>
          <w:lang w:val="en-GB"/>
        </w:rPr>
        <w:t xml:space="preserve"> highlighted </w:t>
      </w:r>
      <w:r w:rsidR="00512D04">
        <w:rPr>
          <w:rFonts w:asciiTheme="minorHAnsi" w:hAnsiTheme="minorHAnsi"/>
          <w:snapToGrid w:val="0"/>
          <w:lang w:val="en-GB"/>
        </w:rPr>
        <w:t>the high need for treatment</w:t>
      </w:r>
      <w:r w:rsidR="00225D08">
        <w:rPr>
          <w:rFonts w:asciiTheme="minorHAnsi" w:hAnsiTheme="minorHAnsi"/>
          <w:snapToGrid w:val="0"/>
          <w:lang w:val="en-GB"/>
        </w:rPr>
        <w:t>s</w:t>
      </w:r>
      <w:r w:rsidR="00512D04">
        <w:rPr>
          <w:rFonts w:asciiTheme="minorHAnsi" w:hAnsiTheme="minorHAnsi"/>
          <w:snapToGrid w:val="0"/>
          <w:lang w:val="en-GB"/>
        </w:rPr>
        <w:t xml:space="preserve"> for </w:t>
      </w:r>
      <w:r w:rsidR="0060260F">
        <w:rPr>
          <w:rFonts w:asciiTheme="minorHAnsi" w:hAnsiTheme="minorHAnsi"/>
          <w:snapToGrid w:val="0"/>
          <w:lang w:val="en-GB"/>
        </w:rPr>
        <w:t>FA</w:t>
      </w:r>
      <w:r w:rsidR="00512D04">
        <w:rPr>
          <w:rFonts w:asciiTheme="minorHAnsi" w:hAnsiTheme="minorHAnsi"/>
          <w:snapToGrid w:val="0"/>
          <w:lang w:val="en-GB"/>
        </w:rPr>
        <w:t xml:space="preserve">. </w:t>
      </w:r>
      <w:r w:rsidR="002164B7">
        <w:rPr>
          <w:rFonts w:asciiTheme="minorHAnsi" w:hAnsiTheme="minorHAnsi"/>
          <w:snapToGrid w:val="0"/>
          <w:lang w:val="en-GB"/>
        </w:rPr>
        <w:t>T</w:t>
      </w:r>
      <w:r>
        <w:rPr>
          <w:rFonts w:asciiTheme="minorHAnsi" w:hAnsiTheme="minorHAnsi"/>
          <w:snapToGrid w:val="0"/>
          <w:lang w:val="en-GB"/>
        </w:rPr>
        <w:t xml:space="preserve">he </w:t>
      </w:r>
      <w:r w:rsidR="002164B7">
        <w:rPr>
          <w:rFonts w:asciiTheme="minorHAnsi" w:hAnsiTheme="minorHAnsi"/>
          <w:snapToGrid w:val="0"/>
          <w:lang w:val="en-GB"/>
        </w:rPr>
        <w:t xml:space="preserve">PBAC noted the </w:t>
      </w:r>
      <w:r w:rsidRPr="002164B7">
        <w:rPr>
          <w:rFonts w:asciiTheme="minorHAnsi" w:hAnsiTheme="minorHAnsi"/>
          <w:snapToGrid w:val="0"/>
          <w:lang w:val="en-GB"/>
        </w:rPr>
        <w:t>debilitating symptoms of</w:t>
      </w:r>
      <w:r w:rsidR="00793B1A" w:rsidRPr="002164B7">
        <w:rPr>
          <w:rFonts w:asciiTheme="minorHAnsi" w:hAnsiTheme="minorHAnsi"/>
          <w:snapToGrid w:val="0"/>
          <w:lang w:val="en-GB"/>
        </w:rPr>
        <w:t xml:space="preserve"> </w:t>
      </w:r>
      <w:r w:rsidR="0060260F">
        <w:rPr>
          <w:rFonts w:asciiTheme="minorHAnsi" w:hAnsiTheme="minorHAnsi"/>
          <w:snapToGrid w:val="0"/>
          <w:lang w:val="en-GB"/>
        </w:rPr>
        <w:t xml:space="preserve">FA </w:t>
      </w:r>
      <w:r w:rsidR="002164B7">
        <w:rPr>
          <w:rFonts w:asciiTheme="minorHAnsi" w:hAnsiTheme="minorHAnsi"/>
          <w:snapToGrid w:val="0"/>
          <w:lang w:val="en-GB"/>
        </w:rPr>
        <w:t xml:space="preserve">on patients and </w:t>
      </w:r>
      <w:r>
        <w:rPr>
          <w:rFonts w:asciiTheme="minorHAnsi" w:hAnsiTheme="minorHAnsi"/>
          <w:snapToGrid w:val="0"/>
          <w:lang w:val="en-GB"/>
        </w:rPr>
        <w:t>the burden</w:t>
      </w:r>
      <w:r w:rsidR="00BD6842">
        <w:rPr>
          <w:rFonts w:asciiTheme="minorHAnsi" w:hAnsiTheme="minorHAnsi"/>
          <w:snapToGrid w:val="0"/>
          <w:lang w:val="en-GB"/>
        </w:rPr>
        <w:t xml:space="preserve"> on patients and carers</w:t>
      </w:r>
      <w:r>
        <w:rPr>
          <w:rFonts w:asciiTheme="minorHAnsi" w:hAnsiTheme="minorHAnsi"/>
          <w:snapToGrid w:val="0"/>
          <w:lang w:val="en-GB"/>
        </w:rPr>
        <w:t xml:space="preserve">. </w:t>
      </w:r>
      <w:r w:rsidR="006D252C">
        <w:rPr>
          <w:rFonts w:asciiTheme="minorHAnsi" w:hAnsiTheme="minorHAnsi"/>
          <w:snapToGrid w:val="0"/>
          <w:lang w:val="en-GB"/>
        </w:rPr>
        <w:t xml:space="preserve">The PBAC noted that </w:t>
      </w:r>
      <w:r w:rsidR="00985FA9">
        <w:rPr>
          <w:rFonts w:asciiTheme="minorHAnsi" w:hAnsiTheme="minorHAnsi"/>
          <w:snapToGrid w:val="0"/>
          <w:lang w:val="en-GB"/>
        </w:rPr>
        <w:t>the</w:t>
      </w:r>
      <w:r w:rsidR="002921E2">
        <w:rPr>
          <w:rFonts w:asciiTheme="minorHAnsi" w:hAnsiTheme="minorHAnsi"/>
          <w:snapToGrid w:val="0"/>
          <w:lang w:val="en-GB"/>
        </w:rPr>
        <w:t xml:space="preserve"> </w:t>
      </w:r>
      <w:r w:rsidR="00E57416">
        <w:rPr>
          <w:rFonts w:asciiTheme="minorHAnsi" w:hAnsiTheme="minorHAnsi"/>
          <w:snapToGrid w:val="0"/>
          <w:lang w:val="en-GB"/>
        </w:rPr>
        <w:t xml:space="preserve">slowing </w:t>
      </w:r>
      <w:r w:rsidR="00985FA9">
        <w:rPr>
          <w:rFonts w:asciiTheme="minorHAnsi" w:hAnsiTheme="minorHAnsi"/>
          <w:snapToGrid w:val="0"/>
          <w:lang w:val="en-GB"/>
        </w:rPr>
        <w:t xml:space="preserve">of </w:t>
      </w:r>
      <w:r w:rsidR="00E57416">
        <w:rPr>
          <w:rFonts w:asciiTheme="minorHAnsi" w:hAnsiTheme="minorHAnsi"/>
          <w:snapToGrid w:val="0"/>
          <w:lang w:val="en-GB"/>
        </w:rPr>
        <w:t xml:space="preserve">disease progression </w:t>
      </w:r>
      <w:r w:rsidR="00985FA9">
        <w:rPr>
          <w:rFonts w:asciiTheme="minorHAnsi" w:hAnsiTheme="minorHAnsi"/>
          <w:snapToGrid w:val="0"/>
          <w:lang w:val="en-GB"/>
        </w:rPr>
        <w:t xml:space="preserve">and the retention of functional capacities was </w:t>
      </w:r>
      <w:r w:rsidR="00285CC8">
        <w:rPr>
          <w:rFonts w:asciiTheme="minorHAnsi" w:hAnsiTheme="minorHAnsi"/>
          <w:snapToGrid w:val="0"/>
          <w:lang w:val="en-GB"/>
        </w:rPr>
        <w:t xml:space="preserve">a </w:t>
      </w:r>
      <w:r w:rsidR="00BE5651">
        <w:rPr>
          <w:rFonts w:asciiTheme="minorHAnsi" w:hAnsiTheme="minorHAnsi"/>
          <w:snapToGrid w:val="0"/>
          <w:lang w:val="en-GB"/>
        </w:rPr>
        <w:t xml:space="preserve">crucial </w:t>
      </w:r>
      <w:r w:rsidR="00DD5326">
        <w:rPr>
          <w:rFonts w:asciiTheme="minorHAnsi" w:hAnsiTheme="minorHAnsi"/>
          <w:snapToGrid w:val="0"/>
          <w:lang w:val="en-GB"/>
        </w:rPr>
        <w:t xml:space="preserve">factor </w:t>
      </w:r>
      <w:r w:rsidR="008118EE">
        <w:rPr>
          <w:rFonts w:asciiTheme="minorHAnsi" w:hAnsiTheme="minorHAnsi"/>
          <w:snapToGrid w:val="0"/>
          <w:lang w:val="en-GB"/>
        </w:rPr>
        <w:t>in improving patient quality of life</w:t>
      </w:r>
      <w:r w:rsidR="002921E2">
        <w:rPr>
          <w:rFonts w:asciiTheme="minorHAnsi" w:hAnsiTheme="minorHAnsi"/>
          <w:snapToGrid w:val="0"/>
          <w:lang w:val="en-GB"/>
        </w:rPr>
        <w:t xml:space="preserve"> and that this </w:t>
      </w:r>
      <w:r w:rsidR="008118EE">
        <w:rPr>
          <w:rFonts w:asciiTheme="minorHAnsi" w:hAnsiTheme="minorHAnsi"/>
          <w:snapToGrid w:val="0"/>
          <w:lang w:val="en-GB"/>
        </w:rPr>
        <w:t xml:space="preserve">outweighed any adverse events experienced with </w:t>
      </w:r>
      <w:proofErr w:type="spellStart"/>
      <w:r w:rsidR="008118EE">
        <w:rPr>
          <w:rFonts w:asciiTheme="minorHAnsi" w:hAnsiTheme="minorHAnsi"/>
          <w:snapToGrid w:val="0"/>
          <w:lang w:val="en-GB"/>
        </w:rPr>
        <w:t>omaveloxolone</w:t>
      </w:r>
      <w:proofErr w:type="spellEnd"/>
      <w:r w:rsidR="008118EE">
        <w:rPr>
          <w:rFonts w:asciiTheme="minorHAnsi" w:hAnsiTheme="minorHAnsi"/>
          <w:snapToGrid w:val="0"/>
          <w:lang w:val="en-GB"/>
        </w:rPr>
        <w:t xml:space="preserve"> </w:t>
      </w:r>
      <w:r w:rsidR="00747989">
        <w:rPr>
          <w:rFonts w:asciiTheme="minorHAnsi" w:hAnsiTheme="minorHAnsi"/>
          <w:snapToGrid w:val="0"/>
          <w:lang w:val="en-GB"/>
        </w:rPr>
        <w:t xml:space="preserve">treatment. </w:t>
      </w:r>
    </w:p>
    <w:p w14:paraId="31FC683A" w14:textId="31CB7CA4" w:rsidR="000A2496" w:rsidRDefault="00F25513" w:rsidP="00F25513">
      <w:pPr>
        <w:pStyle w:val="3-BodyText"/>
        <w:rPr>
          <w:rFonts w:eastAsia="Times New Roman" w:cs="Arial"/>
          <w:snapToGrid w:val="0"/>
          <w:szCs w:val="24"/>
          <w:lang w:val="en-GB"/>
        </w:rPr>
      </w:pPr>
      <w:r w:rsidRPr="00F25513">
        <w:rPr>
          <w:rFonts w:eastAsia="Times New Roman" w:cs="Arial"/>
          <w:snapToGrid w:val="0"/>
          <w:szCs w:val="24"/>
          <w:lang w:val="en-GB"/>
        </w:rPr>
        <w:t xml:space="preserve">The </w:t>
      </w:r>
      <w:r w:rsidR="00593CDC">
        <w:rPr>
          <w:rFonts w:eastAsia="Times New Roman" w:cs="Arial"/>
          <w:snapToGrid w:val="0"/>
          <w:szCs w:val="24"/>
          <w:lang w:val="en-GB"/>
        </w:rPr>
        <w:t xml:space="preserve">PBAC noted that the base case ICER in the economic analysis was </w:t>
      </w:r>
      <w:r w:rsidR="00456A02" w:rsidRPr="00456A02">
        <w:rPr>
          <w:rFonts w:eastAsia="Times New Roman" w:cs="Arial"/>
          <w:snapToGrid w:val="0"/>
          <w:szCs w:val="24"/>
          <w:lang w:val="en-GB"/>
        </w:rPr>
        <w:t>&gt; $</w:t>
      </w:r>
      <w:proofErr w:type="gramStart"/>
      <w:r w:rsidR="00456A02" w:rsidRPr="00456A02">
        <w:rPr>
          <w:rFonts w:eastAsia="Times New Roman" w:cs="Arial"/>
          <w:snapToGrid w:val="0"/>
          <w:szCs w:val="24"/>
          <w:lang w:val="en-GB"/>
        </w:rPr>
        <w:t xml:space="preserve">1,055,000 </w:t>
      </w:r>
      <w:r w:rsidR="001F52CC">
        <w:rPr>
          <w:rFonts w:eastAsia="Times New Roman" w:cs="Arial"/>
          <w:snapToGrid w:val="0"/>
          <w:szCs w:val="24"/>
          <w:lang w:val="en-GB"/>
        </w:rPr>
        <w:t xml:space="preserve"> million</w:t>
      </w:r>
      <w:proofErr w:type="gramEnd"/>
      <w:r w:rsidR="001F52CC">
        <w:rPr>
          <w:rFonts w:eastAsia="Times New Roman" w:cs="Arial"/>
          <w:snapToGrid w:val="0"/>
          <w:szCs w:val="24"/>
          <w:lang w:val="en-GB"/>
        </w:rPr>
        <w:t xml:space="preserve"> </w:t>
      </w:r>
      <w:r w:rsidRPr="00F25513">
        <w:rPr>
          <w:rFonts w:eastAsia="Times New Roman" w:cs="Arial"/>
          <w:snapToGrid w:val="0"/>
          <w:szCs w:val="24"/>
          <w:lang w:val="en-GB"/>
        </w:rPr>
        <w:t xml:space="preserve">per quality-adjusted life year (QALY), which was calculated using the proposed published price of </w:t>
      </w:r>
      <w:proofErr w:type="spellStart"/>
      <w:r w:rsidRPr="00F25513">
        <w:rPr>
          <w:rFonts w:eastAsia="Times New Roman" w:cs="Arial"/>
          <w:snapToGrid w:val="0"/>
          <w:szCs w:val="24"/>
          <w:lang w:val="en-GB"/>
        </w:rPr>
        <w:t>omaveloxolone</w:t>
      </w:r>
      <w:proofErr w:type="spellEnd"/>
      <w:r w:rsidRPr="00F25513">
        <w:rPr>
          <w:rFonts w:eastAsia="Times New Roman" w:cs="Arial"/>
          <w:snapToGrid w:val="0"/>
          <w:szCs w:val="24"/>
          <w:lang w:val="en-GB"/>
        </w:rPr>
        <w:t>. The</w:t>
      </w:r>
      <w:r w:rsidR="001A3D64">
        <w:rPr>
          <w:rFonts w:eastAsia="Times New Roman" w:cs="Arial"/>
          <w:snapToGrid w:val="0"/>
          <w:szCs w:val="24"/>
          <w:lang w:val="en-GB"/>
        </w:rPr>
        <w:t xml:space="preserve"> PBAC noted that the</w:t>
      </w:r>
      <w:r w:rsidRPr="00F25513">
        <w:rPr>
          <w:rFonts w:eastAsia="Times New Roman" w:cs="Arial"/>
          <w:snapToGrid w:val="0"/>
          <w:szCs w:val="24"/>
          <w:lang w:val="en-GB"/>
        </w:rPr>
        <w:t xml:space="preserve"> submission indicated that the sponsor intends to request a special pricing arrangement; however, an effective price was not proposed in the submission. </w:t>
      </w:r>
      <w:r w:rsidR="000E660D">
        <w:rPr>
          <w:rFonts w:eastAsia="Times New Roman" w:cs="Arial"/>
          <w:snapToGrid w:val="0"/>
          <w:szCs w:val="24"/>
          <w:lang w:val="en-GB"/>
        </w:rPr>
        <w:t>The PBAC noted that the use of the published price in the economic model resulted in</w:t>
      </w:r>
      <w:r w:rsidR="00E4771F">
        <w:rPr>
          <w:rFonts w:eastAsia="Times New Roman" w:cs="Arial"/>
          <w:snapToGrid w:val="0"/>
          <w:szCs w:val="24"/>
          <w:lang w:val="en-GB"/>
        </w:rPr>
        <w:t xml:space="preserve"> an ICER which was</w:t>
      </w:r>
      <w:r w:rsidR="000A2496">
        <w:rPr>
          <w:rFonts w:eastAsia="Times New Roman" w:cs="Arial"/>
          <w:snapToGrid w:val="0"/>
          <w:szCs w:val="24"/>
          <w:lang w:val="en-GB"/>
        </w:rPr>
        <w:t>:</w:t>
      </w:r>
      <w:r w:rsidR="000E660D">
        <w:rPr>
          <w:rFonts w:eastAsia="Times New Roman" w:cs="Arial"/>
          <w:snapToGrid w:val="0"/>
          <w:szCs w:val="24"/>
          <w:lang w:val="en-GB"/>
        </w:rPr>
        <w:t xml:space="preserve"> </w:t>
      </w:r>
    </w:p>
    <w:p w14:paraId="0855BAD4" w14:textId="0020908A" w:rsidR="000A2496" w:rsidRDefault="000A2496" w:rsidP="00E4771F">
      <w:pPr>
        <w:pStyle w:val="3-BodyText"/>
        <w:numPr>
          <w:ilvl w:val="1"/>
          <w:numId w:val="40"/>
        </w:numPr>
        <w:ind w:left="1080"/>
        <w:rPr>
          <w:rFonts w:eastAsia="Times New Roman" w:cs="Arial"/>
          <w:snapToGrid w:val="0"/>
          <w:szCs w:val="24"/>
          <w:lang w:val="en-GB"/>
        </w:rPr>
      </w:pPr>
      <w:r>
        <w:rPr>
          <w:rFonts w:eastAsia="Times New Roman" w:cs="Arial"/>
          <w:snapToGrid w:val="0"/>
          <w:szCs w:val="24"/>
          <w:lang w:val="en-GB"/>
        </w:rPr>
        <w:t>substantially outside the range usually considered cost effective by the PBAC;</w:t>
      </w:r>
      <w:r w:rsidR="001A3D64">
        <w:rPr>
          <w:rFonts w:eastAsia="Times New Roman" w:cs="Arial"/>
          <w:snapToGrid w:val="0"/>
          <w:szCs w:val="24"/>
          <w:lang w:val="en-GB"/>
        </w:rPr>
        <w:t xml:space="preserve"> and</w:t>
      </w:r>
    </w:p>
    <w:p w14:paraId="72DCA3A3" w14:textId="77C1374D" w:rsidR="00E20F94" w:rsidRDefault="00686355" w:rsidP="00E4771F">
      <w:pPr>
        <w:pStyle w:val="3-BodyText"/>
        <w:numPr>
          <w:ilvl w:val="1"/>
          <w:numId w:val="40"/>
        </w:numPr>
        <w:ind w:left="1080"/>
        <w:rPr>
          <w:rFonts w:eastAsia="Times New Roman" w:cs="Arial"/>
          <w:snapToGrid w:val="0"/>
          <w:szCs w:val="24"/>
          <w:lang w:val="en-GB"/>
        </w:rPr>
      </w:pPr>
      <w:r>
        <w:rPr>
          <w:rFonts w:eastAsia="Times New Roman" w:cs="Arial"/>
          <w:snapToGrid w:val="0"/>
          <w:szCs w:val="24"/>
          <w:lang w:val="en-GB"/>
        </w:rPr>
        <w:t xml:space="preserve">driven by the </w:t>
      </w:r>
      <w:proofErr w:type="spellStart"/>
      <w:r>
        <w:rPr>
          <w:rFonts w:eastAsia="Times New Roman" w:cs="Arial"/>
          <w:snapToGrid w:val="0"/>
          <w:szCs w:val="24"/>
          <w:lang w:val="en-GB"/>
        </w:rPr>
        <w:t>omaveloxolone</w:t>
      </w:r>
      <w:proofErr w:type="spellEnd"/>
      <w:r>
        <w:rPr>
          <w:rFonts w:eastAsia="Times New Roman" w:cs="Arial"/>
          <w:snapToGrid w:val="0"/>
          <w:szCs w:val="24"/>
          <w:lang w:val="en-GB"/>
        </w:rPr>
        <w:t xml:space="preserve"> price (for which the </w:t>
      </w:r>
      <w:r w:rsidR="002C1648">
        <w:rPr>
          <w:rFonts w:eastAsia="Times New Roman" w:cs="Arial"/>
          <w:snapToGrid w:val="0"/>
          <w:szCs w:val="24"/>
          <w:lang w:val="en-GB"/>
        </w:rPr>
        <w:t>effective price was not provided</w:t>
      </w:r>
      <w:r>
        <w:rPr>
          <w:rFonts w:eastAsia="Times New Roman" w:cs="Arial"/>
          <w:snapToGrid w:val="0"/>
          <w:szCs w:val="24"/>
          <w:lang w:val="en-GB"/>
        </w:rPr>
        <w:t>)</w:t>
      </w:r>
      <w:r w:rsidR="00E20F94">
        <w:rPr>
          <w:rFonts w:eastAsia="Times New Roman" w:cs="Arial"/>
          <w:snapToGrid w:val="0"/>
          <w:szCs w:val="24"/>
          <w:lang w:val="en-GB"/>
        </w:rPr>
        <w:t xml:space="preserve">. This </w:t>
      </w:r>
      <w:r w:rsidR="00BF6F8D">
        <w:rPr>
          <w:rFonts w:eastAsia="Times New Roman" w:cs="Arial"/>
          <w:snapToGrid w:val="0"/>
          <w:szCs w:val="24"/>
          <w:lang w:val="en-GB"/>
        </w:rPr>
        <w:t xml:space="preserve">made interpretation of the sensitivity analyses difficult due to the artificially high </w:t>
      </w:r>
      <w:proofErr w:type="spellStart"/>
      <w:r w:rsidR="00BF6F8D">
        <w:rPr>
          <w:rFonts w:eastAsia="Times New Roman" w:cs="Arial"/>
          <w:snapToGrid w:val="0"/>
          <w:szCs w:val="24"/>
          <w:lang w:val="en-GB"/>
        </w:rPr>
        <w:t>omaveloxolone</w:t>
      </w:r>
      <w:proofErr w:type="spellEnd"/>
      <w:r w:rsidR="00BF6F8D">
        <w:rPr>
          <w:rFonts w:eastAsia="Times New Roman" w:cs="Arial"/>
          <w:snapToGrid w:val="0"/>
          <w:szCs w:val="24"/>
          <w:lang w:val="en-GB"/>
        </w:rPr>
        <w:t xml:space="preserve"> price masking the impact o</w:t>
      </w:r>
      <w:r w:rsidR="00F8678B">
        <w:rPr>
          <w:rFonts w:eastAsia="Times New Roman" w:cs="Arial"/>
          <w:snapToGrid w:val="0"/>
          <w:szCs w:val="24"/>
          <w:lang w:val="en-GB"/>
        </w:rPr>
        <w:t>n</w:t>
      </w:r>
      <w:r w:rsidR="00E20F94">
        <w:rPr>
          <w:rFonts w:eastAsia="Times New Roman" w:cs="Arial"/>
          <w:snapToGrid w:val="0"/>
          <w:szCs w:val="24"/>
          <w:lang w:val="en-GB"/>
        </w:rPr>
        <w:t xml:space="preserve"> the ICER when changing other inputs.</w:t>
      </w:r>
      <w:r w:rsidR="000A2496" w:rsidRPr="00686355">
        <w:rPr>
          <w:rFonts w:eastAsia="Times New Roman" w:cs="Arial"/>
          <w:snapToGrid w:val="0"/>
          <w:szCs w:val="24"/>
          <w:lang w:val="en-GB"/>
        </w:rPr>
        <w:t xml:space="preserve"> </w:t>
      </w:r>
    </w:p>
    <w:p w14:paraId="1AFEEF44" w14:textId="187BD73C" w:rsidR="007D25A4" w:rsidRDefault="00E20F94" w:rsidP="00686355">
      <w:pPr>
        <w:pStyle w:val="3-BodyText"/>
        <w:rPr>
          <w:rFonts w:eastAsia="Times New Roman" w:cs="Arial"/>
          <w:snapToGrid w:val="0"/>
          <w:szCs w:val="24"/>
          <w:lang w:val="en-GB"/>
        </w:rPr>
      </w:pPr>
      <w:r>
        <w:rPr>
          <w:rFonts w:eastAsia="Times New Roman" w:cs="Arial"/>
          <w:snapToGrid w:val="0"/>
          <w:szCs w:val="24"/>
          <w:lang w:val="en-GB"/>
        </w:rPr>
        <w:t xml:space="preserve">Overall, the PBAC </w:t>
      </w:r>
      <w:r w:rsidR="00B33FBA">
        <w:rPr>
          <w:rFonts w:eastAsia="Times New Roman" w:cs="Arial"/>
          <w:snapToGrid w:val="0"/>
          <w:szCs w:val="24"/>
          <w:lang w:val="en-GB"/>
        </w:rPr>
        <w:t>considered that, in the context of FA being a rare disease, without a</w:t>
      </w:r>
      <w:r w:rsidR="00630843">
        <w:rPr>
          <w:rFonts w:eastAsia="Times New Roman" w:cs="Arial"/>
          <w:snapToGrid w:val="0"/>
          <w:szCs w:val="24"/>
          <w:lang w:val="en-GB"/>
        </w:rPr>
        <w:t xml:space="preserve"> meaningful</w:t>
      </w:r>
      <w:r w:rsidR="00B33FBA">
        <w:rPr>
          <w:rFonts w:eastAsia="Times New Roman" w:cs="Arial"/>
          <w:snapToGrid w:val="0"/>
          <w:szCs w:val="24"/>
          <w:lang w:val="en-GB"/>
        </w:rPr>
        <w:t xml:space="preserve"> estimate of the ICER, it was unable to </w:t>
      </w:r>
      <w:r w:rsidR="007D25A4">
        <w:rPr>
          <w:rFonts w:eastAsia="Times New Roman" w:cs="Arial"/>
          <w:snapToGrid w:val="0"/>
          <w:szCs w:val="24"/>
          <w:lang w:val="en-GB"/>
        </w:rPr>
        <w:t>assess the level of uncertainty that may be reasonable with respect to the economic model structure and inputs, and ultimately the uncertainty in the ICER that may be acceptable.</w:t>
      </w:r>
    </w:p>
    <w:p w14:paraId="45D8CC3E" w14:textId="117DDB40" w:rsidR="00AC1365" w:rsidRPr="00AC1365" w:rsidRDefault="00686696" w:rsidP="0019046B">
      <w:pPr>
        <w:pStyle w:val="3-BodyText"/>
        <w:rPr>
          <w:rFonts w:eastAsia="Times New Roman" w:cs="Arial"/>
          <w:snapToGrid w:val="0"/>
          <w:szCs w:val="24"/>
          <w:lang w:val="en-GB"/>
        </w:rPr>
      </w:pPr>
      <w:r>
        <w:t xml:space="preserve">The PBAC noted that the </w:t>
      </w:r>
      <w:r w:rsidR="00EB37CB">
        <w:t>estimated financial impact, when using the published price, was approximately $</w:t>
      </w:r>
      <w:r w:rsidR="00706729" w:rsidRPr="00706729">
        <w:t xml:space="preserve">900 million to &lt; $1 </w:t>
      </w:r>
      <w:r w:rsidR="00EB37CB">
        <w:t>billion over the first 6 years</w:t>
      </w:r>
      <w:r w:rsidR="00603DE0">
        <w:t>, which was unacceptably high</w:t>
      </w:r>
      <w:r w:rsidR="00EB37CB">
        <w:t xml:space="preserve">. </w:t>
      </w:r>
    </w:p>
    <w:p w14:paraId="33C5E18E" w14:textId="77777777" w:rsidR="002F707D" w:rsidRPr="0070347C" w:rsidRDefault="002F707D" w:rsidP="00D358CF">
      <w:pPr>
        <w:widowControl w:val="0"/>
        <w:numPr>
          <w:ilvl w:val="1"/>
          <w:numId w:val="1"/>
        </w:numPr>
        <w:spacing w:before="120" w:after="120"/>
        <w:rPr>
          <w:rFonts w:asciiTheme="minorHAnsi" w:hAnsiTheme="minorHAnsi"/>
          <w:bCs/>
          <w:snapToGrid w:val="0"/>
          <w:lang w:val="en-GB"/>
        </w:rPr>
      </w:pPr>
      <w:r w:rsidRPr="0070347C">
        <w:rPr>
          <w:rFonts w:asciiTheme="minorHAnsi" w:hAnsiTheme="minorHAnsi"/>
          <w:bCs/>
          <w:snapToGrid w:val="0"/>
          <w:lang w:val="en-GB"/>
        </w:rPr>
        <w:t xml:space="preserve">The PBAC noted that this submission is eligible for an Independent </w:t>
      </w:r>
      <w:r>
        <w:rPr>
          <w:rFonts w:asciiTheme="minorHAnsi" w:hAnsiTheme="minorHAnsi"/>
          <w:bCs/>
          <w:snapToGrid w:val="0"/>
          <w:lang w:val="en-GB"/>
        </w:rPr>
        <w:t>Review.</w:t>
      </w:r>
    </w:p>
    <w:p w14:paraId="65D81871" w14:textId="77777777" w:rsidR="00E31624" w:rsidRPr="00525B39" w:rsidRDefault="00E31624" w:rsidP="00E31624">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E2E986B" w14:textId="30A622FA" w:rsidR="00E31624" w:rsidRPr="00525B39" w:rsidRDefault="00E31624" w:rsidP="00E31624">
      <w:pPr>
        <w:rPr>
          <w:rFonts w:asciiTheme="minorHAnsi" w:hAnsiTheme="minorHAnsi"/>
          <w:bCs/>
          <w:snapToGrid w:val="0"/>
          <w:lang w:val="en-GB"/>
        </w:rPr>
      </w:pPr>
      <w:r>
        <w:rPr>
          <w:rFonts w:asciiTheme="minorHAnsi" w:hAnsiTheme="minorHAnsi"/>
          <w:bCs/>
          <w:snapToGrid w:val="0"/>
          <w:lang w:val="en-GB"/>
        </w:rPr>
        <w:t>Not recommended</w:t>
      </w:r>
    </w:p>
    <w:p w14:paraId="17E355EA" w14:textId="77777777" w:rsidR="002617BD" w:rsidRPr="002617BD" w:rsidRDefault="002617BD" w:rsidP="002617BD">
      <w:pPr>
        <w:pStyle w:val="2-SectionHeading"/>
        <w:numPr>
          <w:ilvl w:val="0"/>
          <w:numId w:val="1"/>
        </w:numPr>
      </w:pPr>
      <w:r w:rsidRPr="002617BD">
        <w:t>Context for Decision</w:t>
      </w:r>
    </w:p>
    <w:p w14:paraId="0763B3B9" w14:textId="77777777" w:rsidR="002617BD" w:rsidRPr="002617BD" w:rsidRDefault="002617BD" w:rsidP="002617BD">
      <w:pPr>
        <w:spacing w:after="120"/>
        <w:ind w:left="720"/>
        <w:rPr>
          <w:rFonts w:asciiTheme="minorHAnsi" w:hAnsiTheme="minorHAnsi"/>
          <w:bCs/>
          <w:lang w:val="en-GB"/>
        </w:rPr>
      </w:pPr>
      <w:r w:rsidRPr="002617BD">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6F27F26" w14:textId="77777777" w:rsidR="002617BD" w:rsidRPr="002617BD" w:rsidRDefault="002617BD" w:rsidP="00810369">
      <w:pPr>
        <w:pStyle w:val="2-SectionHeading"/>
        <w:numPr>
          <w:ilvl w:val="0"/>
          <w:numId w:val="1"/>
        </w:numPr>
      </w:pPr>
      <w:r w:rsidRPr="002617BD">
        <w:t>Sponsor’s Comment</w:t>
      </w:r>
    </w:p>
    <w:p w14:paraId="707E9B98" w14:textId="2450D322" w:rsidR="008738AB" w:rsidRPr="00F824AE" w:rsidRDefault="008738AB" w:rsidP="008738AB">
      <w:pPr>
        <w:spacing w:after="120" w:line="276" w:lineRule="auto"/>
        <w:ind w:left="720"/>
        <w:rPr>
          <w:rFonts w:asciiTheme="minorHAnsi" w:eastAsiaTheme="minorHAnsi" w:hAnsiTheme="minorHAnsi"/>
          <w:bCs/>
          <w:szCs w:val="22"/>
          <w:lang w:eastAsia="en-US"/>
        </w:rPr>
      </w:pPr>
      <w:r w:rsidRPr="00F824AE">
        <w:rPr>
          <w:rFonts w:asciiTheme="minorHAnsi" w:eastAsiaTheme="minorHAnsi" w:hAnsiTheme="minorHAnsi"/>
          <w:bCs/>
          <w:szCs w:val="22"/>
          <w:lang w:eastAsia="en-US"/>
        </w:rPr>
        <w:t>Biogen welcomes the PBAC acknowledgement of the high clinical need for people living with Friedreich ataxia.</w:t>
      </w:r>
      <w:r w:rsidRPr="00A13283">
        <w:rPr>
          <w:rFonts w:asciiTheme="minorHAnsi" w:eastAsiaTheme="minorHAnsi" w:hAnsiTheme="minorHAnsi"/>
          <w:bCs/>
          <w:szCs w:val="22"/>
          <w:lang w:eastAsia="en-US"/>
        </w:rPr>
        <w:t xml:space="preserve"> Biogen believes that the </w:t>
      </w:r>
      <w:proofErr w:type="spellStart"/>
      <w:r w:rsidRPr="00A13283">
        <w:rPr>
          <w:rFonts w:asciiTheme="minorHAnsi" w:eastAsiaTheme="minorHAnsi" w:hAnsiTheme="minorHAnsi"/>
          <w:bCs/>
          <w:szCs w:val="22"/>
          <w:lang w:eastAsia="en-US"/>
        </w:rPr>
        <w:t>MOXIe</w:t>
      </w:r>
      <w:proofErr w:type="spellEnd"/>
      <w:r w:rsidRPr="00A13283">
        <w:rPr>
          <w:rFonts w:asciiTheme="minorHAnsi" w:eastAsiaTheme="minorHAnsi" w:hAnsiTheme="minorHAnsi"/>
          <w:bCs/>
          <w:szCs w:val="22"/>
          <w:lang w:eastAsia="en-US"/>
        </w:rPr>
        <w:t xml:space="preserve"> trial demonstrated that </w:t>
      </w:r>
      <w:proofErr w:type="spellStart"/>
      <w:r w:rsidRPr="00A13283">
        <w:rPr>
          <w:rFonts w:asciiTheme="minorHAnsi" w:eastAsiaTheme="minorHAnsi" w:hAnsiTheme="minorHAnsi"/>
          <w:bCs/>
          <w:szCs w:val="22"/>
          <w:lang w:eastAsia="en-US"/>
        </w:rPr>
        <w:t>omaveloxolone</w:t>
      </w:r>
      <w:proofErr w:type="spellEnd"/>
      <w:r w:rsidRPr="00A13283">
        <w:rPr>
          <w:rFonts w:asciiTheme="minorHAnsi" w:eastAsiaTheme="minorHAnsi" w:hAnsiTheme="minorHAnsi"/>
          <w:bCs/>
          <w:szCs w:val="22"/>
          <w:lang w:eastAsia="en-US"/>
        </w:rPr>
        <w:t xml:space="preserve"> provides a clinical benefit to people with Friedreich ataxia by slowing the progression of the disease</w:t>
      </w:r>
      <w:r w:rsidRPr="00F824AE">
        <w:rPr>
          <w:rFonts w:asciiTheme="minorHAnsi" w:eastAsiaTheme="minorHAnsi" w:hAnsiTheme="minorHAnsi"/>
          <w:bCs/>
          <w:szCs w:val="22"/>
          <w:lang w:eastAsia="en-US"/>
        </w:rPr>
        <w:t xml:space="preserve">. </w:t>
      </w:r>
      <w:proofErr w:type="spellStart"/>
      <w:r w:rsidRPr="00CC533C">
        <w:rPr>
          <w:rFonts w:asciiTheme="minorHAnsi" w:eastAsiaTheme="minorHAnsi" w:hAnsiTheme="minorHAnsi"/>
          <w:bCs/>
          <w:szCs w:val="22"/>
          <w:lang w:eastAsia="en-US"/>
        </w:rPr>
        <w:t>Omaveloxolone</w:t>
      </w:r>
      <w:proofErr w:type="spellEnd"/>
      <w:r>
        <w:rPr>
          <w:rFonts w:asciiTheme="minorHAnsi" w:eastAsiaTheme="minorHAnsi" w:hAnsiTheme="minorHAnsi"/>
          <w:bCs/>
          <w:szCs w:val="22"/>
          <w:lang w:eastAsia="en-US"/>
        </w:rPr>
        <w:t xml:space="preserve"> was approved by the TGA in Australia in May 2025. </w:t>
      </w:r>
      <w:proofErr w:type="spellStart"/>
      <w:r w:rsidRPr="00CC533C">
        <w:rPr>
          <w:rFonts w:asciiTheme="minorHAnsi" w:eastAsiaTheme="minorHAnsi" w:hAnsiTheme="minorHAnsi"/>
          <w:szCs w:val="22"/>
          <w:lang w:eastAsia="en-US"/>
        </w:rPr>
        <w:t>Omaveloxolone</w:t>
      </w:r>
      <w:proofErr w:type="spellEnd"/>
      <w:r w:rsidRPr="00CC533C">
        <w:rPr>
          <w:rFonts w:asciiTheme="minorHAnsi" w:eastAsiaTheme="minorHAnsi" w:hAnsiTheme="minorHAnsi"/>
          <w:szCs w:val="22"/>
          <w:lang w:eastAsia="en-US"/>
        </w:rPr>
        <w:t xml:space="preserve"> is registered in </w:t>
      </w:r>
      <w:r w:rsidRPr="00CC533C">
        <w:rPr>
          <w:rFonts w:asciiTheme="minorHAnsi" w:eastAsiaTheme="minorHAnsi" w:hAnsiTheme="minorHAnsi"/>
          <w:bCs/>
          <w:szCs w:val="22"/>
          <w:lang w:eastAsia="en-US"/>
        </w:rPr>
        <w:t xml:space="preserve">over </w:t>
      </w:r>
      <w:r>
        <w:rPr>
          <w:rFonts w:asciiTheme="minorHAnsi" w:eastAsiaTheme="minorHAnsi" w:hAnsiTheme="minorHAnsi"/>
          <w:bCs/>
          <w:szCs w:val="22"/>
          <w:lang w:eastAsia="en-US"/>
        </w:rPr>
        <w:t>15</w:t>
      </w:r>
      <w:r w:rsidRPr="00CC533C">
        <w:rPr>
          <w:rFonts w:asciiTheme="minorHAnsi" w:eastAsiaTheme="minorHAnsi" w:hAnsiTheme="minorHAnsi"/>
          <w:szCs w:val="22"/>
          <w:lang w:eastAsia="en-US"/>
        </w:rPr>
        <w:t xml:space="preserve"> countries, including</w:t>
      </w:r>
      <w:r>
        <w:rPr>
          <w:rFonts w:asciiTheme="minorHAnsi" w:eastAsiaTheme="minorHAnsi" w:hAnsiTheme="minorHAnsi"/>
          <w:szCs w:val="22"/>
          <w:lang w:eastAsia="en-US"/>
        </w:rPr>
        <w:t xml:space="preserve"> </w:t>
      </w:r>
      <w:r>
        <w:rPr>
          <w:rFonts w:asciiTheme="minorHAnsi" w:eastAsiaTheme="minorHAnsi" w:hAnsiTheme="minorHAnsi"/>
          <w:bCs/>
          <w:szCs w:val="22"/>
          <w:lang w:eastAsia="en-US"/>
        </w:rPr>
        <w:t>the</w:t>
      </w:r>
      <w:r w:rsidRPr="00CC533C">
        <w:rPr>
          <w:rFonts w:asciiTheme="minorHAnsi" w:eastAsiaTheme="minorHAnsi" w:hAnsiTheme="minorHAnsi"/>
          <w:bCs/>
          <w:szCs w:val="22"/>
          <w:lang w:eastAsia="en-US"/>
        </w:rPr>
        <w:t xml:space="preserve"> UK, Canada</w:t>
      </w:r>
      <w:r>
        <w:rPr>
          <w:rFonts w:asciiTheme="minorHAnsi" w:eastAsiaTheme="minorHAnsi" w:hAnsiTheme="minorHAnsi"/>
          <w:bCs/>
          <w:szCs w:val="22"/>
          <w:lang w:eastAsia="en-US"/>
        </w:rPr>
        <w:t xml:space="preserve">, </w:t>
      </w:r>
      <w:r w:rsidRPr="00CC533C">
        <w:rPr>
          <w:rFonts w:asciiTheme="minorHAnsi" w:eastAsiaTheme="minorHAnsi" w:hAnsiTheme="minorHAnsi"/>
          <w:szCs w:val="22"/>
          <w:lang w:eastAsia="en-US"/>
        </w:rPr>
        <w:t>Germany</w:t>
      </w:r>
      <w:r>
        <w:rPr>
          <w:rFonts w:asciiTheme="minorHAnsi" w:eastAsiaTheme="minorHAnsi" w:hAnsiTheme="minorHAnsi"/>
          <w:szCs w:val="22"/>
          <w:lang w:eastAsia="en-US"/>
        </w:rPr>
        <w:t xml:space="preserve">, </w:t>
      </w:r>
      <w:r>
        <w:rPr>
          <w:rFonts w:asciiTheme="minorHAnsi" w:eastAsiaTheme="minorHAnsi" w:hAnsiTheme="minorHAnsi"/>
          <w:bCs/>
          <w:szCs w:val="22"/>
          <w:lang w:eastAsia="en-US"/>
        </w:rPr>
        <w:t>US and Brazil</w:t>
      </w:r>
      <w:r w:rsidRPr="00CC533C">
        <w:rPr>
          <w:rFonts w:asciiTheme="minorHAnsi" w:eastAsiaTheme="minorHAnsi" w:hAnsiTheme="minorHAnsi"/>
          <w:szCs w:val="22"/>
          <w:lang w:eastAsia="en-US"/>
        </w:rPr>
        <w:t>.</w:t>
      </w:r>
      <w:r>
        <w:rPr>
          <w:rFonts w:asciiTheme="minorHAnsi" w:eastAsiaTheme="minorHAnsi" w:hAnsiTheme="minorHAnsi"/>
          <w:szCs w:val="22"/>
          <w:lang w:eastAsia="en-US"/>
        </w:rPr>
        <w:t xml:space="preserve"> </w:t>
      </w:r>
      <w:r w:rsidRPr="00F824AE">
        <w:rPr>
          <w:rFonts w:asciiTheme="minorHAnsi" w:eastAsiaTheme="minorHAnsi" w:hAnsiTheme="minorHAnsi"/>
          <w:bCs/>
          <w:szCs w:val="22"/>
          <w:lang w:eastAsia="en-US"/>
        </w:rPr>
        <w:t xml:space="preserve">Biogen would like to take this opportunity to thank the Friedreich ataxia community and healthcare professionals who </w:t>
      </w:r>
      <w:r>
        <w:rPr>
          <w:rFonts w:asciiTheme="minorHAnsi" w:eastAsiaTheme="minorHAnsi" w:hAnsiTheme="minorHAnsi"/>
          <w:bCs/>
          <w:szCs w:val="22"/>
          <w:lang w:eastAsia="en-US"/>
        </w:rPr>
        <w:t>contributed</w:t>
      </w:r>
      <w:r w:rsidRPr="00F824AE">
        <w:rPr>
          <w:rFonts w:asciiTheme="minorHAnsi" w:eastAsiaTheme="minorHAnsi" w:hAnsiTheme="minorHAnsi"/>
          <w:bCs/>
          <w:szCs w:val="22"/>
          <w:lang w:eastAsia="en-US"/>
        </w:rPr>
        <w:t xml:space="preserve"> submission</w:t>
      </w:r>
      <w:r>
        <w:rPr>
          <w:rFonts w:asciiTheme="minorHAnsi" w:eastAsiaTheme="minorHAnsi" w:hAnsiTheme="minorHAnsi"/>
          <w:bCs/>
          <w:szCs w:val="22"/>
          <w:lang w:eastAsia="en-US"/>
        </w:rPr>
        <w:t xml:space="preserve">s (89 in total) through the </w:t>
      </w:r>
      <w:r w:rsidRPr="00F824AE">
        <w:rPr>
          <w:rFonts w:asciiTheme="minorHAnsi" w:eastAsiaTheme="minorHAnsi" w:hAnsiTheme="minorHAnsi"/>
          <w:bCs/>
          <w:szCs w:val="22"/>
          <w:lang w:eastAsia="en-US"/>
        </w:rPr>
        <w:t>consumer comments</w:t>
      </w:r>
      <w:r>
        <w:rPr>
          <w:rFonts w:asciiTheme="minorHAnsi" w:eastAsiaTheme="minorHAnsi" w:hAnsiTheme="minorHAnsi"/>
          <w:bCs/>
          <w:szCs w:val="22"/>
          <w:lang w:eastAsia="en-US"/>
        </w:rPr>
        <w:t xml:space="preserve"> process</w:t>
      </w:r>
      <w:r w:rsidRPr="00F824AE">
        <w:rPr>
          <w:rFonts w:asciiTheme="minorHAnsi" w:eastAsiaTheme="minorHAnsi" w:hAnsiTheme="minorHAnsi"/>
          <w:bCs/>
          <w:szCs w:val="22"/>
          <w:lang w:eastAsia="en-US"/>
        </w:rPr>
        <w:t xml:space="preserve">. </w:t>
      </w:r>
    </w:p>
    <w:p w14:paraId="70049E75" w14:textId="4BC0919F" w:rsidR="002617BD" w:rsidRPr="002617BD" w:rsidRDefault="008738AB" w:rsidP="002617BD">
      <w:pPr>
        <w:spacing w:after="120" w:line="276" w:lineRule="auto"/>
        <w:ind w:left="720"/>
        <w:rPr>
          <w:rFonts w:asciiTheme="minorHAnsi" w:eastAsiaTheme="minorHAnsi" w:hAnsiTheme="minorHAnsi"/>
          <w:bCs/>
          <w:lang w:eastAsia="en-US"/>
        </w:rPr>
      </w:pPr>
      <w:r w:rsidRPr="000F11E7">
        <w:rPr>
          <w:rFonts w:asciiTheme="minorHAnsi" w:eastAsiaTheme="minorHAnsi" w:hAnsiTheme="minorHAnsi"/>
          <w:bCs/>
          <w:szCs w:val="22"/>
          <w:lang w:eastAsia="en-US"/>
        </w:rPr>
        <w:t xml:space="preserve">Biogen </w:t>
      </w:r>
      <w:r>
        <w:rPr>
          <w:rFonts w:asciiTheme="minorHAnsi" w:eastAsiaTheme="minorHAnsi" w:hAnsiTheme="minorHAnsi"/>
          <w:bCs/>
          <w:szCs w:val="22"/>
          <w:lang w:eastAsia="en-US"/>
        </w:rPr>
        <w:t xml:space="preserve">remains committed </w:t>
      </w:r>
      <w:r w:rsidRPr="000F11E7">
        <w:rPr>
          <w:rFonts w:asciiTheme="minorHAnsi" w:eastAsiaTheme="minorHAnsi" w:hAnsiTheme="minorHAnsi"/>
          <w:bCs/>
          <w:szCs w:val="22"/>
          <w:lang w:eastAsia="en-US"/>
        </w:rPr>
        <w:t>to work</w:t>
      </w:r>
      <w:r>
        <w:rPr>
          <w:rFonts w:asciiTheme="minorHAnsi" w:eastAsiaTheme="minorHAnsi" w:hAnsiTheme="minorHAnsi"/>
          <w:bCs/>
          <w:szCs w:val="22"/>
          <w:lang w:eastAsia="en-US"/>
        </w:rPr>
        <w:t>ing with the PBAC and Department of Health to provide access</w:t>
      </w:r>
      <w:r w:rsidRPr="000F11E7">
        <w:rPr>
          <w:rFonts w:asciiTheme="minorHAnsi" w:eastAsiaTheme="minorHAnsi" w:hAnsiTheme="minorHAnsi"/>
          <w:bCs/>
          <w:szCs w:val="22"/>
          <w:lang w:eastAsia="en-US"/>
        </w:rPr>
        <w:t xml:space="preserve"> to </w:t>
      </w:r>
      <w:proofErr w:type="spellStart"/>
      <w:r w:rsidRPr="000F11E7">
        <w:rPr>
          <w:rFonts w:asciiTheme="minorHAnsi" w:eastAsiaTheme="minorHAnsi" w:hAnsiTheme="minorHAnsi"/>
          <w:bCs/>
          <w:szCs w:val="22"/>
          <w:lang w:eastAsia="en-US"/>
        </w:rPr>
        <w:t>omaveloxolone</w:t>
      </w:r>
      <w:proofErr w:type="spellEnd"/>
      <w:r w:rsidRPr="000F11E7">
        <w:rPr>
          <w:rFonts w:asciiTheme="minorHAnsi" w:eastAsiaTheme="minorHAnsi" w:hAnsiTheme="minorHAnsi"/>
          <w:bCs/>
          <w:szCs w:val="22"/>
          <w:lang w:eastAsia="en-US"/>
        </w:rPr>
        <w:t xml:space="preserve"> for people with </w:t>
      </w:r>
      <w:r w:rsidRPr="00F824AE">
        <w:rPr>
          <w:rFonts w:asciiTheme="minorHAnsi" w:eastAsiaTheme="minorHAnsi" w:hAnsiTheme="minorHAnsi"/>
          <w:bCs/>
          <w:szCs w:val="22"/>
          <w:lang w:eastAsia="en-US"/>
        </w:rPr>
        <w:t>Friedreich ataxia</w:t>
      </w:r>
      <w:r w:rsidR="002617BD" w:rsidRPr="001E4B8B">
        <w:rPr>
          <w:rFonts w:asciiTheme="minorHAnsi" w:eastAsiaTheme="minorHAnsi" w:hAnsiTheme="minorHAnsi"/>
          <w:bCs/>
          <w:lang w:eastAsia="en-US"/>
        </w:rPr>
        <w:t>.</w:t>
      </w:r>
    </w:p>
    <w:p w14:paraId="7C3FDD8B" w14:textId="5F11FABA" w:rsidR="002617BD" w:rsidRDefault="002617BD" w:rsidP="002617BD">
      <w:pPr>
        <w:spacing w:after="120" w:line="276" w:lineRule="auto"/>
        <w:ind w:left="720"/>
        <w:rPr>
          <w:rFonts w:asciiTheme="minorHAnsi" w:eastAsiaTheme="minorHAnsi" w:hAnsiTheme="minorHAnsi"/>
          <w:bCs/>
          <w:szCs w:val="22"/>
          <w:lang w:eastAsia="en-US"/>
        </w:rPr>
      </w:pPr>
    </w:p>
    <w:p w14:paraId="248D203A" w14:textId="6AEB5385" w:rsidR="00F824AE" w:rsidRPr="002617BD" w:rsidRDefault="00F824AE" w:rsidP="000F11E7">
      <w:pPr>
        <w:spacing w:after="120" w:line="276" w:lineRule="auto"/>
        <w:rPr>
          <w:rFonts w:asciiTheme="minorHAnsi" w:eastAsiaTheme="minorHAnsi" w:hAnsiTheme="minorHAnsi"/>
          <w:bCs/>
          <w:szCs w:val="22"/>
          <w:lang w:eastAsia="en-US"/>
        </w:rPr>
      </w:pPr>
    </w:p>
    <w:bookmarkEnd w:id="80"/>
    <w:bookmarkEnd w:id="81"/>
    <w:p w14:paraId="4C9A13E4" w14:textId="77777777" w:rsidR="00E31624" w:rsidRPr="00525B39" w:rsidRDefault="00E31624" w:rsidP="00E31624">
      <w:pPr>
        <w:widowControl w:val="0"/>
        <w:rPr>
          <w:rFonts w:asciiTheme="minorHAnsi" w:hAnsiTheme="minorHAnsi"/>
          <w:b/>
          <w:bCs/>
          <w:snapToGrid w:val="0"/>
        </w:rPr>
      </w:pPr>
    </w:p>
    <w:sectPr w:rsidR="00E31624" w:rsidRPr="00525B39" w:rsidSect="00A25F1A">
      <w:headerReference w:type="even" r:id="rId19"/>
      <w:headerReference w:type="default" r:id="rId20"/>
      <w:footerReference w:type="even" r:id="rId21"/>
      <w:footerReference w:type="default" r:id="rId22"/>
      <w:headerReference w:type="first" r:id="rId23"/>
      <w:footerReference w:type="first" r:id="rId2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21A3B" w14:textId="77777777" w:rsidR="00A24A7B" w:rsidRDefault="00A24A7B" w:rsidP="00124A51">
      <w:r>
        <w:separator/>
      </w:r>
    </w:p>
    <w:p w14:paraId="25F556C0" w14:textId="77777777" w:rsidR="00A24A7B" w:rsidRDefault="00A24A7B"/>
  </w:endnote>
  <w:endnote w:type="continuationSeparator" w:id="0">
    <w:p w14:paraId="3C8DD776" w14:textId="77777777" w:rsidR="00A24A7B" w:rsidRDefault="00A24A7B" w:rsidP="00124A51">
      <w:r>
        <w:continuationSeparator/>
      </w:r>
    </w:p>
    <w:p w14:paraId="288FAB0D" w14:textId="77777777" w:rsidR="00A24A7B" w:rsidRDefault="00A24A7B"/>
  </w:endnote>
  <w:endnote w:type="continuationNotice" w:id="1">
    <w:p w14:paraId="1E784046" w14:textId="77777777" w:rsidR="00A24A7B" w:rsidRDefault="00A24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37E60" w14:textId="77777777" w:rsidR="00593178" w:rsidRDefault="00593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4B135206" w:rsidR="00D843F2" w:rsidRPr="00420C0D" w:rsidRDefault="00E73E12" w:rsidP="006028D3">
    <w:pPr>
      <w:pStyle w:val="PageFooter"/>
    </w:pPr>
    <w:sdt>
      <w:sdtPr>
        <w:id w:val="1036156457"/>
        <w:docPartObj>
          <w:docPartGallery w:val="Page Numbers (Bottom of Page)"/>
          <w:docPartUnique/>
        </w:docPartObj>
      </w:sdtPr>
      <w:sdtEndPr>
        <w:rPr>
          <w:noProof/>
        </w:rPr>
      </w:sdtEndPr>
      <w:sdtContent>
        <w:r w:rsidR="00D843F2" w:rsidRPr="00420C0D">
          <w:fldChar w:fldCharType="begin"/>
        </w:r>
        <w:r w:rsidR="00D843F2" w:rsidRPr="00420C0D">
          <w:instrText xml:space="preserve"> PAGE   \* MERGEFORMAT </w:instrText>
        </w:r>
        <w:r w:rsidR="00D843F2" w:rsidRPr="00420C0D">
          <w:fldChar w:fldCharType="separate"/>
        </w:r>
        <w:r w:rsidR="00D843F2" w:rsidRPr="00420C0D">
          <w:rPr>
            <w:noProof/>
          </w:rPr>
          <w:t>2</w:t>
        </w:r>
        <w:r w:rsidR="00D843F2" w:rsidRPr="00420C0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1B12" w14:textId="77777777" w:rsidR="00593178" w:rsidRDefault="00593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92FC" w14:textId="77777777" w:rsidR="00A24A7B" w:rsidRDefault="00A24A7B">
      <w:r>
        <w:separator/>
      </w:r>
    </w:p>
  </w:footnote>
  <w:footnote w:type="continuationSeparator" w:id="0">
    <w:p w14:paraId="0F2DC06C" w14:textId="77777777" w:rsidR="00A24A7B" w:rsidRDefault="00A24A7B" w:rsidP="00124A51">
      <w:r>
        <w:continuationSeparator/>
      </w:r>
    </w:p>
    <w:p w14:paraId="693BA34F" w14:textId="77777777" w:rsidR="00A24A7B" w:rsidRDefault="00A24A7B"/>
  </w:footnote>
  <w:footnote w:type="continuationNotice" w:id="1">
    <w:p w14:paraId="62C4FAE5" w14:textId="77777777" w:rsidR="00A24A7B" w:rsidRDefault="00A24A7B"/>
  </w:footnote>
  <w:footnote w:id="2">
    <w:p w14:paraId="5F673F33" w14:textId="58089268" w:rsidR="0082432E" w:rsidRDefault="0082432E">
      <w:pPr>
        <w:pStyle w:val="FootnoteText"/>
      </w:pPr>
      <w:r>
        <w:rPr>
          <w:rStyle w:val="FootnoteReference"/>
        </w:rPr>
        <w:footnoteRef/>
      </w:r>
      <w:r>
        <w:t xml:space="preserve"> </w:t>
      </w:r>
      <w:r w:rsidR="00A73CF4">
        <w:t xml:space="preserve">Indelicato E, et al. </w:t>
      </w:r>
      <w:r w:rsidR="00EC0B46">
        <w:t xml:space="preserve">Onset features and time to diagnosis in Friedreich’s ataxia. </w:t>
      </w:r>
      <w:proofErr w:type="spellStart"/>
      <w:r w:rsidR="00EC0B46">
        <w:t>Orphet</w:t>
      </w:r>
      <w:proofErr w:type="spellEnd"/>
      <w:r w:rsidR="00EC0B46">
        <w:t xml:space="preserve"> J Rare Dis. </w:t>
      </w:r>
      <w:r w:rsidR="00C24F4C">
        <w:t>202;15(1):198</w:t>
      </w:r>
    </w:p>
  </w:footnote>
  <w:footnote w:id="3">
    <w:p w14:paraId="400387B8" w14:textId="77777777" w:rsidR="00CE2E65" w:rsidRDefault="00CE2E65" w:rsidP="00CE2E65">
      <w:pPr>
        <w:pStyle w:val="FootnoteText"/>
      </w:pPr>
      <w:r>
        <w:rPr>
          <w:rStyle w:val="FootnoteReference"/>
        </w:rPr>
        <w:footnoteRef/>
      </w:r>
      <w:r>
        <w:t xml:space="preserve"> </w:t>
      </w:r>
      <w:proofErr w:type="spellStart"/>
      <w:r w:rsidRPr="003253F7">
        <w:t>Delatycki</w:t>
      </w:r>
      <w:proofErr w:type="spellEnd"/>
      <w:r w:rsidRPr="003253F7">
        <w:t>, MB</w:t>
      </w:r>
      <w:r>
        <w:t xml:space="preserve"> et al</w:t>
      </w:r>
      <w:r w:rsidRPr="003253F7">
        <w:t xml:space="preserve">. Friedreich ataxia-pathogenesis and implications for therapies. </w:t>
      </w:r>
      <w:r w:rsidRPr="003253F7">
        <w:rPr>
          <w:i/>
          <w:iCs/>
        </w:rPr>
        <w:t>Neurobiology of disease</w:t>
      </w:r>
      <w:r w:rsidRPr="003253F7">
        <w:t xml:space="preserve"> 2019; 132: 104606.</w:t>
      </w:r>
    </w:p>
  </w:footnote>
  <w:footnote w:id="4">
    <w:p w14:paraId="7C10796E" w14:textId="30D53861" w:rsidR="00CE2E65" w:rsidRDefault="00CE2E65" w:rsidP="00CE2E65">
      <w:pPr>
        <w:pStyle w:val="FootnoteText"/>
      </w:pPr>
      <w:r>
        <w:rPr>
          <w:rStyle w:val="FootnoteReference"/>
        </w:rPr>
        <w:footnoteRef/>
      </w:r>
      <w:r>
        <w:t xml:space="preserve"> </w:t>
      </w:r>
      <w:r w:rsidRPr="00CC7F25">
        <w:t>Cook, A</w:t>
      </w:r>
      <w:r>
        <w:t xml:space="preserve"> et al. </w:t>
      </w:r>
      <w:r w:rsidRPr="00CC7F25">
        <w:t xml:space="preserve">Friedreich’s ataxia: clinical features, pathogenesis and management. </w:t>
      </w:r>
      <w:r w:rsidRPr="00CC7F25">
        <w:rPr>
          <w:i/>
          <w:iCs/>
        </w:rPr>
        <w:t>British medical bulletin</w:t>
      </w:r>
      <w:r w:rsidRPr="00CC7F25">
        <w:t xml:space="preserve"> 2017;</w:t>
      </w:r>
      <w:r>
        <w:rPr>
          <w:b/>
          <w:bCs/>
        </w:rPr>
        <w:t xml:space="preserve"> </w:t>
      </w:r>
      <w:r w:rsidRPr="00CC7F25">
        <w:t>124(1): 19-30.</w:t>
      </w:r>
    </w:p>
  </w:footnote>
  <w:footnote w:id="5">
    <w:p w14:paraId="1F0F6F4B" w14:textId="77777777" w:rsidR="00CE2E65" w:rsidRPr="00CC7F25" w:rsidRDefault="00CE2E65" w:rsidP="00CE2E65">
      <w:pPr>
        <w:pStyle w:val="FootnoteText"/>
      </w:pPr>
      <w:r>
        <w:rPr>
          <w:rStyle w:val="FootnoteReference"/>
        </w:rPr>
        <w:footnoteRef/>
      </w:r>
      <w:r>
        <w:t xml:space="preserve"> </w:t>
      </w:r>
      <w:r w:rsidRPr="00CC7F25">
        <w:t xml:space="preserve">Hanson, E et al. Heart disease in Friedreich’s ataxia. </w:t>
      </w:r>
      <w:r w:rsidRPr="00CC7F25">
        <w:rPr>
          <w:i/>
          <w:iCs/>
        </w:rPr>
        <w:t>World Journal of Cardiology</w:t>
      </w:r>
      <w:r>
        <w:rPr>
          <w:b/>
          <w:bCs/>
        </w:rPr>
        <w:t xml:space="preserve"> </w:t>
      </w:r>
      <w:r w:rsidRPr="00CC7F25">
        <w:t>2019; 11(1): 1.</w:t>
      </w:r>
    </w:p>
    <w:p w14:paraId="2E2D4D50" w14:textId="77777777" w:rsidR="00CE2E65" w:rsidRPr="00CC7F25" w:rsidRDefault="00CE2E65" w:rsidP="00CE2E65">
      <w:pPr>
        <w:pStyle w:val="FootnoteText"/>
      </w:pPr>
      <w:r w:rsidRPr="00CC7F25">
        <w:tab/>
      </w:r>
    </w:p>
    <w:p w14:paraId="1AFBD154" w14:textId="77777777" w:rsidR="00CE2E65" w:rsidRDefault="00CE2E65" w:rsidP="00CE2E65">
      <w:pPr>
        <w:pStyle w:val="FootnoteText"/>
      </w:pPr>
    </w:p>
  </w:footnote>
  <w:footnote w:id="6">
    <w:p w14:paraId="499A4022" w14:textId="77777777" w:rsidR="00CE2E65" w:rsidRDefault="00CE2E65" w:rsidP="00CE2E65">
      <w:pPr>
        <w:pStyle w:val="FootnoteText"/>
      </w:pPr>
      <w:r>
        <w:rPr>
          <w:rStyle w:val="FootnoteReference"/>
        </w:rPr>
        <w:footnoteRef/>
      </w:r>
      <w:r>
        <w:t xml:space="preserve"> Lynch, DR et al. Safety, pharmacodynamics, and potential benefit of </w:t>
      </w:r>
      <w:proofErr w:type="spellStart"/>
      <w:r>
        <w:t>omaveloxolone</w:t>
      </w:r>
      <w:proofErr w:type="spellEnd"/>
      <w:r>
        <w:t xml:space="preserve"> in Friedreich ataxia. </w:t>
      </w:r>
      <w:r w:rsidRPr="004703AD">
        <w:rPr>
          <w:i/>
          <w:iCs/>
        </w:rPr>
        <w:t>Annals of clinical and translational neurology</w:t>
      </w:r>
      <w:r>
        <w:t xml:space="preserve"> 2019; 6(1): 15-26.</w:t>
      </w:r>
    </w:p>
    <w:p w14:paraId="3D9B302B" w14:textId="77777777" w:rsidR="00CE2E65" w:rsidRDefault="00CE2E65" w:rsidP="00CE2E65">
      <w:pPr>
        <w:pStyle w:val="FootnoteText"/>
      </w:pPr>
      <w:r>
        <w:tab/>
      </w:r>
    </w:p>
  </w:footnote>
  <w:footnote w:id="7">
    <w:p w14:paraId="0593B6F8" w14:textId="73F4B74C" w:rsidR="00CE2E65" w:rsidRPr="00C01D90" w:rsidRDefault="00CE2E65" w:rsidP="00CE2E65">
      <w:pPr>
        <w:pStyle w:val="FootnoteText"/>
      </w:pPr>
      <w:r w:rsidRPr="00C01D90">
        <w:rPr>
          <w:rStyle w:val="FootnoteReference"/>
        </w:rPr>
        <w:footnoteRef/>
      </w:r>
      <w:r w:rsidRPr="00C01D90">
        <w:t xml:space="preserve"> The definition of pes </w:t>
      </w:r>
      <w:proofErr w:type="spellStart"/>
      <w:r w:rsidRPr="00C01D90">
        <w:t>cavus</w:t>
      </w:r>
      <w:proofErr w:type="spellEnd"/>
      <w:r w:rsidRPr="00C01D90">
        <w:t xml:space="preserve"> between the two studies was not consistent. Pes </w:t>
      </w:r>
      <w:proofErr w:type="spellStart"/>
      <w:r w:rsidRPr="00C01D90">
        <w:t>cavus</w:t>
      </w:r>
      <w:proofErr w:type="spellEnd"/>
      <w:r w:rsidRPr="00C01D90">
        <w:t xml:space="preserve"> was based on clinical judgment in </w:t>
      </w:r>
      <w:r w:rsidR="00993B41" w:rsidRPr="00C01D90">
        <w:t>FACOMS</w:t>
      </w:r>
      <w:r w:rsidRPr="00C01D90">
        <w:t xml:space="preserve">; however, </w:t>
      </w:r>
      <w:proofErr w:type="spellStart"/>
      <w:r w:rsidRPr="00C01D90">
        <w:t>MOXIe</w:t>
      </w:r>
      <w:proofErr w:type="spellEnd"/>
      <w:r w:rsidRPr="00C01D90">
        <w:t xml:space="preserve"> Extension defined a flashlight test such that if light was visible under the arch of the foot while standing the patient was deemed as having pes </w:t>
      </w:r>
      <w:proofErr w:type="spellStart"/>
      <w:r w:rsidRPr="00C01D90">
        <w:t>cavus</w:t>
      </w:r>
      <w:proofErr w:type="spellEnd"/>
      <w:r w:rsidRPr="00C01D90">
        <w:t>.</w:t>
      </w:r>
    </w:p>
  </w:footnote>
  <w:footnote w:id="8">
    <w:p w14:paraId="7D81827C" w14:textId="77777777" w:rsidR="008A7B3D" w:rsidRDefault="008A7B3D" w:rsidP="008A7B3D">
      <w:pPr>
        <w:pStyle w:val="FootnoteText"/>
      </w:pPr>
      <w:r>
        <w:rPr>
          <w:rStyle w:val="FootnoteReference"/>
        </w:rPr>
        <w:footnoteRef/>
      </w:r>
      <w:r>
        <w:t xml:space="preserve"> </w:t>
      </w:r>
      <w:r w:rsidRPr="002E445A">
        <w:t>Bardoxolone Methyl Evaluation in Patients with Chronic Kidney Disease and Type 2 Diabetes: The Occurrence of Renal Events; Study 402-C-0903</w:t>
      </w:r>
    </w:p>
  </w:footnote>
  <w:footnote w:id="9">
    <w:p w14:paraId="52A1289C" w14:textId="62ADC2A6" w:rsidR="0083390F" w:rsidRDefault="0083390F">
      <w:pPr>
        <w:pStyle w:val="FootnoteText"/>
      </w:pPr>
      <w:r>
        <w:rPr>
          <w:rStyle w:val="FootnoteReference"/>
        </w:rPr>
        <w:footnoteRef/>
      </w:r>
      <w:r>
        <w:t xml:space="preserve"> </w:t>
      </w:r>
      <w:proofErr w:type="spellStart"/>
      <w:r w:rsidRPr="0083390F">
        <w:t>Rummey</w:t>
      </w:r>
      <w:proofErr w:type="spellEnd"/>
      <w:r w:rsidRPr="0083390F">
        <w:t xml:space="preserve"> C, Corben LA, </w:t>
      </w:r>
      <w:proofErr w:type="spellStart"/>
      <w:r w:rsidRPr="0083390F">
        <w:t>Delatycki</w:t>
      </w:r>
      <w:proofErr w:type="spellEnd"/>
      <w:r w:rsidRPr="0083390F">
        <w:t xml:space="preserve"> M, Wilmot G, </w:t>
      </w:r>
      <w:proofErr w:type="spellStart"/>
      <w:r w:rsidRPr="0083390F">
        <w:t>Subramony</w:t>
      </w:r>
      <w:proofErr w:type="spellEnd"/>
      <w:r w:rsidRPr="0083390F">
        <w:t xml:space="preserve"> SH, Corti M, et al. Natural History of Friedreich Ataxia. Neurology. 2022;99(14):e1499-e510.</w:t>
      </w:r>
    </w:p>
  </w:footnote>
  <w:footnote w:id="10">
    <w:p w14:paraId="338AAE1D" w14:textId="7FFDC2C1" w:rsidR="009209E1" w:rsidRDefault="009209E1">
      <w:pPr>
        <w:pStyle w:val="FootnoteText"/>
      </w:pPr>
      <w:r>
        <w:rPr>
          <w:rStyle w:val="FootnoteReference"/>
        </w:rPr>
        <w:footnoteRef/>
      </w:r>
      <w:r>
        <w:t xml:space="preserve"> </w:t>
      </w:r>
      <w:r w:rsidRPr="009209E1">
        <w:t xml:space="preserve">Indelicato E, Reetz K, Maier S, et al. Predictors of Survival in Friedreich's Ataxia: A Prospective Cohort Study. </w:t>
      </w:r>
      <w:r w:rsidRPr="009209E1">
        <w:rPr>
          <w:i/>
          <w:iCs/>
        </w:rPr>
        <w:t>Movement Disorders</w:t>
      </w:r>
      <w:r w:rsidRPr="009209E1">
        <w:t xml:space="preserve">. 2024;39(3):510-518. </w:t>
      </w:r>
      <w:proofErr w:type="spellStart"/>
      <w:r w:rsidRPr="009209E1">
        <w:t>doi:https</w:t>
      </w:r>
      <w:proofErr w:type="spellEnd"/>
      <w:r w:rsidRPr="009209E1">
        <w:t>://doi.org/10.1002/mds.29687</w:t>
      </w:r>
    </w:p>
  </w:footnote>
  <w:footnote w:id="11">
    <w:p w14:paraId="7A0778CA" w14:textId="77777777" w:rsidR="0024339A" w:rsidRDefault="0024339A" w:rsidP="0024339A">
      <w:pPr>
        <w:pStyle w:val="FootnoteText"/>
      </w:pPr>
      <w:r>
        <w:rPr>
          <w:rStyle w:val="FootnoteReference"/>
        </w:rPr>
        <w:footnoteRef/>
      </w:r>
      <w:r>
        <w:t xml:space="preserve"> </w:t>
      </w:r>
      <w:r w:rsidRPr="009209E1">
        <w:t xml:space="preserve">Tsou AY, Paulsen EK, </w:t>
      </w:r>
      <w:proofErr w:type="spellStart"/>
      <w:r w:rsidRPr="009209E1">
        <w:t>Lagedrost</w:t>
      </w:r>
      <w:proofErr w:type="spellEnd"/>
      <w:r w:rsidRPr="009209E1">
        <w:t xml:space="preserve"> SJ, et al. Mortality in Friedreich Ataxia. Journal of the Neurological Sciences. 2011/08/15/ 2011;307(1):46-49. </w:t>
      </w:r>
      <w:proofErr w:type="spellStart"/>
      <w:r w:rsidRPr="009209E1">
        <w:t>doi:https</w:t>
      </w:r>
      <w:proofErr w:type="spellEnd"/>
      <w:r w:rsidRPr="009209E1">
        <w:t>://doi.org/10.1016/j.jns.2011.05.023</w:t>
      </w:r>
    </w:p>
  </w:footnote>
  <w:footnote w:id="12">
    <w:p w14:paraId="178D923C" w14:textId="10DCFB3A" w:rsidR="00743148" w:rsidRDefault="00743148" w:rsidP="00743148">
      <w:pPr>
        <w:pStyle w:val="FootnoteText"/>
      </w:pPr>
      <w:r>
        <w:rPr>
          <w:rStyle w:val="FootnoteReference"/>
        </w:rPr>
        <w:footnoteRef/>
      </w:r>
      <w:r>
        <w:t xml:space="preserve"> </w:t>
      </w:r>
      <w:r w:rsidRPr="00992AB2">
        <w:t xml:space="preserve">Reetz K, Dogan I, Hilgers R-D, et al. Progression characteristics of the European Friedreich's Ataxia Consortium for Translational Studies (EFACTS): a 4-year cohort study. </w:t>
      </w:r>
      <w:r w:rsidRPr="00992AB2">
        <w:rPr>
          <w:i/>
          <w:iCs/>
        </w:rPr>
        <w:t>The Lancet Neurology</w:t>
      </w:r>
      <w:r w:rsidRPr="00992AB2">
        <w:t xml:space="preserve">. 2021/05/01/ 2021;20(5):362-372. </w:t>
      </w:r>
      <w:proofErr w:type="spellStart"/>
      <w:r w:rsidRPr="00992AB2">
        <w:t>doi:https</w:t>
      </w:r>
      <w:proofErr w:type="spellEnd"/>
      <w:r w:rsidRPr="00992AB2">
        <w:t>:</w:t>
      </w:r>
      <w:r w:rsidR="008028B7">
        <w:t xml:space="preserve"> </w:t>
      </w:r>
      <w:r w:rsidRPr="00992AB2">
        <w:t>//doi.org/10.1016/S1474-4422(21)00027-2</w:t>
      </w:r>
      <w:r w:rsidR="008028B7">
        <w:t>.</w:t>
      </w:r>
    </w:p>
  </w:footnote>
  <w:footnote w:id="13">
    <w:p w14:paraId="4F24FCDE" w14:textId="5A9D5F34" w:rsidR="00E026F0" w:rsidRPr="00E026F0" w:rsidRDefault="00E026F0">
      <w:pPr>
        <w:pStyle w:val="FootnoteText"/>
        <w:rPr>
          <w:lang w:val="en-US"/>
        </w:rPr>
      </w:pPr>
      <w:r>
        <w:rPr>
          <w:rStyle w:val="FootnoteReference"/>
        </w:rPr>
        <w:footnoteRef/>
      </w:r>
      <w:r>
        <w:t xml:space="preserve"> </w:t>
      </w:r>
      <w:r w:rsidRPr="00E026F0">
        <w:t xml:space="preserve">Lynch DR, Goldsberry A, </w:t>
      </w:r>
      <w:proofErr w:type="spellStart"/>
      <w:r w:rsidRPr="00E026F0">
        <w:t>Rummey</w:t>
      </w:r>
      <w:proofErr w:type="spellEnd"/>
      <w:r w:rsidRPr="00E026F0">
        <w:t xml:space="preserve"> C, Farmer J, Boesch S, </w:t>
      </w:r>
      <w:proofErr w:type="spellStart"/>
      <w:r w:rsidRPr="00E026F0">
        <w:t>Delatycki</w:t>
      </w:r>
      <w:proofErr w:type="spellEnd"/>
      <w:r w:rsidRPr="00E026F0">
        <w:t xml:space="preserve"> MB, et al. Propensity matched comparison of </w:t>
      </w:r>
      <w:proofErr w:type="spellStart"/>
      <w:r w:rsidRPr="00E026F0">
        <w:t>omaveloxolone</w:t>
      </w:r>
      <w:proofErr w:type="spellEnd"/>
      <w:r w:rsidRPr="00E026F0">
        <w:t xml:space="preserve"> treatment to Friedreich ataxia natural history data. Annals of Clinical and Translational Neurology. 2024;11(1):4-16.</w:t>
      </w:r>
    </w:p>
  </w:footnote>
  <w:footnote w:id="14">
    <w:p w14:paraId="68FD4FB2" w14:textId="77777777" w:rsidR="00D919F0" w:rsidRDefault="00D919F0" w:rsidP="00D919F0">
      <w:pPr>
        <w:pStyle w:val="FootnoteText"/>
      </w:pPr>
      <w:r>
        <w:rPr>
          <w:rStyle w:val="FootnoteReference"/>
        </w:rPr>
        <w:footnoteRef/>
      </w:r>
      <w:r>
        <w:t xml:space="preserve"> </w:t>
      </w:r>
      <w:r w:rsidRPr="00A16E8E">
        <w:t xml:space="preserve">Buesch K, Zhang R. A systematic review of disease prevalence, health-related quality of life, and economic outcomes associated with Friedreich’s Ataxia. </w:t>
      </w:r>
      <w:r w:rsidRPr="00A16E8E">
        <w:rPr>
          <w:i/>
          <w:iCs/>
        </w:rPr>
        <w:t>Current Medical Research and Opinion</w:t>
      </w:r>
      <w:r w:rsidRPr="00A16E8E">
        <w:t>. 2022/10/03 2022;38(10):1739-1749. doi:10.1080/03007995.2022.2112870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90BF" w14:textId="77777777" w:rsidR="00593178" w:rsidRDefault="00593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3FED3A64" w:rsidR="00D843F2" w:rsidRPr="00195452" w:rsidRDefault="00103DBF" w:rsidP="00D822E2">
    <w:pPr>
      <w:pStyle w:val="Header"/>
      <w:rPr>
        <w:rFonts w:asciiTheme="minorHAnsi" w:hAnsiTheme="minorHAnsi"/>
        <w:i w:val="0"/>
        <w:color w:val="808080"/>
      </w:rPr>
    </w:pPr>
    <w:r w:rsidRPr="00103DBF">
      <w:rPr>
        <w:rFonts w:asciiTheme="minorHAnsi" w:hAnsiTheme="minorHAnsi"/>
        <w:color w:val="808080"/>
      </w:rPr>
      <w:t xml:space="preserve">Public Summary Document </w:t>
    </w:r>
    <w:r w:rsidR="00BF0BD7">
      <w:rPr>
        <w:rFonts w:asciiTheme="minorHAnsi" w:hAnsiTheme="minorHAnsi"/>
        <w:color w:val="808080"/>
      </w:rPr>
      <w:t xml:space="preserve">- </w:t>
    </w:r>
    <w:r w:rsidR="00BD41C9">
      <w:rPr>
        <w:rFonts w:asciiTheme="minorHAnsi" w:hAnsiTheme="minorHAnsi"/>
        <w:color w:val="808080"/>
      </w:rPr>
      <w:t>March 2025</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A63F" w14:textId="77777777" w:rsidR="00593178" w:rsidRDefault="00593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15074"/>
    <w:multiLevelType w:val="multilevel"/>
    <w:tmpl w:val="67188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B6459"/>
    <w:multiLevelType w:val="multilevel"/>
    <w:tmpl w:val="FB22F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43284"/>
    <w:multiLevelType w:val="hybridMultilevel"/>
    <w:tmpl w:val="726029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C400629"/>
    <w:multiLevelType w:val="hybridMultilevel"/>
    <w:tmpl w:val="0AD04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2122F"/>
    <w:multiLevelType w:val="hybridMultilevel"/>
    <w:tmpl w:val="7CB6DF44"/>
    <w:lvl w:ilvl="0" w:tplc="C8108CFE">
      <w:start w:val="1"/>
      <w:numFmt w:val="bullet"/>
      <w:lvlText w:val=""/>
      <w:lvlJc w:val="left"/>
      <w:pPr>
        <w:ind w:left="720" w:hanging="360"/>
      </w:pPr>
      <w:rPr>
        <w:rFonts w:ascii="Symbol" w:hAnsi="Symbol"/>
      </w:rPr>
    </w:lvl>
    <w:lvl w:ilvl="1" w:tplc="6C185718">
      <w:start w:val="1"/>
      <w:numFmt w:val="bullet"/>
      <w:lvlText w:val=""/>
      <w:lvlJc w:val="left"/>
      <w:pPr>
        <w:ind w:left="720" w:hanging="360"/>
      </w:pPr>
      <w:rPr>
        <w:rFonts w:ascii="Symbol" w:hAnsi="Symbol"/>
      </w:rPr>
    </w:lvl>
    <w:lvl w:ilvl="2" w:tplc="B8D8EE6E">
      <w:start w:val="1"/>
      <w:numFmt w:val="bullet"/>
      <w:lvlText w:val=""/>
      <w:lvlJc w:val="left"/>
      <w:pPr>
        <w:ind w:left="720" w:hanging="360"/>
      </w:pPr>
      <w:rPr>
        <w:rFonts w:ascii="Symbol" w:hAnsi="Symbol"/>
      </w:rPr>
    </w:lvl>
    <w:lvl w:ilvl="3" w:tplc="A4A49C4A">
      <w:start w:val="1"/>
      <w:numFmt w:val="bullet"/>
      <w:lvlText w:val=""/>
      <w:lvlJc w:val="left"/>
      <w:pPr>
        <w:ind w:left="720" w:hanging="360"/>
      </w:pPr>
      <w:rPr>
        <w:rFonts w:ascii="Symbol" w:hAnsi="Symbol"/>
      </w:rPr>
    </w:lvl>
    <w:lvl w:ilvl="4" w:tplc="74648CEA">
      <w:start w:val="1"/>
      <w:numFmt w:val="bullet"/>
      <w:lvlText w:val=""/>
      <w:lvlJc w:val="left"/>
      <w:pPr>
        <w:ind w:left="720" w:hanging="360"/>
      </w:pPr>
      <w:rPr>
        <w:rFonts w:ascii="Symbol" w:hAnsi="Symbol"/>
      </w:rPr>
    </w:lvl>
    <w:lvl w:ilvl="5" w:tplc="7E68EF4A">
      <w:start w:val="1"/>
      <w:numFmt w:val="bullet"/>
      <w:lvlText w:val=""/>
      <w:lvlJc w:val="left"/>
      <w:pPr>
        <w:ind w:left="720" w:hanging="360"/>
      </w:pPr>
      <w:rPr>
        <w:rFonts w:ascii="Symbol" w:hAnsi="Symbol"/>
      </w:rPr>
    </w:lvl>
    <w:lvl w:ilvl="6" w:tplc="B226D12C">
      <w:start w:val="1"/>
      <w:numFmt w:val="bullet"/>
      <w:lvlText w:val=""/>
      <w:lvlJc w:val="left"/>
      <w:pPr>
        <w:ind w:left="720" w:hanging="360"/>
      </w:pPr>
      <w:rPr>
        <w:rFonts w:ascii="Symbol" w:hAnsi="Symbol"/>
      </w:rPr>
    </w:lvl>
    <w:lvl w:ilvl="7" w:tplc="3B1C070E">
      <w:start w:val="1"/>
      <w:numFmt w:val="bullet"/>
      <w:lvlText w:val=""/>
      <w:lvlJc w:val="left"/>
      <w:pPr>
        <w:ind w:left="720" w:hanging="360"/>
      </w:pPr>
      <w:rPr>
        <w:rFonts w:ascii="Symbol" w:hAnsi="Symbol"/>
      </w:rPr>
    </w:lvl>
    <w:lvl w:ilvl="8" w:tplc="EF7C2048">
      <w:start w:val="1"/>
      <w:numFmt w:val="bullet"/>
      <w:lvlText w:val=""/>
      <w:lvlJc w:val="left"/>
      <w:pPr>
        <w:ind w:left="720" w:hanging="360"/>
      </w:pPr>
      <w:rPr>
        <w:rFonts w:ascii="Symbol" w:hAnsi="Symbol"/>
      </w:rPr>
    </w:lvl>
  </w:abstractNum>
  <w:abstractNum w:abstractNumId="6" w15:restartNumberingAfterBreak="0">
    <w:nsid w:val="1D5E5638"/>
    <w:multiLevelType w:val="hybridMultilevel"/>
    <w:tmpl w:val="B07C05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2D160FE"/>
    <w:multiLevelType w:val="hybridMultilevel"/>
    <w:tmpl w:val="27BCB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411783"/>
    <w:multiLevelType w:val="multilevel"/>
    <w:tmpl w:val="4F667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2F20FC"/>
    <w:multiLevelType w:val="hybridMultilevel"/>
    <w:tmpl w:val="5442EA70"/>
    <w:lvl w:ilvl="0" w:tplc="29E8F79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9408AFE"/>
    <w:multiLevelType w:val="hybridMultilevel"/>
    <w:tmpl w:val="92B220AC"/>
    <w:lvl w:ilvl="0" w:tplc="F2FC75E4">
      <w:start w:val="1"/>
      <w:numFmt w:val="lowerLetter"/>
      <w:lvlText w:val="(%1)"/>
      <w:lvlJc w:val="left"/>
      <w:pPr>
        <w:ind w:left="720" w:hanging="360"/>
      </w:pPr>
    </w:lvl>
    <w:lvl w:ilvl="1" w:tplc="28301F96">
      <w:start w:val="1"/>
      <w:numFmt w:val="lowerLetter"/>
      <w:lvlText w:val="%2."/>
      <w:lvlJc w:val="left"/>
      <w:pPr>
        <w:ind w:left="1440" w:hanging="360"/>
      </w:pPr>
    </w:lvl>
    <w:lvl w:ilvl="2" w:tplc="25EE6388">
      <w:start w:val="1"/>
      <w:numFmt w:val="lowerRoman"/>
      <w:lvlText w:val="%3."/>
      <w:lvlJc w:val="right"/>
      <w:pPr>
        <w:ind w:left="2160" w:hanging="180"/>
      </w:pPr>
    </w:lvl>
    <w:lvl w:ilvl="3" w:tplc="F7A8AAC4">
      <w:start w:val="1"/>
      <w:numFmt w:val="decimal"/>
      <w:lvlText w:val="%4."/>
      <w:lvlJc w:val="left"/>
      <w:pPr>
        <w:ind w:left="2880" w:hanging="360"/>
      </w:pPr>
    </w:lvl>
    <w:lvl w:ilvl="4" w:tplc="930223A6">
      <w:start w:val="1"/>
      <w:numFmt w:val="lowerLetter"/>
      <w:lvlText w:val="%5."/>
      <w:lvlJc w:val="left"/>
      <w:pPr>
        <w:ind w:left="3600" w:hanging="360"/>
      </w:pPr>
    </w:lvl>
    <w:lvl w:ilvl="5" w:tplc="E108A8CE">
      <w:start w:val="1"/>
      <w:numFmt w:val="lowerRoman"/>
      <w:lvlText w:val="%6."/>
      <w:lvlJc w:val="right"/>
      <w:pPr>
        <w:ind w:left="4320" w:hanging="180"/>
      </w:pPr>
    </w:lvl>
    <w:lvl w:ilvl="6" w:tplc="54304254">
      <w:start w:val="1"/>
      <w:numFmt w:val="decimal"/>
      <w:lvlText w:val="%7."/>
      <w:lvlJc w:val="left"/>
      <w:pPr>
        <w:ind w:left="5040" w:hanging="360"/>
      </w:pPr>
    </w:lvl>
    <w:lvl w:ilvl="7" w:tplc="0D523DE8">
      <w:start w:val="1"/>
      <w:numFmt w:val="lowerLetter"/>
      <w:lvlText w:val="%8."/>
      <w:lvlJc w:val="left"/>
      <w:pPr>
        <w:ind w:left="5760" w:hanging="360"/>
      </w:pPr>
    </w:lvl>
    <w:lvl w:ilvl="8" w:tplc="4928E3C0">
      <w:start w:val="1"/>
      <w:numFmt w:val="lowerRoman"/>
      <w:lvlText w:val="%9."/>
      <w:lvlJc w:val="right"/>
      <w:pPr>
        <w:ind w:left="6480" w:hanging="180"/>
      </w:pPr>
    </w:lvl>
  </w:abstractNum>
  <w:abstractNum w:abstractNumId="12" w15:restartNumberingAfterBreak="0">
    <w:nsid w:val="2ADA1F2E"/>
    <w:multiLevelType w:val="multilevel"/>
    <w:tmpl w:val="269C939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5D1533"/>
    <w:multiLevelType w:val="hybridMultilevel"/>
    <w:tmpl w:val="FC4CA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2C52CD"/>
    <w:multiLevelType w:val="hybridMultilevel"/>
    <w:tmpl w:val="F3D6FCDA"/>
    <w:lvl w:ilvl="0" w:tplc="D2AA4414">
      <w:start w:val="1"/>
      <w:numFmt w:val="decimal"/>
      <w:lvlText w:val="%1."/>
      <w:lvlJc w:val="left"/>
      <w:pPr>
        <w:ind w:left="786" w:hanging="360"/>
      </w:pPr>
    </w:lvl>
    <w:lvl w:ilvl="1" w:tplc="1B90C1EE">
      <w:start w:val="1"/>
      <w:numFmt w:val="lowerLetter"/>
      <w:lvlText w:val="%2."/>
      <w:lvlJc w:val="left"/>
      <w:pPr>
        <w:ind w:left="1506" w:hanging="360"/>
      </w:pPr>
    </w:lvl>
    <w:lvl w:ilvl="2" w:tplc="3B6E6AA8">
      <w:start w:val="1"/>
      <w:numFmt w:val="lowerRoman"/>
      <w:lvlText w:val="%3."/>
      <w:lvlJc w:val="right"/>
      <w:pPr>
        <w:ind w:left="2226" w:hanging="180"/>
      </w:pPr>
    </w:lvl>
    <w:lvl w:ilvl="3" w:tplc="3F4CD96E">
      <w:start w:val="1"/>
      <w:numFmt w:val="decimal"/>
      <w:lvlText w:val="%4."/>
      <w:lvlJc w:val="left"/>
      <w:pPr>
        <w:ind w:left="2946" w:hanging="360"/>
      </w:pPr>
    </w:lvl>
    <w:lvl w:ilvl="4" w:tplc="CF2EA45A">
      <w:start w:val="1"/>
      <w:numFmt w:val="lowerLetter"/>
      <w:lvlText w:val="%5."/>
      <w:lvlJc w:val="left"/>
      <w:pPr>
        <w:ind w:left="3666" w:hanging="360"/>
      </w:pPr>
    </w:lvl>
    <w:lvl w:ilvl="5" w:tplc="8A2C4FC0">
      <w:start w:val="1"/>
      <w:numFmt w:val="lowerRoman"/>
      <w:lvlText w:val="%6."/>
      <w:lvlJc w:val="right"/>
      <w:pPr>
        <w:ind w:left="4386" w:hanging="180"/>
      </w:pPr>
    </w:lvl>
    <w:lvl w:ilvl="6" w:tplc="0368149A">
      <w:start w:val="1"/>
      <w:numFmt w:val="decimal"/>
      <w:lvlText w:val="%7."/>
      <w:lvlJc w:val="left"/>
      <w:pPr>
        <w:ind w:left="5106" w:hanging="360"/>
      </w:pPr>
    </w:lvl>
    <w:lvl w:ilvl="7" w:tplc="AE6CF394">
      <w:start w:val="1"/>
      <w:numFmt w:val="lowerLetter"/>
      <w:lvlText w:val="%8."/>
      <w:lvlJc w:val="left"/>
      <w:pPr>
        <w:ind w:left="5826" w:hanging="360"/>
      </w:pPr>
    </w:lvl>
    <w:lvl w:ilvl="8" w:tplc="0FFA5870">
      <w:start w:val="1"/>
      <w:numFmt w:val="lowerRoman"/>
      <w:lvlText w:val="%9."/>
      <w:lvlJc w:val="right"/>
      <w:pPr>
        <w:ind w:left="6546" w:hanging="180"/>
      </w:pPr>
    </w:lvl>
  </w:abstractNum>
  <w:abstractNum w:abstractNumId="15" w15:restartNumberingAfterBreak="0">
    <w:nsid w:val="30346AD7"/>
    <w:multiLevelType w:val="hybridMultilevel"/>
    <w:tmpl w:val="3E6C0F64"/>
    <w:lvl w:ilvl="0" w:tplc="CFBE442A">
      <w:start w:val="1"/>
      <w:numFmt w:val="bullet"/>
      <w:pStyle w:val="ListParagraph"/>
      <w:lvlText w:val=""/>
      <w:lvlJc w:val="left"/>
      <w:pPr>
        <w:ind w:left="1353"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CBC629BA">
      <w:numFmt w:val="bullet"/>
      <w:lvlText w:val="•"/>
      <w:lvlJc w:val="left"/>
      <w:pPr>
        <w:ind w:left="3240" w:hanging="720"/>
      </w:pPr>
      <w:rPr>
        <w:rFonts w:ascii="Calibri" w:eastAsia="Times New Roman" w:hAnsi="Calibri" w:cs="Calibri"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158456F"/>
    <w:multiLevelType w:val="hybridMultilevel"/>
    <w:tmpl w:val="E0722B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6AF2019"/>
    <w:multiLevelType w:val="multilevel"/>
    <w:tmpl w:val="433E09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523DAF"/>
    <w:multiLevelType w:val="hybridMultilevel"/>
    <w:tmpl w:val="7BA25E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720272"/>
    <w:multiLevelType w:val="hybridMultilevel"/>
    <w:tmpl w:val="9F32F2BC"/>
    <w:lvl w:ilvl="0" w:tplc="0C090001">
      <w:start w:val="1"/>
      <w:numFmt w:val="bullet"/>
      <w:lvlText w:val=""/>
      <w:lvlJc w:val="left"/>
      <w:pPr>
        <w:ind w:left="121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71539"/>
    <w:multiLevelType w:val="multilevel"/>
    <w:tmpl w:val="C10EF00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7CB56"/>
    <w:multiLevelType w:val="hybridMultilevel"/>
    <w:tmpl w:val="8594E568"/>
    <w:lvl w:ilvl="0" w:tplc="437AFEE8">
      <w:start w:val="1"/>
      <w:numFmt w:val="lowerLetter"/>
      <w:lvlText w:val="(%1)"/>
      <w:lvlJc w:val="left"/>
      <w:pPr>
        <w:ind w:left="720" w:hanging="360"/>
      </w:pPr>
    </w:lvl>
    <w:lvl w:ilvl="1" w:tplc="CD3E5288">
      <w:start w:val="1"/>
      <w:numFmt w:val="lowerLetter"/>
      <w:lvlText w:val="%2."/>
      <w:lvlJc w:val="left"/>
      <w:pPr>
        <w:ind w:left="1440" w:hanging="360"/>
      </w:pPr>
    </w:lvl>
    <w:lvl w:ilvl="2" w:tplc="C4A44EB2">
      <w:start w:val="1"/>
      <w:numFmt w:val="lowerRoman"/>
      <w:lvlText w:val="%3."/>
      <w:lvlJc w:val="right"/>
      <w:pPr>
        <w:ind w:left="2160" w:hanging="180"/>
      </w:pPr>
    </w:lvl>
    <w:lvl w:ilvl="3" w:tplc="732013CC">
      <w:start w:val="1"/>
      <w:numFmt w:val="decimal"/>
      <w:lvlText w:val="%4."/>
      <w:lvlJc w:val="left"/>
      <w:pPr>
        <w:ind w:left="2880" w:hanging="360"/>
      </w:pPr>
    </w:lvl>
    <w:lvl w:ilvl="4" w:tplc="DE50497E">
      <w:start w:val="1"/>
      <w:numFmt w:val="lowerLetter"/>
      <w:lvlText w:val="%5."/>
      <w:lvlJc w:val="left"/>
      <w:pPr>
        <w:ind w:left="3600" w:hanging="360"/>
      </w:pPr>
    </w:lvl>
    <w:lvl w:ilvl="5" w:tplc="D1702AB2">
      <w:start w:val="1"/>
      <w:numFmt w:val="lowerRoman"/>
      <w:lvlText w:val="%6."/>
      <w:lvlJc w:val="right"/>
      <w:pPr>
        <w:ind w:left="4320" w:hanging="180"/>
      </w:pPr>
    </w:lvl>
    <w:lvl w:ilvl="6" w:tplc="6DBC523E">
      <w:start w:val="1"/>
      <w:numFmt w:val="decimal"/>
      <w:lvlText w:val="%7."/>
      <w:lvlJc w:val="left"/>
      <w:pPr>
        <w:ind w:left="5040" w:hanging="360"/>
      </w:pPr>
    </w:lvl>
    <w:lvl w:ilvl="7" w:tplc="8CD403F8">
      <w:start w:val="1"/>
      <w:numFmt w:val="lowerLetter"/>
      <w:lvlText w:val="%8."/>
      <w:lvlJc w:val="left"/>
      <w:pPr>
        <w:ind w:left="5760" w:hanging="360"/>
      </w:pPr>
    </w:lvl>
    <w:lvl w:ilvl="8" w:tplc="8BE0733C">
      <w:start w:val="1"/>
      <w:numFmt w:val="lowerRoman"/>
      <w:lvlText w:val="%9."/>
      <w:lvlJc w:val="right"/>
      <w:pPr>
        <w:ind w:left="6480" w:hanging="180"/>
      </w:pPr>
    </w:lvl>
  </w:abstractNum>
  <w:abstractNum w:abstractNumId="23" w15:restartNumberingAfterBreak="0">
    <w:nsid w:val="4F2E5A76"/>
    <w:multiLevelType w:val="multilevel"/>
    <w:tmpl w:val="67106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FD513A"/>
    <w:multiLevelType w:val="multilevel"/>
    <w:tmpl w:val="5A66713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FD49EB"/>
    <w:multiLevelType w:val="hybridMultilevel"/>
    <w:tmpl w:val="FE34B3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925192B"/>
    <w:multiLevelType w:val="multilevel"/>
    <w:tmpl w:val="6EF2A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3B06A2"/>
    <w:multiLevelType w:val="multilevel"/>
    <w:tmpl w:val="5A66713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441E0C"/>
    <w:multiLevelType w:val="hybridMultilevel"/>
    <w:tmpl w:val="D1BA54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61E63D4"/>
    <w:multiLevelType w:val="hybridMultilevel"/>
    <w:tmpl w:val="7BA25E50"/>
    <w:lvl w:ilvl="0" w:tplc="37DECC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813AEF"/>
    <w:multiLevelType w:val="hybridMultilevel"/>
    <w:tmpl w:val="5E58A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A723CC2"/>
    <w:multiLevelType w:val="hybridMultilevel"/>
    <w:tmpl w:val="3216EEC4"/>
    <w:lvl w:ilvl="0" w:tplc="8B2CAA78">
      <w:start w:val="1"/>
      <w:numFmt w:val="decimal"/>
      <w:lvlText w:val="(a)"/>
      <w:lvlJc w:val="left"/>
      <w:pPr>
        <w:ind w:left="720" w:hanging="360"/>
      </w:pPr>
    </w:lvl>
    <w:lvl w:ilvl="1" w:tplc="5EDEF76C">
      <w:start w:val="1"/>
      <w:numFmt w:val="lowerLetter"/>
      <w:lvlText w:val="%2."/>
      <w:lvlJc w:val="left"/>
      <w:pPr>
        <w:ind w:left="1440" w:hanging="360"/>
      </w:pPr>
    </w:lvl>
    <w:lvl w:ilvl="2" w:tplc="AD0E6220">
      <w:start w:val="1"/>
      <w:numFmt w:val="lowerRoman"/>
      <w:lvlText w:val="%3."/>
      <w:lvlJc w:val="right"/>
      <w:pPr>
        <w:ind w:left="2160" w:hanging="180"/>
      </w:pPr>
    </w:lvl>
    <w:lvl w:ilvl="3" w:tplc="D9AAE3D8">
      <w:start w:val="1"/>
      <w:numFmt w:val="decimal"/>
      <w:lvlText w:val="%4."/>
      <w:lvlJc w:val="left"/>
      <w:pPr>
        <w:ind w:left="2880" w:hanging="360"/>
      </w:pPr>
    </w:lvl>
    <w:lvl w:ilvl="4" w:tplc="77C098EE">
      <w:start w:val="1"/>
      <w:numFmt w:val="lowerLetter"/>
      <w:lvlText w:val="%5."/>
      <w:lvlJc w:val="left"/>
      <w:pPr>
        <w:ind w:left="3600" w:hanging="360"/>
      </w:pPr>
    </w:lvl>
    <w:lvl w:ilvl="5" w:tplc="55E81BA4">
      <w:start w:val="1"/>
      <w:numFmt w:val="lowerRoman"/>
      <w:lvlText w:val="%6."/>
      <w:lvlJc w:val="right"/>
      <w:pPr>
        <w:ind w:left="4320" w:hanging="180"/>
      </w:pPr>
    </w:lvl>
    <w:lvl w:ilvl="6" w:tplc="E7786BA0">
      <w:start w:val="1"/>
      <w:numFmt w:val="decimal"/>
      <w:lvlText w:val="%7."/>
      <w:lvlJc w:val="left"/>
      <w:pPr>
        <w:ind w:left="5040" w:hanging="360"/>
      </w:pPr>
    </w:lvl>
    <w:lvl w:ilvl="7" w:tplc="72EAF560">
      <w:start w:val="1"/>
      <w:numFmt w:val="lowerLetter"/>
      <w:lvlText w:val="%8."/>
      <w:lvlJc w:val="left"/>
      <w:pPr>
        <w:ind w:left="5760" w:hanging="360"/>
      </w:pPr>
    </w:lvl>
    <w:lvl w:ilvl="8" w:tplc="F06CF8C2">
      <w:start w:val="1"/>
      <w:numFmt w:val="lowerRoman"/>
      <w:lvlText w:val="%9."/>
      <w:lvlJc w:val="right"/>
      <w:pPr>
        <w:ind w:left="6480" w:hanging="180"/>
      </w:pPr>
    </w:lvl>
  </w:abstractNum>
  <w:abstractNum w:abstractNumId="33" w15:restartNumberingAfterBreak="0">
    <w:nsid w:val="6AFA3C06"/>
    <w:multiLevelType w:val="hybridMultilevel"/>
    <w:tmpl w:val="4498D864"/>
    <w:lvl w:ilvl="0" w:tplc="13EA58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06D508"/>
    <w:multiLevelType w:val="hybridMultilevel"/>
    <w:tmpl w:val="57AA9642"/>
    <w:lvl w:ilvl="0" w:tplc="CDF6D4F4">
      <w:start w:val="1"/>
      <w:numFmt w:val="decimal"/>
      <w:lvlText w:val="(a)"/>
      <w:lvlJc w:val="left"/>
      <w:pPr>
        <w:ind w:left="720" w:hanging="360"/>
      </w:pPr>
    </w:lvl>
    <w:lvl w:ilvl="1" w:tplc="1AB8804E">
      <w:start w:val="1"/>
      <w:numFmt w:val="lowerLetter"/>
      <w:lvlText w:val="%2."/>
      <w:lvlJc w:val="left"/>
      <w:pPr>
        <w:ind w:left="1440" w:hanging="360"/>
      </w:pPr>
    </w:lvl>
    <w:lvl w:ilvl="2" w:tplc="B61A8AD0">
      <w:start w:val="1"/>
      <w:numFmt w:val="lowerRoman"/>
      <w:lvlText w:val="%3."/>
      <w:lvlJc w:val="right"/>
      <w:pPr>
        <w:ind w:left="2160" w:hanging="180"/>
      </w:pPr>
    </w:lvl>
    <w:lvl w:ilvl="3" w:tplc="AEA8F684">
      <w:start w:val="1"/>
      <w:numFmt w:val="decimal"/>
      <w:lvlText w:val="%4."/>
      <w:lvlJc w:val="left"/>
      <w:pPr>
        <w:ind w:left="2880" w:hanging="360"/>
      </w:pPr>
    </w:lvl>
    <w:lvl w:ilvl="4" w:tplc="EABA9A92">
      <w:start w:val="1"/>
      <w:numFmt w:val="lowerLetter"/>
      <w:lvlText w:val="%5."/>
      <w:lvlJc w:val="left"/>
      <w:pPr>
        <w:ind w:left="3600" w:hanging="360"/>
      </w:pPr>
    </w:lvl>
    <w:lvl w:ilvl="5" w:tplc="45E60724">
      <w:start w:val="1"/>
      <w:numFmt w:val="lowerRoman"/>
      <w:lvlText w:val="%6."/>
      <w:lvlJc w:val="right"/>
      <w:pPr>
        <w:ind w:left="4320" w:hanging="180"/>
      </w:pPr>
    </w:lvl>
    <w:lvl w:ilvl="6" w:tplc="32F8AA12">
      <w:start w:val="1"/>
      <w:numFmt w:val="decimal"/>
      <w:lvlText w:val="%7."/>
      <w:lvlJc w:val="left"/>
      <w:pPr>
        <w:ind w:left="5040" w:hanging="360"/>
      </w:pPr>
    </w:lvl>
    <w:lvl w:ilvl="7" w:tplc="1938E454">
      <w:start w:val="1"/>
      <w:numFmt w:val="lowerLetter"/>
      <w:lvlText w:val="%8."/>
      <w:lvlJc w:val="left"/>
      <w:pPr>
        <w:ind w:left="5760" w:hanging="360"/>
      </w:pPr>
    </w:lvl>
    <w:lvl w:ilvl="8" w:tplc="0EBED82A">
      <w:start w:val="1"/>
      <w:numFmt w:val="lowerRoman"/>
      <w:lvlText w:val="%9."/>
      <w:lvlJc w:val="right"/>
      <w:pPr>
        <w:ind w:left="6480" w:hanging="180"/>
      </w:pPr>
    </w:lvl>
  </w:abstractNum>
  <w:abstractNum w:abstractNumId="35"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EC272B"/>
    <w:multiLevelType w:val="hybridMultilevel"/>
    <w:tmpl w:val="086C5806"/>
    <w:lvl w:ilvl="0" w:tplc="79A8820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EA1F2B"/>
    <w:multiLevelType w:val="hybridMultilevel"/>
    <w:tmpl w:val="B92C7F2E"/>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C2622B0"/>
    <w:multiLevelType w:val="hybridMultilevel"/>
    <w:tmpl w:val="EEEC620E"/>
    <w:lvl w:ilvl="0" w:tplc="2064238E">
      <w:start w:val="1"/>
      <w:numFmt w:val="bullet"/>
      <w:lvlText w:val=""/>
      <w:lvlJc w:val="left"/>
      <w:pPr>
        <w:ind w:left="720" w:hanging="360"/>
      </w:pPr>
      <w:rPr>
        <w:rFonts w:ascii="Symbol" w:hAnsi="Symbol"/>
      </w:rPr>
    </w:lvl>
    <w:lvl w:ilvl="1" w:tplc="53C086DC">
      <w:start w:val="1"/>
      <w:numFmt w:val="bullet"/>
      <w:lvlText w:val=""/>
      <w:lvlJc w:val="left"/>
      <w:pPr>
        <w:ind w:left="720" w:hanging="360"/>
      </w:pPr>
      <w:rPr>
        <w:rFonts w:ascii="Symbol" w:hAnsi="Symbol"/>
      </w:rPr>
    </w:lvl>
    <w:lvl w:ilvl="2" w:tplc="2D0437E2">
      <w:start w:val="1"/>
      <w:numFmt w:val="bullet"/>
      <w:lvlText w:val=""/>
      <w:lvlJc w:val="left"/>
      <w:pPr>
        <w:ind w:left="720" w:hanging="360"/>
      </w:pPr>
      <w:rPr>
        <w:rFonts w:ascii="Symbol" w:hAnsi="Symbol"/>
      </w:rPr>
    </w:lvl>
    <w:lvl w:ilvl="3" w:tplc="524C7CB2">
      <w:start w:val="1"/>
      <w:numFmt w:val="bullet"/>
      <w:lvlText w:val=""/>
      <w:lvlJc w:val="left"/>
      <w:pPr>
        <w:ind w:left="720" w:hanging="360"/>
      </w:pPr>
      <w:rPr>
        <w:rFonts w:ascii="Symbol" w:hAnsi="Symbol"/>
      </w:rPr>
    </w:lvl>
    <w:lvl w:ilvl="4" w:tplc="37E0F148">
      <w:start w:val="1"/>
      <w:numFmt w:val="bullet"/>
      <w:lvlText w:val=""/>
      <w:lvlJc w:val="left"/>
      <w:pPr>
        <w:ind w:left="720" w:hanging="360"/>
      </w:pPr>
      <w:rPr>
        <w:rFonts w:ascii="Symbol" w:hAnsi="Symbol"/>
      </w:rPr>
    </w:lvl>
    <w:lvl w:ilvl="5" w:tplc="E8FCA080">
      <w:start w:val="1"/>
      <w:numFmt w:val="bullet"/>
      <w:lvlText w:val=""/>
      <w:lvlJc w:val="left"/>
      <w:pPr>
        <w:ind w:left="720" w:hanging="360"/>
      </w:pPr>
      <w:rPr>
        <w:rFonts w:ascii="Symbol" w:hAnsi="Symbol"/>
      </w:rPr>
    </w:lvl>
    <w:lvl w:ilvl="6" w:tplc="C360EDEC">
      <w:start w:val="1"/>
      <w:numFmt w:val="bullet"/>
      <w:lvlText w:val=""/>
      <w:lvlJc w:val="left"/>
      <w:pPr>
        <w:ind w:left="720" w:hanging="360"/>
      </w:pPr>
      <w:rPr>
        <w:rFonts w:ascii="Symbol" w:hAnsi="Symbol"/>
      </w:rPr>
    </w:lvl>
    <w:lvl w:ilvl="7" w:tplc="2BF840F8">
      <w:start w:val="1"/>
      <w:numFmt w:val="bullet"/>
      <w:lvlText w:val=""/>
      <w:lvlJc w:val="left"/>
      <w:pPr>
        <w:ind w:left="720" w:hanging="360"/>
      </w:pPr>
      <w:rPr>
        <w:rFonts w:ascii="Symbol" w:hAnsi="Symbol"/>
      </w:rPr>
    </w:lvl>
    <w:lvl w:ilvl="8" w:tplc="EDCE8AF2">
      <w:start w:val="1"/>
      <w:numFmt w:val="bullet"/>
      <w:lvlText w:val=""/>
      <w:lvlJc w:val="left"/>
      <w:pPr>
        <w:ind w:left="720" w:hanging="360"/>
      </w:pPr>
      <w:rPr>
        <w:rFonts w:ascii="Symbol" w:hAnsi="Symbol"/>
      </w:rPr>
    </w:lvl>
  </w:abstractNum>
  <w:abstractNum w:abstractNumId="39" w15:restartNumberingAfterBreak="0">
    <w:nsid w:val="7EBD77E9"/>
    <w:multiLevelType w:val="multilevel"/>
    <w:tmpl w:val="5A66713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35"/>
  </w:num>
  <w:num w:numId="2" w16cid:durableId="917793048">
    <w:abstractNumId w:val="21"/>
  </w:num>
  <w:num w:numId="3" w16cid:durableId="263461728">
    <w:abstractNumId w:val="0"/>
  </w:num>
  <w:num w:numId="4" w16cid:durableId="1177577810">
    <w:abstractNumId w:val="7"/>
  </w:num>
  <w:num w:numId="5" w16cid:durableId="1156729720">
    <w:abstractNumId w:val="19"/>
  </w:num>
  <w:num w:numId="6" w16cid:durableId="139346788">
    <w:abstractNumId w:val="36"/>
  </w:num>
  <w:num w:numId="7" w16cid:durableId="220360847">
    <w:abstractNumId w:val="29"/>
  </w:num>
  <w:num w:numId="8" w16cid:durableId="268196418">
    <w:abstractNumId w:val="15"/>
  </w:num>
  <w:num w:numId="9" w16cid:durableId="1048839230">
    <w:abstractNumId w:val="35"/>
  </w:num>
  <w:num w:numId="10" w16cid:durableId="1209488129">
    <w:abstractNumId w:val="4"/>
  </w:num>
  <w:num w:numId="11" w16cid:durableId="1889418180">
    <w:abstractNumId w:val="30"/>
  </w:num>
  <w:num w:numId="12" w16cid:durableId="893124689">
    <w:abstractNumId w:val="18"/>
  </w:num>
  <w:num w:numId="13" w16cid:durableId="1316647870">
    <w:abstractNumId w:val="3"/>
  </w:num>
  <w:num w:numId="14" w16cid:durableId="2113429063">
    <w:abstractNumId w:val="6"/>
  </w:num>
  <w:num w:numId="15" w16cid:durableId="1217427566">
    <w:abstractNumId w:val="25"/>
  </w:num>
  <w:num w:numId="16" w16cid:durableId="1387602674">
    <w:abstractNumId w:val="28"/>
  </w:num>
  <w:num w:numId="17" w16cid:durableId="186413695">
    <w:abstractNumId w:val="16"/>
  </w:num>
  <w:num w:numId="18" w16cid:durableId="210464504">
    <w:abstractNumId w:val="22"/>
  </w:num>
  <w:num w:numId="19" w16cid:durableId="1203133458">
    <w:abstractNumId w:val="14"/>
  </w:num>
  <w:num w:numId="20" w16cid:durableId="654380436">
    <w:abstractNumId w:val="8"/>
  </w:num>
  <w:num w:numId="21" w16cid:durableId="647712462">
    <w:abstractNumId w:val="11"/>
  </w:num>
  <w:num w:numId="22" w16cid:durableId="2130204214">
    <w:abstractNumId w:val="34"/>
  </w:num>
  <w:num w:numId="23" w16cid:durableId="1866552006">
    <w:abstractNumId w:val="32"/>
  </w:num>
  <w:num w:numId="24" w16cid:durableId="1536115484">
    <w:abstractNumId w:val="37"/>
  </w:num>
  <w:num w:numId="25" w16cid:durableId="363988700">
    <w:abstractNumId w:val="33"/>
  </w:num>
  <w:num w:numId="26" w16cid:durableId="1986008324">
    <w:abstractNumId w:val="5"/>
  </w:num>
  <w:num w:numId="27" w16cid:durableId="703015847">
    <w:abstractNumId w:val="31"/>
  </w:num>
  <w:num w:numId="28" w16cid:durableId="1700079905">
    <w:abstractNumId w:val="38"/>
  </w:num>
  <w:num w:numId="29" w16cid:durableId="2054844136">
    <w:abstractNumId w:val="10"/>
  </w:num>
  <w:num w:numId="30" w16cid:durableId="1894391700">
    <w:abstractNumId w:val="23"/>
  </w:num>
  <w:num w:numId="31" w16cid:durableId="1764301139">
    <w:abstractNumId w:val="2"/>
  </w:num>
  <w:num w:numId="32" w16cid:durableId="1676031573">
    <w:abstractNumId w:val="26"/>
  </w:num>
  <w:num w:numId="33" w16cid:durableId="1579167684">
    <w:abstractNumId w:val="1"/>
  </w:num>
  <w:num w:numId="34" w16cid:durableId="2097433236">
    <w:abstractNumId w:val="17"/>
  </w:num>
  <w:num w:numId="35" w16cid:durableId="1865433919">
    <w:abstractNumId w:val="9"/>
  </w:num>
  <w:num w:numId="36" w16cid:durableId="433326254">
    <w:abstractNumId w:val="13"/>
  </w:num>
  <w:num w:numId="37" w16cid:durableId="2106031209">
    <w:abstractNumId w:val="39"/>
  </w:num>
  <w:num w:numId="38" w16cid:durableId="604391010">
    <w:abstractNumId w:val="24"/>
  </w:num>
  <w:num w:numId="39" w16cid:durableId="2045056466">
    <w:abstractNumId w:val="27"/>
  </w:num>
  <w:num w:numId="40" w16cid:durableId="1786149428">
    <w:abstractNumId w:val="20"/>
  </w:num>
  <w:num w:numId="41" w16cid:durableId="1522236628">
    <w:abstractNumId w:val="12"/>
  </w:num>
  <w:num w:numId="42" w16cid:durableId="180433027">
    <w:abstractNumId w:val="35"/>
  </w:num>
  <w:num w:numId="43" w16cid:durableId="1986280081">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fs02fx0z2zp6e952vx05x6apzvrsff25fa&quot;&gt;Oma economics&lt;record-ids&gt;&lt;item&gt;2&lt;/item&gt;&lt;item&gt;3&lt;/item&gt;&lt;item&gt;4&lt;/item&gt;&lt;item&gt;5&lt;/item&gt;&lt;item&gt;6&lt;/item&gt;&lt;item&gt;7&lt;/item&gt;&lt;item&gt;8&lt;/item&gt;&lt;item&gt;9&lt;/item&gt;&lt;item&gt;10&lt;/item&gt;&lt;item&gt;12&lt;/item&gt;&lt;item&gt;13&lt;/item&gt;&lt;item&gt;14&lt;/item&gt;&lt;item&gt;15&lt;/item&gt;&lt;/record-ids&gt;&lt;/item&gt;&lt;/Libraries&gt;"/>
  </w:docVars>
  <w:rsids>
    <w:rsidRoot w:val="00E65E79"/>
    <w:rsid w:val="00000790"/>
    <w:rsid w:val="0000085E"/>
    <w:rsid w:val="0000110B"/>
    <w:rsid w:val="00001159"/>
    <w:rsid w:val="000012DA"/>
    <w:rsid w:val="00002C42"/>
    <w:rsid w:val="00003499"/>
    <w:rsid w:val="000038E6"/>
    <w:rsid w:val="000039B7"/>
    <w:rsid w:val="00005048"/>
    <w:rsid w:val="000053C3"/>
    <w:rsid w:val="000053E0"/>
    <w:rsid w:val="000056B9"/>
    <w:rsid w:val="0000639A"/>
    <w:rsid w:val="00006489"/>
    <w:rsid w:val="00006798"/>
    <w:rsid w:val="00007D71"/>
    <w:rsid w:val="00007FB1"/>
    <w:rsid w:val="00010CBF"/>
    <w:rsid w:val="00010EA7"/>
    <w:rsid w:val="00010F5F"/>
    <w:rsid w:val="00012777"/>
    <w:rsid w:val="000129EA"/>
    <w:rsid w:val="00013247"/>
    <w:rsid w:val="00014662"/>
    <w:rsid w:val="00014B0C"/>
    <w:rsid w:val="00014E3F"/>
    <w:rsid w:val="00015886"/>
    <w:rsid w:val="00015CF0"/>
    <w:rsid w:val="000162EF"/>
    <w:rsid w:val="000166F6"/>
    <w:rsid w:val="00016E9A"/>
    <w:rsid w:val="00016F0E"/>
    <w:rsid w:val="00017016"/>
    <w:rsid w:val="00017E99"/>
    <w:rsid w:val="00020569"/>
    <w:rsid w:val="000207C9"/>
    <w:rsid w:val="00020C48"/>
    <w:rsid w:val="00021113"/>
    <w:rsid w:val="0002200D"/>
    <w:rsid w:val="0002225F"/>
    <w:rsid w:val="0002279D"/>
    <w:rsid w:val="0002364D"/>
    <w:rsid w:val="00023763"/>
    <w:rsid w:val="00023E08"/>
    <w:rsid w:val="00024181"/>
    <w:rsid w:val="00024EB5"/>
    <w:rsid w:val="0002643D"/>
    <w:rsid w:val="00026B43"/>
    <w:rsid w:val="000274B8"/>
    <w:rsid w:val="0003062A"/>
    <w:rsid w:val="00030FE7"/>
    <w:rsid w:val="0003138A"/>
    <w:rsid w:val="0003194F"/>
    <w:rsid w:val="00031FA2"/>
    <w:rsid w:val="000320A8"/>
    <w:rsid w:val="00032B39"/>
    <w:rsid w:val="00032D6C"/>
    <w:rsid w:val="000334D8"/>
    <w:rsid w:val="00033863"/>
    <w:rsid w:val="000339F6"/>
    <w:rsid w:val="00035C0C"/>
    <w:rsid w:val="00035DC0"/>
    <w:rsid w:val="00035F39"/>
    <w:rsid w:val="0003610C"/>
    <w:rsid w:val="00036829"/>
    <w:rsid w:val="00040419"/>
    <w:rsid w:val="00040895"/>
    <w:rsid w:val="00040B92"/>
    <w:rsid w:val="000410A0"/>
    <w:rsid w:val="000412A5"/>
    <w:rsid w:val="0004134E"/>
    <w:rsid w:val="00041508"/>
    <w:rsid w:val="0004287B"/>
    <w:rsid w:val="0004334D"/>
    <w:rsid w:val="000435EE"/>
    <w:rsid w:val="00043C37"/>
    <w:rsid w:val="00043F14"/>
    <w:rsid w:val="000449D0"/>
    <w:rsid w:val="00045017"/>
    <w:rsid w:val="00045A2B"/>
    <w:rsid w:val="0004698F"/>
    <w:rsid w:val="00046D64"/>
    <w:rsid w:val="000508C2"/>
    <w:rsid w:val="000539D0"/>
    <w:rsid w:val="00054621"/>
    <w:rsid w:val="000546D7"/>
    <w:rsid w:val="00054A8D"/>
    <w:rsid w:val="00055ABE"/>
    <w:rsid w:val="00055DE9"/>
    <w:rsid w:val="0005644B"/>
    <w:rsid w:val="000567FE"/>
    <w:rsid w:val="00056E30"/>
    <w:rsid w:val="00056ECF"/>
    <w:rsid w:val="00057E12"/>
    <w:rsid w:val="00057F15"/>
    <w:rsid w:val="000601F6"/>
    <w:rsid w:val="000604DF"/>
    <w:rsid w:val="000605BF"/>
    <w:rsid w:val="00060E10"/>
    <w:rsid w:val="000611C4"/>
    <w:rsid w:val="00061241"/>
    <w:rsid w:val="000615AA"/>
    <w:rsid w:val="000621A5"/>
    <w:rsid w:val="00062324"/>
    <w:rsid w:val="00062EA9"/>
    <w:rsid w:val="000632DB"/>
    <w:rsid w:val="00063BEB"/>
    <w:rsid w:val="000648BF"/>
    <w:rsid w:val="00064EA7"/>
    <w:rsid w:val="0006532C"/>
    <w:rsid w:val="000653B5"/>
    <w:rsid w:val="000655C5"/>
    <w:rsid w:val="00065B61"/>
    <w:rsid w:val="00066360"/>
    <w:rsid w:val="0006668D"/>
    <w:rsid w:val="00066891"/>
    <w:rsid w:val="00066AF8"/>
    <w:rsid w:val="00070DED"/>
    <w:rsid w:val="00071005"/>
    <w:rsid w:val="00071248"/>
    <w:rsid w:val="00071FC3"/>
    <w:rsid w:val="000720B9"/>
    <w:rsid w:val="00072AA0"/>
    <w:rsid w:val="00072F9F"/>
    <w:rsid w:val="000733F3"/>
    <w:rsid w:val="000737F7"/>
    <w:rsid w:val="00073EE2"/>
    <w:rsid w:val="00073F12"/>
    <w:rsid w:val="0007456F"/>
    <w:rsid w:val="00074896"/>
    <w:rsid w:val="00075D4F"/>
    <w:rsid w:val="00076168"/>
    <w:rsid w:val="000764A0"/>
    <w:rsid w:val="0007672F"/>
    <w:rsid w:val="00076B54"/>
    <w:rsid w:val="000772C4"/>
    <w:rsid w:val="000774F0"/>
    <w:rsid w:val="00080176"/>
    <w:rsid w:val="00080909"/>
    <w:rsid w:val="000811C5"/>
    <w:rsid w:val="000812CA"/>
    <w:rsid w:val="0008150C"/>
    <w:rsid w:val="0008170D"/>
    <w:rsid w:val="00081752"/>
    <w:rsid w:val="00081E63"/>
    <w:rsid w:val="0008258D"/>
    <w:rsid w:val="000829F0"/>
    <w:rsid w:val="00082C15"/>
    <w:rsid w:val="00082C60"/>
    <w:rsid w:val="00083329"/>
    <w:rsid w:val="00083360"/>
    <w:rsid w:val="00083893"/>
    <w:rsid w:val="00083E99"/>
    <w:rsid w:val="000841EC"/>
    <w:rsid w:val="00084FA8"/>
    <w:rsid w:val="0008548D"/>
    <w:rsid w:val="000856C5"/>
    <w:rsid w:val="00085720"/>
    <w:rsid w:val="000857D5"/>
    <w:rsid w:val="00085C31"/>
    <w:rsid w:val="00087582"/>
    <w:rsid w:val="00087DD1"/>
    <w:rsid w:val="000902D9"/>
    <w:rsid w:val="000904FD"/>
    <w:rsid w:val="00090C7E"/>
    <w:rsid w:val="000911AC"/>
    <w:rsid w:val="000916E1"/>
    <w:rsid w:val="00091782"/>
    <w:rsid w:val="00092600"/>
    <w:rsid w:val="0009262B"/>
    <w:rsid w:val="00093099"/>
    <w:rsid w:val="00093310"/>
    <w:rsid w:val="0009445C"/>
    <w:rsid w:val="000947B8"/>
    <w:rsid w:val="00095200"/>
    <w:rsid w:val="00095585"/>
    <w:rsid w:val="00095914"/>
    <w:rsid w:val="00095D8A"/>
    <w:rsid w:val="00095FE5"/>
    <w:rsid w:val="00096284"/>
    <w:rsid w:val="0009767D"/>
    <w:rsid w:val="000A0ED1"/>
    <w:rsid w:val="000A1BC0"/>
    <w:rsid w:val="000A1E98"/>
    <w:rsid w:val="000A234F"/>
    <w:rsid w:val="000A2496"/>
    <w:rsid w:val="000A2874"/>
    <w:rsid w:val="000A2B8D"/>
    <w:rsid w:val="000A2E56"/>
    <w:rsid w:val="000A2F9E"/>
    <w:rsid w:val="000A3479"/>
    <w:rsid w:val="000A3E47"/>
    <w:rsid w:val="000A419D"/>
    <w:rsid w:val="000A44DF"/>
    <w:rsid w:val="000A4FA9"/>
    <w:rsid w:val="000A4FC4"/>
    <w:rsid w:val="000A522B"/>
    <w:rsid w:val="000A6039"/>
    <w:rsid w:val="000A7453"/>
    <w:rsid w:val="000A7D08"/>
    <w:rsid w:val="000B0121"/>
    <w:rsid w:val="000B0165"/>
    <w:rsid w:val="000B0670"/>
    <w:rsid w:val="000B0B11"/>
    <w:rsid w:val="000B0B39"/>
    <w:rsid w:val="000B0E75"/>
    <w:rsid w:val="000B1469"/>
    <w:rsid w:val="000B25A3"/>
    <w:rsid w:val="000B29AB"/>
    <w:rsid w:val="000B2DCB"/>
    <w:rsid w:val="000B2F5D"/>
    <w:rsid w:val="000B3071"/>
    <w:rsid w:val="000B3F79"/>
    <w:rsid w:val="000B5809"/>
    <w:rsid w:val="000B5CE0"/>
    <w:rsid w:val="000B6CAC"/>
    <w:rsid w:val="000B72C9"/>
    <w:rsid w:val="000B7612"/>
    <w:rsid w:val="000B7691"/>
    <w:rsid w:val="000B7818"/>
    <w:rsid w:val="000B78AE"/>
    <w:rsid w:val="000B798D"/>
    <w:rsid w:val="000C02EA"/>
    <w:rsid w:val="000C1ADA"/>
    <w:rsid w:val="000C24A8"/>
    <w:rsid w:val="000C2902"/>
    <w:rsid w:val="000C331E"/>
    <w:rsid w:val="000C39C8"/>
    <w:rsid w:val="000C3DF9"/>
    <w:rsid w:val="000C4CF2"/>
    <w:rsid w:val="000C6713"/>
    <w:rsid w:val="000C7442"/>
    <w:rsid w:val="000D13D0"/>
    <w:rsid w:val="000D14A8"/>
    <w:rsid w:val="000D1BFC"/>
    <w:rsid w:val="000D1D5D"/>
    <w:rsid w:val="000D25DA"/>
    <w:rsid w:val="000D281A"/>
    <w:rsid w:val="000D2848"/>
    <w:rsid w:val="000D326A"/>
    <w:rsid w:val="000D3559"/>
    <w:rsid w:val="000D4488"/>
    <w:rsid w:val="000D4660"/>
    <w:rsid w:val="000D47D1"/>
    <w:rsid w:val="000D51FB"/>
    <w:rsid w:val="000D5879"/>
    <w:rsid w:val="000D59C3"/>
    <w:rsid w:val="000D6244"/>
    <w:rsid w:val="000D62E1"/>
    <w:rsid w:val="000D6DC0"/>
    <w:rsid w:val="000E0640"/>
    <w:rsid w:val="000E0864"/>
    <w:rsid w:val="000E100E"/>
    <w:rsid w:val="000E1090"/>
    <w:rsid w:val="000E135D"/>
    <w:rsid w:val="000E1508"/>
    <w:rsid w:val="000E18B3"/>
    <w:rsid w:val="000E2945"/>
    <w:rsid w:val="000E2B57"/>
    <w:rsid w:val="000E34F3"/>
    <w:rsid w:val="000E35E6"/>
    <w:rsid w:val="000E3BB0"/>
    <w:rsid w:val="000E4649"/>
    <w:rsid w:val="000E5118"/>
    <w:rsid w:val="000E6521"/>
    <w:rsid w:val="000E660D"/>
    <w:rsid w:val="000E6733"/>
    <w:rsid w:val="000E6920"/>
    <w:rsid w:val="000E6A73"/>
    <w:rsid w:val="000F00BA"/>
    <w:rsid w:val="000F02AB"/>
    <w:rsid w:val="000F0DD5"/>
    <w:rsid w:val="000F11E7"/>
    <w:rsid w:val="000F1B7E"/>
    <w:rsid w:val="000F1D1B"/>
    <w:rsid w:val="000F2191"/>
    <w:rsid w:val="000F297B"/>
    <w:rsid w:val="000F29A9"/>
    <w:rsid w:val="000F316A"/>
    <w:rsid w:val="000F3B76"/>
    <w:rsid w:val="000F3C74"/>
    <w:rsid w:val="000F4027"/>
    <w:rsid w:val="000F4BB8"/>
    <w:rsid w:val="000F4FA9"/>
    <w:rsid w:val="000F53FB"/>
    <w:rsid w:val="000F58F0"/>
    <w:rsid w:val="000F58FD"/>
    <w:rsid w:val="000F595E"/>
    <w:rsid w:val="000F7127"/>
    <w:rsid w:val="000F717B"/>
    <w:rsid w:val="000F7B54"/>
    <w:rsid w:val="00100006"/>
    <w:rsid w:val="001000B3"/>
    <w:rsid w:val="00100227"/>
    <w:rsid w:val="00100462"/>
    <w:rsid w:val="00100B06"/>
    <w:rsid w:val="00100F8A"/>
    <w:rsid w:val="001020C0"/>
    <w:rsid w:val="00102754"/>
    <w:rsid w:val="00102AF4"/>
    <w:rsid w:val="0010398C"/>
    <w:rsid w:val="00103DBF"/>
    <w:rsid w:val="00104081"/>
    <w:rsid w:val="0010452E"/>
    <w:rsid w:val="00105AE2"/>
    <w:rsid w:val="00105E03"/>
    <w:rsid w:val="001060C6"/>
    <w:rsid w:val="00106904"/>
    <w:rsid w:val="00106B80"/>
    <w:rsid w:val="001076DA"/>
    <w:rsid w:val="0011032E"/>
    <w:rsid w:val="00110B29"/>
    <w:rsid w:val="00110C08"/>
    <w:rsid w:val="00110EDE"/>
    <w:rsid w:val="00112276"/>
    <w:rsid w:val="0011348B"/>
    <w:rsid w:val="00113A14"/>
    <w:rsid w:val="00113FBC"/>
    <w:rsid w:val="00114BE1"/>
    <w:rsid w:val="00115982"/>
    <w:rsid w:val="00115DCA"/>
    <w:rsid w:val="00116C53"/>
    <w:rsid w:val="00116EC6"/>
    <w:rsid w:val="00116FD4"/>
    <w:rsid w:val="00117112"/>
    <w:rsid w:val="001202EB"/>
    <w:rsid w:val="00120D2D"/>
    <w:rsid w:val="00120D4C"/>
    <w:rsid w:val="00121799"/>
    <w:rsid w:val="001222FC"/>
    <w:rsid w:val="00122B39"/>
    <w:rsid w:val="00122BCF"/>
    <w:rsid w:val="00122BE8"/>
    <w:rsid w:val="00122DD1"/>
    <w:rsid w:val="00123773"/>
    <w:rsid w:val="00123902"/>
    <w:rsid w:val="00123CD2"/>
    <w:rsid w:val="00123D6B"/>
    <w:rsid w:val="00123F83"/>
    <w:rsid w:val="00124A51"/>
    <w:rsid w:val="00124D45"/>
    <w:rsid w:val="001250F1"/>
    <w:rsid w:val="00126621"/>
    <w:rsid w:val="00126870"/>
    <w:rsid w:val="00126B1D"/>
    <w:rsid w:val="00127D82"/>
    <w:rsid w:val="001301E9"/>
    <w:rsid w:val="00131440"/>
    <w:rsid w:val="00131620"/>
    <w:rsid w:val="00131621"/>
    <w:rsid w:val="00131D82"/>
    <w:rsid w:val="00132010"/>
    <w:rsid w:val="001322D5"/>
    <w:rsid w:val="00132B22"/>
    <w:rsid w:val="00133741"/>
    <w:rsid w:val="0013387B"/>
    <w:rsid w:val="00133A63"/>
    <w:rsid w:val="00133D36"/>
    <w:rsid w:val="00134246"/>
    <w:rsid w:val="00134D44"/>
    <w:rsid w:val="00136275"/>
    <w:rsid w:val="00136B2A"/>
    <w:rsid w:val="001375C7"/>
    <w:rsid w:val="00137645"/>
    <w:rsid w:val="0014015A"/>
    <w:rsid w:val="001404E6"/>
    <w:rsid w:val="00140E99"/>
    <w:rsid w:val="00141284"/>
    <w:rsid w:val="00142715"/>
    <w:rsid w:val="00142C66"/>
    <w:rsid w:val="00143A2B"/>
    <w:rsid w:val="00143C8A"/>
    <w:rsid w:val="00143E9B"/>
    <w:rsid w:val="00143F67"/>
    <w:rsid w:val="0014470B"/>
    <w:rsid w:val="00144F34"/>
    <w:rsid w:val="00145234"/>
    <w:rsid w:val="00145464"/>
    <w:rsid w:val="00145516"/>
    <w:rsid w:val="00145540"/>
    <w:rsid w:val="001455A8"/>
    <w:rsid w:val="001456B0"/>
    <w:rsid w:val="00145813"/>
    <w:rsid w:val="00145D3E"/>
    <w:rsid w:val="00145E0F"/>
    <w:rsid w:val="00146005"/>
    <w:rsid w:val="00146713"/>
    <w:rsid w:val="001468B1"/>
    <w:rsid w:val="001472AF"/>
    <w:rsid w:val="00150B73"/>
    <w:rsid w:val="00150CC5"/>
    <w:rsid w:val="0015152A"/>
    <w:rsid w:val="0015159A"/>
    <w:rsid w:val="001515B8"/>
    <w:rsid w:val="0015176F"/>
    <w:rsid w:val="00151972"/>
    <w:rsid w:val="001524E4"/>
    <w:rsid w:val="00152C08"/>
    <w:rsid w:val="001530F9"/>
    <w:rsid w:val="001547AB"/>
    <w:rsid w:val="00155050"/>
    <w:rsid w:val="001550DF"/>
    <w:rsid w:val="001553ED"/>
    <w:rsid w:val="00155490"/>
    <w:rsid w:val="0015578E"/>
    <w:rsid w:val="00156F8F"/>
    <w:rsid w:val="00157130"/>
    <w:rsid w:val="00157283"/>
    <w:rsid w:val="001576B1"/>
    <w:rsid w:val="00160101"/>
    <w:rsid w:val="0016047B"/>
    <w:rsid w:val="00160A4C"/>
    <w:rsid w:val="00160F5C"/>
    <w:rsid w:val="00161044"/>
    <w:rsid w:val="001614F0"/>
    <w:rsid w:val="00161B4D"/>
    <w:rsid w:val="00162913"/>
    <w:rsid w:val="0016313F"/>
    <w:rsid w:val="00163EFF"/>
    <w:rsid w:val="00163F66"/>
    <w:rsid w:val="0016478E"/>
    <w:rsid w:val="00164B2B"/>
    <w:rsid w:val="00165215"/>
    <w:rsid w:val="00165914"/>
    <w:rsid w:val="00165EC4"/>
    <w:rsid w:val="001661FB"/>
    <w:rsid w:val="0016650F"/>
    <w:rsid w:val="00167160"/>
    <w:rsid w:val="001671A0"/>
    <w:rsid w:val="0016767F"/>
    <w:rsid w:val="001678F3"/>
    <w:rsid w:val="00170069"/>
    <w:rsid w:val="00170367"/>
    <w:rsid w:val="00170B38"/>
    <w:rsid w:val="00171451"/>
    <w:rsid w:val="001717B3"/>
    <w:rsid w:val="00171B6E"/>
    <w:rsid w:val="00171E7C"/>
    <w:rsid w:val="0017246E"/>
    <w:rsid w:val="0017283A"/>
    <w:rsid w:val="00173565"/>
    <w:rsid w:val="00173B07"/>
    <w:rsid w:val="00173ED0"/>
    <w:rsid w:val="00174000"/>
    <w:rsid w:val="00174A6F"/>
    <w:rsid w:val="00174D41"/>
    <w:rsid w:val="0017504E"/>
    <w:rsid w:val="001751FA"/>
    <w:rsid w:val="00175231"/>
    <w:rsid w:val="0017550A"/>
    <w:rsid w:val="0017569E"/>
    <w:rsid w:val="00175CD8"/>
    <w:rsid w:val="00175DB9"/>
    <w:rsid w:val="0017716B"/>
    <w:rsid w:val="00181C10"/>
    <w:rsid w:val="00181C74"/>
    <w:rsid w:val="00181D9C"/>
    <w:rsid w:val="00182424"/>
    <w:rsid w:val="00182E3A"/>
    <w:rsid w:val="001830CA"/>
    <w:rsid w:val="001837FF"/>
    <w:rsid w:val="00183B83"/>
    <w:rsid w:val="00184B0E"/>
    <w:rsid w:val="0018561C"/>
    <w:rsid w:val="0018581C"/>
    <w:rsid w:val="00186128"/>
    <w:rsid w:val="0018752F"/>
    <w:rsid w:val="0019046B"/>
    <w:rsid w:val="0019060E"/>
    <w:rsid w:val="00190B70"/>
    <w:rsid w:val="001912F2"/>
    <w:rsid w:val="00191604"/>
    <w:rsid w:val="00191B21"/>
    <w:rsid w:val="0019219F"/>
    <w:rsid w:val="00193111"/>
    <w:rsid w:val="00193838"/>
    <w:rsid w:val="00194306"/>
    <w:rsid w:val="00194645"/>
    <w:rsid w:val="00194AD8"/>
    <w:rsid w:val="00195222"/>
    <w:rsid w:val="00195452"/>
    <w:rsid w:val="00195648"/>
    <w:rsid w:val="00195EA5"/>
    <w:rsid w:val="001963F3"/>
    <w:rsid w:val="001975C4"/>
    <w:rsid w:val="001975D8"/>
    <w:rsid w:val="001A02C6"/>
    <w:rsid w:val="001A1174"/>
    <w:rsid w:val="001A178E"/>
    <w:rsid w:val="001A37A3"/>
    <w:rsid w:val="001A3D64"/>
    <w:rsid w:val="001A43FA"/>
    <w:rsid w:val="001A47C5"/>
    <w:rsid w:val="001A4991"/>
    <w:rsid w:val="001A4C01"/>
    <w:rsid w:val="001A59FB"/>
    <w:rsid w:val="001A5B53"/>
    <w:rsid w:val="001A5B6B"/>
    <w:rsid w:val="001A5E9E"/>
    <w:rsid w:val="001A6236"/>
    <w:rsid w:val="001A6354"/>
    <w:rsid w:val="001A6366"/>
    <w:rsid w:val="001A6E65"/>
    <w:rsid w:val="001A7643"/>
    <w:rsid w:val="001A7AE8"/>
    <w:rsid w:val="001A7BBB"/>
    <w:rsid w:val="001B0C27"/>
    <w:rsid w:val="001B137C"/>
    <w:rsid w:val="001B1DE0"/>
    <w:rsid w:val="001B204E"/>
    <w:rsid w:val="001B2372"/>
    <w:rsid w:val="001B2F90"/>
    <w:rsid w:val="001B3443"/>
    <w:rsid w:val="001B4049"/>
    <w:rsid w:val="001B4D20"/>
    <w:rsid w:val="001B4F1B"/>
    <w:rsid w:val="001B5866"/>
    <w:rsid w:val="001B64E4"/>
    <w:rsid w:val="001B69E2"/>
    <w:rsid w:val="001B7844"/>
    <w:rsid w:val="001B7C64"/>
    <w:rsid w:val="001B7F84"/>
    <w:rsid w:val="001C01E8"/>
    <w:rsid w:val="001C1D64"/>
    <w:rsid w:val="001C2A9B"/>
    <w:rsid w:val="001C2F1C"/>
    <w:rsid w:val="001C3177"/>
    <w:rsid w:val="001C3DD6"/>
    <w:rsid w:val="001C4299"/>
    <w:rsid w:val="001C4571"/>
    <w:rsid w:val="001C4874"/>
    <w:rsid w:val="001C5126"/>
    <w:rsid w:val="001C540F"/>
    <w:rsid w:val="001C5930"/>
    <w:rsid w:val="001C5F94"/>
    <w:rsid w:val="001C6668"/>
    <w:rsid w:val="001C66F8"/>
    <w:rsid w:val="001C6E66"/>
    <w:rsid w:val="001D01E7"/>
    <w:rsid w:val="001D0668"/>
    <w:rsid w:val="001D067A"/>
    <w:rsid w:val="001D0CD4"/>
    <w:rsid w:val="001D0EB8"/>
    <w:rsid w:val="001D1100"/>
    <w:rsid w:val="001D1391"/>
    <w:rsid w:val="001D15C2"/>
    <w:rsid w:val="001D1D7F"/>
    <w:rsid w:val="001D1F38"/>
    <w:rsid w:val="001D2172"/>
    <w:rsid w:val="001D258F"/>
    <w:rsid w:val="001D25D7"/>
    <w:rsid w:val="001D2784"/>
    <w:rsid w:val="001D29FF"/>
    <w:rsid w:val="001D2FB8"/>
    <w:rsid w:val="001D30F9"/>
    <w:rsid w:val="001D4762"/>
    <w:rsid w:val="001D4DDA"/>
    <w:rsid w:val="001D50B2"/>
    <w:rsid w:val="001D566D"/>
    <w:rsid w:val="001D5F80"/>
    <w:rsid w:val="001D6817"/>
    <w:rsid w:val="001D69A8"/>
    <w:rsid w:val="001D70A9"/>
    <w:rsid w:val="001D71F4"/>
    <w:rsid w:val="001D7645"/>
    <w:rsid w:val="001D7A28"/>
    <w:rsid w:val="001E06B1"/>
    <w:rsid w:val="001E0871"/>
    <w:rsid w:val="001E087B"/>
    <w:rsid w:val="001E154E"/>
    <w:rsid w:val="001E16EB"/>
    <w:rsid w:val="001E1E86"/>
    <w:rsid w:val="001E238E"/>
    <w:rsid w:val="001E2483"/>
    <w:rsid w:val="001E2B1E"/>
    <w:rsid w:val="001E2CFF"/>
    <w:rsid w:val="001E2F24"/>
    <w:rsid w:val="001E30D4"/>
    <w:rsid w:val="001E310D"/>
    <w:rsid w:val="001E322C"/>
    <w:rsid w:val="001E34DF"/>
    <w:rsid w:val="001E4B48"/>
    <w:rsid w:val="001E4B8B"/>
    <w:rsid w:val="001E4BFE"/>
    <w:rsid w:val="001E4F83"/>
    <w:rsid w:val="001E52EB"/>
    <w:rsid w:val="001E553A"/>
    <w:rsid w:val="001E5B5A"/>
    <w:rsid w:val="001E61D2"/>
    <w:rsid w:val="001E6946"/>
    <w:rsid w:val="001E70ED"/>
    <w:rsid w:val="001E73D5"/>
    <w:rsid w:val="001E740C"/>
    <w:rsid w:val="001E7836"/>
    <w:rsid w:val="001E7A18"/>
    <w:rsid w:val="001F0278"/>
    <w:rsid w:val="001F0EDD"/>
    <w:rsid w:val="001F1235"/>
    <w:rsid w:val="001F12CD"/>
    <w:rsid w:val="001F1AC2"/>
    <w:rsid w:val="001F1CB3"/>
    <w:rsid w:val="001F25ED"/>
    <w:rsid w:val="001F38B5"/>
    <w:rsid w:val="001F3F77"/>
    <w:rsid w:val="001F4081"/>
    <w:rsid w:val="001F40F7"/>
    <w:rsid w:val="001F45A0"/>
    <w:rsid w:val="001F52CC"/>
    <w:rsid w:val="001F5B36"/>
    <w:rsid w:val="001F6322"/>
    <w:rsid w:val="001F6604"/>
    <w:rsid w:val="001F7361"/>
    <w:rsid w:val="001F7B35"/>
    <w:rsid w:val="00200768"/>
    <w:rsid w:val="002011B0"/>
    <w:rsid w:val="00201740"/>
    <w:rsid w:val="00203039"/>
    <w:rsid w:val="00203181"/>
    <w:rsid w:val="00203783"/>
    <w:rsid w:val="0020385F"/>
    <w:rsid w:val="0020390E"/>
    <w:rsid w:val="00203F37"/>
    <w:rsid w:val="00204618"/>
    <w:rsid w:val="00204726"/>
    <w:rsid w:val="0020675C"/>
    <w:rsid w:val="002068A0"/>
    <w:rsid w:val="00207021"/>
    <w:rsid w:val="0020732F"/>
    <w:rsid w:val="00207D00"/>
    <w:rsid w:val="002105C1"/>
    <w:rsid w:val="00210D05"/>
    <w:rsid w:val="00210E95"/>
    <w:rsid w:val="002116FD"/>
    <w:rsid w:val="0021283D"/>
    <w:rsid w:val="00213729"/>
    <w:rsid w:val="00213DDE"/>
    <w:rsid w:val="00213EF5"/>
    <w:rsid w:val="002164B7"/>
    <w:rsid w:val="00216BF5"/>
    <w:rsid w:val="00216E58"/>
    <w:rsid w:val="00220C62"/>
    <w:rsid w:val="00222170"/>
    <w:rsid w:val="00222835"/>
    <w:rsid w:val="002233CD"/>
    <w:rsid w:val="00223B49"/>
    <w:rsid w:val="00223D5A"/>
    <w:rsid w:val="00224431"/>
    <w:rsid w:val="00224DD4"/>
    <w:rsid w:val="00224F75"/>
    <w:rsid w:val="00224FA6"/>
    <w:rsid w:val="0022568E"/>
    <w:rsid w:val="00225D08"/>
    <w:rsid w:val="00227625"/>
    <w:rsid w:val="002278A0"/>
    <w:rsid w:val="002278E7"/>
    <w:rsid w:val="00227A64"/>
    <w:rsid w:val="002309CC"/>
    <w:rsid w:val="00231BA9"/>
    <w:rsid w:val="0023202C"/>
    <w:rsid w:val="0023209F"/>
    <w:rsid w:val="0023255A"/>
    <w:rsid w:val="00233C01"/>
    <w:rsid w:val="00233D44"/>
    <w:rsid w:val="00233ED8"/>
    <w:rsid w:val="0023413C"/>
    <w:rsid w:val="0023433D"/>
    <w:rsid w:val="002346F0"/>
    <w:rsid w:val="00234709"/>
    <w:rsid w:val="002353A1"/>
    <w:rsid w:val="00235825"/>
    <w:rsid w:val="00235F4D"/>
    <w:rsid w:val="0023628D"/>
    <w:rsid w:val="0023629D"/>
    <w:rsid w:val="00236BDC"/>
    <w:rsid w:val="00237255"/>
    <w:rsid w:val="00237F9F"/>
    <w:rsid w:val="00240792"/>
    <w:rsid w:val="00240D88"/>
    <w:rsid w:val="0024152A"/>
    <w:rsid w:val="00242022"/>
    <w:rsid w:val="002424AF"/>
    <w:rsid w:val="002427E0"/>
    <w:rsid w:val="00242B05"/>
    <w:rsid w:val="00242DB6"/>
    <w:rsid w:val="0024339A"/>
    <w:rsid w:val="002439DC"/>
    <w:rsid w:val="002441D2"/>
    <w:rsid w:val="00244DC8"/>
    <w:rsid w:val="00245592"/>
    <w:rsid w:val="002458BA"/>
    <w:rsid w:val="00245CE9"/>
    <w:rsid w:val="0024636C"/>
    <w:rsid w:val="0024680F"/>
    <w:rsid w:val="00246BF5"/>
    <w:rsid w:val="00247009"/>
    <w:rsid w:val="0024752D"/>
    <w:rsid w:val="0024789A"/>
    <w:rsid w:val="00247925"/>
    <w:rsid w:val="00250475"/>
    <w:rsid w:val="00250E18"/>
    <w:rsid w:val="00250E6E"/>
    <w:rsid w:val="00251006"/>
    <w:rsid w:val="00251946"/>
    <w:rsid w:val="00251CF7"/>
    <w:rsid w:val="00251D21"/>
    <w:rsid w:val="00252045"/>
    <w:rsid w:val="002524D5"/>
    <w:rsid w:val="002538D5"/>
    <w:rsid w:val="00253B1D"/>
    <w:rsid w:val="00254DCF"/>
    <w:rsid w:val="0025534B"/>
    <w:rsid w:val="00255BB7"/>
    <w:rsid w:val="00255C5F"/>
    <w:rsid w:val="00256262"/>
    <w:rsid w:val="00256273"/>
    <w:rsid w:val="00256A37"/>
    <w:rsid w:val="00257031"/>
    <w:rsid w:val="00257541"/>
    <w:rsid w:val="00257A39"/>
    <w:rsid w:val="00257AC4"/>
    <w:rsid w:val="00257BBE"/>
    <w:rsid w:val="00257EF7"/>
    <w:rsid w:val="00257FAB"/>
    <w:rsid w:val="002613E9"/>
    <w:rsid w:val="00261764"/>
    <w:rsid w:val="002617BD"/>
    <w:rsid w:val="00261A25"/>
    <w:rsid w:val="00261D27"/>
    <w:rsid w:val="00261D97"/>
    <w:rsid w:val="00261EEF"/>
    <w:rsid w:val="00262A1A"/>
    <w:rsid w:val="00262A87"/>
    <w:rsid w:val="00264B4F"/>
    <w:rsid w:val="00264C8E"/>
    <w:rsid w:val="00264D26"/>
    <w:rsid w:val="00265652"/>
    <w:rsid w:val="00266534"/>
    <w:rsid w:val="00267642"/>
    <w:rsid w:val="0026792B"/>
    <w:rsid w:val="00267AEA"/>
    <w:rsid w:val="002700E6"/>
    <w:rsid w:val="002703B4"/>
    <w:rsid w:val="00270AB5"/>
    <w:rsid w:val="0027175E"/>
    <w:rsid w:val="0027178D"/>
    <w:rsid w:val="00272674"/>
    <w:rsid w:val="0027294B"/>
    <w:rsid w:val="00272B4B"/>
    <w:rsid w:val="00273337"/>
    <w:rsid w:val="00273842"/>
    <w:rsid w:val="00273A7E"/>
    <w:rsid w:val="00273C20"/>
    <w:rsid w:val="00273DB7"/>
    <w:rsid w:val="00273EB4"/>
    <w:rsid w:val="002745F1"/>
    <w:rsid w:val="00274682"/>
    <w:rsid w:val="0027493C"/>
    <w:rsid w:val="0027496F"/>
    <w:rsid w:val="00274C66"/>
    <w:rsid w:val="00275158"/>
    <w:rsid w:val="00275C5A"/>
    <w:rsid w:val="002768E3"/>
    <w:rsid w:val="00277F82"/>
    <w:rsid w:val="002800CD"/>
    <w:rsid w:val="00280321"/>
    <w:rsid w:val="00281014"/>
    <w:rsid w:val="0028161F"/>
    <w:rsid w:val="002816CF"/>
    <w:rsid w:val="002824B5"/>
    <w:rsid w:val="002832F0"/>
    <w:rsid w:val="00284549"/>
    <w:rsid w:val="0028474F"/>
    <w:rsid w:val="00284C2A"/>
    <w:rsid w:val="00284F26"/>
    <w:rsid w:val="00285241"/>
    <w:rsid w:val="00285BCE"/>
    <w:rsid w:val="00285CC8"/>
    <w:rsid w:val="00286631"/>
    <w:rsid w:val="0028665D"/>
    <w:rsid w:val="00286F8A"/>
    <w:rsid w:val="0028700A"/>
    <w:rsid w:val="00287903"/>
    <w:rsid w:val="00291BEB"/>
    <w:rsid w:val="00291E37"/>
    <w:rsid w:val="002921E2"/>
    <w:rsid w:val="002927EC"/>
    <w:rsid w:val="0029371F"/>
    <w:rsid w:val="00294D4F"/>
    <w:rsid w:val="00294E73"/>
    <w:rsid w:val="002969BB"/>
    <w:rsid w:val="00296D4B"/>
    <w:rsid w:val="00297213"/>
    <w:rsid w:val="00297E1F"/>
    <w:rsid w:val="002A0355"/>
    <w:rsid w:val="002A0C59"/>
    <w:rsid w:val="002A14AB"/>
    <w:rsid w:val="002A1BDA"/>
    <w:rsid w:val="002A1F60"/>
    <w:rsid w:val="002A24D6"/>
    <w:rsid w:val="002A2ADE"/>
    <w:rsid w:val="002A2D9B"/>
    <w:rsid w:val="002A2F50"/>
    <w:rsid w:val="002A3649"/>
    <w:rsid w:val="002A3ED6"/>
    <w:rsid w:val="002A4573"/>
    <w:rsid w:val="002A4632"/>
    <w:rsid w:val="002A4B65"/>
    <w:rsid w:val="002A5E27"/>
    <w:rsid w:val="002A6E56"/>
    <w:rsid w:val="002A6E6D"/>
    <w:rsid w:val="002A7304"/>
    <w:rsid w:val="002A75D6"/>
    <w:rsid w:val="002A75FC"/>
    <w:rsid w:val="002A774F"/>
    <w:rsid w:val="002A7943"/>
    <w:rsid w:val="002A7DDB"/>
    <w:rsid w:val="002B05A1"/>
    <w:rsid w:val="002B09A4"/>
    <w:rsid w:val="002B0E1D"/>
    <w:rsid w:val="002B105F"/>
    <w:rsid w:val="002B1C1F"/>
    <w:rsid w:val="002B2455"/>
    <w:rsid w:val="002B2FA8"/>
    <w:rsid w:val="002B432F"/>
    <w:rsid w:val="002B440F"/>
    <w:rsid w:val="002B4FE2"/>
    <w:rsid w:val="002B62B3"/>
    <w:rsid w:val="002B6754"/>
    <w:rsid w:val="002B6CCE"/>
    <w:rsid w:val="002B6DB4"/>
    <w:rsid w:val="002C0744"/>
    <w:rsid w:val="002C1648"/>
    <w:rsid w:val="002C178F"/>
    <w:rsid w:val="002C1AFD"/>
    <w:rsid w:val="002C220B"/>
    <w:rsid w:val="002C2510"/>
    <w:rsid w:val="002C260D"/>
    <w:rsid w:val="002C2775"/>
    <w:rsid w:val="002C27C1"/>
    <w:rsid w:val="002C3089"/>
    <w:rsid w:val="002C36E3"/>
    <w:rsid w:val="002C464F"/>
    <w:rsid w:val="002C5099"/>
    <w:rsid w:val="002C52CA"/>
    <w:rsid w:val="002C5889"/>
    <w:rsid w:val="002C640B"/>
    <w:rsid w:val="002C71CE"/>
    <w:rsid w:val="002C7BD2"/>
    <w:rsid w:val="002C7D8F"/>
    <w:rsid w:val="002D08F8"/>
    <w:rsid w:val="002D27EA"/>
    <w:rsid w:val="002D2A25"/>
    <w:rsid w:val="002D2FBE"/>
    <w:rsid w:val="002D4249"/>
    <w:rsid w:val="002D4C51"/>
    <w:rsid w:val="002D5079"/>
    <w:rsid w:val="002D51FF"/>
    <w:rsid w:val="002D577C"/>
    <w:rsid w:val="002D57EC"/>
    <w:rsid w:val="002D58C9"/>
    <w:rsid w:val="002D5E3F"/>
    <w:rsid w:val="002D7832"/>
    <w:rsid w:val="002D7D3C"/>
    <w:rsid w:val="002E0D0A"/>
    <w:rsid w:val="002E1071"/>
    <w:rsid w:val="002E132F"/>
    <w:rsid w:val="002E155A"/>
    <w:rsid w:val="002E15B9"/>
    <w:rsid w:val="002E16ED"/>
    <w:rsid w:val="002E2158"/>
    <w:rsid w:val="002E255F"/>
    <w:rsid w:val="002E2C10"/>
    <w:rsid w:val="002E2FE2"/>
    <w:rsid w:val="002E36F1"/>
    <w:rsid w:val="002E38D7"/>
    <w:rsid w:val="002E446A"/>
    <w:rsid w:val="002E4C6D"/>
    <w:rsid w:val="002E4F02"/>
    <w:rsid w:val="002E5564"/>
    <w:rsid w:val="002E6010"/>
    <w:rsid w:val="002E6793"/>
    <w:rsid w:val="002E7352"/>
    <w:rsid w:val="002E7722"/>
    <w:rsid w:val="002F0265"/>
    <w:rsid w:val="002F07BA"/>
    <w:rsid w:val="002F0DA9"/>
    <w:rsid w:val="002F1014"/>
    <w:rsid w:val="002F1DA3"/>
    <w:rsid w:val="002F1E3B"/>
    <w:rsid w:val="002F2DBF"/>
    <w:rsid w:val="002F3E6B"/>
    <w:rsid w:val="002F3F53"/>
    <w:rsid w:val="002F4F73"/>
    <w:rsid w:val="002F5AB6"/>
    <w:rsid w:val="002F6382"/>
    <w:rsid w:val="002F643C"/>
    <w:rsid w:val="002F660E"/>
    <w:rsid w:val="002F707D"/>
    <w:rsid w:val="002F71C0"/>
    <w:rsid w:val="002F7232"/>
    <w:rsid w:val="002F7305"/>
    <w:rsid w:val="002F74F1"/>
    <w:rsid w:val="002F77D4"/>
    <w:rsid w:val="002F7AFE"/>
    <w:rsid w:val="00301017"/>
    <w:rsid w:val="0030155F"/>
    <w:rsid w:val="00302105"/>
    <w:rsid w:val="00302607"/>
    <w:rsid w:val="00302B10"/>
    <w:rsid w:val="00302F02"/>
    <w:rsid w:val="0030385C"/>
    <w:rsid w:val="003049C7"/>
    <w:rsid w:val="0030587B"/>
    <w:rsid w:val="003062EE"/>
    <w:rsid w:val="00306D98"/>
    <w:rsid w:val="00307208"/>
    <w:rsid w:val="00307391"/>
    <w:rsid w:val="0030786C"/>
    <w:rsid w:val="0031031A"/>
    <w:rsid w:val="0031056F"/>
    <w:rsid w:val="00310981"/>
    <w:rsid w:val="003114EF"/>
    <w:rsid w:val="003118AB"/>
    <w:rsid w:val="00311D9B"/>
    <w:rsid w:val="00311EA1"/>
    <w:rsid w:val="003123A0"/>
    <w:rsid w:val="003124D9"/>
    <w:rsid w:val="00312594"/>
    <w:rsid w:val="00312F4A"/>
    <w:rsid w:val="00313AFD"/>
    <w:rsid w:val="00314586"/>
    <w:rsid w:val="00314774"/>
    <w:rsid w:val="0031489C"/>
    <w:rsid w:val="003148C7"/>
    <w:rsid w:val="00314A04"/>
    <w:rsid w:val="0031503F"/>
    <w:rsid w:val="00315498"/>
    <w:rsid w:val="00315668"/>
    <w:rsid w:val="003159C0"/>
    <w:rsid w:val="00315BEC"/>
    <w:rsid w:val="00315BFE"/>
    <w:rsid w:val="00315FF3"/>
    <w:rsid w:val="003160BA"/>
    <w:rsid w:val="0031644A"/>
    <w:rsid w:val="00316474"/>
    <w:rsid w:val="00317850"/>
    <w:rsid w:val="00317E85"/>
    <w:rsid w:val="0032107D"/>
    <w:rsid w:val="00322107"/>
    <w:rsid w:val="00322355"/>
    <w:rsid w:val="00322846"/>
    <w:rsid w:val="0032390E"/>
    <w:rsid w:val="00323A69"/>
    <w:rsid w:val="00323F01"/>
    <w:rsid w:val="00323FB5"/>
    <w:rsid w:val="00324295"/>
    <w:rsid w:val="003249B2"/>
    <w:rsid w:val="00325378"/>
    <w:rsid w:val="003268B8"/>
    <w:rsid w:val="00326DA7"/>
    <w:rsid w:val="003270E4"/>
    <w:rsid w:val="0032718D"/>
    <w:rsid w:val="003301F6"/>
    <w:rsid w:val="00330DAA"/>
    <w:rsid w:val="00330F5C"/>
    <w:rsid w:val="0033179C"/>
    <w:rsid w:val="00331ACF"/>
    <w:rsid w:val="00332520"/>
    <w:rsid w:val="00333878"/>
    <w:rsid w:val="00333FAE"/>
    <w:rsid w:val="00334443"/>
    <w:rsid w:val="00334FD8"/>
    <w:rsid w:val="003350BB"/>
    <w:rsid w:val="003366C9"/>
    <w:rsid w:val="00336969"/>
    <w:rsid w:val="00336BB5"/>
    <w:rsid w:val="00336FC1"/>
    <w:rsid w:val="0033717C"/>
    <w:rsid w:val="003371B0"/>
    <w:rsid w:val="0034020C"/>
    <w:rsid w:val="0034078D"/>
    <w:rsid w:val="00340DF1"/>
    <w:rsid w:val="0034123F"/>
    <w:rsid w:val="003414E9"/>
    <w:rsid w:val="0034178E"/>
    <w:rsid w:val="00341E62"/>
    <w:rsid w:val="00342DF9"/>
    <w:rsid w:val="003431CA"/>
    <w:rsid w:val="00343346"/>
    <w:rsid w:val="003434F3"/>
    <w:rsid w:val="003450E7"/>
    <w:rsid w:val="003451B6"/>
    <w:rsid w:val="003452C5"/>
    <w:rsid w:val="003459E6"/>
    <w:rsid w:val="00347481"/>
    <w:rsid w:val="003511BE"/>
    <w:rsid w:val="003517F9"/>
    <w:rsid w:val="00351B68"/>
    <w:rsid w:val="00351BA9"/>
    <w:rsid w:val="00352980"/>
    <w:rsid w:val="00352D51"/>
    <w:rsid w:val="00353BF3"/>
    <w:rsid w:val="00353CE6"/>
    <w:rsid w:val="00353F25"/>
    <w:rsid w:val="00354F64"/>
    <w:rsid w:val="003550C8"/>
    <w:rsid w:val="00355462"/>
    <w:rsid w:val="00356130"/>
    <w:rsid w:val="0035620E"/>
    <w:rsid w:val="00356B9B"/>
    <w:rsid w:val="00357239"/>
    <w:rsid w:val="003575BE"/>
    <w:rsid w:val="00360227"/>
    <w:rsid w:val="00360345"/>
    <w:rsid w:val="0036149B"/>
    <w:rsid w:val="00361A05"/>
    <w:rsid w:val="00361EB3"/>
    <w:rsid w:val="003624C4"/>
    <w:rsid w:val="00362C56"/>
    <w:rsid w:val="00362FFF"/>
    <w:rsid w:val="00363B00"/>
    <w:rsid w:val="00363FF4"/>
    <w:rsid w:val="003645B7"/>
    <w:rsid w:val="00365165"/>
    <w:rsid w:val="003654AC"/>
    <w:rsid w:val="00366802"/>
    <w:rsid w:val="00366F13"/>
    <w:rsid w:val="00367450"/>
    <w:rsid w:val="00367B81"/>
    <w:rsid w:val="00370120"/>
    <w:rsid w:val="00370174"/>
    <w:rsid w:val="0037025B"/>
    <w:rsid w:val="003710CF"/>
    <w:rsid w:val="00373266"/>
    <w:rsid w:val="003732F0"/>
    <w:rsid w:val="0037358A"/>
    <w:rsid w:val="00373597"/>
    <w:rsid w:val="00374031"/>
    <w:rsid w:val="00374405"/>
    <w:rsid w:val="003750F6"/>
    <w:rsid w:val="00375FC0"/>
    <w:rsid w:val="003760FC"/>
    <w:rsid w:val="00377CB1"/>
    <w:rsid w:val="003804C0"/>
    <w:rsid w:val="0038365C"/>
    <w:rsid w:val="0038369B"/>
    <w:rsid w:val="00383B78"/>
    <w:rsid w:val="00383C6C"/>
    <w:rsid w:val="00383E94"/>
    <w:rsid w:val="00385A9D"/>
    <w:rsid w:val="00387121"/>
    <w:rsid w:val="00387722"/>
    <w:rsid w:val="003877EA"/>
    <w:rsid w:val="00387BD3"/>
    <w:rsid w:val="0039006C"/>
    <w:rsid w:val="0039018F"/>
    <w:rsid w:val="003902B1"/>
    <w:rsid w:val="003911BE"/>
    <w:rsid w:val="0039179C"/>
    <w:rsid w:val="00392C65"/>
    <w:rsid w:val="00393056"/>
    <w:rsid w:val="00393B16"/>
    <w:rsid w:val="00393DC2"/>
    <w:rsid w:val="003946DE"/>
    <w:rsid w:val="00395478"/>
    <w:rsid w:val="0039661A"/>
    <w:rsid w:val="00396896"/>
    <w:rsid w:val="00396A22"/>
    <w:rsid w:val="00396ADB"/>
    <w:rsid w:val="00396FD0"/>
    <w:rsid w:val="00397263"/>
    <w:rsid w:val="00397946"/>
    <w:rsid w:val="003A0947"/>
    <w:rsid w:val="003A1587"/>
    <w:rsid w:val="003A197B"/>
    <w:rsid w:val="003A19B6"/>
    <w:rsid w:val="003A1A7A"/>
    <w:rsid w:val="003A2392"/>
    <w:rsid w:val="003A23B1"/>
    <w:rsid w:val="003A2831"/>
    <w:rsid w:val="003A2B37"/>
    <w:rsid w:val="003A36C0"/>
    <w:rsid w:val="003A3CB6"/>
    <w:rsid w:val="003A3ED1"/>
    <w:rsid w:val="003A44DB"/>
    <w:rsid w:val="003A4643"/>
    <w:rsid w:val="003A4A05"/>
    <w:rsid w:val="003A4C14"/>
    <w:rsid w:val="003A614C"/>
    <w:rsid w:val="003A6384"/>
    <w:rsid w:val="003A793E"/>
    <w:rsid w:val="003A7C3C"/>
    <w:rsid w:val="003B0BC7"/>
    <w:rsid w:val="003B101C"/>
    <w:rsid w:val="003B10F9"/>
    <w:rsid w:val="003B169A"/>
    <w:rsid w:val="003B203A"/>
    <w:rsid w:val="003B2466"/>
    <w:rsid w:val="003B24DB"/>
    <w:rsid w:val="003B28B7"/>
    <w:rsid w:val="003B3263"/>
    <w:rsid w:val="003B3971"/>
    <w:rsid w:val="003B3D61"/>
    <w:rsid w:val="003B48A2"/>
    <w:rsid w:val="003B55D1"/>
    <w:rsid w:val="003B5B61"/>
    <w:rsid w:val="003B67EF"/>
    <w:rsid w:val="003B720E"/>
    <w:rsid w:val="003B73E4"/>
    <w:rsid w:val="003B789B"/>
    <w:rsid w:val="003C0113"/>
    <w:rsid w:val="003C02FC"/>
    <w:rsid w:val="003C0C4A"/>
    <w:rsid w:val="003C0CD1"/>
    <w:rsid w:val="003C0D33"/>
    <w:rsid w:val="003C1654"/>
    <w:rsid w:val="003C1728"/>
    <w:rsid w:val="003C1C8C"/>
    <w:rsid w:val="003C3E19"/>
    <w:rsid w:val="003C3F3E"/>
    <w:rsid w:val="003C49BD"/>
    <w:rsid w:val="003C49DA"/>
    <w:rsid w:val="003C4C21"/>
    <w:rsid w:val="003C5542"/>
    <w:rsid w:val="003C6442"/>
    <w:rsid w:val="003C7C15"/>
    <w:rsid w:val="003C7D19"/>
    <w:rsid w:val="003C7D2F"/>
    <w:rsid w:val="003D00A8"/>
    <w:rsid w:val="003D0C5A"/>
    <w:rsid w:val="003D1828"/>
    <w:rsid w:val="003D1DE4"/>
    <w:rsid w:val="003D1E9A"/>
    <w:rsid w:val="003D2422"/>
    <w:rsid w:val="003D28D4"/>
    <w:rsid w:val="003D2F7A"/>
    <w:rsid w:val="003D3059"/>
    <w:rsid w:val="003D3102"/>
    <w:rsid w:val="003D35D9"/>
    <w:rsid w:val="003D39A1"/>
    <w:rsid w:val="003D3F67"/>
    <w:rsid w:val="003D3FBF"/>
    <w:rsid w:val="003D425E"/>
    <w:rsid w:val="003D4648"/>
    <w:rsid w:val="003D4A30"/>
    <w:rsid w:val="003D4DBC"/>
    <w:rsid w:val="003D524A"/>
    <w:rsid w:val="003D5905"/>
    <w:rsid w:val="003D59BF"/>
    <w:rsid w:val="003D5D20"/>
    <w:rsid w:val="003D6C5D"/>
    <w:rsid w:val="003D6E85"/>
    <w:rsid w:val="003D707A"/>
    <w:rsid w:val="003D7452"/>
    <w:rsid w:val="003D7553"/>
    <w:rsid w:val="003D779B"/>
    <w:rsid w:val="003D79BB"/>
    <w:rsid w:val="003D7C98"/>
    <w:rsid w:val="003D7D9D"/>
    <w:rsid w:val="003E0543"/>
    <w:rsid w:val="003E0764"/>
    <w:rsid w:val="003E0A50"/>
    <w:rsid w:val="003E13A2"/>
    <w:rsid w:val="003E1D4B"/>
    <w:rsid w:val="003E1F59"/>
    <w:rsid w:val="003E2C63"/>
    <w:rsid w:val="003E2D1F"/>
    <w:rsid w:val="003E2EED"/>
    <w:rsid w:val="003E2F33"/>
    <w:rsid w:val="003E3542"/>
    <w:rsid w:val="003E3B0F"/>
    <w:rsid w:val="003E3BD2"/>
    <w:rsid w:val="003E4657"/>
    <w:rsid w:val="003E533F"/>
    <w:rsid w:val="003E5437"/>
    <w:rsid w:val="003E5603"/>
    <w:rsid w:val="003E5922"/>
    <w:rsid w:val="003E6860"/>
    <w:rsid w:val="003E749E"/>
    <w:rsid w:val="003E7C3A"/>
    <w:rsid w:val="003F2378"/>
    <w:rsid w:val="003F2887"/>
    <w:rsid w:val="003F3838"/>
    <w:rsid w:val="003F3998"/>
    <w:rsid w:val="003F4156"/>
    <w:rsid w:val="003F4489"/>
    <w:rsid w:val="003F5ADF"/>
    <w:rsid w:val="003F5D20"/>
    <w:rsid w:val="003F64C2"/>
    <w:rsid w:val="003F699F"/>
    <w:rsid w:val="003F6B45"/>
    <w:rsid w:val="003F6ECC"/>
    <w:rsid w:val="004006F6"/>
    <w:rsid w:val="00400B29"/>
    <w:rsid w:val="00401203"/>
    <w:rsid w:val="00401824"/>
    <w:rsid w:val="00402812"/>
    <w:rsid w:val="00402D77"/>
    <w:rsid w:val="0040340E"/>
    <w:rsid w:val="00404B8A"/>
    <w:rsid w:val="0040504B"/>
    <w:rsid w:val="004059F4"/>
    <w:rsid w:val="004059F8"/>
    <w:rsid w:val="00406086"/>
    <w:rsid w:val="004062A6"/>
    <w:rsid w:val="004062E2"/>
    <w:rsid w:val="00407697"/>
    <w:rsid w:val="00407B07"/>
    <w:rsid w:val="00407FE5"/>
    <w:rsid w:val="00410036"/>
    <w:rsid w:val="004101B0"/>
    <w:rsid w:val="00410326"/>
    <w:rsid w:val="00410708"/>
    <w:rsid w:val="00410EC7"/>
    <w:rsid w:val="00411530"/>
    <w:rsid w:val="00411A6A"/>
    <w:rsid w:val="00411B39"/>
    <w:rsid w:val="00411C67"/>
    <w:rsid w:val="00411F51"/>
    <w:rsid w:val="004127A7"/>
    <w:rsid w:val="00412E63"/>
    <w:rsid w:val="00413A1E"/>
    <w:rsid w:val="00414476"/>
    <w:rsid w:val="00414BE2"/>
    <w:rsid w:val="00414C2E"/>
    <w:rsid w:val="00414CAF"/>
    <w:rsid w:val="004151CF"/>
    <w:rsid w:val="00415E22"/>
    <w:rsid w:val="00415E67"/>
    <w:rsid w:val="00416364"/>
    <w:rsid w:val="00416BC4"/>
    <w:rsid w:val="00417014"/>
    <w:rsid w:val="00417F83"/>
    <w:rsid w:val="0042025A"/>
    <w:rsid w:val="0042047F"/>
    <w:rsid w:val="00420AA6"/>
    <w:rsid w:val="00420B9F"/>
    <w:rsid w:val="00420C0D"/>
    <w:rsid w:val="00421490"/>
    <w:rsid w:val="0042192C"/>
    <w:rsid w:val="00421B83"/>
    <w:rsid w:val="00421D56"/>
    <w:rsid w:val="00421EF7"/>
    <w:rsid w:val="00422260"/>
    <w:rsid w:val="004222C6"/>
    <w:rsid w:val="00422F69"/>
    <w:rsid w:val="00423350"/>
    <w:rsid w:val="004235FA"/>
    <w:rsid w:val="00423736"/>
    <w:rsid w:val="004239F5"/>
    <w:rsid w:val="00423D0A"/>
    <w:rsid w:val="00423D54"/>
    <w:rsid w:val="0042413F"/>
    <w:rsid w:val="004246A6"/>
    <w:rsid w:val="00424A06"/>
    <w:rsid w:val="00424A49"/>
    <w:rsid w:val="00425695"/>
    <w:rsid w:val="00425A3B"/>
    <w:rsid w:val="00425D29"/>
    <w:rsid w:val="00425EE2"/>
    <w:rsid w:val="00425F8A"/>
    <w:rsid w:val="00427366"/>
    <w:rsid w:val="00427F38"/>
    <w:rsid w:val="00430AC6"/>
    <w:rsid w:val="00430B8D"/>
    <w:rsid w:val="00430C4E"/>
    <w:rsid w:val="0043107A"/>
    <w:rsid w:val="004311DF"/>
    <w:rsid w:val="0043166F"/>
    <w:rsid w:val="00431786"/>
    <w:rsid w:val="004319F8"/>
    <w:rsid w:val="00431BDC"/>
    <w:rsid w:val="00431E55"/>
    <w:rsid w:val="004321F6"/>
    <w:rsid w:val="00432391"/>
    <w:rsid w:val="004324C2"/>
    <w:rsid w:val="00432C33"/>
    <w:rsid w:val="00433044"/>
    <w:rsid w:val="00433764"/>
    <w:rsid w:val="00433D3C"/>
    <w:rsid w:val="00434088"/>
    <w:rsid w:val="00434E2D"/>
    <w:rsid w:val="0043609E"/>
    <w:rsid w:val="004375B9"/>
    <w:rsid w:val="00437618"/>
    <w:rsid w:val="004401A2"/>
    <w:rsid w:val="00440A3B"/>
    <w:rsid w:val="00441552"/>
    <w:rsid w:val="00441F5A"/>
    <w:rsid w:val="00442109"/>
    <w:rsid w:val="004428D0"/>
    <w:rsid w:val="004435EC"/>
    <w:rsid w:val="0044372B"/>
    <w:rsid w:val="00443B07"/>
    <w:rsid w:val="00444185"/>
    <w:rsid w:val="004443A7"/>
    <w:rsid w:val="0044442C"/>
    <w:rsid w:val="00444CEB"/>
    <w:rsid w:val="004453A2"/>
    <w:rsid w:val="00445941"/>
    <w:rsid w:val="004464EB"/>
    <w:rsid w:val="004467C6"/>
    <w:rsid w:val="00446A87"/>
    <w:rsid w:val="00447178"/>
    <w:rsid w:val="00447441"/>
    <w:rsid w:val="00447D26"/>
    <w:rsid w:val="00447D66"/>
    <w:rsid w:val="00447DFC"/>
    <w:rsid w:val="0045110D"/>
    <w:rsid w:val="00451187"/>
    <w:rsid w:val="00451A17"/>
    <w:rsid w:val="00452054"/>
    <w:rsid w:val="00452577"/>
    <w:rsid w:val="00452C07"/>
    <w:rsid w:val="00452C35"/>
    <w:rsid w:val="00452E42"/>
    <w:rsid w:val="004534BB"/>
    <w:rsid w:val="00454512"/>
    <w:rsid w:val="0045494B"/>
    <w:rsid w:val="0045509F"/>
    <w:rsid w:val="00455CBA"/>
    <w:rsid w:val="00455D45"/>
    <w:rsid w:val="0045682F"/>
    <w:rsid w:val="00456A02"/>
    <w:rsid w:val="00456E1C"/>
    <w:rsid w:val="00457A2D"/>
    <w:rsid w:val="004600ED"/>
    <w:rsid w:val="004604AE"/>
    <w:rsid w:val="00460654"/>
    <w:rsid w:val="00461063"/>
    <w:rsid w:val="004610D4"/>
    <w:rsid w:val="00463A77"/>
    <w:rsid w:val="00463A84"/>
    <w:rsid w:val="00464595"/>
    <w:rsid w:val="00464893"/>
    <w:rsid w:val="0046513A"/>
    <w:rsid w:val="0046538D"/>
    <w:rsid w:val="004658B5"/>
    <w:rsid w:val="00465CFF"/>
    <w:rsid w:val="004662E9"/>
    <w:rsid w:val="00466E88"/>
    <w:rsid w:val="0046761C"/>
    <w:rsid w:val="00467D5E"/>
    <w:rsid w:val="004701A5"/>
    <w:rsid w:val="00470660"/>
    <w:rsid w:val="00471EA5"/>
    <w:rsid w:val="00472A79"/>
    <w:rsid w:val="00473177"/>
    <w:rsid w:val="00473F19"/>
    <w:rsid w:val="00473FD9"/>
    <w:rsid w:val="00475965"/>
    <w:rsid w:val="00475E22"/>
    <w:rsid w:val="004760EC"/>
    <w:rsid w:val="0047615E"/>
    <w:rsid w:val="0047629F"/>
    <w:rsid w:val="004767E4"/>
    <w:rsid w:val="00476D69"/>
    <w:rsid w:val="00477CA8"/>
    <w:rsid w:val="00477E44"/>
    <w:rsid w:val="0048088E"/>
    <w:rsid w:val="00480F2B"/>
    <w:rsid w:val="00481ADA"/>
    <w:rsid w:val="00481CA9"/>
    <w:rsid w:val="00481CB6"/>
    <w:rsid w:val="00481EF9"/>
    <w:rsid w:val="00482720"/>
    <w:rsid w:val="00482DD6"/>
    <w:rsid w:val="0048346D"/>
    <w:rsid w:val="004835E7"/>
    <w:rsid w:val="0048461A"/>
    <w:rsid w:val="00484CF5"/>
    <w:rsid w:val="00484D1C"/>
    <w:rsid w:val="004852D8"/>
    <w:rsid w:val="0048571E"/>
    <w:rsid w:val="004859E1"/>
    <w:rsid w:val="00485DA0"/>
    <w:rsid w:val="00485E4E"/>
    <w:rsid w:val="004866ED"/>
    <w:rsid w:val="004867E2"/>
    <w:rsid w:val="004875E6"/>
    <w:rsid w:val="004879FB"/>
    <w:rsid w:val="00490761"/>
    <w:rsid w:val="00490B17"/>
    <w:rsid w:val="004914FF"/>
    <w:rsid w:val="004915E5"/>
    <w:rsid w:val="004916A4"/>
    <w:rsid w:val="00491743"/>
    <w:rsid w:val="0049179B"/>
    <w:rsid w:val="00491B3A"/>
    <w:rsid w:val="00492CFD"/>
    <w:rsid w:val="00494207"/>
    <w:rsid w:val="00494DD5"/>
    <w:rsid w:val="00495091"/>
    <w:rsid w:val="00495986"/>
    <w:rsid w:val="004961F4"/>
    <w:rsid w:val="004962D2"/>
    <w:rsid w:val="004965D7"/>
    <w:rsid w:val="004970B0"/>
    <w:rsid w:val="00497DA4"/>
    <w:rsid w:val="004A0A94"/>
    <w:rsid w:val="004A0DA1"/>
    <w:rsid w:val="004A0E64"/>
    <w:rsid w:val="004A13D6"/>
    <w:rsid w:val="004A1672"/>
    <w:rsid w:val="004A27F4"/>
    <w:rsid w:val="004A2841"/>
    <w:rsid w:val="004A3E54"/>
    <w:rsid w:val="004A4413"/>
    <w:rsid w:val="004A47B9"/>
    <w:rsid w:val="004A4AA3"/>
    <w:rsid w:val="004A4E4A"/>
    <w:rsid w:val="004A5151"/>
    <w:rsid w:val="004A52E9"/>
    <w:rsid w:val="004A5333"/>
    <w:rsid w:val="004A538C"/>
    <w:rsid w:val="004A5916"/>
    <w:rsid w:val="004A5F57"/>
    <w:rsid w:val="004A6040"/>
    <w:rsid w:val="004A62A7"/>
    <w:rsid w:val="004A64E5"/>
    <w:rsid w:val="004A6549"/>
    <w:rsid w:val="004A6597"/>
    <w:rsid w:val="004A7848"/>
    <w:rsid w:val="004A793B"/>
    <w:rsid w:val="004B0FE2"/>
    <w:rsid w:val="004B108C"/>
    <w:rsid w:val="004B1CB4"/>
    <w:rsid w:val="004B1D5A"/>
    <w:rsid w:val="004B2868"/>
    <w:rsid w:val="004B2A83"/>
    <w:rsid w:val="004B2CB6"/>
    <w:rsid w:val="004B2F18"/>
    <w:rsid w:val="004B3621"/>
    <w:rsid w:val="004B3D2C"/>
    <w:rsid w:val="004B3DDB"/>
    <w:rsid w:val="004B44FD"/>
    <w:rsid w:val="004B4E27"/>
    <w:rsid w:val="004B4FAB"/>
    <w:rsid w:val="004B5CFC"/>
    <w:rsid w:val="004B61F9"/>
    <w:rsid w:val="004B6A7A"/>
    <w:rsid w:val="004B6F79"/>
    <w:rsid w:val="004B774D"/>
    <w:rsid w:val="004C01A3"/>
    <w:rsid w:val="004C061C"/>
    <w:rsid w:val="004C1DBE"/>
    <w:rsid w:val="004C1EE4"/>
    <w:rsid w:val="004C251D"/>
    <w:rsid w:val="004C27FE"/>
    <w:rsid w:val="004C2AC2"/>
    <w:rsid w:val="004C37CC"/>
    <w:rsid w:val="004C3AF0"/>
    <w:rsid w:val="004C3B02"/>
    <w:rsid w:val="004C4875"/>
    <w:rsid w:val="004C4A7A"/>
    <w:rsid w:val="004C4AED"/>
    <w:rsid w:val="004C4CB3"/>
    <w:rsid w:val="004C4E33"/>
    <w:rsid w:val="004C5149"/>
    <w:rsid w:val="004C5BBE"/>
    <w:rsid w:val="004C6353"/>
    <w:rsid w:val="004C6BCF"/>
    <w:rsid w:val="004C7629"/>
    <w:rsid w:val="004C78D7"/>
    <w:rsid w:val="004C7F99"/>
    <w:rsid w:val="004D1801"/>
    <w:rsid w:val="004D224B"/>
    <w:rsid w:val="004D25DC"/>
    <w:rsid w:val="004D29AC"/>
    <w:rsid w:val="004D2C2D"/>
    <w:rsid w:val="004D3AFE"/>
    <w:rsid w:val="004D4362"/>
    <w:rsid w:val="004D4EED"/>
    <w:rsid w:val="004D5D6A"/>
    <w:rsid w:val="004D5EC1"/>
    <w:rsid w:val="004D5F1B"/>
    <w:rsid w:val="004D6037"/>
    <w:rsid w:val="004D69B5"/>
    <w:rsid w:val="004D6B26"/>
    <w:rsid w:val="004D6D2F"/>
    <w:rsid w:val="004D7227"/>
    <w:rsid w:val="004D755C"/>
    <w:rsid w:val="004D7B5E"/>
    <w:rsid w:val="004D7DAE"/>
    <w:rsid w:val="004E0296"/>
    <w:rsid w:val="004E057B"/>
    <w:rsid w:val="004E0E1C"/>
    <w:rsid w:val="004E0E77"/>
    <w:rsid w:val="004E0E7F"/>
    <w:rsid w:val="004E0EB8"/>
    <w:rsid w:val="004E18E9"/>
    <w:rsid w:val="004E1D97"/>
    <w:rsid w:val="004E28DF"/>
    <w:rsid w:val="004E2ADC"/>
    <w:rsid w:val="004E2C19"/>
    <w:rsid w:val="004E34C9"/>
    <w:rsid w:val="004E435A"/>
    <w:rsid w:val="004E43B2"/>
    <w:rsid w:val="004E473B"/>
    <w:rsid w:val="004E5331"/>
    <w:rsid w:val="004E5CE8"/>
    <w:rsid w:val="004E5EBA"/>
    <w:rsid w:val="004E633B"/>
    <w:rsid w:val="004E695D"/>
    <w:rsid w:val="004E71EA"/>
    <w:rsid w:val="004F0DF2"/>
    <w:rsid w:val="004F1D02"/>
    <w:rsid w:val="004F1F8D"/>
    <w:rsid w:val="004F20B0"/>
    <w:rsid w:val="004F2135"/>
    <w:rsid w:val="004F2679"/>
    <w:rsid w:val="004F28AC"/>
    <w:rsid w:val="004F2F21"/>
    <w:rsid w:val="004F345B"/>
    <w:rsid w:val="004F3796"/>
    <w:rsid w:val="004F3DE5"/>
    <w:rsid w:val="004F5D00"/>
    <w:rsid w:val="004F6913"/>
    <w:rsid w:val="004F6DAC"/>
    <w:rsid w:val="004F7865"/>
    <w:rsid w:val="004F79D6"/>
    <w:rsid w:val="005014AA"/>
    <w:rsid w:val="0050174E"/>
    <w:rsid w:val="00501854"/>
    <w:rsid w:val="0050219B"/>
    <w:rsid w:val="005025B7"/>
    <w:rsid w:val="00503085"/>
    <w:rsid w:val="005033DC"/>
    <w:rsid w:val="00503829"/>
    <w:rsid w:val="00503E4D"/>
    <w:rsid w:val="00503E54"/>
    <w:rsid w:val="00503F17"/>
    <w:rsid w:val="00503F3A"/>
    <w:rsid w:val="00504716"/>
    <w:rsid w:val="005050C3"/>
    <w:rsid w:val="00505679"/>
    <w:rsid w:val="00505D92"/>
    <w:rsid w:val="00506928"/>
    <w:rsid w:val="00506AE7"/>
    <w:rsid w:val="005077EF"/>
    <w:rsid w:val="005100D6"/>
    <w:rsid w:val="00511737"/>
    <w:rsid w:val="005118CC"/>
    <w:rsid w:val="00511AD5"/>
    <w:rsid w:val="00511DC7"/>
    <w:rsid w:val="005122D5"/>
    <w:rsid w:val="005122F8"/>
    <w:rsid w:val="00512D04"/>
    <w:rsid w:val="005131E9"/>
    <w:rsid w:val="005133EE"/>
    <w:rsid w:val="0051340E"/>
    <w:rsid w:val="00513622"/>
    <w:rsid w:val="00513CF0"/>
    <w:rsid w:val="005142C5"/>
    <w:rsid w:val="0051501B"/>
    <w:rsid w:val="005152B5"/>
    <w:rsid w:val="00515886"/>
    <w:rsid w:val="005164F1"/>
    <w:rsid w:val="00516D40"/>
    <w:rsid w:val="005175F1"/>
    <w:rsid w:val="0052123C"/>
    <w:rsid w:val="00521319"/>
    <w:rsid w:val="005219E9"/>
    <w:rsid w:val="00522892"/>
    <w:rsid w:val="00522B68"/>
    <w:rsid w:val="00522BC8"/>
    <w:rsid w:val="00523C28"/>
    <w:rsid w:val="00523CC1"/>
    <w:rsid w:val="0052453B"/>
    <w:rsid w:val="0052469B"/>
    <w:rsid w:val="00524AEF"/>
    <w:rsid w:val="00525594"/>
    <w:rsid w:val="00525682"/>
    <w:rsid w:val="00525946"/>
    <w:rsid w:val="00526232"/>
    <w:rsid w:val="005264DE"/>
    <w:rsid w:val="0052650B"/>
    <w:rsid w:val="0052736B"/>
    <w:rsid w:val="0052754A"/>
    <w:rsid w:val="005310BE"/>
    <w:rsid w:val="005313D2"/>
    <w:rsid w:val="005316BC"/>
    <w:rsid w:val="0053176B"/>
    <w:rsid w:val="005324F8"/>
    <w:rsid w:val="005326F6"/>
    <w:rsid w:val="00532DEE"/>
    <w:rsid w:val="00533C05"/>
    <w:rsid w:val="005341B3"/>
    <w:rsid w:val="0053463B"/>
    <w:rsid w:val="00534C86"/>
    <w:rsid w:val="0053582F"/>
    <w:rsid w:val="00535B7A"/>
    <w:rsid w:val="00535DBA"/>
    <w:rsid w:val="0053616D"/>
    <w:rsid w:val="00536F42"/>
    <w:rsid w:val="00537182"/>
    <w:rsid w:val="00537583"/>
    <w:rsid w:val="0054041F"/>
    <w:rsid w:val="00540D09"/>
    <w:rsid w:val="005411DA"/>
    <w:rsid w:val="00541EDD"/>
    <w:rsid w:val="005423CC"/>
    <w:rsid w:val="00542743"/>
    <w:rsid w:val="0054277A"/>
    <w:rsid w:val="00542C2D"/>
    <w:rsid w:val="005435E3"/>
    <w:rsid w:val="00544929"/>
    <w:rsid w:val="0054573E"/>
    <w:rsid w:val="005460F2"/>
    <w:rsid w:val="005469D8"/>
    <w:rsid w:val="00546B2D"/>
    <w:rsid w:val="005478BD"/>
    <w:rsid w:val="005479E3"/>
    <w:rsid w:val="00551985"/>
    <w:rsid w:val="005521D3"/>
    <w:rsid w:val="005522F4"/>
    <w:rsid w:val="00552BD3"/>
    <w:rsid w:val="005532A0"/>
    <w:rsid w:val="00553345"/>
    <w:rsid w:val="00553522"/>
    <w:rsid w:val="0055398F"/>
    <w:rsid w:val="00553BEB"/>
    <w:rsid w:val="00553D41"/>
    <w:rsid w:val="00554B2D"/>
    <w:rsid w:val="00555109"/>
    <w:rsid w:val="005555AF"/>
    <w:rsid w:val="00556083"/>
    <w:rsid w:val="00556B35"/>
    <w:rsid w:val="00557399"/>
    <w:rsid w:val="0055741A"/>
    <w:rsid w:val="0055775C"/>
    <w:rsid w:val="00560058"/>
    <w:rsid w:val="00560570"/>
    <w:rsid w:val="005605AE"/>
    <w:rsid w:val="00560DEE"/>
    <w:rsid w:val="00560E67"/>
    <w:rsid w:val="005611B7"/>
    <w:rsid w:val="00561282"/>
    <w:rsid w:val="005613C8"/>
    <w:rsid w:val="005618D4"/>
    <w:rsid w:val="00561C59"/>
    <w:rsid w:val="00563F05"/>
    <w:rsid w:val="00563F61"/>
    <w:rsid w:val="005641EE"/>
    <w:rsid w:val="005642DC"/>
    <w:rsid w:val="00564867"/>
    <w:rsid w:val="00565192"/>
    <w:rsid w:val="00565C79"/>
    <w:rsid w:val="00565DF0"/>
    <w:rsid w:val="0056696F"/>
    <w:rsid w:val="00566BBF"/>
    <w:rsid w:val="00566BF0"/>
    <w:rsid w:val="00567076"/>
    <w:rsid w:val="005671AC"/>
    <w:rsid w:val="005672E5"/>
    <w:rsid w:val="0056745F"/>
    <w:rsid w:val="0056756B"/>
    <w:rsid w:val="005706C9"/>
    <w:rsid w:val="00570E5C"/>
    <w:rsid w:val="00570FDB"/>
    <w:rsid w:val="005711BA"/>
    <w:rsid w:val="0057190C"/>
    <w:rsid w:val="00572269"/>
    <w:rsid w:val="0057244A"/>
    <w:rsid w:val="00572F26"/>
    <w:rsid w:val="0057315F"/>
    <w:rsid w:val="005741AE"/>
    <w:rsid w:val="0057496C"/>
    <w:rsid w:val="005750C5"/>
    <w:rsid w:val="005752B0"/>
    <w:rsid w:val="005752DE"/>
    <w:rsid w:val="00575D60"/>
    <w:rsid w:val="00575D8D"/>
    <w:rsid w:val="00575F65"/>
    <w:rsid w:val="00576040"/>
    <w:rsid w:val="00576972"/>
    <w:rsid w:val="00577248"/>
    <w:rsid w:val="005775E2"/>
    <w:rsid w:val="005802C9"/>
    <w:rsid w:val="00580DFB"/>
    <w:rsid w:val="00581294"/>
    <w:rsid w:val="0058257D"/>
    <w:rsid w:val="005832AD"/>
    <w:rsid w:val="00583369"/>
    <w:rsid w:val="00583400"/>
    <w:rsid w:val="00583699"/>
    <w:rsid w:val="00584E6F"/>
    <w:rsid w:val="005854AD"/>
    <w:rsid w:val="00585CA5"/>
    <w:rsid w:val="00585CDD"/>
    <w:rsid w:val="00586755"/>
    <w:rsid w:val="0058696D"/>
    <w:rsid w:val="00586CCD"/>
    <w:rsid w:val="00586E19"/>
    <w:rsid w:val="00587058"/>
    <w:rsid w:val="00590DE8"/>
    <w:rsid w:val="0059138B"/>
    <w:rsid w:val="00591677"/>
    <w:rsid w:val="00591873"/>
    <w:rsid w:val="00591957"/>
    <w:rsid w:val="00592BFF"/>
    <w:rsid w:val="00593178"/>
    <w:rsid w:val="00593406"/>
    <w:rsid w:val="00593CDC"/>
    <w:rsid w:val="00594B1A"/>
    <w:rsid w:val="00595068"/>
    <w:rsid w:val="00595253"/>
    <w:rsid w:val="00596AD3"/>
    <w:rsid w:val="00596C47"/>
    <w:rsid w:val="00596F84"/>
    <w:rsid w:val="005970E7"/>
    <w:rsid w:val="00597BF9"/>
    <w:rsid w:val="005A01F8"/>
    <w:rsid w:val="005A0C11"/>
    <w:rsid w:val="005A1261"/>
    <w:rsid w:val="005A1A07"/>
    <w:rsid w:val="005A2181"/>
    <w:rsid w:val="005A2616"/>
    <w:rsid w:val="005A2E2E"/>
    <w:rsid w:val="005A309A"/>
    <w:rsid w:val="005A373D"/>
    <w:rsid w:val="005A4E03"/>
    <w:rsid w:val="005A69D9"/>
    <w:rsid w:val="005B088D"/>
    <w:rsid w:val="005B09EA"/>
    <w:rsid w:val="005B0B58"/>
    <w:rsid w:val="005B2AC1"/>
    <w:rsid w:val="005B3674"/>
    <w:rsid w:val="005B4E44"/>
    <w:rsid w:val="005B4E53"/>
    <w:rsid w:val="005B5813"/>
    <w:rsid w:val="005B5857"/>
    <w:rsid w:val="005B5A75"/>
    <w:rsid w:val="005B5E74"/>
    <w:rsid w:val="005B685F"/>
    <w:rsid w:val="005B68F1"/>
    <w:rsid w:val="005B7725"/>
    <w:rsid w:val="005B7734"/>
    <w:rsid w:val="005B77D8"/>
    <w:rsid w:val="005B789F"/>
    <w:rsid w:val="005C029B"/>
    <w:rsid w:val="005C0A68"/>
    <w:rsid w:val="005C19C4"/>
    <w:rsid w:val="005C1B83"/>
    <w:rsid w:val="005C20AD"/>
    <w:rsid w:val="005C25A9"/>
    <w:rsid w:val="005C25FF"/>
    <w:rsid w:val="005C2A06"/>
    <w:rsid w:val="005C2B05"/>
    <w:rsid w:val="005C2D55"/>
    <w:rsid w:val="005C346B"/>
    <w:rsid w:val="005C3603"/>
    <w:rsid w:val="005C42C0"/>
    <w:rsid w:val="005C561D"/>
    <w:rsid w:val="005C5ABC"/>
    <w:rsid w:val="005C619F"/>
    <w:rsid w:val="005C692C"/>
    <w:rsid w:val="005C7A24"/>
    <w:rsid w:val="005C7E18"/>
    <w:rsid w:val="005D02F5"/>
    <w:rsid w:val="005D044D"/>
    <w:rsid w:val="005D0ABD"/>
    <w:rsid w:val="005D0B8A"/>
    <w:rsid w:val="005D0D1A"/>
    <w:rsid w:val="005D0DB0"/>
    <w:rsid w:val="005D10B5"/>
    <w:rsid w:val="005D18AD"/>
    <w:rsid w:val="005D1C4B"/>
    <w:rsid w:val="005D2401"/>
    <w:rsid w:val="005D26B4"/>
    <w:rsid w:val="005D2C85"/>
    <w:rsid w:val="005D2FBC"/>
    <w:rsid w:val="005D370E"/>
    <w:rsid w:val="005D3783"/>
    <w:rsid w:val="005D3F38"/>
    <w:rsid w:val="005D4044"/>
    <w:rsid w:val="005D4C45"/>
    <w:rsid w:val="005D5814"/>
    <w:rsid w:val="005D69EF"/>
    <w:rsid w:val="005D6A6F"/>
    <w:rsid w:val="005D6FCE"/>
    <w:rsid w:val="005D72E6"/>
    <w:rsid w:val="005D770A"/>
    <w:rsid w:val="005E08B3"/>
    <w:rsid w:val="005E1476"/>
    <w:rsid w:val="005E1698"/>
    <w:rsid w:val="005E191E"/>
    <w:rsid w:val="005E1995"/>
    <w:rsid w:val="005E1BE6"/>
    <w:rsid w:val="005E1DD3"/>
    <w:rsid w:val="005E1EF0"/>
    <w:rsid w:val="005E21FB"/>
    <w:rsid w:val="005E39A2"/>
    <w:rsid w:val="005E6CBC"/>
    <w:rsid w:val="005E72FF"/>
    <w:rsid w:val="005E73C0"/>
    <w:rsid w:val="005E79CE"/>
    <w:rsid w:val="005F07ED"/>
    <w:rsid w:val="005F07FC"/>
    <w:rsid w:val="005F17C6"/>
    <w:rsid w:val="005F1F8A"/>
    <w:rsid w:val="005F2287"/>
    <w:rsid w:val="005F2706"/>
    <w:rsid w:val="005F2B9E"/>
    <w:rsid w:val="005F36E1"/>
    <w:rsid w:val="005F4968"/>
    <w:rsid w:val="005F51E5"/>
    <w:rsid w:val="005F5475"/>
    <w:rsid w:val="005F5B84"/>
    <w:rsid w:val="005F5DD7"/>
    <w:rsid w:val="005F6A8F"/>
    <w:rsid w:val="005F6BB7"/>
    <w:rsid w:val="005F6F5B"/>
    <w:rsid w:val="005F7588"/>
    <w:rsid w:val="005F765E"/>
    <w:rsid w:val="0060058C"/>
    <w:rsid w:val="0060066A"/>
    <w:rsid w:val="006006BC"/>
    <w:rsid w:val="00600ADF"/>
    <w:rsid w:val="00600FC4"/>
    <w:rsid w:val="00601CCA"/>
    <w:rsid w:val="00602092"/>
    <w:rsid w:val="0060260F"/>
    <w:rsid w:val="006028D3"/>
    <w:rsid w:val="00603108"/>
    <w:rsid w:val="00603B80"/>
    <w:rsid w:val="00603CCB"/>
    <w:rsid w:val="00603DB9"/>
    <w:rsid w:val="00603DE0"/>
    <w:rsid w:val="00606A47"/>
    <w:rsid w:val="00606CF0"/>
    <w:rsid w:val="00606F8B"/>
    <w:rsid w:val="00606FBA"/>
    <w:rsid w:val="00607669"/>
    <w:rsid w:val="006076F4"/>
    <w:rsid w:val="006077B5"/>
    <w:rsid w:val="00607AFD"/>
    <w:rsid w:val="006106E0"/>
    <w:rsid w:val="006108E0"/>
    <w:rsid w:val="00611137"/>
    <w:rsid w:val="00611592"/>
    <w:rsid w:val="00611B12"/>
    <w:rsid w:val="006128A4"/>
    <w:rsid w:val="00612F30"/>
    <w:rsid w:val="00612F97"/>
    <w:rsid w:val="006130D9"/>
    <w:rsid w:val="0061345D"/>
    <w:rsid w:val="0061350D"/>
    <w:rsid w:val="00613A1A"/>
    <w:rsid w:val="0061549B"/>
    <w:rsid w:val="00616273"/>
    <w:rsid w:val="00616446"/>
    <w:rsid w:val="00616802"/>
    <w:rsid w:val="00616D57"/>
    <w:rsid w:val="00617354"/>
    <w:rsid w:val="006175EB"/>
    <w:rsid w:val="00617E12"/>
    <w:rsid w:val="00617E4F"/>
    <w:rsid w:val="0062015E"/>
    <w:rsid w:val="0062062F"/>
    <w:rsid w:val="00620C25"/>
    <w:rsid w:val="00621477"/>
    <w:rsid w:val="0062199A"/>
    <w:rsid w:val="00621ADA"/>
    <w:rsid w:val="0062304D"/>
    <w:rsid w:val="006237FE"/>
    <w:rsid w:val="00623BD2"/>
    <w:rsid w:val="00623F7B"/>
    <w:rsid w:val="00624BD4"/>
    <w:rsid w:val="006257F5"/>
    <w:rsid w:val="00626117"/>
    <w:rsid w:val="006273D3"/>
    <w:rsid w:val="0062778B"/>
    <w:rsid w:val="00627D7C"/>
    <w:rsid w:val="00630843"/>
    <w:rsid w:val="00630A89"/>
    <w:rsid w:val="0063158F"/>
    <w:rsid w:val="00631D6B"/>
    <w:rsid w:val="00632183"/>
    <w:rsid w:val="006325B0"/>
    <w:rsid w:val="006325B6"/>
    <w:rsid w:val="0063295A"/>
    <w:rsid w:val="006330A1"/>
    <w:rsid w:val="0063343E"/>
    <w:rsid w:val="00633AED"/>
    <w:rsid w:val="00633CA2"/>
    <w:rsid w:val="00634062"/>
    <w:rsid w:val="0063420C"/>
    <w:rsid w:val="0063479F"/>
    <w:rsid w:val="006352AA"/>
    <w:rsid w:val="006353F0"/>
    <w:rsid w:val="006357B5"/>
    <w:rsid w:val="00635C95"/>
    <w:rsid w:val="00635F06"/>
    <w:rsid w:val="006364A1"/>
    <w:rsid w:val="0063678E"/>
    <w:rsid w:val="0063718F"/>
    <w:rsid w:val="0063766D"/>
    <w:rsid w:val="00637BFD"/>
    <w:rsid w:val="00637C5C"/>
    <w:rsid w:val="00637D11"/>
    <w:rsid w:val="00640F96"/>
    <w:rsid w:val="00641AF3"/>
    <w:rsid w:val="00641C4E"/>
    <w:rsid w:val="00641FB3"/>
    <w:rsid w:val="0064269B"/>
    <w:rsid w:val="00642AAC"/>
    <w:rsid w:val="0064434C"/>
    <w:rsid w:val="00644CB6"/>
    <w:rsid w:val="00645ADB"/>
    <w:rsid w:val="00645F19"/>
    <w:rsid w:val="00646A56"/>
    <w:rsid w:val="006471CC"/>
    <w:rsid w:val="00647231"/>
    <w:rsid w:val="006472FE"/>
    <w:rsid w:val="0064735D"/>
    <w:rsid w:val="00647422"/>
    <w:rsid w:val="00647A29"/>
    <w:rsid w:val="00647C98"/>
    <w:rsid w:val="0065079F"/>
    <w:rsid w:val="006508DF"/>
    <w:rsid w:val="00650CE5"/>
    <w:rsid w:val="006514C1"/>
    <w:rsid w:val="00651ED5"/>
    <w:rsid w:val="00651F5E"/>
    <w:rsid w:val="00652235"/>
    <w:rsid w:val="00652A28"/>
    <w:rsid w:val="00652CD3"/>
    <w:rsid w:val="0065331C"/>
    <w:rsid w:val="0065379F"/>
    <w:rsid w:val="00653836"/>
    <w:rsid w:val="00653D90"/>
    <w:rsid w:val="00655DEC"/>
    <w:rsid w:val="00656188"/>
    <w:rsid w:val="00656FA1"/>
    <w:rsid w:val="0065715A"/>
    <w:rsid w:val="00657840"/>
    <w:rsid w:val="00657D14"/>
    <w:rsid w:val="006610F1"/>
    <w:rsid w:val="006618C7"/>
    <w:rsid w:val="00661C6B"/>
    <w:rsid w:val="006628E7"/>
    <w:rsid w:val="00662D3E"/>
    <w:rsid w:val="00664D0C"/>
    <w:rsid w:val="006655C2"/>
    <w:rsid w:val="00665B7B"/>
    <w:rsid w:val="00665CA0"/>
    <w:rsid w:val="006660CE"/>
    <w:rsid w:val="00666122"/>
    <w:rsid w:val="00666760"/>
    <w:rsid w:val="00666791"/>
    <w:rsid w:val="00666B73"/>
    <w:rsid w:val="0066765B"/>
    <w:rsid w:val="0066768F"/>
    <w:rsid w:val="00667B86"/>
    <w:rsid w:val="00667BE3"/>
    <w:rsid w:val="00667EEA"/>
    <w:rsid w:val="00667F1C"/>
    <w:rsid w:val="0067039F"/>
    <w:rsid w:val="00670DFA"/>
    <w:rsid w:val="00671004"/>
    <w:rsid w:val="006722EB"/>
    <w:rsid w:val="00672646"/>
    <w:rsid w:val="00674451"/>
    <w:rsid w:val="006745C7"/>
    <w:rsid w:val="00674DDA"/>
    <w:rsid w:val="00674E42"/>
    <w:rsid w:val="006759E8"/>
    <w:rsid w:val="00675B63"/>
    <w:rsid w:val="00675E0A"/>
    <w:rsid w:val="00676563"/>
    <w:rsid w:val="006766B0"/>
    <w:rsid w:val="006771C9"/>
    <w:rsid w:val="00677395"/>
    <w:rsid w:val="00677758"/>
    <w:rsid w:val="00677795"/>
    <w:rsid w:val="00677D0B"/>
    <w:rsid w:val="0068000A"/>
    <w:rsid w:val="00680614"/>
    <w:rsid w:val="00680EFE"/>
    <w:rsid w:val="006813F8"/>
    <w:rsid w:val="006814D4"/>
    <w:rsid w:val="00682112"/>
    <w:rsid w:val="00682BA6"/>
    <w:rsid w:val="00683A82"/>
    <w:rsid w:val="00684332"/>
    <w:rsid w:val="00684874"/>
    <w:rsid w:val="00684888"/>
    <w:rsid w:val="00684D8C"/>
    <w:rsid w:val="00686355"/>
    <w:rsid w:val="00686696"/>
    <w:rsid w:val="00686957"/>
    <w:rsid w:val="00686BDE"/>
    <w:rsid w:val="006872BA"/>
    <w:rsid w:val="00687EE0"/>
    <w:rsid w:val="00690795"/>
    <w:rsid w:val="00690EE7"/>
    <w:rsid w:val="00691648"/>
    <w:rsid w:val="006917D7"/>
    <w:rsid w:val="00691A87"/>
    <w:rsid w:val="00691E3C"/>
    <w:rsid w:val="00691E81"/>
    <w:rsid w:val="00691FB0"/>
    <w:rsid w:val="00692613"/>
    <w:rsid w:val="00693C21"/>
    <w:rsid w:val="0069434C"/>
    <w:rsid w:val="00694F44"/>
    <w:rsid w:val="00696EF9"/>
    <w:rsid w:val="00696F51"/>
    <w:rsid w:val="006979A5"/>
    <w:rsid w:val="00697C92"/>
    <w:rsid w:val="006A016F"/>
    <w:rsid w:val="006A0A61"/>
    <w:rsid w:val="006A0DF7"/>
    <w:rsid w:val="006A1AF7"/>
    <w:rsid w:val="006A1E0D"/>
    <w:rsid w:val="006A1E8C"/>
    <w:rsid w:val="006A1FD7"/>
    <w:rsid w:val="006A25DB"/>
    <w:rsid w:val="006A313C"/>
    <w:rsid w:val="006A3D95"/>
    <w:rsid w:val="006A4321"/>
    <w:rsid w:val="006A43D9"/>
    <w:rsid w:val="006A478D"/>
    <w:rsid w:val="006A618E"/>
    <w:rsid w:val="006A6B99"/>
    <w:rsid w:val="006A7CEB"/>
    <w:rsid w:val="006A7E5F"/>
    <w:rsid w:val="006B22A5"/>
    <w:rsid w:val="006B261B"/>
    <w:rsid w:val="006B2651"/>
    <w:rsid w:val="006B2982"/>
    <w:rsid w:val="006B2C90"/>
    <w:rsid w:val="006B2F5B"/>
    <w:rsid w:val="006B3372"/>
    <w:rsid w:val="006B3524"/>
    <w:rsid w:val="006B35E6"/>
    <w:rsid w:val="006B3CC6"/>
    <w:rsid w:val="006B3DF0"/>
    <w:rsid w:val="006B4059"/>
    <w:rsid w:val="006B43DE"/>
    <w:rsid w:val="006B465A"/>
    <w:rsid w:val="006B4BA7"/>
    <w:rsid w:val="006B5684"/>
    <w:rsid w:val="006B616B"/>
    <w:rsid w:val="006B6C53"/>
    <w:rsid w:val="006B6DD0"/>
    <w:rsid w:val="006B764E"/>
    <w:rsid w:val="006C0399"/>
    <w:rsid w:val="006C0BCE"/>
    <w:rsid w:val="006C0D41"/>
    <w:rsid w:val="006C2635"/>
    <w:rsid w:val="006C274F"/>
    <w:rsid w:val="006C2A8E"/>
    <w:rsid w:val="006C3255"/>
    <w:rsid w:val="006C3422"/>
    <w:rsid w:val="006C3F26"/>
    <w:rsid w:val="006C4B51"/>
    <w:rsid w:val="006C51E1"/>
    <w:rsid w:val="006C54F9"/>
    <w:rsid w:val="006C56AB"/>
    <w:rsid w:val="006C685D"/>
    <w:rsid w:val="006C6881"/>
    <w:rsid w:val="006C6FEB"/>
    <w:rsid w:val="006C74E2"/>
    <w:rsid w:val="006D005A"/>
    <w:rsid w:val="006D0160"/>
    <w:rsid w:val="006D04FF"/>
    <w:rsid w:val="006D0D17"/>
    <w:rsid w:val="006D1480"/>
    <w:rsid w:val="006D1DC5"/>
    <w:rsid w:val="006D252C"/>
    <w:rsid w:val="006D2CEF"/>
    <w:rsid w:val="006D34CF"/>
    <w:rsid w:val="006D3C7D"/>
    <w:rsid w:val="006D4087"/>
    <w:rsid w:val="006D4090"/>
    <w:rsid w:val="006D45E7"/>
    <w:rsid w:val="006D4659"/>
    <w:rsid w:val="006D4B88"/>
    <w:rsid w:val="006D4ED0"/>
    <w:rsid w:val="006D5D5F"/>
    <w:rsid w:val="006D680D"/>
    <w:rsid w:val="006D68FB"/>
    <w:rsid w:val="006D6A67"/>
    <w:rsid w:val="006D7399"/>
    <w:rsid w:val="006D7DE3"/>
    <w:rsid w:val="006D7DF5"/>
    <w:rsid w:val="006E058C"/>
    <w:rsid w:val="006E1938"/>
    <w:rsid w:val="006E2868"/>
    <w:rsid w:val="006E32A1"/>
    <w:rsid w:val="006E34DD"/>
    <w:rsid w:val="006E4274"/>
    <w:rsid w:val="006E4A20"/>
    <w:rsid w:val="006E4A73"/>
    <w:rsid w:val="006E5599"/>
    <w:rsid w:val="006E656F"/>
    <w:rsid w:val="006F0D7B"/>
    <w:rsid w:val="006F0EC5"/>
    <w:rsid w:val="006F11D4"/>
    <w:rsid w:val="006F14DE"/>
    <w:rsid w:val="006F1979"/>
    <w:rsid w:val="006F1AF9"/>
    <w:rsid w:val="006F1CED"/>
    <w:rsid w:val="006F1D4D"/>
    <w:rsid w:val="006F306C"/>
    <w:rsid w:val="006F342F"/>
    <w:rsid w:val="006F3823"/>
    <w:rsid w:val="006F3A77"/>
    <w:rsid w:val="006F4B54"/>
    <w:rsid w:val="006F4F76"/>
    <w:rsid w:val="006F6046"/>
    <w:rsid w:val="006F63A5"/>
    <w:rsid w:val="006F6A84"/>
    <w:rsid w:val="00701061"/>
    <w:rsid w:val="0070142B"/>
    <w:rsid w:val="0070276E"/>
    <w:rsid w:val="00702D7B"/>
    <w:rsid w:val="00702F8F"/>
    <w:rsid w:val="007030A7"/>
    <w:rsid w:val="007048BD"/>
    <w:rsid w:val="00705416"/>
    <w:rsid w:val="0070549A"/>
    <w:rsid w:val="007056DD"/>
    <w:rsid w:val="007059EE"/>
    <w:rsid w:val="00706729"/>
    <w:rsid w:val="007072DF"/>
    <w:rsid w:val="00707604"/>
    <w:rsid w:val="00707883"/>
    <w:rsid w:val="007079FC"/>
    <w:rsid w:val="00710360"/>
    <w:rsid w:val="00711A36"/>
    <w:rsid w:val="00711C7D"/>
    <w:rsid w:val="007125D3"/>
    <w:rsid w:val="00713401"/>
    <w:rsid w:val="00714C26"/>
    <w:rsid w:val="00714F33"/>
    <w:rsid w:val="0071505B"/>
    <w:rsid w:val="0071529C"/>
    <w:rsid w:val="007153C6"/>
    <w:rsid w:val="00715B24"/>
    <w:rsid w:val="00715F9F"/>
    <w:rsid w:val="0071707B"/>
    <w:rsid w:val="007170DA"/>
    <w:rsid w:val="007172AD"/>
    <w:rsid w:val="00717546"/>
    <w:rsid w:val="00717ACD"/>
    <w:rsid w:val="00717F15"/>
    <w:rsid w:val="00717FD9"/>
    <w:rsid w:val="007200A8"/>
    <w:rsid w:val="007204C0"/>
    <w:rsid w:val="00720801"/>
    <w:rsid w:val="00720F31"/>
    <w:rsid w:val="00721054"/>
    <w:rsid w:val="00721238"/>
    <w:rsid w:val="007215ED"/>
    <w:rsid w:val="007224AB"/>
    <w:rsid w:val="00722538"/>
    <w:rsid w:val="00722B1B"/>
    <w:rsid w:val="00723471"/>
    <w:rsid w:val="007238EA"/>
    <w:rsid w:val="00724066"/>
    <w:rsid w:val="0072416F"/>
    <w:rsid w:val="00725130"/>
    <w:rsid w:val="00725E0E"/>
    <w:rsid w:val="00726227"/>
    <w:rsid w:val="00726614"/>
    <w:rsid w:val="00726E50"/>
    <w:rsid w:val="00727742"/>
    <w:rsid w:val="00727C94"/>
    <w:rsid w:val="00730F94"/>
    <w:rsid w:val="00731B0A"/>
    <w:rsid w:val="00731EAE"/>
    <w:rsid w:val="00733073"/>
    <w:rsid w:val="00733845"/>
    <w:rsid w:val="00733FB5"/>
    <w:rsid w:val="00734A4B"/>
    <w:rsid w:val="00734FF3"/>
    <w:rsid w:val="00735033"/>
    <w:rsid w:val="00735328"/>
    <w:rsid w:val="00735BF0"/>
    <w:rsid w:val="00735D83"/>
    <w:rsid w:val="00735EC8"/>
    <w:rsid w:val="007363E0"/>
    <w:rsid w:val="0073685B"/>
    <w:rsid w:val="007401F7"/>
    <w:rsid w:val="0074059D"/>
    <w:rsid w:val="00742925"/>
    <w:rsid w:val="00743148"/>
    <w:rsid w:val="00743478"/>
    <w:rsid w:val="0074357C"/>
    <w:rsid w:val="00743C5B"/>
    <w:rsid w:val="00743F96"/>
    <w:rsid w:val="007444F8"/>
    <w:rsid w:val="00744736"/>
    <w:rsid w:val="007449BF"/>
    <w:rsid w:val="00745101"/>
    <w:rsid w:val="00745370"/>
    <w:rsid w:val="00745F4A"/>
    <w:rsid w:val="007463B1"/>
    <w:rsid w:val="007463FE"/>
    <w:rsid w:val="00746701"/>
    <w:rsid w:val="00746BC0"/>
    <w:rsid w:val="00746BF5"/>
    <w:rsid w:val="0074752E"/>
    <w:rsid w:val="00747989"/>
    <w:rsid w:val="00747B25"/>
    <w:rsid w:val="007502C5"/>
    <w:rsid w:val="007508CB"/>
    <w:rsid w:val="007510B4"/>
    <w:rsid w:val="007513C6"/>
    <w:rsid w:val="00751BE8"/>
    <w:rsid w:val="00752142"/>
    <w:rsid w:val="007523F9"/>
    <w:rsid w:val="0075341D"/>
    <w:rsid w:val="0075357E"/>
    <w:rsid w:val="00753B29"/>
    <w:rsid w:val="00754050"/>
    <w:rsid w:val="00755152"/>
    <w:rsid w:val="00755322"/>
    <w:rsid w:val="00755A36"/>
    <w:rsid w:val="0075674F"/>
    <w:rsid w:val="0075709B"/>
    <w:rsid w:val="007573E8"/>
    <w:rsid w:val="00757576"/>
    <w:rsid w:val="00757A0F"/>
    <w:rsid w:val="00757CB1"/>
    <w:rsid w:val="007609FF"/>
    <w:rsid w:val="00760B81"/>
    <w:rsid w:val="00760C4E"/>
    <w:rsid w:val="00760F9E"/>
    <w:rsid w:val="00760FA1"/>
    <w:rsid w:val="007616E6"/>
    <w:rsid w:val="007627BE"/>
    <w:rsid w:val="007638A8"/>
    <w:rsid w:val="00763C01"/>
    <w:rsid w:val="007641E3"/>
    <w:rsid w:val="00764CA8"/>
    <w:rsid w:val="00764F03"/>
    <w:rsid w:val="00765784"/>
    <w:rsid w:val="0076599A"/>
    <w:rsid w:val="00765B1A"/>
    <w:rsid w:val="00765B3E"/>
    <w:rsid w:val="00765DC1"/>
    <w:rsid w:val="00766811"/>
    <w:rsid w:val="00766A73"/>
    <w:rsid w:val="00766D6E"/>
    <w:rsid w:val="007672EF"/>
    <w:rsid w:val="00767675"/>
    <w:rsid w:val="00767758"/>
    <w:rsid w:val="00771F31"/>
    <w:rsid w:val="0077366F"/>
    <w:rsid w:val="00773815"/>
    <w:rsid w:val="00776A29"/>
    <w:rsid w:val="00776AB9"/>
    <w:rsid w:val="00777335"/>
    <w:rsid w:val="007774F1"/>
    <w:rsid w:val="007803F7"/>
    <w:rsid w:val="007807BF"/>
    <w:rsid w:val="0078111D"/>
    <w:rsid w:val="007815C7"/>
    <w:rsid w:val="00781618"/>
    <w:rsid w:val="007821EB"/>
    <w:rsid w:val="007821F8"/>
    <w:rsid w:val="0078271C"/>
    <w:rsid w:val="00783677"/>
    <w:rsid w:val="007843F2"/>
    <w:rsid w:val="007846FA"/>
    <w:rsid w:val="00784AC6"/>
    <w:rsid w:val="00784FF7"/>
    <w:rsid w:val="007851C6"/>
    <w:rsid w:val="00785A9F"/>
    <w:rsid w:val="00785CCF"/>
    <w:rsid w:val="0078617D"/>
    <w:rsid w:val="007864FE"/>
    <w:rsid w:val="007867F1"/>
    <w:rsid w:val="00786BD5"/>
    <w:rsid w:val="00786C27"/>
    <w:rsid w:val="00786EE5"/>
    <w:rsid w:val="0078720F"/>
    <w:rsid w:val="007904BC"/>
    <w:rsid w:val="007912CD"/>
    <w:rsid w:val="007919CF"/>
    <w:rsid w:val="00792378"/>
    <w:rsid w:val="0079252C"/>
    <w:rsid w:val="007925DF"/>
    <w:rsid w:val="00792BBC"/>
    <w:rsid w:val="007937F9"/>
    <w:rsid w:val="00793B1A"/>
    <w:rsid w:val="00793C44"/>
    <w:rsid w:val="00794E6D"/>
    <w:rsid w:val="007955F6"/>
    <w:rsid w:val="00796FA2"/>
    <w:rsid w:val="00797F5E"/>
    <w:rsid w:val="007A04FE"/>
    <w:rsid w:val="007A0791"/>
    <w:rsid w:val="007A08AA"/>
    <w:rsid w:val="007A0A12"/>
    <w:rsid w:val="007A132D"/>
    <w:rsid w:val="007A1345"/>
    <w:rsid w:val="007A16EE"/>
    <w:rsid w:val="007A186B"/>
    <w:rsid w:val="007A1BDF"/>
    <w:rsid w:val="007A295F"/>
    <w:rsid w:val="007A2DDB"/>
    <w:rsid w:val="007A2F6B"/>
    <w:rsid w:val="007A3FE6"/>
    <w:rsid w:val="007A5194"/>
    <w:rsid w:val="007A53AB"/>
    <w:rsid w:val="007A5833"/>
    <w:rsid w:val="007A62D5"/>
    <w:rsid w:val="007A6348"/>
    <w:rsid w:val="007A70BA"/>
    <w:rsid w:val="007A7574"/>
    <w:rsid w:val="007B0B3E"/>
    <w:rsid w:val="007B0B65"/>
    <w:rsid w:val="007B0D68"/>
    <w:rsid w:val="007B10C2"/>
    <w:rsid w:val="007B14B2"/>
    <w:rsid w:val="007B1C58"/>
    <w:rsid w:val="007B251D"/>
    <w:rsid w:val="007B27C3"/>
    <w:rsid w:val="007B3533"/>
    <w:rsid w:val="007B393C"/>
    <w:rsid w:val="007B4232"/>
    <w:rsid w:val="007B4BD3"/>
    <w:rsid w:val="007B4F58"/>
    <w:rsid w:val="007B528D"/>
    <w:rsid w:val="007B63CA"/>
    <w:rsid w:val="007B6A2D"/>
    <w:rsid w:val="007B6C07"/>
    <w:rsid w:val="007B6C22"/>
    <w:rsid w:val="007B6DF6"/>
    <w:rsid w:val="007B77D1"/>
    <w:rsid w:val="007C07C7"/>
    <w:rsid w:val="007C150A"/>
    <w:rsid w:val="007C1CD9"/>
    <w:rsid w:val="007C20E5"/>
    <w:rsid w:val="007C32EF"/>
    <w:rsid w:val="007C33E2"/>
    <w:rsid w:val="007C361D"/>
    <w:rsid w:val="007C3DCB"/>
    <w:rsid w:val="007C42C9"/>
    <w:rsid w:val="007C485C"/>
    <w:rsid w:val="007C49D2"/>
    <w:rsid w:val="007C4B84"/>
    <w:rsid w:val="007C5D24"/>
    <w:rsid w:val="007C6F66"/>
    <w:rsid w:val="007C70FF"/>
    <w:rsid w:val="007C7C25"/>
    <w:rsid w:val="007D004F"/>
    <w:rsid w:val="007D035F"/>
    <w:rsid w:val="007D06B2"/>
    <w:rsid w:val="007D0B38"/>
    <w:rsid w:val="007D0BBE"/>
    <w:rsid w:val="007D0BE1"/>
    <w:rsid w:val="007D1193"/>
    <w:rsid w:val="007D18C7"/>
    <w:rsid w:val="007D1ADE"/>
    <w:rsid w:val="007D25A4"/>
    <w:rsid w:val="007D2955"/>
    <w:rsid w:val="007D319F"/>
    <w:rsid w:val="007D385A"/>
    <w:rsid w:val="007D3D07"/>
    <w:rsid w:val="007D4A92"/>
    <w:rsid w:val="007D5440"/>
    <w:rsid w:val="007D649B"/>
    <w:rsid w:val="007D6507"/>
    <w:rsid w:val="007D69EB"/>
    <w:rsid w:val="007E128F"/>
    <w:rsid w:val="007E13BE"/>
    <w:rsid w:val="007E1BB5"/>
    <w:rsid w:val="007E1ECD"/>
    <w:rsid w:val="007E22B6"/>
    <w:rsid w:val="007E33FF"/>
    <w:rsid w:val="007E4BDE"/>
    <w:rsid w:val="007E5897"/>
    <w:rsid w:val="007E5ADE"/>
    <w:rsid w:val="007E69BA"/>
    <w:rsid w:val="007E6CDA"/>
    <w:rsid w:val="007F0078"/>
    <w:rsid w:val="007F06AA"/>
    <w:rsid w:val="007F0ADD"/>
    <w:rsid w:val="007F1017"/>
    <w:rsid w:val="007F124D"/>
    <w:rsid w:val="007F1A54"/>
    <w:rsid w:val="007F1CFC"/>
    <w:rsid w:val="007F21D5"/>
    <w:rsid w:val="007F2432"/>
    <w:rsid w:val="007F2F44"/>
    <w:rsid w:val="007F379A"/>
    <w:rsid w:val="007F3B88"/>
    <w:rsid w:val="007F3DE1"/>
    <w:rsid w:val="007F4A3F"/>
    <w:rsid w:val="007F4A61"/>
    <w:rsid w:val="007F5255"/>
    <w:rsid w:val="007F56CC"/>
    <w:rsid w:val="007F5CDE"/>
    <w:rsid w:val="007F5D59"/>
    <w:rsid w:val="007F61C2"/>
    <w:rsid w:val="007F61DB"/>
    <w:rsid w:val="007F73B8"/>
    <w:rsid w:val="007F7DD6"/>
    <w:rsid w:val="00801705"/>
    <w:rsid w:val="008028B7"/>
    <w:rsid w:val="008039D7"/>
    <w:rsid w:val="00803A10"/>
    <w:rsid w:val="00803AD6"/>
    <w:rsid w:val="00803EB9"/>
    <w:rsid w:val="00805142"/>
    <w:rsid w:val="00805624"/>
    <w:rsid w:val="0080566B"/>
    <w:rsid w:val="00805FCE"/>
    <w:rsid w:val="0080616F"/>
    <w:rsid w:val="008068BD"/>
    <w:rsid w:val="00807812"/>
    <w:rsid w:val="00807A2E"/>
    <w:rsid w:val="00807A8B"/>
    <w:rsid w:val="00810369"/>
    <w:rsid w:val="00810A2D"/>
    <w:rsid w:val="00811383"/>
    <w:rsid w:val="008118EE"/>
    <w:rsid w:val="00812149"/>
    <w:rsid w:val="008124D1"/>
    <w:rsid w:val="00812B07"/>
    <w:rsid w:val="00812CAC"/>
    <w:rsid w:val="008131D3"/>
    <w:rsid w:val="0081428D"/>
    <w:rsid w:val="0081436F"/>
    <w:rsid w:val="00814732"/>
    <w:rsid w:val="008148AE"/>
    <w:rsid w:val="008149C0"/>
    <w:rsid w:val="00815B85"/>
    <w:rsid w:val="00816361"/>
    <w:rsid w:val="008166EF"/>
    <w:rsid w:val="00816FEF"/>
    <w:rsid w:val="00817633"/>
    <w:rsid w:val="00820320"/>
    <w:rsid w:val="00820A8C"/>
    <w:rsid w:val="00820C46"/>
    <w:rsid w:val="00821208"/>
    <w:rsid w:val="0082132D"/>
    <w:rsid w:val="008215FB"/>
    <w:rsid w:val="0082185E"/>
    <w:rsid w:val="00821B34"/>
    <w:rsid w:val="008220CC"/>
    <w:rsid w:val="00823174"/>
    <w:rsid w:val="008231DD"/>
    <w:rsid w:val="00823520"/>
    <w:rsid w:val="0082432E"/>
    <w:rsid w:val="00824B1B"/>
    <w:rsid w:val="00825533"/>
    <w:rsid w:val="008256ED"/>
    <w:rsid w:val="00825751"/>
    <w:rsid w:val="00825E11"/>
    <w:rsid w:val="0082609B"/>
    <w:rsid w:val="008264EB"/>
    <w:rsid w:val="008268CE"/>
    <w:rsid w:val="00826BF6"/>
    <w:rsid w:val="00827B55"/>
    <w:rsid w:val="00827C23"/>
    <w:rsid w:val="008301B5"/>
    <w:rsid w:val="008312E7"/>
    <w:rsid w:val="00831F1E"/>
    <w:rsid w:val="008327CC"/>
    <w:rsid w:val="008328A3"/>
    <w:rsid w:val="00832A24"/>
    <w:rsid w:val="0083368A"/>
    <w:rsid w:val="008336D2"/>
    <w:rsid w:val="0083376C"/>
    <w:rsid w:val="0083390F"/>
    <w:rsid w:val="00833B05"/>
    <w:rsid w:val="00834204"/>
    <w:rsid w:val="00834486"/>
    <w:rsid w:val="00834626"/>
    <w:rsid w:val="00834B56"/>
    <w:rsid w:val="008356A3"/>
    <w:rsid w:val="00835F48"/>
    <w:rsid w:val="008362B4"/>
    <w:rsid w:val="008367AD"/>
    <w:rsid w:val="008367EF"/>
    <w:rsid w:val="008368CA"/>
    <w:rsid w:val="00836C11"/>
    <w:rsid w:val="00836F9E"/>
    <w:rsid w:val="00837E5B"/>
    <w:rsid w:val="00840CA2"/>
    <w:rsid w:val="00840D6C"/>
    <w:rsid w:val="00840F49"/>
    <w:rsid w:val="00841D53"/>
    <w:rsid w:val="00841F92"/>
    <w:rsid w:val="00842793"/>
    <w:rsid w:val="00843546"/>
    <w:rsid w:val="0084374F"/>
    <w:rsid w:val="008437A8"/>
    <w:rsid w:val="0084404E"/>
    <w:rsid w:val="00844091"/>
    <w:rsid w:val="00844A22"/>
    <w:rsid w:val="00844BEC"/>
    <w:rsid w:val="00844D67"/>
    <w:rsid w:val="00845670"/>
    <w:rsid w:val="00845B2C"/>
    <w:rsid w:val="0084653D"/>
    <w:rsid w:val="00847703"/>
    <w:rsid w:val="00847DF5"/>
    <w:rsid w:val="00850466"/>
    <w:rsid w:val="0085104E"/>
    <w:rsid w:val="00851706"/>
    <w:rsid w:val="008518E4"/>
    <w:rsid w:val="00851C4B"/>
    <w:rsid w:val="00851CE9"/>
    <w:rsid w:val="0085205C"/>
    <w:rsid w:val="0085272C"/>
    <w:rsid w:val="0085309D"/>
    <w:rsid w:val="008534FC"/>
    <w:rsid w:val="00853CE0"/>
    <w:rsid w:val="00853D4F"/>
    <w:rsid w:val="008559A5"/>
    <w:rsid w:val="00856046"/>
    <w:rsid w:val="00856897"/>
    <w:rsid w:val="00856E9A"/>
    <w:rsid w:val="008577F0"/>
    <w:rsid w:val="00857EC6"/>
    <w:rsid w:val="0086075D"/>
    <w:rsid w:val="00861B40"/>
    <w:rsid w:val="00861E2E"/>
    <w:rsid w:val="00862502"/>
    <w:rsid w:val="00862CC1"/>
    <w:rsid w:val="00862DF7"/>
    <w:rsid w:val="00863311"/>
    <w:rsid w:val="0086390E"/>
    <w:rsid w:val="00863DBA"/>
    <w:rsid w:val="008642A7"/>
    <w:rsid w:val="00865098"/>
    <w:rsid w:val="00865A36"/>
    <w:rsid w:val="00865CAE"/>
    <w:rsid w:val="008660D4"/>
    <w:rsid w:val="00866544"/>
    <w:rsid w:val="0086682C"/>
    <w:rsid w:val="00870EBC"/>
    <w:rsid w:val="00871521"/>
    <w:rsid w:val="00871A23"/>
    <w:rsid w:val="00871FA0"/>
    <w:rsid w:val="00871FA9"/>
    <w:rsid w:val="0087229D"/>
    <w:rsid w:val="008728E7"/>
    <w:rsid w:val="008728E9"/>
    <w:rsid w:val="008738AB"/>
    <w:rsid w:val="008738C8"/>
    <w:rsid w:val="008739DE"/>
    <w:rsid w:val="00873F07"/>
    <w:rsid w:val="0087417B"/>
    <w:rsid w:val="00874456"/>
    <w:rsid w:val="00874AFC"/>
    <w:rsid w:val="00874B41"/>
    <w:rsid w:val="00875E0B"/>
    <w:rsid w:val="0087622C"/>
    <w:rsid w:val="0087655A"/>
    <w:rsid w:val="00876A20"/>
    <w:rsid w:val="00877226"/>
    <w:rsid w:val="00877802"/>
    <w:rsid w:val="0087781B"/>
    <w:rsid w:val="00877991"/>
    <w:rsid w:val="0088096B"/>
    <w:rsid w:val="00880AD5"/>
    <w:rsid w:val="00881D1F"/>
    <w:rsid w:val="00881D37"/>
    <w:rsid w:val="00882803"/>
    <w:rsid w:val="00882874"/>
    <w:rsid w:val="00882B29"/>
    <w:rsid w:val="00882E3C"/>
    <w:rsid w:val="0088308A"/>
    <w:rsid w:val="00883787"/>
    <w:rsid w:val="0088417F"/>
    <w:rsid w:val="008841AD"/>
    <w:rsid w:val="008855E4"/>
    <w:rsid w:val="0088563F"/>
    <w:rsid w:val="0088583C"/>
    <w:rsid w:val="00885997"/>
    <w:rsid w:val="00885C37"/>
    <w:rsid w:val="00885C47"/>
    <w:rsid w:val="0088646C"/>
    <w:rsid w:val="008866D3"/>
    <w:rsid w:val="00886CD2"/>
    <w:rsid w:val="00890277"/>
    <w:rsid w:val="008907D6"/>
    <w:rsid w:val="00890DD1"/>
    <w:rsid w:val="00891BA8"/>
    <w:rsid w:val="00891E6F"/>
    <w:rsid w:val="00892491"/>
    <w:rsid w:val="0089275D"/>
    <w:rsid w:val="00892A36"/>
    <w:rsid w:val="00892AFF"/>
    <w:rsid w:val="00892F4A"/>
    <w:rsid w:val="00893239"/>
    <w:rsid w:val="008932E8"/>
    <w:rsid w:val="008941F7"/>
    <w:rsid w:val="0089420E"/>
    <w:rsid w:val="00894489"/>
    <w:rsid w:val="008947D3"/>
    <w:rsid w:val="00894CD6"/>
    <w:rsid w:val="00895568"/>
    <w:rsid w:val="00896252"/>
    <w:rsid w:val="008963A5"/>
    <w:rsid w:val="00896CAD"/>
    <w:rsid w:val="00896D5D"/>
    <w:rsid w:val="008A11C2"/>
    <w:rsid w:val="008A15C2"/>
    <w:rsid w:val="008A1C84"/>
    <w:rsid w:val="008A1DFF"/>
    <w:rsid w:val="008A278B"/>
    <w:rsid w:val="008A3158"/>
    <w:rsid w:val="008A3363"/>
    <w:rsid w:val="008A3371"/>
    <w:rsid w:val="008A3572"/>
    <w:rsid w:val="008A3907"/>
    <w:rsid w:val="008A3C3E"/>
    <w:rsid w:val="008A4801"/>
    <w:rsid w:val="008A5160"/>
    <w:rsid w:val="008A52D5"/>
    <w:rsid w:val="008A5D7D"/>
    <w:rsid w:val="008A6A02"/>
    <w:rsid w:val="008A79DE"/>
    <w:rsid w:val="008A7B3D"/>
    <w:rsid w:val="008A7E97"/>
    <w:rsid w:val="008B0577"/>
    <w:rsid w:val="008B09CF"/>
    <w:rsid w:val="008B134F"/>
    <w:rsid w:val="008B1757"/>
    <w:rsid w:val="008B197D"/>
    <w:rsid w:val="008B1C33"/>
    <w:rsid w:val="008B291A"/>
    <w:rsid w:val="008B29E5"/>
    <w:rsid w:val="008B2B0B"/>
    <w:rsid w:val="008B3A6E"/>
    <w:rsid w:val="008B4B6F"/>
    <w:rsid w:val="008B6296"/>
    <w:rsid w:val="008B694D"/>
    <w:rsid w:val="008B6F89"/>
    <w:rsid w:val="008B7992"/>
    <w:rsid w:val="008B7D7E"/>
    <w:rsid w:val="008C0AED"/>
    <w:rsid w:val="008C1539"/>
    <w:rsid w:val="008C17D0"/>
    <w:rsid w:val="008C2731"/>
    <w:rsid w:val="008C3115"/>
    <w:rsid w:val="008C34AB"/>
    <w:rsid w:val="008C3918"/>
    <w:rsid w:val="008C42C7"/>
    <w:rsid w:val="008C49AF"/>
    <w:rsid w:val="008C5610"/>
    <w:rsid w:val="008C5739"/>
    <w:rsid w:val="008C60D7"/>
    <w:rsid w:val="008C68CD"/>
    <w:rsid w:val="008C6D61"/>
    <w:rsid w:val="008C7282"/>
    <w:rsid w:val="008C7799"/>
    <w:rsid w:val="008C7ECB"/>
    <w:rsid w:val="008D0A88"/>
    <w:rsid w:val="008D10F4"/>
    <w:rsid w:val="008D14F3"/>
    <w:rsid w:val="008D1704"/>
    <w:rsid w:val="008D1F58"/>
    <w:rsid w:val="008D282E"/>
    <w:rsid w:val="008D295F"/>
    <w:rsid w:val="008D2B87"/>
    <w:rsid w:val="008D31DD"/>
    <w:rsid w:val="008D3B86"/>
    <w:rsid w:val="008D3B9F"/>
    <w:rsid w:val="008D43FD"/>
    <w:rsid w:val="008D4755"/>
    <w:rsid w:val="008D48B2"/>
    <w:rsid w:val="008D4C3D"/>
    <w:rsid w:val="008D4E54"/>
    <w:rsid w:val="008D5207"/>
    <w:rsid w:val="008D53A8"/>
    <w:rsid w:val="008D5B8B"/>
    <w:rsid w:val="008D64E2"/>
    <w:rsid w:val="008D6B59"/>
    <w:rsid w:val="008D6DB8"/>
    <w:rsid w:val="008D6F75"/>
    <w:rsid w:val="008D743C"/>
    <w:rsid w:val="008E0420"/>
    <w:rsid w:val="008E07FF"/>
    <w:rsid w:val="008E0D3C"/>
    <w:rsid w:val="008E1B9E"/>
    <w:rsid w:val="008E1CBB"/>
    <w:rsid w:val="008E1D3B"/>
    <w:rsid w:val="008E214D"/>
    <w:rsid w:val="008E230D"/>
    <w:rsid w:val="008E3386"/>
    <w:rsid w:val="008E3DB0"/>
    <w:rsid w:val="008E4E19"/>
    <w:rsid w:val="008E541E"/>
    <w:rsid w:val="008E55AB"/>
    <w:rsid w:val="008E5819"/>
    <w:rsid w:val="008E6107"/>
    <w:rsid w:val="008E61E6"/>
    <w:rsid w:val="008E6D0D"/>
    <w:rsid w:val="008E6E37"/>
    <w:rsid w:val="008E75F5"/>
    <w:rsid w:val="008E7EBE"/>
    <w:rsid w:val="008F0917"/>
    <w:rsid w:val="008F0AF6"/>
    <w:rsid w:val="008F0C49"/>
    <w:rsid w:val="008F0C56"/>
    <w:rsid w:val="008F120A"/>
    <w:rsid w:val="008F1770"/>
    <w:rsid w:val="008F2299"/>
    <w:rsid w:val="008F27AC"/>
    <w:rsid w:val="008F27E0"/>
    <w:rsid w:val="008F2D6D"/>
    <w:rsid w:val="008F2EC1"/>
    <w:rsid w:val="008F3862"/>
    <w:rsid w:val="008F38C5"/>
    <w:rsid w:val="008F3D8E"/>
    <w:rsid w:val="008F43E6"/>
    <w:rsid w:val="008F44E3"/>
    <w:rsid w:val="008F463C"/>
    <w:rsid w:val="008F46E6"/>
    <w:rsid w:val="008F48EB"/>
    <w:rsid w:val="008F4B94"/>
    <w:rsid w:val="008F4F0B"/>
    <w:rsid w:val="008F51A7"/>
    <w:rsid w:val="008F5C1F"/>
    <w:rsid w:val="008F6266"/>
    <w:rsid w:val="008F64A2"/>
    <w:rsid w:val="008F65C4"/>
    <w:rsid w:val="008F6C17"/>
    <w:rsid w:val="008F70F8"/>
    <w:rsid w:val="008F786E"/>
    <w:rsid w:val="008F7978"/>
    <w:rsid w:val="0090048F"/>
    <w:rsid w:val="00900F1A"/>
    <w:rsid w:val="00901520"/>
    <w:rsid w:val="00901732"/>
    <w:rsid w:val="00901B26"/>
    <w:rsid w:val="009046C4"/>
    <w:rsid w:val="00904BBC"/>
    <w:rsid w:val="00904DA9"/>
    <w:rsid w:val="00905CC9"/>
    <w:rsid w:val="009062A5"/>
    <w:rsid w:val="00907699"/>
    <w:rsid w:val="00910084"/>
    <w:rsid w:val="00910FA7"/>
    <w:rsid w:val="00911272"/>
    <w:rsid w:val="00911339"/>
    <w:rsid w:val="0091145E"/>
    <w:rsid w:val="00911549"/>
    <w:rsid w:val="00912ACE"/>
    <w:rsid w:val="009135D6"/>
    <w:rsid w:val="00914C77"/>
    <w:rsid w:val="009165AE"/>
    <w:rsid w:val="009209E1"/>
    <w:rsid w:val="00921ACB"/>
    <w:rsid w:val="009228CD"/>
    <w:rsid w:val="0092369B"/>
    <w:rsid w:val="00923DDB"/>
    <w:rsid w:val="00926F41"/>
    <w:rsid w:val="009271F3"/>
    <w:rsid w:val="009278FF"/>
    <w:rsid w:val="0093120F"/>
    <w:rsid w:val="00933A01"/>
    <w:rsid w:val="00934988"/>
    <w:rsid w:val="00934D57"/>
    <w:rsid w:val="00935633"/>
    <w:rsid w:val="00935C2F"/>
    <w:rsid w:val="00936B5A"/>
    <w:rsid w:val="00937089"/>
    <w:rsid w:val="0093713B"/>
    <w:rsid w:val="00937214"/>
    <w:rsid w:val="00937C67"/>
    <w:rsid w:val="00937F5C"/>
    <w:rsid w:val="009415AC"/>
    <w:rsid w:val="009423F4"/>
    <w:rsid w:val="0094286F"/>
    <w:rsid w:val="00942DBE"/>
    <w:rsid w:val="00943008"/>
    <w:rsid w:val="00943010"/>
    <w:rsid w:val="009437FD"/>
    <w:rsid w:val="00943809"/>
    <w:rsid w:val="00944379"/>
    <w:rsid w:val="00944E56"/>
    <w:rsid w:val="00944F8A"/>
    <w:rsid w:val="009450F5"/>
    <w:rsid w:val="00946A5D"/>
    <w:rsid w:val="00947E26"/>
    <w:rsid w:val="009504A0"/>
    <w:rsid w:val="00950828"/>
    <w:rsid w:val="00950A61"/>
    <w:rsid w:val="009510A2"/>
    <w:rsid w:val="00951533"/>
    <w:rsid w:val="009518A8"/>
    <w:rsid w:val="00952140"/>
    <w:rsid w:val="00953257"/>
    <w:rsid w:val="0095474C"/>
    <w:rsid w:val="00954D64"/>
    <w:rsid w:val="00956294"/>
    <w:rsid w:val="00956949"/>
    <w:rsid w:val="009573D4"/>
    <w:rsid w:val="009575EC"/>
    <w:rsid w:val="0095779B"/>
    <w:rsid w:val="00957D92"/>
    <w:rsid w:val="009601B1"/>
    <w:rsid w:val="00962232"/>
    <w:rsid w:val="009622A9"/>
    <w:rsid w:val="00962CB9"/>
    <w:rsid w:val="00962EEF"/>
    <w:rsid w:val="00963096"/>
    <w:rsid w:val="00963647"/>
    <w:rsid w:val="00964183"/>
    <w:rsid w:val="00964312"/>
    <w:rsid w:val="00964364"/>
    <w:rsid w:val="0096478B"/>
    <w:rsid w:val="0096532D"/>
    <w:rsid w:val="00965753"/>
    <w:rsid w:val="00965AF8"/>
    <w:rsid w:val="00965B8A"/>
    <w:rsid w:val="00965ED4"/>
    <w:rsid w:val="00967925"/>
    <w:rsid w:val="00967D46"/>
    <w:rsid w:val="0097071F"/>
    <w:rsid w:val="009711E1"/>
    <w:rsid w:val="00971694"/>
    <w:rsid w:val="009717AC"/>
    <w:rsid w:val="009719A6"/>
    <w:rsid w:val="00971FDB"/>
    <w:rsid w:val="00972292"/>
    <w:rsid w:val="00972D16"/>
    <w:rsid w:val="00973DBA"/>
    <w:rsid w:val="009751C1"/>
    <w:rsid w:val="00976122"/>
    <w:rsid w:val="0097693E"/>
    <w:rsid w:val="00976A53"/>
    <w:rsid w:val="00976D11"/>
    <w:rsid w:val="00977362"/>
    <w:rsid w:val="00980D80"/>
    <w:rsid w:val="009811F1"/>
    <w:rsid w:val="0098192E"/>
    <w:rsid w:val="009819F9"/>
    <w:rsid w:val="009820BE"/>
    <w:rsid w:val="009822C9"/>
    <w:rsid w:val="009824C1"/>
    <w:rsid w:val="0098262F"/>
    <w:rsid w:val="009826F2"/>
    <w:rsid w:val="00982EEE"/>
    <w:rsid w:val="00983795"/>
    <w:rsid w:val="00983C2B"/>
    <w:rsid w:val="00983E57"/>
    <w:rsid w:val="00983F70"/>
    <w:rsid w:val="00984444"/>
    <w:rsid w:val="00984819"/>
    <w:rsid w:val="0098538E"/>
    <w:rsid w:val="00985C05"/>
    <w:rsid w:val="00985DE2"/>
    <w:rsid w:val="00985FA9"/>
    <w:rsid w:val="00986641"/>
    <w:rsid w:val="0098675D"/>
    <w:rsid w:val="00987BA4"/>
    <w:rsid w:val="00987F13"/>
    <w:rsid w:val="00991070"/>
    <w:rsid w:val="00991624"/>
    <w:rsid w:val="00991F40"/>
    <w:rsid w:val="009926E0"/>
    <w:rsid w:val="00992839"/>
    <w:rsid w:val="009929E3"/>
    <w:rsid w:val="00992AB2"/>
    <w:rsid w:val="00993628"/>
    <w:rsid w:val="00993B41"/>
    <w:rsid w:val="00993D91"/>
    <w:rsid w:val="0099451E"/>
    <w:rsid w:val="00994CC1"/>
    <w:rsid w:val="00995517"/>
    <w:rsid w:val="00995A15"/>
    <w:rsid w:val="00995CAB"/>
    <w:rsid w:val="00995FAA"/>
    <w:rsid w:val="00996480"/>
    <w:rsid w:val="00996536"/>
    <w:rsid w:val="00996900"/>
    <w:rsid w:val="00996B1A"/>
    <w:rsid w:val="009971AF"/>
    <w:rsid w:val="00997652"/>
    <w:rsid w:val="00997EC4"/>
    <w:rsid w:val="009A0284"/>
    <w:rsid w:val="009A0B82"/>
    <w:rsid w:val="009A18F6"/>
    <w:rsid w:val="009A1B26"/>
    <w:rsid w:val="009A216F"/>
    <w:rsid w:val="009A2DCC"/>
    <w:rsid w:val="009A40F0"/>
    <w:rsid w:val="009A41E3"/>
    <w:rsid w:val="009A4A0A"/>
    <w:rsid w:val="009A4A8F"/>
    <w:rsid w:val="009A4C97"/>
    <w:rsid w:val="009A4DD2"/>
    <w:rsid w:val="009A5ABC"/>
    <w:rsid w:val="009A5D26"/>
    <w:rsid w:val="009A5D56"/>
    <w:rsid w:val="009A6D25"/>
    <w:rsid w:val="009A7F10"/>
    <w:rsid w:val="009B09BB"/>
    <w:rsid w:val="009B184A"/>
    <w:rsid w:val="009B1EAB"/>
    <w:rsid w:val="009B314C"/>
    <w:rsid w:val="009B3E26"/>
    <w:rsid w:val="009B4AC3"/>
    <w:rsid w:val="009B4C5B"/>
    <w:rsid w:val="009B5120"/>
    <w:rsid w:val="009B5CDF"/>
    <w:rsid w:val="009B6521"/>
    <w:rsid w:val="009C1271"/>
    <w:rsid w:val="009C1293"/>
    <w:rsid w:val="009C1D7E"/>
    <w:rsid w:val="009C21EC"/>
    <w:rsid w:val="009C304F"/>
    <w:rsid w:val="009C33A9"/>
    <w:rsid w:val="009C3706"/>
    <w:rsid w:val="009C3A3A"/>
    <w:rsid w:val="009C3D97"/>
    <w:rsid w:val="009C426B"/>
    <w:rsid w:val="009C462E"/>
    <w:rsid w:val="009C4816"/>
    <w:rsid w:val="009C5CE4"/>
    <w:rsid w:val="009C5CE7"/>
    <w:rsid w:val="009C61FA"/>
    <w:rsid w:val="009C68F5"/>
    <w:rsid w:val="009C6CEA"/>
    <w:rsid w:val="009C7438"/>
    <w:rsid w:val="009C78E3"/>
    <w:rsid w:val="009C7B85"/>
    <w:rsid w:val="009D0254"/>
    <w:rsid w:val="009D0744"/>
    <w:rsid w:val="009D0810"/>
    <w:rsid w:val="009D0AAD"/>
    <w:rsid w:val="009D1A64"/>
    <w:rsid w:val="009D1ABB"/>
    <w:rsid w:val="009D3D41"/>
    <w:rsid w:val="009D44FB"/>
    <w:rsid w:val="009D4A01"/>
    <w:rsid w:val="009D4F66"/>
    <w:rsid w:val="009D599C"/>
    <w:rsid w:val="009D5B91"/>
    <w:rsid w:val="009D60AE"/>
    <w:rsid w:val="009D6D0D"/>
    <w:rsid w:val="009D6FAF"/>
    <w:rsid w:val="009D75E0"/>
    <w:rsid w:val="009D773B"/>
    <w:rsid w:val="009D792E"/>
    <w:rsid w:val="009D7C76"/>
    <w:rsid w:val="009D7DA2"/>
    <w:rsid w:val="009E0840"/>
    <w:rsid w:val="009E0DFE"/>
    <w:rsid w:val="009E0E59"/>
    <w:rsid w:val="009E11EA"/>
    <w:rsid w:val="009E1C48"/>
    <w:rsid w:val="009E2C63"/>
    <w:rsid w:val="009E302F"/>
    <w:rsid w:val="009E31F6"/>
    <w:rsid w:val="009E336D"/>
    <w:rsid w:val="009E3C11"/>
    <w:rsid w:val="009E3DBA"/>
    <w:rsid w:val="009E3F22"/>
    <w:rsid w:val="009E3F69"/>
    <w:rsid w:val="009E4C07"/>
    <w:rsid w:val="009E4E07"/>
    <w:rsid w:val="009E5190"/>
    <w:rsid w:val="009E591A"/>
    <w:rsid w:val="009E5D85"/>
    <w:rsid w:val="009E617D"/>
    <w:rsid w:val="009E6260"/>
    <w:rsid w:val="009E6EEE"/>
    <w:rsid w:val="009E717D"/>
    <w:rsid w:val="009E777F"/>
    <w:rsid w:val="009F2756"/>
    <w:rsid w:val="009F6120"/>
    <w:rsid w:val="009F696E"/>
    <w:rsid w:val="009F7AC0"/>
    <w:rsid w:val="009F7CDE"/>
    <w:rsid w:val="00A0050D"/>
    <w:rsid w:val="00A00D76"/>
    <w:rsid w:val="00A010F9"/>
    <w:rsid w:val="00A01184"/>
    <w:rsid w:val="00A01449"/>
    <w:rsid w:val="00A018BB"/>
    <w:rsid w:val="00A0231C"/>
    <w:rsid w:val="00A02519"/>
    <w:rsid w:val="00A02C6B"/>
    <w:rsid w:val="00A03765"/>
    <w:rsid w:val="00A037C2"/>
    <w:rsid w:val="00A03D43"/>
    <w:rsid w:val="00A04272"/>
    <w:rsid w:val="00A04380"/>
    <w:rsid w:val="00A04786"/>
    <w:rsid w:val="00A05472"/>
    <w:rsid w:val="00A05576"/>
    <w:rsid w:val="00A05C32"/>
    <w:rsid w:val="00A05E64"/>
    <w:rsid w:val="00A0653F"/>
    <w:rsid w:val="00A07019"/>
    <w:rsid w:val="00A070F9"/>
    <w:rsid w:val="00A07C0F"/>
    <w:rsid w:val="00A100C0"/>
    <w:rsid w:val="00A10B80"/>
    <w:rsid w:val="00A11237"/>
    <w:rsid w:val="00A11AB3"/>
    <w:rsid w:val="00A11CD0"/>
    <w:rsid w:val="00A12165"/>
    <w:rsid w:val="00A127E1"/>
    <w:rsid w:val="00A13283"/>
    <w:rsid w:val="00A13948"/>
    <w:rsid w:val="00A15236"/>
    <w:rsid w:val="00A154C1"/>
    <w:rsid w:val="00A1555B"/>
    <w:rsid w:val="00A155C5"/>
    <w:rsid w:val="00A15B5C"/>
    <w:rsid w:val="00A15E04"/>
    <w:rsid w:val="00A16AD8"/>
    <w:rsid w:val="00A16E8E"/>
    <w:rsid w:val="00A16F08"/>
    <w:rsid w:val="00A176CE"/>
    <w:rsid w:val="00A17A32"/>
    <w:rsid w:val="00A2021E"/>
    <w:rsid w:val="00A203DC"/>
    <w:rsid w:val="00A214D3"/>
    <w:rsid w:val="00A214DB"/>
    <w:rsid w:val="00A21B96"/>
    <w:rsid w:val="00A21C95"/>
    <w:rsid w:val="00A21CF3"/>
    <w:rsid w:val="00A224BC"/>
    <w:rsid w:val="00A23327"/>
    <w:rsid w:val="00A23D63"/>
    <w:rsid w:val="00A24462"/>
    <w:rsid w:val="00A24813"/>
    <w:rsid w:val="00A248B0"/>
    <w:rsid w:val="00A24A7B"/>
    <w:rsid w:val="00A24D8A"/>
    <w:rsid w:val="00A24E34"/>
    <w:rsid w:val="00A25F1A"/>
    <w:rsid w:val="00A270FB"/>
    <w:rsid w:val="00A2758A"/>
    <w:rsid w:val="00A2796F"/>
    <w:rsid w:val="00A27AEC"/>
    <w:rsid w:val="00A27DBD"/>
    <w:rsid w:val="00A31441"/>
    <w:rsid w:val="00A319CD"/>
    <w:rsid w:val="00A31FC7"/>
    <w:rsid w:val="00A320DB"/>
    <w:rsid w:val="00A32A80"/>
    <w:rsid w:val="00A32C85"/>
    <w:rsid w:val="00A333F7"/>
    <w:rsid w:val="00A337B3"/>
    <w:rsid w:val="00A34511"/>
    <w:rsid w:val="00A345D6"/>
    <w:rsid w:val="00A3538E"/>
    <w:rsid w:val="00A35D16"/>
    <w:rsid w:val="00A3610E"/>
    <w:rsid w:val="00A37613"/>
    <w:rsid w:val="00A37BCD"/>
    <w:rsid w:val="00A4095A"/>
    <w:rsid w:val="00A41689"/>
    <w:rsid w:val="00A41B34"/>
    <w:rsid w:val="00A42440"/>
    <w:rsid w:val="00A42592"/>
    <w:rsid w:val="00A42908"/>
    <w:rsid w:val="00A43855"/>
    <w:rsid w:val="00A43C59"/>
    <w:rsid w:val="00A44989"/>
    <w:rsid w:val="00A455C0"/>
    <w:rsid w:val="00A45C27"/>
    <w:rsid w:val="00A462DA"/>
    <w:rsid w:val="00A46B47"/>
    <w:rsid w:val="00A4721A"/>
    <w:rsid w:val="00A50154"/>
    <w:rsid w:val="00A501EF"/>
    <w:rsid w:val="00A505ED"/>
    <w:rsid w:val="00A50ECD"/>
    <w:rsid w:val="00A51641"/>
    <w:rsid w:val="00A518F3"/>
    <w:rsid w:val="00A52196"/>
    <w:rsid w:val="00A52729"/>
    <w:rsid w:val="00A53009"/>
    <w:rsid w:val="00A53173"/>
    <w:rsid w:val="00A53675"/>
    <w:rsid w:val="00A54110"/>
    <w:rsid w:val="00A546D4"/>
    <w:rsid w:val="00A55883"/>
    <w:rsid w:val="00A55A95"/>
    <w:rsid w:val="00A55C03"/>
    <w:rsid w:val="00A564D7"/>
    <w:rsid w:val="00A56B6A"/>
    <w:rsid w:val="00A5772B"/>
    <w:rsid w:val="00A578DC"/>
    <w:rsid w:val="00A57CE0"/>
    <w:rsid w:val="00A57CEC"/>
    <w:rsid w:val="00A6194E"/>
    <w:rsid w:val="00A61966"/>
    <w:rsid w:val="00A63112"/>
    <w:rsid w:val="00A63600"/>
    <w:rsid w:val="00A638E5"/>
    <w:rsid w:val="00A640E2"/>
    <w:rsid w:val="00A64D65"/>
    <w:rsid w:val="00A65E06"/>
    <w:rsid w:val="00A65E8E"/>
    <w:rsid w:val="00A65FE0"/>
    <w:rsid w:val="00A6610F"/>
    <w:rsid w:val="00A6677F"/>
    <w:rsid w:val="00A66DA3"/>
    <w:rsid w:val="00A66E6B"/>
    <w:rsid w:val="00A6725B"/>
    <w:rsid w:val="00A67931"/>
    <w:rsid w:val="00A67BDA"/>
    <w:rsid w:val="00A70605"/>
    <w:rsid w:val="00A71A2E"/>
    <w:rsid w:val="00A72898"/>
    <w:rsid w:val="00A73134"/>
    <w:rsid w:val="00A734F0"/>
    <w:rsid w:val="00A7365A"/>
    <w:rsid w:val="00A73CF4"/>
    <w:rsid w:val="00A73E66"/>
    <w:rsid w:val="00A73E7A"/>
    <w:rsid w:val="00A740AC"/>
    <w:rsid w:val="00A740F1"/>
    <w:rsid w:val="00A750FE"/>
    <w:rsid w:val="00A75165"/>
    <w:rsid w:val="00A76001"/>
    <w:rsid w:val="00A765AA"/>
    <w:rsid w:val="00A76B97"/>
    <w:rsid w:val="00A777B2"/>
    <w:rsid w:val="00A77F3E"/>
    <w:rsid w:val="00A8006F"/>
    <w:rsid w:val="00A81011"/>
    <w:rsid w:val="00A81172"/>
    <w:rsid w:val="00A812F9"/>
    <w:rsid w:val="00A8135C"/>
    <w:rsid w:val="00A81D7D"/>
    <w:rsid w:val="00A825D4"/>
    <w:rsid w:val="00A8282D"/>
    <w:rsid w:val="00A828F6"/>
    <w:rsid w:val="00A82B73"/>
    <w:rsid w:val="00A843F7"/>
    <w:rsid w:val="00A852AC"/>
    <w:rsid w:val="00A8542C"/>
    <w:rsid w:val="00A85557"/>
    <w:rsid w:val="00A85A4E"/>
    <w:rsid w:val="00A85ACB"/>
    <w:rsid w:val="00A8669D"/>
    <w:rsid w:val="00A86E07"/>
    <w:rsid w:val="00A86E8B"/>
    <w:rsid w:val="00A87164"/>
    <w:rsid w:val="00A871A9"/>
    <w:rsid w:val="00A8759D"/>
    <w:rsid w:val="00A8784E"/>
    <w:rsid w:val="00A90B9A"/>
    <w:rsid w:val="00A913DC"/>
    <w:rsid w:val="00A916CB"/>
    <w:rsid w:val="00A93072"/>
    <w:rsid w:val="00A933B7"/>
    <w:rsid w:val="00A938BD"/>
    <w:rsid w:val="00A93953"/>
    <w:rsid w:val="00A93BC2"/>
    <w:rsid w:val="00A94156"/>
    <w:rsid w:val="00A94C34"/>
    <w:rsid w:val="00A959D8"/>
    <w:rsid w:val="00A95D18"/>
    <w:rsid w:val="00A95E2D"/>
    <w:rsid w:val="00A96BC8"/>
    <w:rsid w:val="00A96D39"/>
    <w:rsid w:val="00A96F54"/>
    <w:rsid w:val="00A96FD4"/>
    <w:rsid w:val="00A9777C"/>
    <w:rsid w:val="00AA113D"/>
    <w:rsid w:val="00AA2115"/>
    <w:rsid w:val="00AA21B1"/>
    <w:rsid w:val="00AA26EE"/>
    <w:rsid w:val="00AA2A17"/>
    <w:rsid w:val="00AA2EB8"/>
    <w:rsid w:val="00AA30E6"/>
    <w:rsid w:val="00AA3119"/>
    <w:rsid w:val="00AA40AB"/>
    <w:rsid w:val="00AA44BC"/>
    <w:rsid w:val="00AA472D"/>
    <w:rsid w:val="00AA68ED"/>
    <w:rsid w:val="00AA6BD5"/>
    <w:rsid w:val="00AA6BD8"/>
    <w:rsid w:val="00AA6C7D"/>
    <w:rsid w:val="00AA6FB2"/>
    <w:rsid w:val="00AA7C53"/>
    <w:rsid w:val="00AA7FD6"/>
    <w:rsid w:val="00AB022A"/>
    <w:rsid w:val="00AB03D4"/>
    <w:rsid w:val="00AB042A"/>
    <w:rsid w:val="00AB0C6B"/>
    <w:rsid w:val="00AB11AD"/>
    <w:rsid w:val="00AB161F"/>
    <w:rsid w:val="00AB16B6"/>
    <w:rsid w:val="00AB19EF"/>
    <w:rsid w:val="00AB1AF0"/>
    <w:rsid w:val="00AB2313"/>
    <w:rsid w:val="00AB2495"/>
    <w:rsid w:val="00AB2D34"/>
    <w:rsid w:val="00AB3430"/>
    <w:rsid w:val="00AB37B9"/>
    <w:rsid w:val="00AB4AD1"/>
    <w:rsid w:val="00AB4F23"/>
    <w:rsid w:val="00AB55E7"/>
    <w:rsid w:val="00AB5A14"/>
    <w:rsid w:val="00AB5E07"/>
    <w:rsid w:val="00AB6ADA"/>
    <w:rsid w:val="00AB6EB9"/>
    <w:rsid w:val="00AB7102"/>
    <w:rsid w:val="00AB7264"/>
    <w:rsid w:val="00AB79D9"/>
    <w:rsid w:val="00AB7CFA"/>
    <w:rsid w:val="00AB7D9C"/>
    <w:rsid w:val="00AB7F75"/>
    <w:rsid w:val="00AC07C1"/>
    <w:rsid w:val="00AC0EA3"/>
    <w:rsid w:val="00AC0F93"/>
    <w:rsid w:val="00AC1365"/>
    <w:rsid w:val="00AC1789"/>
    <w:rsid w:val="00AC3AB1"/>
    <w:rsid w:val="00AC3E35"/>
    <w:rsid w:val="00AC5B42"/>
    <w:rsid w:val="00AC5B48"/>
    <w:rsid w:val="00AC63F5"/>
    <w:rsid w:val="00AC6A4A"/>
    <w:rsid w:val="00AC783C"/>
    <w:rsid w:val="00AC7D7A"/>
    <w:rsid w:val="00AD0771"/>
    <w:rsid w:val="00AD1450"/>
    <w:rsid w:val="00AD15E8"/>
    <w:rsid w:val="00AD1720"/>
    <w:rsid w:val="00AD1A48"/>
    <w:rsid w:val="00AD1C5A"/>
    <w:rsid w:val="00AD2549"/>
    <w:rsid w:val="00AD356D"/>
    <w:rsid w:val="00AD496A"/>
    <w:rsid w:val="00AD49B6"/>
    <w:rsid w:val="00AD4D18"/>
    <w:rsid w:val="00AD4F8C"/>
    <w:rsid w:val="00AD4F9C"/>
    <w:rsid w:val="00AD6502"/>
    <w:rsid w:val="00AD6B85"/>
    <w:rsid w:val="00AD6CAA"/>
    <w:rsid w:val="00AD7538"/>
    <w:rsid w:val="00AE0695"/>
    <w:rsid w:val="00AE0725"/>
    <w:rsid w:val="00AE0D1C"/>
    <w:rsid w:val="00AE1D72"/>
    <w:rsid w:val="00AE1EA1"/>
    <w:rsid w:val="00AE24EF"/>
    <w:rsid w:val="00AE2831"/>
    <w:rsid w:val="00AE2E78"/>
    <w:rsid w:val="00AE3092"/>
    <w:rsid w:val="00AE3E7E"/>
    <w:rsid w:val="00AE44FC"/>
    <w:rsid w:val="00AE5007"/>
    <w:rsid w:val="00AE6066"/>
    <w:rsid w:val="00AE6362"/>
    <w:rsid w:val="00AE688F"/>
    <w:rsid w:val="00AE7A46"/>
    <w:rsid w:val="00AE7AE8"/>
    <w:rsid w:val="00AE7E53"/>
    <w:rsid w:val="00AF0235"/>
    <w:rsid w:val="00AF039E"/>
    <w:rsid w:val="00AF0A12"/>
    <w:rsid w:val="00AF101E"/>
    <w:rsid w:val="00AF1315"/>
    <w:rsid w:val="00AF16D0"/>
    <w:rsid w:val="00AF19BF"/>
    <w:rsid w:val="00AF25A9"/>
    <w:rsid w:val="00AF264B"/>
    <w:rsid w:val="00AF2DC3"/>
    <w:rsid w:val="00AF34DF"/>
    <w:rsid w:val="00AF40E0"/>
    <w:rsid w:val="00AF4229"/>
    <w:rsid w:val="00AF4299"/>
    <w:rsid w:val="00B00796"/>
    <w:rsid w:val="00B007AA"/>
    <w:rsid w:val="00B02854"/>
    <w:rsid w:val="00B033E5"/>
    <w:rsid w:val="00B03780"/>
    <w:rsid w:val="00B03A63"/>
    <w:rsid w:val="00B04B5C"/>
    <w:rsid w:val="00B04F2E"/>
    <w:rsid w:val="00B0515C"/>
    <w:rsid w:val="00B0615A"/>
    <w:rsid w:val="00B067CB"/>
    <w:rsid w:val="00B06D40"/>
    <w:rsid w:val="00B06FDE"/>
    <w:rsid w:val="00B102DD"/>
    <w:rsid w:val="00B10AE4"/>
    <w:rsid w:val="00B10FC9"/>
    <w:rsid w:val="00B114B1"/>
    <w:rsid w:val="00B12061"/>
    <w:rsid w:val="00B129A4"/>
    <w:rsid w:val="00B157F7"/>
    <w:rsid w:val="00B16EBD"/>
    <w:rsid w:val="00B17A75"/>
    <w:rsid w:val="00B20082"/>
    <w:rsid w:val="00B201A4"/>
    <w:rsid w:val="00B201D1"/>
    <w:rsid w:val="00B2123E"/>
    <w:rsid w:val="00B213A6"/>
    <w:rsid w:val="00B21A4D"/>
    <w:rsid w:val="00B21C34"/>
    <w:rsid w:val="00B22B00"/>
    <w:rsid w:val="00B235B0"/>
    <w:rsid w:val="00B235B5"/>
    <w:rsid w:val="00B23EF4"/>
    <w:rsid w:val="00B243F7"/>
    <w:rsid w:val="00B245BC"/>
    <w:rsid w:val="00B24DF6"/>
    <w:rsid w:val="00B253B8"/>
    <w:rsid w:val="00B254A1"/>
    <w:rsid w:val="00B257EA"/>
    <w:rsid w:val="00B2605F"/>
    <w:rsid w:val="00B265A3"/>
    <w:rsid w:val="00B26CA9"/>
    <w:rsid w:val="00B26F70"/>
    <w:rsid w:val="00B277B4"/>
    <w:rsid w:val="00B27A61"/>
    <w:rsid w:val="00B30B32"/>
    <w:rsid w:val="00B30FF9"/>
    <w:rsid w:val="00B320DC"/>
    <w:rsid w:val="00B333C6"/>
    <w:rsid w:val="00B339E7"/>
    <w:rsid w:val="00B33FBA"/>
    <w:rsid w:val="00B34C34"/>
    <w:rsid w:val="00B34C61"/>
    <w:rsid w:val="00B34FE2"/>
    <w:rsid w:val="00B35166"/>
    <w:rsid w:val="00B352F9"/>
    <w:rsid w:val="00B35452"/>
    <w:rsid w:val="00B356F8"/>
    <w:rsid w:val="00B357D8"/>
    <w:rsid w:val="00B360F4"/>
    <w:rsid w:val="00B3639E"/>
    <w:rsid w:val="00B36A00"/>
    <w:rsid w:val="00B3715E"/>
    <w:rsid w:val="00B3792B"/>
    <w:rsid w:val="00B37BFC"/>
    <w:rsid w:val="00B40358"/>
    <w:rsid w:val="00B41614"/>
    <w:rsid w:val="00B41FF2"/>
    <w:rsid w:val="00B42851"/>
    <w:rsid w:val="00B429AA"/>
    <w:rsid w:val="00B42F80"/>
    <w:rsid w:val="00B435CB"/>
    <w:rsid w:val="00B465C9"/>
    <w:rsid w:val="00B465EC"/>
    <w:rsid w:val="00B468D0"/>
    <w:rsid w:val="00B46A82"/>
    <w:rsid w:val="00B4734A"/>
    <w:rsid w:val="00B47888"/>
    <w:rsid w:val="00B47F73"/>
    <w:rsid w:val="00B47FBC"/>
    <w:rsid w:val="00B505C8"/>
    <w:rsid w:val="00B50DB8"/>
    <w:rsid w:val="00B50E97"/>
    <w:rsid w:val="00B5114B"/>
    <w:rsid w:val="00B51838"/>
    <w:rsid w:val="00B51C7A"/>
    <w:rsid w:val="00B523D7"/>
    <w:rsid w:val="00B53654"/>
    <w:rsid w:val="00B53905"/>
    <w:rsid w:val="00B53AB8"/>
    <w:rsid w:val="00B546DB"/>
    <w:rsid w:val="00B54B5B"/>
    <w:rsid w:val="00B5562E"/>
    <w:rsid w:val="00B557A9"/>
    <w:rsid w:val="00B55862"/>
    <w:rsid w:val="00B55B21"/>
    <w:rsid w:val="00B55D65"/>
    <w:rsid w:val="00B56305"/>
    <w:rsid w:val="00B56405"/>
    <w:rsid w:val="00B565B4"/>
    <w:rsid w:val="00B567D3"/>
    <w:rsid w:val="00B56BD0"/>
    <w:rsid w:val="00B57000"/>
    <w:rsid w:val="00B60939"/>
    <w:rsid w:val="00B60AFD"/>
    <w:rsid w:val="00B61165"/>
    <w:rsid w:val="00B61694"/>
    <w:rsid w:val="00B61F67"/>
    <w:rsid w:val="00B62715"/>
    <w:rsid w:val="00B628D8"/>
    <w:rsid w:val="00B62C7B"/>
    <w:rsid w:val="00B62C89"/>
    <w:rsid w:val="00B6334D"/>
    <w:rsid w:val="00B651D3"/>
    <w:rsid w:val="00B65528"/>
    <w:rsid w:val="00B65611"/>
    <w:rsid w:val="00B67957"/>
    <w:rsid w:val="00B701C4"/>
    <w:rsid w:val="00B7091B"/>
    <w:rsid w:val="00B70E8E"/>
    <w:rsid w:val="00B710B0"/>
    <w:rsid w:val="00B71437"/>
    <w:rsid w:val="00B7155A"/>
    <w:rsid w:val="00B717AF"/>
    <w:rsid w:val="00B71B56"/>
    <w:rsid w:val="00B7368D"/>
    <w:rsid w:val="00B73748"/>
    <w:rsid w:val="00B73800"/>
    <w:rsid w:val="00B748EA"/>
    <w:rsid w:val="00B74E0C"/>
    <w:rsid w:val="00B75270"/>
    <w:rsid w:val="00B75594"/>
    <w:rsid w:val="00B756A1"/>
    <w:rsid w:val="00B764B0"/>
    <w:rsid w:val="00B765E7"/>
    <w:rsid w:val="00B76C92"/>
    <w:rsid w:val="00B76D02"/>
    <w:rsid w:val="00B77097"/>
    <w:rsid w:val="00B80262"/>
    <w:rsid w:val="00B80671"/>
    <w:rsid w:val="00B80EFD"/>
    <w:rsid w:val="00B816CE"/>
    <w:rsid w:val="00B817D6"/>
    <w:rsid w:val="00B818A4"/>
    <w:rsid w:val="00B818F9"/>
    <w:rsid w:val="00B821C3"/>
    <w:rsid w:val="00B82BFD"/>
    <w:rsid w:val="00B83739"/>
    <w:rsid w:val="00B84117"/>
    <w:rsid w:val="00B84941"/>
    <w:rsid w:val="00B850D1"/>
    <w:rsid w:val="00B858F0"/>
    <w:rsid w:val="00B85AA2"/>
    <w:rsid w:val="00B8649C"/>
    <w:rsid w:val="00B8695D"/>
    <w:rsid w:val="00B87F0A"/>
    <w:rsid w:val="00B902E7"/>
    <w:rsid w:val="00B90DA2"/>
    <w:rsid w:val="00B913A6"/>
    <w:rsid w:val="00B915C8"/>
    <w:rsid w:val="00B9163A"/>
    <w:rsid w:val="00B91C9E"/>
    <w:rsid w:val="00B92221"/>
    <w:rsid w:val="00B928B1"/>
    <w:rsid w:val="00B92D0B"/>
    <w:rsid w:val="00B93A50"/>
    <w:rsid w:val="00B94315"/>
    <w:rsid w:val="00B94945"/>
    <w:rsid w:val="00B94DD6"/>
    <w:rsid w:val="00B950B2"/>
    <w:rsid w:val="00B95B9C"/>
    <w:rsid w:val="00B96A4A"/>
    <w:rsid w:val="00BA033D"/>
    <w:rsid w:val="00BA0D64"/>
    <w:rsid w:val="00BA0E9A"/>
    <w:rsid w:val="00BA12BB"/>
    <w:rsid w:val="00BA15BB"/>
    <w:rsid w:val="00BA1C0A"/>
    <w:rsid w:val="00BA2513"/>
    <w:rsid w:val="00BA322D"/>
    <w:rsid w:val="00BA353E"/>
    <w:rsid w:val="00BA4722"/>
    <w:rsid w:val="00BA4973"/>
    <w:rsid w:val="00BA4EB3"/>
    <w:rsid w:val="00BA530D"/>
    <w:rsid w:val="00BA596F"/>
    <w:rsid w:val="00BA63FA"/>
    <w:rsid w:val="00BA6634"/>
    <w:rsid w:val="00BA6B0A"/>
    <w:rsid w:val="00BA6B3F"/>
    <w:rsid w:val="00BA6EC6"/>
    <w:rsid w:val="00BA79A0"/>
    <w:rsid w:val="00BB00B3"/>
    <w:rsid w:val="00BB0922"/>
    <w:rsid w:val="00BB0BDD"/>
    <w:rsid w:val="00BB1140"/>
    <w:rsid w:val="00BB176C"/>
    <w:rsid w:val="00BB1A2A"/>
    <w:rsid w:val="00BB1EF2"/>
    <w:rsid w:val="00BB209F"/>
    <w:rsid w:val="00BB28B7"/>
    <w:rsid w:val="00BB2A73"/>
    <w:rsid w:val="00BB2D00"/>
    <w:rsid w:val="00BB3988"/>
    <w:rsid w:val="00BB3A45"/>
    <w:rsid w:val="00BB4353"/>
    <w:rsid w:val="00BB4673"/>
    <w:rsid w:val="00BB4ACC"/>
    <w:rsid w:val="00BB5971"/>
    <w:rsid w:val="00BB6A55"/>
    <w:rsid w:val="00BB6FBB"/>
    <w:rsid w:val="00BB703E"/>
    <w:rsid w:val="00BB7168"/>
    <w:rsid w:val="00BB732D"/>
    <w:rsid w:val="00BB7405"/>
    <w:rsid w:val="00BB7524"/>
    <w:rsid w:val="00BB7788"/>
    <w:rsid w:val="00BC15B8"/>
    <w:rsid w:val="00BC177C"/>
    <w:rsid w:val="00BC23C3"/>
    <w:rsid w:val="00BC2B9E"/>
    <w:rsid w:val="00BC3578"/>
    <w:rsid w:val="00BC3631"/>
    <w:rsid w:val="00BC3815"/>
    <w:rsid w:val="00BC47FC"/>
    <w:rsid w:val="00BC516D"/>
    <w:rsid w:val="00BC591F"/>
    <w:rsid w:val="00BC5B18"/>
    <w:rsid w:val="00BC61B8"/>
    <w:rsid w:val="00BC7D6D"/>
    <w:rsid w:val="00BC7DB4"/>
    <w:rsid w:val="00BD0D3E"/>
    <w:rsid w:val="00BD2108"/>
    <w:rsid w:val="00BD226B"/>
    <w:rsid w:val="00BD2F7C"/>
    <w:rsid w:val="00BD3266"/>
    <w:rsid w:val="00BD3FFF"/>
    <w:rsid w:val="00BD41C9"/>
    <w:rsid w:val="00BD5C68"/>
    <w:rsid w:val="00BD658F"/>
    <w:rsid w:val="00BD6842"/>
    <w:rsid w:val="00BD68A3"/>
    <w:rsid w:val="00BD6938"/>
    <w:rsid w:val="00BD6B69"/>
    <w:rsid w:val="00BD6CF3"/>
    <w:rsid w:val="00BD7382"/>
    <w:rsid w:val="00BD7CA5"/>
    <w:rsid w:val="00BD7F72"/>
    <w:rsid w:val="00BE0569"/>
    <w:rsid w:val="00BE0C9F"/>
    <w:rsid w:val="00BE0ECA"/>
    <w:rsid w:val="00BE0F9B"/>
    <w:rsid w:val="00BE2180"/>
    <w:rsid w:val="00BE21F2"/>
    <w:rsid w:val="00BE2308"/>
    <w:rsid w:val="00BE244A"/>
    <w:rsid w:val="00BE2E1A"/>
    <w:rsid w:val="00BE37BF"/>
    <w:rsid w:val="00BE3C0C"/>
    <w:rsid w:val="00BE4275"/>
    <w:rsid w:val="00BE4C40"/>
    <w:rsid w:val="00BE5559"/>
    <w:rsid w:val="00BE5651"/>
    <w:rsid w:val="00BE5682"/>
    <w:rsid w:val="00BE5F20"/>
    <w:rsid w:val="00BE6A83"/>
    <w:rsid w:val="00BE7655"/>
    <w:rsid w:val="00BE7C04"/>
    <w:rsid w:val="00BE7D24"/>
    <w:rsid w:val="00BF043F"/>
    <w:rsid w:val="00BF06AE"/>
    <w:rsid w:val="00BF0BD7"/>
    <w:rsid w:val="00BF0F95"/>
    <w:rsid w:val="00BF1DBD"/>
    <w:rsid w:val="00BF2433"/>
    <w:rsid w:val="00BF26AD"/>
    <w:rsid w:val="00BF2E6E"/>
    <w:rsid w:val="00BF3022"/>
    <w:rsid w:val="00BF4009"/>
    <w:rsid w:val="00BF47AF"/>
    <w:rsid w:val="00BF5A81"/>
    <w:rsid w:val="00BF61C9"/>
    <w:rsid w:val="00BF652B"/>
    <w:rsid w:val="00BF6758"/>
    <w:rsid w:val="00BF6C94"/>
    <w:rsid w:val="00BF6F8D"/>
    <w:rsid w:val="00BF72DD"/>
    <w:rsid w:val="00C000C2"/>
    <w:rsid w:val="00C00424"/>
    <w:rsid w:val="00C0066B"/>
    <w:rsid w:val="00C00BB0"/>
    <w:rsid w:val="00C01D90"/>
    <w:rsid w:val="00C01FA5"/>
    <w:rsid w:val="00C029CB"/>
    <w:rsid w:val="00C1071A"/>
    <w:rsid w:val="00C10BAB"/>
    <w:rsid w:val="00C1171F"/>
    <w:rsid w:val="00C1179F"/>
    <w:rsid w:val="00C11AB9"/>
    <w:rsid w:val="00C127B9"/>
    <w:rsid w:val="00C128FA"/>
    <w:rsid w:val="00C12C14"/>
    <w:rsid w:val="00C14147"/>
    <w:rsid w:val="00C152D2"/>
    <w:rsid w:val="00C15F04"/>
    <w:rsid w:val="00C1730A"/>
    <w:rsid w:val="00C179B3"/>
    <w:rsid w:val="00C17E3F"/>
    <w:rsid w:val="00C200AA"/>
    <w:rsid w:val="00C20956"/>
    <w:rsid w:val="00C20BD2"/>
    <w:rsid w:val="00C2115B"/>
    <w:rsid w:val="00C212D9"/>
    <w:rsid w:val="00C21A30"/>
    <w:rsid w:val="00C22121"/>
    <w:rsid w:val="00C225B9"/>
    <w:rsid w:val="00C22735"/>
    <w:rsid w:val="00C231EF"/>
    <w:rsid w:val="00C237ED"/>
    <w:rsid w:val="00C23AF8"/>
    <w:rsid w:val="00C24632"/>
    <w:rsid w:val="00C24808"/>
    <w:rsid w:val="00C24A50"/>
    <w:rsid w:val="00C24F4C"/>
    <w:rsid w:val="00C25418"/>
    <w:rsid w:val="00C2551D"/>
    <w:rsid w:val="00C25AC6"/>
    <w:rsid w:val="00C25D9C"/>
    <w:rsid w:val="00C26823"/>
    <w:rsid w:val="00C269C1"/>
    <w:rsid w:val="00C275E9"/>
    <w:rsid w:val="00C2778B"/>
    <w:rsid w:val="00C27B67"/>
    <w:rsid w:val="00C3024C"/>
    <w:rsid w:val="00C30D21"/>
    <w:rsid w:val="00C31110"/>
    <w:rsid w:val="00C31649"/>
    <w:rsid w:val="00C316D0"/>
    <w:rsid w:val="00C3190C"/>
    <w:rsid w:val="00C31CCA"/>
    <w:rsid w:val="00C31D12"/>
    <w:rsid w:val="00C31ECA"/>
    <w:rsid w:val="00C31F4A"/>
    <w:rsid w:val="00C3284E"/>
    <w:rsid w:val="00C33CFA"/>
    <w:rsid w:val="00C33E04"/>
    <w:rsid w:val="00C3434C"/>
    <w:rsid w:val="00C343B8"/>
    <w:rsid w:val="00C346C2"/>
    <w:rsid w:val="00C35345"/>
    <w:rsid w:val="00C35BE3"/>
    <w:rsid w:val="00C35C93"/>
    <w:rsid w:val="00C36037"/>
    <w:rsid w:val="00C36847"/>
    <w:rsid w:val="00C37769"/>
    <w:rsid w:val="00C37893"/>
    <w:rsid w:val="00C40385"/>
    <w:rsid w:val="00C40D61"/>
    <w:rsid w:val="00C40E97"/>
    <w:rsid w:val="00C41768"/>
    <w:rsid w:val="00C41ECA"/>
    <w:rsid w:val="00C426F4"/>
    <w:rsid w:val="00C42839"/>
    <w:rsid w:val="00C43030"/>
    <w:rsid w:val="00C437FE"/>
    <w:rsid w:val="00C43FB9"/>
    <w:rsid w:val="00C44B0D"/>
    <w:rsid w:val="00C46D2F"/>
    <w:rsid w:val="00C471D5"/>
    <w:rsid w:val="00C475AA"/>
    <w:rsid w:val="00C47A2D"/>
    <w:rsid w:val="00C47E28"/>
    <w:rsid w:val="00C47E6A"/>
    <w:rsid w:val="00C50489"/>
    <w:rsid w:val="00C50761"/>
    <w:rsid w:val="00C50DFE"/>
    <w:rsid w:val="00C51424"/>
    <w:rsid w:val="00C51CD8"/>
    <w:rsid w:val="00C51F41"/>
    <w:rsid w:val="00C52021"/>
    <w:rsid w:val="00C5221D"/>
    <w:rsid w:val="00C52331"/>
    <w:rsid w:val="00C5264F"/>
    <w:rsid w:val="00C527C7"/>
    <w:rsid w:val="00C533C6"/>
    <w:rsid w:val="00C53C98"/>
    <w:rsid w:val="00C53F4A"/>
    <w:rsid w:val="00C547D3"/>
    <w:rsid w:val="00C55982"/>
    <w:rsid w:val="00C5672A"/>
    <w:rsid w:val="00C56FCF"/>
    <w:rsid w:val="00C572F6"/>
    <w:rsid w:val="00C57B6C"/>
    <w:rsid w:val="00C6147F"/>
    <w:rsid w:val="00C61A59"/>
    <w:rsid w:val="00C628A6"/>
    <w:rsid w:val="00C62EA9"/>
    <w:rsid w:val="00C63494"/>
    <w:rsid w:val="00C63DF2"/>
    <w:rsid w:val="00C6407A"/>
    <w:rsid w:val="00C64344"/>
    <w:rsid w:val="00C643BD"/>
    <w:rsid w:val="00C64460"/>
    <w:rsid w:val="00C64E06"/>
    <w:rsid w:val="00C65108"/>
    <w:rsid w:val="00C65576"/>
    <w:rsid w:val="00C65F4A"/>
    <w:rsid w:val="00C66165"/>
    <w:rsid w:val="00C6748B"/>
    <w:rsid w:val="00C67496"/>
    <w:rsid w:val="00C67E39"/>
    <w:rsid w:val="00C7052A"/>
    <w:rsid w:val="00C7060A"/>
    <w:rsid w:val="00C70645"/>
    <w:rsid w:val="00C7073E"/>
    <w:rsid w:val="00C70900"/>
    <w:rsid w:val="00C7092D"/>
    <w:rsid w:val="00C70FB9"/>
    <w:rsid w:val="00C712C0"/>
    <w:rsid w:val="00C7151A"/>
    <w:rsid w:val="00C717E3"/>
    <w:rsid w:val="00C71A70"/>
    <w:rsid w:val="00C71F60"/>
    <w:rsid w:val="00C72241"/>
    <w:rsid w:val="00C72D8E"/>
    <w:rsid w:val="00C7420C"/>
    <w:rsid w:val="00C750C8"/>
    <w:rsid w:val="00C7560F"/>
    <w:rsid w:val="00C75624"/>
    <w:rsid w:val="00C76453"/>
    <w:rsid w:val="00C7687D"/>
    <w:rsid w:val="00C76F5F"/>
    <w:rsid w:val="00C7779E"/>
    <w:rsid w:val="00C8067D"/>
    <w:rsid w:val="00C806F5"/>
    <w:rsid w:val="00C80739"/>
    <w:rsid w:val="00C80927"/>
    <w:rsid w:val="00C80A0E"/>
    <w:rsid w:val="00C8213F"/>
    <w:rsid w:val="00C8262C"/>
    <w:rsid w:val="00C8263F"/>
    <w:rsid w:val="00C8303F"/>
    <w:rsid w:val="00C8320D"/>
    <w:rsid w:val="00C83CBF"/>
    <w:rsid w:val="00C83F69"/>
    <w:rsid w:val="00C85154"/>
    <w:rsid w:val="00C85A70"/>
    <w:rsid w:val="00C85D12"/>
    <w:rsid w:val="00C86F78"/>
    <w:rsid w:val="00C87546"/>
    <w:rsid w:val="00C8797A"/>
    <w:rsid w:val="00C87D07"/>
    <w:rsid w:val="00C900B8"/>
    <w:rsid w:val="00C90197"/>
    <w:rsid w:val="00C90C71"/>
    <w:rsid w:val="00C912BA"/>
    <w:rsid w:val="00C91FD1"/>
    <w:rsid w:val="00C92139"/>
    <w:rsid w:val="00C9247A"/>
    <w:rsid w:val="00C92DB0"/>
    <w:rsid w:val="00C931CF"/>
    <w:rsid w:val="00C9356B"/>
    <w:rsid w:val="00C938CF"/>
    <w:rsid w:val="00C93F10"/>
    <w:rsid w:val="00C93FB4"/>
    <w:rsid w:val="00C94053"/>
    <w:rsid w:val="00C95079"/>
    <w:rsid w:val="00C957A5"/>
    <w:rsid w:val="00C95E83"/>
    <w:rsid w:val="00C9624D"/>
    <w:rsid w:val="00C969DA"/>
    <w:rsid w:val="00C96AD0"/>
    <w:rsid w:val="00C970AB"/>
    <w:rsid w:val="00C97CD7"/>
    <w:rsid w:val="00C97FDC"/>
    <w:rsid w:val="00CA1608"/>
    <w:rsid w:val="00CA2C77"/>
    <w:rsid w:val="00CA2C82"/>
    <w:rsid w:val="00CA444F"/>
    <w:rsid w:val="00CA4548"/>
    <w:rsid w:val="00CA4922"/>
    <w:rsid w:val="00CA5245"/>
    <w:rsid w:val="00CA532F"/>
    <w:rsid w:val="00CA5BBD"/>
    <w:rsid w:val="00CA626E"/>
    <w:rsid w:val="00CA6CF2"/>
    <w:rsid w:val="00CA6E50"/>
    <w:rsid w:val="00CA71F4"/>
    <w:rsid w:val="00CA793A"/>
    <w:rsid w:val="00CA7B09"/>
    <w:rsid w:val="00CB0E37"/>
    <w:rsid w:val="00CB0FA7"/>
    <w:rsid w:val="00CB12A5"/>
    <w:rsid w:val="00CB1CAC"/>
    <w:rsid w:val="00CB21FB"/>
    <w:rsid w:val="00CB2F2A"/>
    <w:rsid w:val="00CB2F5C"/>
    <w:rsid w:val="00CB38ED"/>
    <w:rsid w:val="00CB4470"/>
    <w:rsid w:val="00CB586A"/>
    <w:rsid w:val="00CB5B1A"/>
    <w:rsid w:val="00CB5BDF"/>
    <w:rsid w:val="00CB66FB"/>
    <w:rsid w:val="00CB6B22"/>
    <w:rsid w:val="00CB7866"/>
    <w:rsid w:val="00CB7F5F"/>
    <w:rsid w:val="00CC1825"/>
    <w:rsid w:val="00CC1B39"/>
    <w:rsid w:val="00CC1BFA"/>
    <w:rsid w:val="00CC212B"/>
    <w:rsid w:val="00CC2CA8"/>
    <w:rsid w:val="00CC2E9F"/>
    <w:rsid w:val="00CC2F1A"/>
    <w:rsid w:val="00CC2F47"/>
    <w:rsid w:val="00CC2F56"/>
    <w:rsid w:val="00CC3503"/>
    <w:rsid w:val="00CC35EA"/>
    <w:rsid w:val="00CC365B"/>
    <w:rsid w:val="00CC3848"/>
    <w:rsid w:val="00CC4049"/>
    <w:rsid w:val="00CC413D"/>
    <w:rsid w:val="00CC43BD"/>
    <w:rsid w:val="00CC4401"/>
    <w:rsid w:val="00CC533C"/>
    <w:rsid w:val="00CC6D5E"/>
    <w:rsid w:val="00CD0200"/>
    <w:rsid w:val="00CD0EEF"/>
    <w:rsid w:val="00CD16F6"/>
    <w:rsid w:val="00CD1828"/>
    <w:rsid w:val="00CD1C7F"/>
    <w:rsid w:val="00CD2EB3"/>
    <w:rsid w:val="00CD3858"/>
    <w:rsid w:val="00CD3F68"/>
    <w:rsid w:val="00CD3F77"/>
    <w:rsid w:val="00CD4CCF"/>
    <w:rsid w:val="00CD4FAC"/>
    <w:rsid w:val="00CD501E"/>
    <w:rsid w:val="00CD5028"/>
    <w:rsid w:val="00CD5EFF"/>
    <w:rsid w:val="00CD69F6"/>
    <w:rsid w:val="00CD6ADC"/>
    <w:rsid w:val="00CD6FDF"/>
    <w:rsid w:val="00CD70AD"/>
    <w:rsid w:val="00CD7193"/>
    <w:rsid w:val="00CD778D"/>
    <w:rsid w:val="00CE0C15"/>
    <w:rsid w:val="00CE200B"/>
    <w:rsid w:val="00CE208A"/>
    <w:rsid w:val="00CE2AEA"/>
    <w:rsid w:val="00CE2E65"/>
    <w:rsid w:val="00CE326C"/>
    <w:rsid w:val="00CE359F"/>
    <w:rsid w:val="00CE38C8"/>
    <w:rsid w:val="00CE524F"/>
    <w:rsid w:val="00CE5533"/>
    <w:rsid w:val="00CE580F"/>
    <w:rsid w:val="00CE58CC"/>
    <w:rsid w:val="00CE5A19"/>
    <w:rsid w:val="00CE5B54"/>
    <w:rsid w:val="00CE5E62"/>
    <w:rsid w:val="00CE6274"/>
    <w:rsid w:val="00CE679E"/>
    <w:rsid w:val="00CE77B6"/>
    <w:rsid w:val="00CF05B9"/>
    <w:rsid w:val="00CF1AC3"/>
    <w:rsid w:val="00CF2B8D"/>
    <w:rsid w:val="00CF3A1B"/>
    <w:rsid w:val="00CF3AB1"/>
    <w:rsid w:val="00CF4252"/>
    <w:rsid w:val="00CF456B"/>
    <w:rsid w:val="00CF4D72"/>
    <w:rsid w:val="00CF5175"/>
    <w:rsid w:val="00CF5666"/>
    <w:rsid w:val="00CF596B"/>
    <w:rsid w:val="00CF5A22"/>
    <w:rsid w:val="00CF6325"/>
    <w:rsid w:val="00CF6592"/>
    <w:rsid w:val="00CF6689"/>
    <w:rsid w:val="00CF67C4"/>
    <w:rsid w:val="00CF6961"/>
    <w:rsid w:val="00CF716B"/>
    <w:rsid w:val="00CF7F2B"/>
    <w:rsid w:val="00D00CC7"/>
    <w:rsid w:val="00D0193B"/>
    <w:rsid w:val="00D01960"/>
    <w:rsid w:val="00D01C49"/>
    <w:rsid w:val="00D022FB"/>
    <w:rsid w:val="00D0262E"/>
    <w:rsid w:val="00D03679"/>
    <w:rsid w:val="00D036C4"/>
    <w:rsid w:val="00D0484F"/>
    <w:rsid w:val="00D056FA"/>
    <w:rsid w:val="00D057AA"/>
    <w:rsid w:val="00D0590A"/>
    <w:rsid w:val="00D05E3D"/>
    <w:rsid w:val="00D06139"/>
    <w:rsid w:val="00D073EB"/>
    <w:rsid w:val="00D107C4"/>
    <w:rsid w:val="00D110BD"/>
    <w:rsid w:val="00D11B56"/>
    <w:rsid w:val="00D11EEC"/>
    <w:rsid w:val="00D125ED"/>
    <w:rsid w:val="00D13675"/>
    <w:rsid w:val="00D139EA"/>
    <w:rsid w:val="00D141E1"/>
    <w:rsid w:val="00D14296"/>
    <w:rsid w:val="00D152A7"/>
    <w:rsid w:val="00D15314"/>
    <w:rsid w:val="00D154CA"/>
    <w:rsid w:val="00D156C8"/>
    <w:rsid w:val="00D157AA"/>
    <w:rsid w:val="00D15B48"/>
    <w:rsid w:val="00D1627E"/>
    <w:rsid w:val="00D167FF"/>
    <w:rsid w:val="00D16C36"/>
    <w:rsid w:val="00D17D6C"/>
    <w:rsid w:val="00D20079"/>
    <w:rsid w:val="00D2091E"/>
    <w:rsid w:val="00D20DE7"/>
    <w:rsid w:val="00D2155B"/>
    <w:rsid w:val="00D21C34"/>
    <w:rsid w:val="00D21F4B"/>
    <w:rsid w:val="00D220B5"/>
    <w:rsid w:val="00D22552"/>
    <w:rsid w:val="00D22B3C"/>
    <w:rsid w:val="00D23731"/>
    <w:rsid w:val="00D23D11"/>
    <w:rsid w:val="00D2422D"/>
    <w:rsid w:val="00D24464"/>
    <w:rsid w:val="00D244B6"/>
    <w:rsid w:val="00D2754D"/>
    <w:rsid w:val="00D27B27"/>
    <w:rsid w:val="00D30135"/>
    <w:rsid w:val="00D3026D"/>
    <w:rsid w:val="00D30A01"/>
    <w:rsid w:val="00D30D5B"/>
    <w:rsid w:val="00D323EF"/>
    <w:rsid w:val="00D3380E"/>
    <w:rsid w:val="00D33BE9"/>
    <w:rsid w:val="00D33F93"/>
    <w:rsid w:val="00D33FD1"/>
    <w:rsid w:val="00D34F25"/>
    <w:rsid w:val="00D3560B"/>
    <w:rsid w:val="00D35703"/>
    <w:rsid w:val="00D357FF"/>
    <w:rsid w:val="00D358CF"/>
    <w:rsid w:val="00D36371"/>
    <w:rsid w:val="00D36F31"/>
    <w:rsid w:val="00D371CE"/>
    <w:rsid w:val="00D371F4"/>
    <w:rsid w:val="00D37415"/>
    <w:rsid w:val="00D3750E"/>
    <w:rsid w:val="00D37E82"/>
    <w:rsid w:val="00D41685"/>
    <w:rsid w:val="00D424C7"/>
    <w:rsid w:val="00D42A30"/>
    <w:rsid w:val="00D42C66"/>
    <w:rsid w:val="00D430DF"/>
    <w:rsid w:val="00D43B2A"/>
    <w:rsid w:val="00D43CF1"/>
    <w:rsid w:val="00D43D83"/>
    <w:rsid w:val="00D44E7B"/>
    <w:rsid w:val="00D45019"/>
    <w:rsid w:val="00D4524F"/>
    <w:rsid w:val="00D45897"/>
    <w:rsid w:val="00D45ADA"/>
    <w:rsid w:val="00D45F71"/>
    <w:rsid w:val="00D47575"/>
    <w:rsid w:val="00D47A65"/>
    <w:rsid w:val="00D502AB"/>
    <w:rsid w:val="00D505CC"/>
    <w:rsid w:val="00D50FBC"/>
    <w:rsid w:val="00D51A5E"/>
    <w:rsid w:val="00D52097"/>
    <w:rsid w:val="00D520D7"/>
    <w:rsid w:val="00D5243B"/>
    <w:rsid w:val="00D527FC"/>
    <w:rsid w:val="00D52824"/>
    <w:rsid w:val="00D5303C"/>
    <w:rsid w:val="00D533EC"/>
    <w:rsid w:val="00D55CB8"/>
    <w:rsid w:val="00D56A95"/>
    <w:rsid w:val="00D57329"/>
    <w:rsid w:val="00D578F7"/>
    <w:rsid w:val="00D5795D"/>
    <w:rsid w:val="00D6076E"/>
    <w:rsid w:val="00D612A2"/>
    <w:rsid w:val="00D6232A"/>
    <w:rsid w:val="00D623ED"/>
    <w:rsid w:val="00D636DD"/>
    <w:rsid w:val="00D63BE7"/>
    <w:rsid w:val="00D64A9E"/>
    <w:rsid w:val="00D65197"/>
    <w:rsid w:val="00D66702"/>
    <w:rsid w:val="00D66E65"/>
    <w:rsid w:val="00D676D1"/>
    <w:rsid w:val="00D67894"/>
    <w:rsid w:val="00D67F93"/>
    <w:rsid w:val="00D70973"/>
    <w:rsid w:val="00D70F16"/>
    <w:rsid w:val="00D710B8"/>
    <w:rsid w:val="00D7183B"/>
    <w:rsid w:val="00D71CD9"/>
    <w:rsid w:val="00D720F9"/>
    <w:rsid w:val="00D72617"/>
    <w:rsid w:val="00D72F57"/>
    <w:rsid w:val="00D7311A"/>
    <w:rsid w:val="00D7473E"/>
    <w:rsid w:val="00D7587D"/>
    <w:rsid w:val="00D76A44"/>
    <w:rsid w:val="00D76D83"/>
    <w:rsid w:val="00D77094"/>
    <w:rsid w:val="00D80074"/>
    <w:rsid w:val="00D80075"/>
    <w:rsid w:val="00D80C3B"/>
    <w:rsid w:val="00D80EEB"/>
    <w:rsid w:val="00D815EF"/>
    <w:rsid w:val="00D818CD"/>
    <w:rsid w:val="00D81949"/>
    <w:rsid w:val="00D81A90"/>
    <w:rsid w:val="00D81C50"/>
    <w:rsid w:val="00D81F26"/>
    <w:rsid w:val="00D8225F"/>
    <w:rsid w:val="00D822E2"/>
    <w:rsid w:val="00D843F2"/>
    <w:rsid w:val="00D844A7"/>
    <w:rsid w:val="00D84C1F"/>
    <w:rsid w:val="00D86231"/>
    <w:rsid w:val="00D864CF"/>
    <w:rsid w:val="00D866B9"/>
    <w:rsid w:val="00D870B9"/>
    <w:rsid w:val="00D873D4"/>
    <w:rsid w:val="00D875CE"/>
    <w:rsid w:val="00D90363"/>
    <w:rsid w:val="00D9116E"/>
    <w:rsid w:val="00D912AB"/>
    <w:rsid w:val="00D91923"/>
    <w:rsid w:val="00D919F0"/>
    <w:rsid w:val="00D92826"/>
    <w:rsid w:val="00D92CD2"/>
    <w:rsid w:val="00D92D9D"/>
    <w:rsid w:val="00D93753"/>
    <w:rsid w:val="00D94508"/>
    <w:rsid w:val="00D95186"/>
    <w:rsid w:val="00D95DCD"/>
    <w:rsid w:val="00D967B2"/>
    <w:rsid w:val="00D96C53"/>
    <w:rsid w:val="00D96EB8"/>
    <w:rsid w:val="00D975B7"/>
    <w:rsid w:val="00D97E89"/>
    <w:rsid w:val="00DA1069"/>
    <w:rsid w:val="00DA2B0C"/>
    <w:rsid w:val="00DA2C19"/>
    <w:rsid w:val="00DA2E0A"/>
    <w:rsid w:val="00DA3167"/>
    <w:rsid w:val="00DA32AC"/>
    <w:rsid w:val="00DA4070"/>
    <w:rsid w:val="00DA4DC3"/>
    <w:rsid w:val="00DA65D7"/>
    <w:rsid w:val="00DA77A5"/>
    <w:rsid w:val="00DB0014"/>
    <w:rsid w:val="00DB009E"/>
    <w:rsid w:val="00DB0E0D"/>
    <w:rsid w:val="00DB0E36"/>
    <w:rsid w:val="00DB1113"/>
    <w:rsid w:val="00DB15B6"/>
    <w:rsid w:val="00DB2723"/>
    <w:rsid w:val="00DB3819"/>
    <w:rsid w:val="00DB3CFE"/>
    <w:rsid w:val="00DB3DBF"/>
    <w:rsid w:val="00DB484F"/>
    <w:rsid w:val="00DB5CBA"/>
    <w:rsid w:val="00DB6313"/>
    <w:rsid w:val="00DB65E7"/>
    <w:rsid w:val="00DC04F6"/>
    <w:rsid w:val="00DC0690"/>
    <w:rsid w:val="00DC0B80"/>
    <w:rsid w:val="00DC0F69"/>
    <w:rsid w:val="00DC1D65"/>
    <w:rsid w:val="00DC3747"/>
    <w:rsid w:val="00DC3B33"/>
    <w:rsid w:val="00DC3C57"/>
    <w:rsid w:val="00DC5097"/>
    <w:rsid w:val="00DC54C4"/>
    <w:rsid w:val="00DC5501"/>
    <w:rsid w:val="00DC58DC"/>
    <w:rsid w:val="00DC5989"/>
    <w:rsid w:val="00DC5DE4"/>
    <w:rsid w:val="00DC6437"/>
    <w:rsid w:val="00DC6BB5"/>
    <w:rsid w:val="00DC7154"/>
    <w:rsid w:val="00DC76E3"/>
    <w:rsid w:val="00DC7E8A"/>
    <w:rsid w:val="00DD05B6"/>
    <w:rsid w:val="00DD0F78"/>
    <w:rsid w:val="00DD2267"/>
    <w:rsid w:val="00DD22E1"/>
    <w:rsid w:val="00DD23CC"/>
    <w:rsid w:val="00DD2467"/>
    <w:rsid w:val="00DD273C"/>
    <w:rsid w:val="00DD2B5B"/>
    <w:rsid w:val="00DD2BD8"/>
    <w:rsid w:val="00DD3585"/>
    <w:rsid w:val="00DD3F28"/>
    <w:rsid w:val="00DD40EC"/>
    <w:rsid w:val="00DD4446"/>
    <w:rsid w:val="00DD4537"/>
    <w:rsid w:val="00DD4679"/>
    <w:rsid w:val="00DD492A"/>
    <w:rsid w:val="00DD4E15"/>
    <w:rsid w:val="00DD4F1F"/>
    <w:rsid w:val="00DD5326"/>
    <w:rsid w:val="00DD5B19"/>
    <w:rsid w:val="00DD5E13"/>
    <w:rsid w:val="00DD5E3D"/>
    <w:rsid w:val="00DD6465"/>
    <w:rsid w:val="00DD7E3A"/>
    <w:rsid w:val="00DD7F46"/>
    <w:rsid w:val="00DE13B4"/>
    <w:rsid w:val="00DE2304"/>
    <w:rsid w:val="00DE232C"/>
    <w:rsid w:val="00DE2A08"/>
    <w:rsid w:val="00DE30C8"/>
    <w:rsid w:val="00DE3138"/>
    <w:rsid w:val="00DE37F8"/>
    <w:rsid w:val="00DE40B9"/>
    <w:rsid w:val="00DE4273"/>
    <w:rsid w:val="00DE489A"/>
    <w:rsid w:val="00DE4B6A"/>
    <w:rsid w:val="00DE4FCB"/>
    <w:rsid w:val="00DE5D07"/>
    <w:rsid w:val="00DE6D6D"/>
    <w:rsid w:val="00DE6DD9"/>
    <w:rsid w:val="00DE6EE8"/>
    <w:rsid w:val="00DE72A7"/>
    <w:rsid w:val="00DE7832"/>
    <w:rsid w:val="00DE7EAF"/>
    <w:rsid w:val="00DF093B"/>
    <w:rsid w:val="00DF0960"/>
    <w:rsid w:val="00DF0A11"/>
    <w:rsid w:val="00DF0A94"/>
    <w:rsid w:val="00DF0EE1"/>
    <w:rsid w:val="00DF12CE"/>
    <w:rsid w:val="00DF18FC"/>
    <w:rsid w:val="00DF29E3"/>
    <w:rsid w:val="00DF2D72"/>
    <w:rsid w:val="00DF2DDE"/>
    <w:rsid w:val="00DF2E02"/>
    <w:rsid w:val="00DF32A7"/>
    <w:rsid w:val="00DF3B41"/>
    <w:rsid w:val="00DF41D1"/>
    <w:rsid w:val="00DF5057"/>
    <w:rsid w:val="00DF5D2B"/>
    <w:rsid w:val="00DF6341"/>
    <w:rsid w:val="00DF7329"/>
    <w:rsid w:val="00E0029F"/>
    <w:rsid w:val="00E0071E"/>
    <w:rsid w:val="00E00A33"/>
    <w:rsid w:val="00E00E8E"/>
    <w:rsid w:val="00E01345"/>
    <w:rsid w:val="00E02124"/>
    <w:rsid w:val="00E026F0"/>
    <w:rsid w:val="00E02B74"/>
    <w:rsid w:val="00E02CC0"/>
    <w:rsid w:val="00E0412C"/>
    <w:rsid w:val="00E04726"/>
    <w:rsid w:val="00E05587"/>
    <w:rsid w:val="00E05630"/>
    <w:rsid w:val="00E05C21"/>
    <w:rsid w:val="00E06033"/>
    <w:rsid w:val="00E06B56"/>
    <w:rsid w:val="00E06DBB"/>
    <w:rsid w:val="00E07E94"/>
    <w:rsid w:val="00E10149"/>
    <w:rsid w:val="00E10C39"/>
    <w:rsid w:val="00E11340"/>
    <w:rsid w:val="00E119B7"/>
    <w:rsid w:val="00E122A1"/>
    <w:rsid w:val="00E12BA8"/>
    <w:rsid w:val="00E12E19"/>
    <w:rsid w:val="00E12ED4"/>
    <w:rsid w:val="00E140AB"/>
    <w:rsid w:val="00E14260"/>
    <w:rsid w:val="00E143DD"/>
    <w:rsid w:val="00E1545C"/>
    <w:rsid w:val="00E16372"/>
    <w:rsid w:val="00E16525"/>
    <w:rsid w:val="00E1675F"/>
    <w:rsid w:val="00E16AD8"/>
    <w:rsid w:val="00E16E60"/>
    <w:rsid w:val="00E171D6"/>
    <w:rsid w:val="00E17FFA"/>
    <w:rsid w:val="00E20C43"/>
    <w:rsid w:val="00E20E4D"/>
    <w:rsid w:val="00E20ED6"/>
    <w:rsid w:val="00E20F94"/>
    <w:rsid w:val="00E21358"/>
    <w:rsid w:val="00E213FE"/>
    <w:rsid w:val="00E217FE"/>
    <w:rsid w:val="00E21F73"/>
    <w:rsid w:val="00E2249B"/>
    <w:rsid w:val="00E227CE"/>
    <w:rsid w:val="00E22A0D"/>
    <w:rsid w:val="00E22EC1"/>
    <w:rsid w:val="00E244F6"/>
    <w:rsid w:val="00E249E2"/>
    <w:rsid w:val="00E24FAB"/>
    <w:rsid w:val="00E258DB"/>
    <w:rsid w:val="00E25B3B"/>
    <w:rsid w:val="00E25BB3"/>
    <w:rsid w:val="00E25E2C"/>
    <w:rsid w:val="00E265BB"/>
    <w:rsid w:val="00E26615"/>
    <w:rsid w:val="00E26678"/>
    <w:rsid w:val="00E27204"/>
    <w:rsid w:val="00E2771E"/>
    <w:rsid w:val="00E30343"/>
    <w:rsid w:val="00E30AE3"/>
    <w:rsid w:val="00E30B29"/>
    <w:rsid w:val="00E30E24"/>
    <w:rsid w:val="00E30EC5"/>
    <w:rsid w:val="00E311EF"/>
    <w:rsid w:val="00E31624"/>
    <w:rsid w:val="00E31A55"/>
    <w:rsid w:val="00E320A9"/>
    <w:rsid w:val="00E32180"/>
    <w:rsid w:val="00E32B1D"/>
    <w:rsid w:val="00E32E5B"/>
    <w:rsid w:val="00E32FF8"/>
    <w:rsid w:val="00E33242"/>
    <w:rsid w:val="00E34600"/>
    <w:rsid w:val="00E34948"/>
    <w:rsid w:val="00E35DB6"/>
    <w:rsid w:val="00E360E6"/>
    <w:rsid w:val="00E369B9"/>
    <w:rsid w:val="00E36D7F"/>
    <w:rsid w:val="00E374B9"/>
    <w:rsid w:val="00E37569"/>
    <w:rsid w:val="00E401B2"/>
    <w:rsid w:val="00E40B10"/>
    <w:rsid w:val="00E41E30"/>
    <w:rsid w:val="00E4206C"/>
    <w:rsid w:val="00E420BE"/>
    <w:rsid w:val="00E42B07"/>
    <w:rsid w:val="00E42CC0"/>
    <w:rsid w:val="00E42F73"/>
    <w:rsid w:val="00E43D70"/>
    <w:rsid w:val="00E44F20"/>
    <w:rsid w:val="00E466F3"/>
    <w:rsid w:val="00E476EE"/>
    <w:rsid w:val="00E4771F"/>
    <w:rsid w:val="00E47B2C"/>
    <w:rsid w:val="00E50B59"/>
    <w:rsid w:val="00E51560"/>
    <w:rsid w:val="00E517B7"/>
    <w:rsid w:val="00E51821"/>
    <w:rsid w:val="00E51EC9"/>
    <w:rsid w:val="00E520D9"/>
    <w:rsid w:val="00E53FC8"/>
    <w:rsid w:val="00E54347"/>
    <w:rsid w:val="00E545BC"/>
    <w:rsid w:val="00E550AA"/>
    <w:rsid w:val="00E55424"/>
    <w:rsid w:val="00E55915"/>
    <w:rsid w:val="00E55BB5"/>
    <w:rsid w:val="00E5657D"/>
    <w:rsid w:val="00E57416"/>
    <w:rsid w:val="00E602CD"/>
    <w:rsid w:val="00E60FD9"/>
    <w:rsid w:val="00E60FF8"/>
    <w:rsid w:val="00E6109D"/>
    <w:rsid w:val="00E611DF"/>
    <w:rsid w:val="00E631BF"/>
    <w:rsid w:val="00E64798"/>
    <w:rsid w:val="00E65150"/>
    <w:rsid w:val="00E657FC"/>
    <w:rsid w:val="00E65E79"/>
    <w:rsid w:val="00E665A8"/>
    <w:rsid w:val="00E66BA2"/>
    <w:rsid w:val="00E66E2A"/>
    <w:rsid w:val="00E67416"/>
    <w:rsid w:val="00E67F99"/>
    <w:rsid w:val="00E7005B"/>
    <w:rsid w:val="00E70765"/>
    <w:rsid w:val="00E718B6"/>
    <w:rsid w:val="00E718FA"/>
    <w:rsid w:val="00E71AA2"/>
    <w:rsid w:val="00E723BA"/>
    <w:rsid w:val="00E73581"/>
    <w:rsid w:val="00E73E12"/>
    <w:rsid w:val="00E7444C"/>
    <w:rsid w:val="00E75555"/>
    <w:rsid w:val="00E755EC"/>
    <w:rsid w:val="00E80AFE"/>
    <w:rsid w:val="00E81DBB"/>
    <w:rsid w:val="00E82139"/>
    <w:rsid w:val="00E833F7"/>
    <w:rsid w:val="00E83671"/>
    <w:rsid w:val="00E8372F"/>
    <w:rsid w:val="00E83BDF"/>
    <w:rsid w:val="00E8448B"/>
    <w:rsid w:val="00E85A36"/>
    <w:rsid w:val="00E85BCD"/>
    <w:rsid w:val="00E85CDC"/>
    <w:rsid w:val="00E86940"/>
    <w:rsid w:val="00E86FCC"/>
    <w:rsid w:val="00E87155"/>
    <w:rsid w:val="00E87184"/>
    <w:rsid w:val="00E877B0"/>
    <w:rsid w:val="00E87A1D"/>
    <w:rsid w:val="00E87EC0"/>
    <w:rsid w:val="00E9094A"/>
    <w:rsid w:val="00E91D35"/>
    <w:rsid w:val="00E91E3A"/>
    <w:rsid w:val="00E91F49"/>
    <w:rsid w:val="00E926A5"/>
    <w:rsid w:val="00E926F0"/>
    <w:rsid w:val="00E92A9E"/>
    <w:rsid w:val="00E92AAC"/>
    <w:rsid w:val="00E92B28"/>
    <w:rsid w:val="00E93607"/>
    <w:rsid w:val="00E937A4"/>
    <w:rsid w:val="00E94071"/>
    <w:rsid w:val="00E945F7"/>
    <w:rsid w:val="00E946CA"/>
    <w:rsid w:val="00E94C4A"/>
    <w:rsid w:val="00E94D3D"/>
    <w:rsid w:val="00E962CC"/>
    <w:rsid w:val="00E9639B"/>
    <w:rsid w:val="00E9660A"/>
    <w:rsid w:val="00E97025"/>
    <w:rsid w:val="00E97569"/>
    <w:rsid w:val="00E976A5"/>
    <w:rsid w:val="00E97891"/>
    <w:rsid w:val="00E97F94"/>
    <w:rsid w:val="00EA0A23"/>
    <w:rsid w:val="00EA0BD2"/>
    <w:rsid w:val="00EA0D78"/>
    <w:rsid w:val="00EA17C3"/>
    <w:rsid w:val="00EA1D80"/>
    <w:rsid w:val="00EA25FD"/>
    <w:rsid w:val="00EA29A0"/>
    <w:rsid w:val="00EA2CAA"/>
    <w:rsid w:val="00EA3155"/>
    <w:rsid w:val="00EA3864"/>
    <w:rsid w:val="00EA3F20"/>
    <w:rsid w:val="00EA4472"/>
    <w:rsid w:val="00EA4700"/>
    <w:rsid w:val="00EA4FBF"/>
    <w:rsid w:val="00EA59A5"/>
    <w:rsid w:val="00EA7378"/>
    <w:rsid w:val="00EA7516"/>
    <w:rsid w:val="00EA78CC"/>
    <w:rsid w:val="00EA7F1C"/>
    <w:rsid w:val="00EB0F36"/>
    <w:rsid w:val="00EB10DD"/>
    <w:rsid w:val="00EB1142"/>
    <w:rsid w:val="00EB13EE"/>
    <w:rsid w:val="00EB140E"/>
    <w:rsid w:val="00EB15B6"/>
    <w:rsid w:val="00EB235F"/>
    <w:rsid w:val="00EB2A61"/>
    <w:rsid w:val="00EB33DB"/>
    <w:rsid w:val="00EB37CB"/>
    <w:rsid w:val="00EB3D06"/>
    <w:rsid w:val="00EB3E20"/>
    <w:rsid w:val="00EB3E29"/>
    <w:rsid w:val="00EB4568"/>
    <w:rsid w:val="00EB4916"/>
    <w:rsid w:val="00EB54A3"/>
    <w:rsid w:val="00EB557F"/>
    <w:rsid w:val="00EB5D07"/>
    <w:rsid w:val="00EB6BF7"/>
    <w:rsid w:val="00EB6E94"/>
    <w:rsid w:val="00EB781C"/>
    <w:rsid w:val="00EC00C9"/>
    <w:rsid w:val="00EC06ED"/>
    <w:rsid w:val="00EC07B3"/>
    <w:rsid w:val="00EC0B46"/>
    <w:rsid w:val="00EC0C23"/>
    <w:rsid w:val="00EC0DD9"/>
    <w:rsid w:val="00EC0EBB"/>
    <w:rsid w:val="00EC137E"/>
    <w:rsid w:val="00EC13C3"/>
    <w:rsid w:val="00EC2649"/>
    <w:rsid w:val="00EC2741"/>
    <w:rsid w:val="00EC31ED"/>
    <w:rsid w:val="00EC3C05"/>
    <w:rsid w:val="00EC4070"/>
    <w:rsid w:val="00EC4C51"/>
    <w:rsid w:val="00EC575B"/>
    <w:rsid w:val="00EC5836"/>
    <w:rsid w:val="00EC688C"/>
    <w:rsid w:val="00EC6CCF"/>
    <w:rsid w:val="00EC7E37"/>
    <w:rsid w:val="00ED0CBB"/>
    <w:rsid w:val="00ED0D5A"/>
    <w:rsid w:val="00ED12E3"/>
    <w:rsid w:val="00ED1749"/>
    <w:rsid w:val="00ED1AB0"/>
    <w:rsid w:val="00ED234E"/>
    <w:rsid w:val="00ED2FA8"/>
    <w:rsid w:val="00ED3246"/>
    <w:rsid w:val="00ED3546"/>
    <w:rsid w:val="00ED447E"/>
    <w:rsid w:val="00ED4B04"/>
    <w:rsid w:val="00ED4D35"/>
    <w:rsid w:val="00ED4E80"/>
    <w:rsid w:val="00ED57EA"/>
    <w:rsid w:val="00ED5BD4"/>
    <w:rsid w:val="00ED78FD"/>
    <w:rsid w:val="00EE0231"/>
    <w:rsid w:val="00EE0254"/>
    <w:rsid w:val="00EE0544"/>
    <w:rsid w:val="00EE07D3"/>
    <w:rsid w:val="00EE0826"/>
    <w:rsid w:val="00EE104F"/>
    <w:rsid w:val="00EE10F1"/>
    <w:rsid w:val="00EE1996"/>
    <w:rsid w:val="00EE1C01"/>
    <w:rsid w:val="00EE2030"/>
    <w:rsid w:val="00EE2256"/>
    <w:rsid w:val="00EE22AF"/>
    <w:rsid w:val="00EE22C8"/>
    <w:rsid w:val="00EE2578"/>
    <w:rsid w:val="00EE33BA"/>
    <w:rsid w:val="00EE4533"/>
    <w:rsid w:val="00EE4A4D"/>
    <w:rsid w:val="00EE5203"/>
    <w:rsid w:val="00EE5AD1"/>
    <w:rsid w:val="00EE5C0A"/>
    <w:rsid w:val="00EE6327"/>
    <w:rsid w:val="00EE6B1E"/>
    <w:rsid w:val="00EE6CF8"/>
    <w:rsid w:val="00EF0171"/>
    <w:rsid w:val="00EF0659"/>
    <w:rsid w:val="00EF0C89"/>
    <w:rsid w:val="00EF184F"/>
    <w:rsid w:val="00EF1B25"/>
    <w:rsid w:val="00EF1DA0"/>
    <w:rsid w:val="00EF1E00"/>
    <w:rsid w:val="00EF2303"/>
    <w:rsid w:val="00EF2350"/>
    <w:rsid w:val="00EF245C"/>
    <w:rsid w:val="00EF2673"/>
    <w:rsid w:val="00EF2E07"/>
    <w:rsid w:val="00EF3EAC"/>
    <w:rsid w:val="00EF4637"/>
    <w:rsid w:val="00EF4747"/>
    <w:rsid w:val="00EF494E"/>
    <w:rsid w:val="00EF4BF8"/>
    <w:rsid w:val="00EF567E"/>
    <w:rsid w:val="00EF5A6F"/>
    <w:rsid w:val="00EF5DD2"/>
    <w:rsid w:val="00EF7AD3"/>
    <w:rsid w:val="00F0039B"/>
    <w:rsid w:val="00F00517"/>
    <w:rsid w:val="00F00B59"/>
    <w:rsid w:val="00F02253"/>
    <w:rsid w:val="00F02466"/>
    <w:rsid w:val="00F02644"/>
    <w:rsid w:val="00F036FC"/>
    <w:rsid w:val="00F03AC9"/>
    <w:rsid w:val="00F03C2E"/>
    <w:rsid w:val="00F03DB0"/>
    <w:rsid w:val="00F03FDF"/>
    <w:rsid w:val="00F040A5"/>
    <w:rsid w:val="00F04A66"/>
    <w:rsid w:val="00F04B2B"/>
    <w:rsid w:val="00F04B4B"/>
    <w:rsid w:val="00F0516C"/>
    <w:rsid w:val="00F05384"/>
    <w:rsid w:val="00F057D0"/>
    <w:rsid w:val="00F05C66"/>
    <w:rsid w:val="00F05D73"/>
    <w:rsid w:val="00F0629D"/>
    <w:rsid w:val="00F0638C"/>
    <w:rsid w:val="00F067A2"/>
    <w:rsid w:val="00F06F46"/>
    <w:rsid w:val="00F072F8"/>
    <w:rsid w:val="00F07B9E"/>
    <w:rsid w:val="00F1014E"/>
    <w:rsid w:val="00F10649"/>
    <w:rsid w:val="00F10A40"/>
    <w:rsid w:val="00F1116F"/>
    <w:rsid w:val="00F11E99"/>
    <w:rsid w:val="00F1263A"/>
    <w:rsid w:val="00F139C5"/>
    <w:rsid w:val="00F14016"/>
    <w:rsid w:val="00F14D4B"/>
    <w:rsid w:val="00F150A1"/>
    <w:rsid w:val="00F15A5E"/>
    <w:rsid w:val="00F15B77"/>
    <w:rsid w:val="00F1745D"/>
    <w:rsid w:val="00F2025C"/>
    <w:rsid w:val="00F2052F"/>
    <w:rsid w:val="00F20D4D"/>
    <w:rsid w:val="00F21236"/>
    <w:rsid w:val="00F2244E"/>
    <w:rsid w:val="00F23546"/>
    <w:rsid w:val="00F23667"/>
    <w:rsid w:val="00F239DF"/>
    <w:rsid w:val="00F23D0A"/>
    <w:rsid w:val="00F23F3D"/>
    <w:rsid w:val="00F24837"/>
    <w:rsid w:val="00F25513"/>
    <w:rsid w:val="00F2575F"/>
    <w:rsid w:val="00F258AB"/>
    <w:rsid w:val="00F25E8B"/>
    <w:rsid w:val="00F26F81"/>
    <w:rsid w:val="00F27565"/>
    <w:rsid w:val="00F30CC1"/>
    <w:rsid w:val="00F310D4"/>
    <w:rsid w:val="00F3131D"/>
    <w:rsid w:val="00F31D5A"/>
    <w:rsid w:val="00F31E35"/>
    <w:rsid w:val="00F32013"/>
    <w:rsid w:val="00F325CC"/>
    <w:rsid w:val="00F33975"/>
    <w:rsid w:val="00F33DE9"/>
    <w:rsid w:val="00F35127"/>
    <w:rsid w:val="00F351F4"/>
    <w:rsid w:val="00F35E6D"/>
    <w:rsid w:val="00F3619A"/>
    <w:rsid w:val="00F36209"/>
    <w:rsid w:val="00F36854"/>
    <w:rsid w:val="00F36C8E"/>
    <w:rsid w:val="00F370C5"/>
    <w:rsid w:val="00F37286"/>
    <w:rsid w:val="00F373D9"/>
    <w:rsid w:val="00F375F8"/>
    <w:rsid w:val="00F406C0"/>
    <w:rsid w:val="00F40A3B"/>
    <w:rsid w:val="00F40AAA"/>
    <w:rsid w:val="00F40BA7"/>
    <w:rsid w:val="00F40F9D"/>
    <w:rsid w:val="00F41448"/>
    <w:rsid w:val="00F41ACD"/>
    <w:rsid w:val="00F42825"/>
    <w:rsid w:val="00F42CE0"/>
    <w:rsid w:val="00F42F72"/>
    <w:rsid w:val="00F437EA"/>
    <w:rsid w:val="00F44250"/>
    <w:rsid w:val="00F4440C"/>
    <w:rsid w:val="00F44D0E"/>
    <w:rsid w:val="00F44DC4"/>
    <w:rsid w:val="00F4563D"/>
    <w:rsid w:val="00F45EE0"/>
    <w:rsid w:val="00F46062"/>
    <w:rsid w:val="00F4624A"/>
    <w:rsid w:val="00F46CB6"/>
    <w:rsid w:val="00F47484"/>
    <w:rsid w:val="00F4756D"/>
    <w:rsid w:val="00F47D7D"/>
    <w:rsid w:val="00F47DE8"/>
    <w:rsid w:val="00F508CA"/>
    <w:rsid w:val="00F50BFD"/>
    <w:rsid w:val="00F50CEB"/>
    <w:rsid w:val="00F51178"/>
    <w:rsid w:val="00F51951"/>
    <w:rsid w:val="00F519C7"/>
    <w:rsid w:val="00F520A3"/>
    <w:rsid w:val="00F521C6"/>
    <w:rsid w:val="00F528A9"/>
    <w:rsid w:val="00F539A9"/>
    <w:rsid w:val="00F53D52"/>
    <w:rsid w:val="00F542C1"/>
    <w:rsid w:val="00F550E3"/>
    <w:rsid w:val="00F55B2C"/>
    <w:rsid w:val="00F55E73"/>
    <w:rsid w:val="00F55EDA"/>
    <w:rsid w:val="00F56C80"/>
    <w:rsid w:val="00F5755F"/>
    <w:rsid w:val="00F60092"/>
    <w:rsid w:val="00F60F4D"/>
    <w:rsid w:val="00F61C18"/>
    <w:rsid w:val="00F6461E"/>
    <w:rsid w:val="00F64AFB"/>
    <w:rsid w:val="00F65963"/>
    <w:rsid w:val="00F65F4B"/>
    <w:rsid w:val="00F660E8"/>
    <w:rsid w:val="00F661DB"/>
    <w:rsid w:val="00F662B8"/>
    <w:rsid w:val="00F66938"/>
    <w:rsid w:val="00F66C5E"/>
    <w:rsid w:val="00F67510"/>
    <w:rsid w:val="00F67A69"/>
    <w:rsid w:val="00F70BFF"/>
    <w:rsid w:val="00F70C9D"/>
    <w:rsid w:val="00F71CF2"/>
    <w:rsid w:val="00F726CF"/>
    <w:rsid w:val="00F727CC"/>
    <w:rsid w:val="00F72FAA"/>
    <w:rsid w:val="00F73A37"/>
    <w:rsid w:val="00F73CFD"/>
    <w:rsid w:val="00F73E08"/>
    <w:rsid w:val="00F74265"/>
    <w:rsid w:val="00F7487F"/>
    <w:rsid w:val="00F7491B"/>
    <w:rsid w:val="00F74CD9"/>
    <w:rsid w:val="00F75CA2"/>
    <w:rsid w:val="00F76F92"/>
    <w:rsid w:val="00F77410"/>
    <w:rsid w:val="00F775E4"/>
    <w:rsid w:val="00F80A7B"/>
    <w:rsid w:val="00F80E5D"/>
    <w:rsid w:val="00F816B0"/>
    <w:rsid w:val="00F81724"/>
    <w:rsid w:val="00F81E78"/>
    <w:rsid w:val="00F824AE"/>
    <w:rsid w:val="00F8267C"/>
    <w:rsid w:val="00F83334"/>
    <w:rsid w:val="00F835CB"/>
    <w:rsid w:val="00F83916"/>
    <w:rsid w:val="00F83B0D"/>
    <w:rsid w:val="00F83E7E"/>
    <w:rsid w:val="00F83F6E"/>
    <w:rsid w:val="00F851CE"/>
    <w:rsid w:val="00F853B4"/>
    <w:rsid w:val="00F85448"/>
    <w:rsid w:val="00F85633"/>
    <w:rsid w:val="00F85D8A"/>
    <w:rsid w:val="00F86554"/>
    <w:rsid w:val="00F8678B"/>
    <w:rsid w:val="00F86F03"/>
    <w:rsid w:val="00F86FAC"/>
    <w:rsid w:val="00F87A41"/>
    <w:rsid w:val="00F87B20"/>
    <w:rsid w:val="00F90176"/>
    <w:rsid w:val="00F9084E"/>
    <w:rsid w:val="00F91219"/>
    <w:rsid w:val="00F912FA"/>
    <w:rsid w:val="00F91E54"/>
    <w:rsid w:val="00F92444"/>
    <w:rsid w:val="00F9323A"/>
    <w:rsid w:val="00F9393E"/>
    <w:rsid w:val="00F93EBC"/>
    <w:rsid w:val="00F94330"/>
    <w:rsid w:val="00F9462D"/>
    <w:rsid w:val="00F94DF6"/>
    <w:rsid w:val="00F95BA7"/>
    <w:rsid w:val="00F95EB6"/>
    <w:rsid w:val="00F961F2"/>
    <w:rsid w:val="00F9655C"/>
    <w:rsid w:val="00F96A8A"/>
    <w:rsid w:val="00F96B04"/>
    <w:rsid w:val="00F96FD0"/>
    <w:rsid w:val="00F97499"/>
    <w:rsid w:val="00F97A78"/>
    <w:rsid w:val="00F97C45"/>
    <w:rsid w:val="00F97E0D"/>
    <w:rsid w:val="00FA0021"/>
    <w:rsid w:val="00FA0741"/>
    <w:rsid w:val="00FA0864"/>
    <w:rsid w:val="00FA0B20"/>
    <w:rsid w:val="00FA19C7"/>
    <w:rsid w:val="00FA2241"/>
    <w:rsid w:val="00FA24E7"/>
    <w:rsid w:val="00FA2D4D"/>
    <w:rsid w:val="00FA4899"/>
    <w:rsid w:val="00FA53B4"/>
    <w:rsid w:val="00FA5E25"/>
    <w:rsid w:val="00FA5EE6"/>
    <w:rsid w:val="00FA6BAC"/>
    <w:rsid w:val="00FA6BDB"/>
    <w:rsid w:val="00FA7956"/>
    <w:rsid w:val="00FA7989"/>
    <w:rsid w:val="00FB01F6"/>
    <w:rsid w:val="00FB0824"/>
    <w:rsid w:val="00FB099B"/>
    <w:rsid w:val="00FB1F42"/>
    <w:rsid w:val="00FB2FCB"/>
    <w:rsid w:val="00FB3467"/>
    <w:rsid w:val="00FB34A0"/>
    <w:rsid w:val="00FB34FA"/>
    <w:rsid w:val="00FB4C9C"/>
    <w:rsid w:val="00FB5153"/>
    <w:rsid w:val="00FB5298"/>
    <w:rsid w:val="00FB6525"/>
    <w:rsid w:val="00FB69B2"/>
    <w:rsid w:val="00FB70BA"/>
    <w:rsid w:val="00FB75E8"/>
    <w:rsid w:val="00FB7C51"/>
    <w:rsid w:val="00FB7C55"/>
    <w:rsid w:val="00FC0CAA"/>
    <w:rsid w:val="00FC0CD8"/>
    <w:rsid w:val="00FC1074"/>
    <w:rsid w:val="00FC1884"/>
    <w:rsid w:val="00FC23BC"/>
    <w:rsid w:val="00FC23C4"/>
    <w:rsid w:val="00FC26AB"/>
    <w:rsid w:val="00FC347A"/>
    <w:rsid w:val="00FC371D"/>
    <w:rsid w:val="00FC4100"/>
    <w:rsid w:val="00FC42BC"/>
    <w:rsid w:val="00FC4761"/>
    <w:rsid w:val="00FC4E3A"/>
    <w:rsid w:val="00FC584B"/>
    <w:rsid w:val="00FC593A"/>
    <w:rsid w:val="00FC5B15"/>
    <w:rsid w:val="00FC5B47"/>
    <w:rsid w:val="00FC5F0B"/>
    <w:rsid w:val="00FC74AE"/>
    <w:rsid w:val="00FC7877"/>
    <w:rsid w:val="00FD0049"/>
    <w:rsid w:val="00FD2100"/>
    <w:rsid w:val="00FD2783"/>
    <w:rsid w:val="00FD27B9"/>
    <w:rsid w:val="00FD3D92"/>
    <w:rsid w:val="00FD436C"/>
    <w:rsid w:val="00FD446D"/>
    <w:rsid w:val="00FD4F2C"/>
    <w:rsid w:val="00FD5454"/>
    <w:rsid w:val="00FD6394"/>
    <w:rsid w:val="00FD7106"/>
    <w:rsid w:val="00FD7F5C"/>
    <w:rsid w:val="00FE0236"/>
    <w:rsid w:val="00FE0E6C"/>
    <w:rsid w:val="00FE1CDC"/>
    <w:rsid w:val="00FE3385"/>
    <w:rsid w:val="00FE3C62"/>
    <w:rsid w:val="00FE4BA6"/>
    <w:rsid w:val="00FE6969"/>
    <w:rsid w:val="00FE6F7E"/>
    <w:rsid w:val="00FE70C3"/>
    <w:rsid w:val="00FE72FC"/>
    <w:rsid w:val="00FE77BD"/>
    <w:rsid w:val="00FE7DA0"/>
    <w:rsid w:val="00FF01DC"/>
    <w:rsid w:val="00FF061B"/>
    <w:rsid w:val="00FF1232"/>
    <w:rsid w:val="00FF1A8B"/>
    <w:rsid w:val="00FF1CB0"/>
    <w:rsid w:val="00FF2297"/>
    <w:rsid w:val="00FF2A90"/>
    <w:rsid w:val="00FF2AD9"/>
    <w:rsid w:val="00FF307B"/>
    <w:rsid w:val="00FF30C6"/>
    <w:rsid w:val="00FF359F"/>
    <w:rsid w:val="00FF3DCF"/>
    <w:rsid w:val="00FF492C"/>
    <w:rsid w:val="00FF4A21"/>
    <w:rsid w:val="00FF501C"/>
    <w:rsid w:val="00FF5289"/>
    <w:rsid w:val="00FF559A"/>
    <w:rsid w:val="00FF58A3"/>
    <w:rsid w:val="00FF5A3F"/>
    <w:rsid w:val="00FF5AA3"/>
    <w:rsid w:val="00FF5AD8"/>
    <w:rsid w:val="00FF61D9"/>
    <w:rsid w:val="00FF67D4"/>
    <w:rsid w:val="1A83515E"/>
    <w:rsid w:val="1E7645B1"/>
    <w:rsid w:val="2A58BA7F"/>
    <w:rsid w:val="35298142"/>
    <w:rsid w:val="3E35CD87"/>
    <w:rsid w:val="3E4D37CC"/>
    <w:rsid w:val="4323BD1A"/>
    <w:rsid w:val="570D89EF"/>
    <w:rsid w:val="58ADADE4"/>
    <w:rsid w:val="59296960"/>
    <w:rsid w:val="67C60E3B"/>
    <w:rsid w:val="7D7851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E5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
    <w:link w:val="ListParagraphChar"/>
    <w:uiPriority w:val="34"/>
    <w:qFormat/>
    <w:rsid w:val="004C3B02"/>
    <w:pPr>
      <w:numPr>
        <w:numId w:val="8"/>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PBAC table,HTAtableplain,MSD Table Grid,Dossier table,Section 3- footnotes,Header Table,NICE instructions,Source table_,HealthConsult,Lash Style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8E1CBB"/>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C83CBF"/>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07456F"/>
    <w:pPr>
      <w:numPr>
        <w:ilvl w:val="1"/>
        <w:numId w:val="9"/>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C3B0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3"/>
      </w:numPr>
      <w:contextualSpacing/>
    </w:pPr>
  </w:style>
  <w:style w:type="character" w:customStyle="1" w:styleId="TableTextChar0">
    <w:name w:val="Table Text Char"/>
    <w:basedOn w:val="DefaultParagraphFont"/>
    <w:link w:val="TableText0"/>
    <w:rsid w:val="008E1CBB"/>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paragraph" w:customStyle="1" w:styleId="PBACTabletext">
    <w:name w:val="PBAC Table text"/>
    <w:link w:val="PBACTabletextChar"/>
    <w:qFormat/>
    <w:rsid w:val="006C54F9"/>
    <w:pPr>
      <w:keepNext/>
      <w:keepLines/>
      <w:suppressLineNumbers/>
      <w:spacing w:before="20" w:after="20"/>
      <w:ind w:right="57"/>
      <w:textboxTightWrap w:val="allLines"/>
    </w:pPr>
    <w:rPr>
      <w:rFonts w:ascii="Arial Narrow" w:hAnsi="Arial Narrow" w:cstheme="minorHAnsi"/>
      <w:lang w:eastAsia="en-GB"/>
    </w:rPr>
  </w:style>
  <w:style w:type="character" w:customStyle="1" w:styleId="PBACTabletextChar">
    <w:name w:val="PBAC Table text Char"/>
    <w:basedOn w:val="DefaultParagraphFont"/>
    <w:link w:val="PBACTabletext"/>
    <w:rsid w:val="006C54F9"/>
    <w:rPr>
      <w:rFonts w:ascii="Arial Narrow" w:hAnsi="Arial Narrow" w:cstheme="minorHAnsi"/>
      <w:lang w:eastAsia="en-GB"/>
    </w:rPr>
  </w:style>
  <w:style w:type="character" w:styleId="UnresolvedMention">
    <w:name w:val="Unresolved Mention"/>
    <w:basedOn w:val="DefaultParagraphFont"/>
    <w:uiPriority w:val="99"/>
    <w:semiHidden/>
    <w:unhideWhenUsed/>
    <w:rsid w:val="00994CC1"/>
    <w:rPr>
      <w:color w:val="605E5C"/>
      <w:shd w:val="clear" w:color="auto" w:fill="E1DFDD"/>
    </w:rPr>
  </w:style>
  <w:style w:type="character" w:customStyle="1" w:styleId="normaltextrun">
    <w:name w:val="normaltextrun"/>
    <w:basedOn w:val="DefaultParagraphFont"/>
    <w:rsid w:val="0086682C"/>
  </w:style>
  <w:style w:type="paragraph" w:customStyle="1" w:styleId="PBACTblFignote">
    <w:name w:val="PBAC Tbl/Fig note"/>
    <w:qFormat/>
    <w:rsid w:val="00C01FA5"/>
    <w:pPr>
      <w:keepNext/>
      <w:keepLines/>
      <w:spacing w:before="40"/>
      <w:textboxTightWrap w:val="allLines"/>
    </w:pPr>
    <w:rPr>
      <w:rFonts w:ascii="Arial Narrow" w:hAnsi="Arial Narrow" w:cs="Arial"/>
      <w:sz w:val="18"/>
      <w:szCs w:val="24"/>
      <w:lang w:eastAsia="en-GB"/>
    </w:rPr>
  </w:style>
  <w:style w:type="paragraph" w:styleId="FootnoteText">
    <w:name w:val="footnote text"/>
    <w:aliases w:val="Char"/>
    <w:basedOn w:val="Normal"/>
    <w:link w:val="FootnoteTextChar"/>
    <w:unhideWhenUsed/>
    <w:rsid w:val="009209E1"/>
    <w:rPr>
      <w:sz w:val="20"/>
      <w:szCs w:val="20"/>
    </w:rPr>
  </w:style>
  <w:style w:type="character" w:customStyle="1" w:styleId="FootnoteTextChar">
    <w:name w:val="Footnote Text Char"/>
    <w:aliases w:val="Char Char"/>
    <w:basedOn w:val="DefaultParagraphFont"/>
    <w:link w:val="FootnoteText"/>
    <w:rsid w:val="009209E1"/>
    <w:rPr>
      <w:rFonts w:ascii="Calibri" w:hAnsi="Calibri" w:cs="Arial"/>
    </w:rPr>
  </w:style>
  <w:style w:type="character" w:styleId="FootnoteReference">
    <w:name w:val="footnote reference"/>
    <w:basedOn w:val="DefaultParagraphFont"/>
    <w:unhideWhenUsed/>
    <w:rsid w:val="009209E1"/>
    <w:rPr>
      <w:vertAlign w:val="superscript"/>
    </w:rPr>
  </w:style>
  <w:style w:type="paragraph" w:customStyle="1" w:styleId="EndNoteBibliographyTitle">
    <w:name w:val="EndNote Bibliography Title"/>
    <w:basedOn w:val="Normal"/>
    <w:link w:val="EndNoteBibliographyTitleChar"/>
    <w:rsid w:val="00CE2E65"/>
    <w:pPr>
      <w:jc w:val="center"/>
    </w:pPr>
    <w:rPr>
      <w:rFonts w:cs="Calibri"/>
      <w:noProof/>
    </w:rPr>
  </w:style>
  <w:style w:type="character" w:customStyle="1" w:styleId="ListBulletChar">
    <w:name w:val="List Bullet Char"/>
    <w:basedOn w:val="DefaultParagraphFont"/>
    <w:link w:val="ListBullet"/>
    <w:rsid w:val="00CE2E65"/>
    <w:rPr>
      <w:rFonts w:ascii="Calibri" w:hAnsi="Calibri" w:cs="Arial"/>
      <w:sz w:val="24"/>
      <w:szCs w:val="24"/>
    </w:rPr>
  </w:style>
  <w:style w:type="character" w:customStyle="1" w:styleId="EndNoteBibliographyTitleChar">
    <w:name w:val="EndNote Bibliography Title Char"/>
    <w:basedOn w:val="ListBulletChar"/>
    <w:link w:val="EndNoteBibliographyTitle"/>
    <w:rsid w:val="00CE2E65"/>
    <w:rPr>
      <w:rFonts w:ascii="Calibri" w:hAnsi="Calibri" w:cs="Calibri"/>
      <w:noProof/>
      <w:sz w:val="24"/>
      <w:szCs w:val="24"/>
    </w:rPr>
  </w:style>
  <w:style w:type="paragraph" w:customStyle="1" w:styleId="EndNoteBibliography">
    <w:name w:val="EndNote Bibliography"/>
    <w:basedOn w:val="Normal"/>
    <w:link w:val="EndNoteBibliographyChar"/>
    <w:rsid w:val="00CE2E65"/>
    <w:rPr>
      <w:rFonts w:cs="Calibri"/>
      <w:noProof/>
    </w:rPr>
  </w:style>
  <w:style w:type="character" w:customStyle="1" w:styleId="EndNoteBibliographyChar">
    <w:name w:val="EndNote Bibliography Char"/>
    <w:basedOn w:val="ListBulletChar"/>
    <w:link w:val="EndNoteBibliography"/>
    <w:rsid w:val="00CE2E65"/>
    <w:rPr>
      <w:rFonts w:ascii="Calibri" w:hAnsi="Calibri" w:cs="Calibri"/>
      <w:noProof/>
      <w:sz w:val="24"/>
      <w:szCs w:val="24"/>
    </w:rPr>
  </w:style>
  <w:style w:type="paragraph" w:customStyle="1" w:styleId="PBACTableText0">
    <w:name w:val="PBAC Table Text"/>
    <w:basedOn w:val="Normal"/>
    <w:link w:val="PBACTableTextChar0"/>
    <w:qFormat/>
    <w:rsid w:val="00CE2E65"/>
    <w:pPr>
      <w:spacing w:before="40" w:after="40"/>
      <w:jc w:val="left"/>
    </w:pPr>
    <w:rPr>
      <w:rFonts w:ascii="Arial Narrow" w:hAnsi="Arial Narrow" w:cstheme="minorHAnsi"/>
      <w:sz w:val="20"/>
      <w:szCs w:val="20"/>
      <w:lang w:eastAsia="en-US"/>
    </w:rPr>
  </w:style>
  <w:style w:type="character" w:customStyle="1" w:styleId="PBACTableTextChar0">
    <w:name w:val="PBAC Table Text Char"/>
    <w:basedOn w:val="DefaultParagraphFont"/>
    <w:link w:val="PBACTableText0"/>
    <w:rsid w:val="00CE2E65"/>
    <w:rPr>
      <w:rFonts w:ascii="Arial Narrow" w:hAnsi="Arial Narrow" w:cstheme="minorHAnsi"/>
      <w:lang w:eastAsia="en-US"/>
    </w:rPr>
  </w:style>
  <w:style w:type="paragraph" w:customStyle="1" w:styleId="TableText1">
    <w:name w:val="Table Text 1"/>
    <w:basedOn w:val="Normal"/>
    <w:qFormat/>
    <w:rsid w:val="00963647"/>
    <w:pPr>
      <w:spacing w:after="240"/>
      <w:jc w:val="left"/>
    </w:pPr>
    <w:rPr>
      <w:rFonts w:ascii="Arial Narrow" w:eastAsiaTheme="minorHAnsi" w:hAnsi="Arial Narrow" w:cstheme="minorBidi"/>
      <w:sz w:val="20"/>
      <w:szCs w:val="20"/>
      <w:lang w:eastAsia="en-US"/>
    </w:rPr>
  </w:style>
  <w:style w:type="paragraph" w:customStyle="1" w:styleId="3-SubsectionHeading">
    <w:name w:val="3-Subsection Heading"/>
    <w:basedOn w:val="Heading2"/>
    <w:next w:val="Normal"/>
    <w:link w:val="3-SubsectionHeadingChar"/>
    <w:qFormat/>
    <w:rsid w:val="00C7073E"/>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C7073E"/>
    <w:rPr>
      <w:rFonts w:asciiTheme="minorHAnsi" w:eastAsiaTheme="majorEastAsia" w:hAnsiTheme="minorHAnsi" w:cstheme="majorBidi"/>
      <w:b/>
      <w:i/>
      <w:snapToGrid/>
      <w:color w:val="365F91" w:themeColor="accent1" w:themeShade="BF"/>
      <w:spacing w:val="5"/>
      <w:kern w:val="28"/>
      <w:sz w:val="28"/>
      <w:szCs w:val="36"/>
      <w:lang w:eastAsia="en-US"/>
    </w:rPr>
  </w:style>
  <w:style w:type="paragraph" w:customStyle="1" w:styleId="pf0">
    <w:name w:val="pf0"/>
    <w:basedOn w:val="Normal"/>
    <w:rsid w:val="0045494B"/>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4549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3162959">
      <w:bodyDiv w:val="1"/>
      <w:marLeft w:val="0"/>
      <w:marRight w:val="0"/>
      <w:marTop w:val="0"/>
      <w:marBottom w:val="0"/>
      <w:divBdr>
        <w:top w:val="none" w:sz="0" w:space="0" w:color="auto"/>
        <w:left w:val="none" w:sz="0" w:space="0" w:color="auto"/>
        <w:bottom w:val="none" w:sz="0" w:space="0" w:color="auto"/>
        <w:right w:val="none" w:sz="0" w:space="0" w:color="auto"/>
      </w:divBdr>
    </w:div>
    <w:div w:id="179899595">
      <w:bodyDiv w:val="1"/>
      <w:marLeft w:val="0"/>
      <w:marRight w:val="0"/>
      <w:marTop w:val="0"/>
      <w:marBottom w:val="0"/>
      <w:divBdr>
        <w:top w:val="none" w:sz="0" w:space="0" w:color="auto"/>
        <w:left w:val="none" w:sz="0" w:space="0" w:color="auto"/>
        <w:bottom w:val="none" w:sz="0" w:space="0" w:color="auto"/>
        <w:right w:val="none" w:sz="0" w:space="0" w:color="auto"/>
      </w:divBdr>
    </w:div>
    <w:div w:id="185752372">
      <w:bodyDiv w:val="1"/>
      <w:marLeft w:val="0"/>
      <w:marRight w:val="0"/>
      <w:marTop w:val="0"/>
      <w:marBottom w:val="0"/>
      <w:divBdr>
        <w:top w:val="none" w:sz="0" w:space="0" w:color="auto"/>
        <w:left w:val="none" w:sz="0" w:space="0" w:color="auto"/>
        <w:bottom w:val="none" w:sz="0" w:space="0" w:color="auto"/>
        <w:right w:val="none" w:sz="0" w:space="0" w:color="auto"/>
      </w:divBdr>
    </w:div>
    <w:div w:id="198517507">
      <w:bodyDiv w:val="1"/>
      <w:marLeft w:val="0"/>
      <w:marRight w:val="0"/>
      <w:marTop w:val="0"/>
      <w:marBottom w:val="0"/>
      <w:divBdr>
        <w:top w:val="none" w:sz="0" w:space="0" w:color="auto"/>
        <w:left w:val="none" w:sz="0" w:space="0" w:color="auto"/>
        <w:bottom w:val="none" w:sz="0" w:space="0" w:color="auto"/>
        <w:right w:val="none" w:sz="0" w:space="0" w:color="auto"/>
      </w:divBdr>
    </w:div>
    <w:div w:id="30489534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1132753">
      <w:bodyDiv w:val="1"/>
      <w:marLeft w:val="0"/>
      <w:marRight w:val="0"/>
      <w:marTop w:val="0"/>
      <w:marBottom w:val="0"/>
      <w:divBdr>
        <w:top w:val="none" w:sz="0" w:space="0" w:color="auto"/>
        <w:left w:val="none" w:sz="0" w:space="0" w:color="auto"/>
        <w:bottom w:val="none" w:sz="0" w:space="0" w:color="auto"/>
        <w:right w:val="none" w:sz="0" w:space="0" w:color="auto"/>
      </w:divBdr>
    </w:div>
    <w:div w:id="378554014">
      <w:bodyDiv w:val="1"/>
      <w:marLeft w:val="0"/>
      <w:marRight w:val="0"/>
      <w:marTop w:val="0"/>
      <w:marBottom w:val="0"/>
      <w:divBdr>
        <w:top w:val="none" w:sz="0" w:space="0" w:color="auto"/>
        <w:left w:val="none" w:sz="0" w:space="0" w:color="auto"/>
        <w:bottom w:val="none" w:sz="0" w:space="0" w:color="auto"/>
        <w:right w:val="none" w:sz="0" w:space="0" w:color="auto"/>
      </w:divBdr>
    </w:div>
    <w:div w:id="417798973">
      <w:bodyDiv w:val="1"/>
      <w:marLeft w:val="0"/>
      <w:marRight w:val="0"/>
      <w:marTop w:val="0"/>
      <w:marBottom w:val="0"/>
      <w:divBdr>
        <w:top w:val="none" w:sz="0" w:space="0" w:color="auto"/>
        <w:left w:val="none" w:sz="0" w:space="0" w:color="auto"/>
        <w:bottom w:val="none" w:sz="0" w:space="0" w:color="auto"/>
        <w:right w:val="none" w:sz="0" w:space="0" w:color="auto"/>
      </w:divBdr>
    </w:div>
    <w:div w:id="478307556">
      <w:bodyDiv w:val="1"/>
      <w:marLeft w:val="0"/>
      <w:marRight w:val="0"/>
      <w:marTop w:val="0"/>
      <w:marBottom w:val="0"/>
      <w:divBdr>
        <w:top w:val="none" w:sz="0" w:space="0" w:color="auto"/>
        <w:left w:val="none" w:sz="0" w:space="0" w:color="auto"/>
        <w:bottom w:val="none" w:sz="0" w:space="0" w:color="auto"/>
        <w:right w:val="none" w:sz="0" w:space="0" w:color="auto"/>
      </w:divBdr>
    </w:div>
    <w:div w:id="510335834">
      <w:bodyDiv w:val="1"/>
      <w:marLeft w:val="0"/>
      <w:marRight w:val="0"/>
      <w:marTop w:val="0"/>
      <w:marBottom w:val="0"/>
      <w:divBdr>
        <w:top w:val="none" w:sz="0" w:space="0" w:color="auto"/>
        <w:left w:val="none" w:sz="0" w:space="0" w:color="auto"/>
        <w:bottom w:val="none" w:sz="0" w:space="0" w:color="auto"/>
        <w:right w:val="none" w:sz="0" w:space="0" w:color="auto"/>
      </w:divBdr>
    </w:div>
    <w:div w:id="733553296">
      <w:bodyDiv w:val="1"/>
      <w:marLeft w:val="0"/>
      <w:marRight w:val="0"/>
      <w:marTop w:val="0"/>
      <w:marBottom w:val="0"/>
      <w:divBdr>
        <w:top w:val="none" w:sz="0" w:space="0" w:color="auto"/>
        <w:left w:val="none" w:sz="0" w:space="0" w:color="auto"/>
        <w:bottom w:val="none" w:sz="0" w:space="0" w:color="auto"/>
        <w:right w:val="none" w:sz="0" w:space="0" w:color="auto"/>
      </w:divBdr>
    </w:div>
    <w:div w:id="780566038">
      <w:bodyDiv w:val="1"/>
      <w:marLeft w:val="0"/>
      <w:marRight w:val="0"/>
      <w:marTop w:val="0"/>
      <w:marBottom w:val="0"/>
      <w:divBdr>
        <w:top w:val="none" w:sz="0" w:space="0" w:color="auto"/>
        <w:left w:val="none" w:sz="0" w:space="0" w:color="auto"/>
        <w:bottom w:val="none" w:sz="0" w:space="0" w:color="auto"/>
        <w:right w:val="none" w:sz="0" w:space="0" w:color="auto"/>
      </w:divBdr>
    </w:div>
    <w:div w:id="789280406">
      <w:bodyDiv w:val="1"/>
      <w:marLeft w:val="0"/>
      <w:marRight w:val="0"/>
      <w:marTop w:val="0"/>
      <w:marBottom w:val="0"/>
      <w:divBdr>
        <w:top w:val="none" w:sz="0" w:space="0" w:color="auto"/>
        <w:left w:val="none" w:sz="0" w:space="0" w:color="auto"/>
        <w:bottom w:val="none" w:sz="0" w:space="0" w:color="auto"/>
        <w:right w:val="none" w:sz="0" w:space="0" w:color="auto"/>
      </w:divBdr>
    </w:div>
    <w:div w:id="798186409">
      <w:bodyDiv w:val="1"/>
      <w:marLeft w:val="0"/>
      <w:marRight w:val="0"/>
      <w:marTop w:val="0"/>
      <w:marBottom w:val="0"/>
      <w:divBdr>
        <w:top w:val="none" w:sz="0" w:space="0" w:color="auto"/>
        <w:left w:val="none" w:sz="0" w:space="0" w:color="auto"/>
        <w:bottom w:val="none" w:sz="0" w:space="0" w:color="auto"/>
        <w:right w:val="none" w:sz="0" w:space="0" w:color="auto"/>
      </w:divBdr>
    </w:div>
    <w:div w:id="80701414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46546248">
      <w:bodyDiv w:val="1"/>
      <w:marLeft w:val="0"/>
      <w:marRight w:val="0"/>
      <w:marTop w:val="0"/>
      <w:marBottom w:val="0"/>
      <w:divBdr>
        <w:top w:val="none" w:sz="0" w:space="0" w:color="auto"/>
        <w:left w:val="none" w:sz="0" w:space="0" w:color="auto"/>
        <w:bottom w:val="none" w:sz="0" w:space="0" w:color="auto"/>
        <w:right w:val="none" w:sz="0" w:space="0" w:color="auto"/>
      </w:divBdr>
    </w:div>
    <w:div w:id="109282525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5265981">
      <w:bodyDiv w:val="1"/>
      <w:marLeft w:val="0"/>
      <w:marRight w:val="0"/>
      <w:marTop w:val="0"/>
      <w:marBottom w:val="0"/>
      <w:divBdr>
        <w:top w:val="none" w:sz="0" w:space="0" w:color="auto"/>
        <w:left w:val="none" w:sz="0" w:space="0" w:color="auto"/>
        <w:bottom w:val="none" w:sz="0" w:space="0" w:color="auto"/>
        <w:right w:val="none" w:sz="0" w:space="0" w:color="auto"/>
      </w:divBdr>
    </w:div>
    <w:div w:id="1322345467">
      <w:bodyDiv w:val="1"/>
      <w:marLeft w:val="0"/>
      <w:marRight w:val="0"/>
      <w:marTop w:val="0"/>
      <w:marBottom w:val="0"/>
      <w:divBdr>
        <w:top w:val="none" w:sz="0" w:space="0" w:color="auto"/>
        <w:left w:val="none" w:sz="0" w:space="0" w:color="auto"/>
        <w:bottom w:val="none" w:sz="0" w:space="0" w:color="auto"/>
        <w:right w:val="none" w:sz="0" w:space="0" w:color="auto"/>
      </w:divBdr>
    </w:div>
    <w:div w:id="1412389624">
      <w:bodyDiv w:val="1"/>
      <w:marLeft w:val="0"/>
      <w:marRight w:val="0"/>
      <w:marTop w:val="0"/>
      <w:marBottom w:val="0"/>
      <w:divBdr>
        <w:top w:val="none" w:sz="0" w:space="0" w:color="auto"/>
        <w:left w:val="none" w:sz="0" w:space="0" w:color="auto"/>
        <w:bottom w:val="none" w:sz="0" w:space="0" w:color="auto"/>
        <w:right w:val="none" w:sz="0" w:space="0" w:color="auto"/>
      </w:divBdr>
    </w:div>
    <w:div w:id="1434980561">
      <w:bodyDiv w:val="1"/>
      <w:marLeft w:val="0"/>
      <w:marRight w:val="0"/>
      <w:marTop w:val="0"/>
      <w:marBottom w:val="0"/>
      <w:divBdr>
        <w:top w:val="none" w:sz="0" w:space="0" w:color="auto"/>
        <w:left w:val="none" w:sz="0" w:space="0" w:color="auto"/>
        <w:bottom w:val="none" w:sz="0" w:space="0" w:color="auto"/>
        <w:right w:val="none" w:sz="0" w:space="0" w:color="auto"/>
      </w:divBdr>
    </w:div>
    <w:div w:id="1456368755">
      <w:bodyDiv w:val="1"/>
      <w:marLeft w:val="0"/>
      <w:marRight w:val="0"/>
      <w:marTop w:val="0"/>
      <w:marBottom w:val="0"/>
      <w:divBdr>
        <w:top w:val="none" w:sz="0" w:space="0" w:color="auto"/>
        <w:left w:val="none" w:sz="0" w:space="0" w:color="auto"/>
        <w:bottom w:val="none" w:sz="0" w:space="0" w:color="auto"/>
        <w:right w:val="none" w:sz="0" w:space="0" w:color="auto"/>
      </w:divBdr>
    </w:div>
    <w:div w:id="1488745537">
      <w:bodyDiv w:val="1"/>
      <w:marLeft w:val="0"/>
      <w:marRight w:val="0"/>
      <w:marTop w:val="0"/>
      <w:marBottom w:val="0"/>
      <w:divBdr>
        <w:top w:val="none" w:sz="0" w:space="0" w:color="auto"/>
        <w:left w:val="none" w:sz="0" w:space="0" w:color="auto"/>
        <w:bottom w:val="none" w:sz="0" w:space="0" w:color="auto"/>
        <w:right w:val="none" w:sz="0" w:space="0" w:color="auto"/>
      </w:divBdr>
    </w:div>
    <w:div w:id="1563756378">
      <w:bodyDiv w:val="1"/>
      <w:marLeft w:val="0"/>
      <w:marRight w:val="0"/>
      <w:marTop w:val="0"/>
      <w:marBottom w:val="0"/>
      <w:divBdr>
        <w:top w:val="none" w:sz="0" w:space="0" w:color="auto"/>
        <w:left w:val="none" w:sz="0" w:space="0" w:color="auto"/>
        <w:bottom w:val="none" w:sz="0" w:space="0" w:color="auto"/>
        <w:right w:val="none" w:sz="0" w:space="0" w:color="auto"/>
      </w:divBdr>
    </w:div>
    <w:div w:id="1580291960">
      <w:bodyDiv w:val="1"/>
      <w:marLeft w:val="0"/>
      <w:marRight w:val="0"/>
      <w:marTop w:val="0"/>
      <w:marBottom w:val="0"/>
      <w:divBdr>
        <w:top w:val="none" w:sz="0" w:space="0" w:color="auto"/>
        <w:left w:val="none" w:sz="0" w:space="0" w:color="auto"/>
        <w:bottom w:val="none" w:sz="0" w:space="0" w:color="auto"/>
        <w:right w:val="none" w:sz="0" w:space="0" w:color="auto"/>
      </w:divBdr>
    </w:div>
    <w:div w:id="1622805441">
      <w:bodyDiv w:val="1"/>
      <w:marLeft w:val="0"/>
      <w:marRight w:val="0"/>
      <w:marTop w:val="0"/>
      <w:marBottom w:val="0"/>
      <w:divBdr>
        <w:top w:val="none" w:sz="0" w:space="0" w:color="auto"/>
        <w:left w:val="none" w:sz="0" w:space="0" w:color="auto"/>
        <w:bottom w:val="none" w:sz="0" w:space="0" w:color="auto"/>
        <w:right w:val="none" w:sz="0" w:space="0" w:color="auto"/>
      </w:divBdr>
    </w:div>
    <w:div w:id="1641880391">
      <w:bodyDiv w:val="1"/>
      <w:marLeft w:val="0"/>
      <w:marRight w:val="0"/>
      <w:marTop w:val="0"/>
      <w:marBottom w:val="0"/>
      <w:divBdr>
        <w:top w:val="none" w:sz="0" w:space="0" w:color="auto"/>
        <w:left w:val="none" w:sz="0" w:space="0" w:color="auto"/>
        <w:bottom w:val="none" w:sz="0" w:space="0" w:color="auto"/>
        <w:right w:val="none" w:sz="0" w:space="0" w:color="auto"/>
      </w:divBdr>
    </w:div>
    <w:div w:id="1700550118">
      <w:bodyDiv w:val="1"/>
      <w:marLeft w:val="0"/>
      <w:marRight w:val="0"/>
      <w:marTop w:val="0"/>
      <w:marBottom w:val="0"/>
      <w:divBdr>
        <w:top w:val="none" w:sz="0" w:space="0" w:color="auto"/>
        <w:left w:val="none" w:sz="0" w:space="0" w:color="auto"/>
        <w:bottom w:val="none" w:sz="0" w:space="0" w:color="auto"/>
        <w:right w:val="none" w:sz="0" w:space="0" w:color="auto"/>
      </w:divBdr>
    </w:div>
    <w:div w:id="1702247836">
      <w:bodyDiv w:val="1"/>
      <w:marLeft w:val="0"/>
      <w:marRight w:val="0"/>
      <w:marTop w:val="0"/>
      <w:marBottom w:val="0"/>
      <w:divBdr>
        <w:top w:val="none" w:sz="0" w:space="0" w:color="auto"/>
        <w:left w:val="none" w:sz="0" w:space="0" w:color="auto"/>
        <w:bottom w:val="none" w:sz="0" w:space="0" w:color="auto"/>
        <w:right w:val="none" w:sz="0" w:space="0" w:color="auto"/>
      </w:divBdr>
    </w:div>
    <w:div w:id="1752697724">
      <w:bodyDiv w:val="1"/>
      <w:marLeft w:val="0"/>
      <w:marRight w:val="0"/>
      <w:marTop w:val="0"/>
      <w:marBottom w:val="0"/>
      <w:divBdr>
        <w:top w:val="none" w:sz="0" w:space="0" w:color="auto"/>
        <w:left w:val="none" w:sz="0" w:space="0" w:color="auto"/>
        <w:bottom w:val="none" w:sz="0" w:space="0" w:color="auto"/>
        <w:right w:val="none" w:sz="0" w:space="0" w:color="auto"/>
      </w:divBdr>
    </w:div>
    <w:div w:id="1755667335">
      <w:bodyDiv w:val="1"/>
      <w:marLeft w:val="0"/>
      <w:marRight w:val="0"/>
      <w:marTop w:val="0"/>
      <w:marBottom w:val="0"/>
      <w:divBdr>
        <w:top w:val="none" w:sz="0" w:space="0" w:color="auto"/>
        <w:left w:val="none" w:sz="0" w:space="0" w:color="auto"/>
        <w:bottom w:val="none" w:sz="0" w:space="0" w:color="auto"/>
        <w:right w:val="none" w:sz="0" w:space="0" w:color="auto"/>
      </w:divBdr>
    </w:div>
    <w:div w:id="1835293859">
      <w:bodyDiv w:val="1"/>
      <w:marLeft w:val="0"/>
      <w:marRight w:val="0"/>
      <w:marTop w:val="0"/>
      <w:marBottom w:val="0"/>
      <w:divBdr>
        <w:top w:val="none" w:sz="0" w:space="0" w:color="auto"/>
        <w:left w:val="none" w:sz="0" w:space="0" w:color="auto"/>
        <w:bottom w:val="none" w:sz="0" w:space="0" w:color="auto"/>
        <w:right w:val="none" w:sz="0" w:space="0" w:color="auto"/>
      </w:divBdr>
    </w:div>
    <w:div w:id="1839345972">
      <w:bodyDiv w:val="1"/>
      <w:marLeft w:val="0"/>
      <w:marRight w:val="0"/>
      <w:marTop w:val="0"/>
      <w:marBottom w:val="0"/>
      <w:divBdr>
        <w:top w:val="none" w:sz="0" w:space="0" w:color="auto"/>
        <w:left w:val="none" w:sz="0" w:space="0" w:color="auto"/>
        <w:bottom w:val="none" w:sz="0" w:space="0" w:color="auto"/>
        <w:right w:val="none" w:sz="0" w:space="0" w:color="auto"/>
      </w:divBdr>
    </w:div>
    <w:div w:id="1850874016">
      <w:bodyDiv w:val="1"/>
      <w:marLeft w:val="0"/>
      <w:marRight w:val="0"/>
      <w:marTop w:val="0"/>
      <w:marBottom w:val="0"/>
      <w:divBdr>
        <w:top w:val="none" w:sz="0" w:space="0" w:color="auto"/>
        <w:left w:val="none" w:sz="0" w:space="0" w:color="auto"/>
        <w:bottom w:val="none" w:sz="0" w:space="0" w:color="auto"/>
        <w:right w:val="none" w:sz="0" w:space="0" w:color="auto"/>
      </w:divBdr>
    </w:div>
    <w:div w:id="1918511941">
      <w:bodyDiv w:val="1"/>
      <w:marLeft w:val="0"/>
      <w:marRight w:val="0"/>
      <w:marTop w:val="0"/>
      <w:marBottom w:val="0"/>
      <w:divBdr>
        <w:top w:val="none" w:sz="0" w:space="0" w:color="auto"/>
        <w:left w:val="none" w:sz="0" w:space="0" w:color="auto"/>
        <w:bottom w:val="none" w:sz="0" w:space="0" w:color="auto"/>
        <w:right w:val="none" w:sz="0" w:space="0" w:color="auto"/>
      </w:divBdr>
    </w:div>
    <w:div w:id="193373329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9388695">
      <w:bodyDiv w:val="1"/>
      <w:marLeft w:val="0"/>
      <w:marRight w:val="0"/>
      <w:marTop w:val="0"/>
      <w:marBottom w:val="0"/>
      <w:divBdr>
        <w:top w:val="none" w:sz="0" w:space="0" w:color="auto"/>
        <w:left w:val="none" w:sz="0" w:space="0" w:color="auto"/>
        <w:bottom w:val="none" w:sz="0" w:space="0" w:color="auto"/>
        <w:right w:val="none" w:sz="0" w:space="0" w:color="auto"/>
      </w:divBdr>
    </w:div>
    <w:div w:id="2019459059">
      <w:bodyDiv w:val="1"/>
      <w:marLeft w:val="0"/>
      <w:marRight w:val="0"/>
      <w:marTop w:val="0"/>
      <w:marBottom w:val="0"/>
      <w:divBdr>
        <w:top w:val="none" w:sz="0" w:space="0" w:color="auto"/>
        <w:left w:val="none" w:sz="0" w:space="0" w:color="auto"/>
        <w:bottom w:val="none" w:sz="0" w:space="0" w:color="auto"/>
        <w:right w:val="none" w:sz="0" w:space="0" w:color="auto"/>
      </w:divBdr>
    </w:div>
    <w:div w:id="2033989868">
      <w:bodyDiv w:val="1"/>
      <w:marLeft w:val="0"/>
      <w:marRight w:val="0"/>
      <w:marTop w:val="0"/>
      <w:marBottom w:val="0"/>
      <w:divBdr>
        <w:top w:val="none" w:sz="0" w:space="0" w:color="auto"/>
        <w:left w:val="none" w:sz="0" w:space="0" w:color="auto"/>
        <w:bottom w:val="none" w:sz="0" w:space="0" w:color="auto"/>
        <w:right w:val="none" w:sz="0" w:space="0" w:color="auto"/>
      </w:divBdr>
    </w:div>
    <w:div w:id="2059353840">
      <w:bodyDiv w:val="1"/>
      <w:marLeft w:val="0"/>
      <w:marRight w:val="0"/>
      <w:marTop w:val="0"/>
      <w:marBottom w:val="0"/>
      <w:divBdr>
        <w:top w:val="none" w:sz="0" w:space="0" w:color="auto"/>
        <w:left w:val="none" w:sz="0" w:space="0" w:color="auto"/>
        <w:bottom w:val="none" w:sz="0" w:space="0" w:color="auto"/>
        <w:right w:val="none" w:sz="0" w:space="0" w:color="auto"/>
      </w:divBdr>
    </w:div>
    <w:div w:id="21226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21007-3BD8-4889-96C7-4487CA233220}">
  <ds:schemaRefs>
    <ds:schemaRef ds:uri="http://schemas.microsoft.com/sharepoint/v3/contenttype/forms"/>
  </ds:schemaRefs>
</ds:datastoreItem>
</file>

<file path=customXml/itemProps2.xml><?xml version="1.0" encoding="utf-8"?>
<ds:datastoreItem xmlns:ds="http://schemas.openxmlformats.org/officeDocument/2006/customXml" ds:itemID="{F7E62BB6-AC0B-470B-81FA-38C33F7F36FC}">
  <ds:schemaRefs>
    <ds:schemaRef ds:uri="http://purl.org/dc/elements/1.1/"/>
    <ds:schemaRef ds:uri="http://schemas.microsoft.com/office/2006/metadata/properties"/>
    <ds:schemaRef ds:uri="7f856f8d-13b3-495a-9a4b-41f8182eda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f95629-adac-4ec1-8738-e1cec852b92b"/>
    <ds:schemaRef ds:uri="http://www.w3.org/XML/1998/namespace"/>
    <ds:schemaRef ds:uri="http://purl.org/dc/dcmitype/"/>
  </ds:schemaRefs>
</ds:datastoreItem>
</file>

<file path=customXml/itemProps3.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4.xml><?xml version="1.0" encoding="utf-8"?>
<ds:datastoreItem xmlns:ds="http://schemas.openxmlformats.org/officeDocument/2006/customXml" ds:itemID="{80D7A160-449A-45B6-B06B-D2CF9256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 id="{d28e349f-c68d-46ce-94ba-6d0e8d23db64}" enabled="1" method="Standard" siteId="{7b7466bb-fe1d-47a0-b943-8ded565c8e5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46</Pages>
  <Words>16820</Words>
  <Characters>96562</Characters>
  <Application>Microsoft Office Word</Application>
  <DocSecurity>0</DocSecurity>
  <Lines>804</Lines>
  <Paragraphs>226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5.12	OMAVELOXOLONE, Capsule 50 mg, Skyclarys®, BIOGEN AUSTRALIA PTY LTD.</vt:lpstr>
      <vt:lpstr>Purpose of submission</vt:lpstr>
      <vt:lpstr>Background</vt:lpstr>
      <vt:lpstr>    Registration status</vt:lpstr>
      <vt:lpstr>Requested listing</vt:lpstr>
      <vt:lpstr>Population and disease</vt:lpstr>
      <vt:lpstr>Comparator</vt:lpstr>
      <vt:lpstr>Consideration of the evidence</vt:lpstr>
      <vt:lpstr>    Sponsor hearing</vt:lpstr>
      <vt:lpstr>    Consumer comments</vt:lpstr>
      <vt:lpstr>    Clinical trials</vt:lpstr>
      <vt:lpstr>    Comparative effectiveness</vt:lpstr>
      <vt:lpstr>    Comparative harms</vt:lpstr>
      <vt:lpstr>    Benefits/harms</vt:lpstr>
      <vt:lpstr>    Clinical claim</vt:lpstr>
      <vt:lpstr>    Economic analysis </vt:lpstr>
      <vt:lpstr>    Drug/cost/patient/year</vt:lpstr>
    </vt:vector>
  </TitlesOfParts>
  <Company/>
  <LinksUpToDate>false</LinksUpToDate>
  <CharactersWithSpaces>113156</CharactersWithSpaces>
  <SharedDoc>false</SharedDoc>
  <HLinks>
    <vt:vector size="6" baseType="variant">
      <vt:variant>
        <vt:i4>3473513</vt:i4>
      </vt:variant>
      <vt:variant>
        <vt:i4>0</vt:i4>
      </vt:variant>
      <vt:variant>
        <vt:i4>0</vt:i4>
      </vt:variant>
      <vt:variant>
        <vt:i4>5</vt:i4>
      </vt:variant>
      <vt:variant>
        <vt:lpwstr>https://www.pbs.gov.au/info/industry/listing/procedure-guidance/appendix-b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2025-07-03T06:19:00Z</dcterms:created>
  <dcterms:modified xsi:type="dcterms:W3CDTF">2025-07-16T11:11:00Z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